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653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34655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34657_3244359995">
            <w:r>
              <w:rPr>
                <w:webHidden/>
                <w:rStyle w:val="IndexLink"/>
                <w:rtl w:val="true"/>
              </w:rPr>
              <w:t>المقصد التاسع فی البراءة</w:t>
            </w:r>
            <w:r>
              <w:rPr>
                <w:rStyle w:val="IndexLink"/>
                <w:rtl w:val="true"/>
              </w:rPr>
              <w:tab/>
            </w:r>
            <w:r>
              <w:rPr>
                <w:rStyle w:val="IndexLink"/>
              </w:rPr>
              <w:t>12</w:t>
            </w:r>
          </w:hyperlink>
        </w:p>
        <w:p>
          <w:pPr>
            <w:pStyle w:val="Contents3"/>
            <w:tabs>
              <w:tab w:val="clear" w:pos="8459"/>
              <w:tab w:val="right" w:pos="9026" w:leader="dot"/>
            </w:tabs>
            <w:rPr/>
          </w:pPr>
          <w:hyperlink w:anchor="__RefHeading___Toc734659_3244359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734661_3244359995">
            <w:r>
              <w:rPr>
                <w:webHidden/>
                <w:rStyle w:val="IndexLink"/>
                <w:rtl w:val="true"/>
              </w:rPr>
              <w:t>مقدّمة</w:t>
            </w:r>
            <w:r>
              <w:rPr>
                <w:rStyle w:val="IndexLink"/>
                <w:rtl w:val="true"/>
              </w:rPr>
              <w:tab/>
            </w:r>
            <w:r>
              <w:rPr>
                <w:rStyle w:val="IndexLink"/>
              </w:rPr>
              <w:t>13</w:t>
            </w:r>
          </w:hyperlink>
        </w:p>
        <w:p>
          <w:pPr>
            <w:pStyle w:val="Contents4"/>
            <w:tabs>
              <w:tab w:val="clear" w:pos="8176"/>
              <w:tab w:val="right" w:pos="9026" w:leader="dot"/>
            </w:tabs>
            <w:rPr/>
          </w:pPr>
          <w:hyperlink w:anchor="__RefHeading___Toc734663_3244359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734665_3244359995">
            <w:r>
              <w:rPr>
                <w:webHidden/>
                <w:rStyle w:val="IndexLink"/>
                <w:rtl w:val="true"/>
              </w:rPr>
              <w:t>الأمر الأوّل</w:t>
            </w:r>
            <w:r>
              <w:rPr>
                <w:rStyle w:val="IndexLink"/>
                <w:rtl w:val="true"/>
              </w:rPr>
              <w:t xml:space="preserve">: </w:t>
            </w:r>
            <w:r>
              <w:rPr>
                <w:rStyle w:val="IndexLink"/>
                <w:rtl w:val="true"/>
              </w:rPr>
              <w:t>حول تقسیم أحوال المکلّف</w:t>
            </w:r>
            <w:r>
              <w:rPr>
                <w:rStyle w:val="IndexLink"/>
                <w:rtl w:val="true"/>
              </w:rPr>
              <w:tab/>
            </w:r>
            <w:r>
              <w:rPr>
                <w:rStyle w:val="IndexLink"/>
              </w:rPr>
              <w:t>13</w:t>
            </w:r>
          </w:hyperlink>
        </w:p>
        <w:p>
          <w:pPr>
            <w:pStyle w:val="Contents4"/>
            <w:tabs>
              <w:tab w:val="clear" w:pos="8176"/>
              <w:tab w:val="right" w:pos="9026" w:leader="dot"/>
            </w:tabs>
            <w:rPr/>
          </w:pPr>
          <w:hyperlink w:anchor="__RefHeading___Toc734667_3244359995">
            <w:r>
              <w:rPr>
                <w:webHidden/>
                <w:rStyle w:val="IndexLink"/>
                <w:rtl w:val="true"/>
              </w:rPr>
              <w:t>الأمر الثانی</w:t>
            </w:r>
            <w:r>
              <w:rPr>
                <w:rStyle w:val="IndexLink"/>
                <w:rtl w:val="true"/>
              </w:rPr>
              <w:t xml:space="preserve">: </w:t>
            </w:r>
            <w:r>
              <w:rPr>
                <w:rStyle w:val="IndexLink"/>
                <w:rtl w:val="true"/>
              </w:rPr>
              <w:t>فی أنّه لا مناسبة لذکر الحکومة و أنحائها هنا</w:t>
            </w:r>
            <w:r>
              <w:rPr>
                <w:rStyle w:val="IndexLink"/>
                <w:rtl w:val="true"/>
              </w:rPr>
              <w:tab/>
            </w:r>
            <w:r>
              <w:rPr>
                <w:rStyle w:val="IndexLink"/>
              </w:rPr>
              <w:t>16</w:t>
            </w:r>
          </w:hyperlink>
        </w:p>
        <w:p>
          <w:pPr>
            <w:pStyle w:val="Contents4"/>
            <w:tabs>
              <w:tab w:val="clear" w:pos="8176"/>
              <w:tab w:val="right" w:pos="9026" w:leader="dot"/>
            </w:tabs>
            <w:rPr/>
          </w:pPr>
          <w:hyperlink w:anchor="__RefHeading___Toc734669_3244359995">
            <w:r>
              <w:rPr>
                <w:webHidden/>
                <w:rStyle w:val="IndexLink"/>
                <w:rtl w:val="true"/>
              </w:rPr>
              <w:t>الأمر الثالث</w:t>
            </w:r>
            <w:r>
              <w:rPr>
                <w:rStyle w:val="IndexLink"/>
                <w:rtl w:val="true"/>
              </w:rPr>
              <w:t xml:space="preserve">: </w:t>
            </w:r>
            <w:r>
              <w:rPr>
                <w:rStyle w:val="IndexLink"/>
                <w:rtl w:val="true"/>
              </w:rPr>
              <w:t>فی اصولیّة مسألة البراءة مطلقا</w:t>
            </w:r>
            <w:r>
              <w:rPr>
                <w:rStyle w:val="IndexLink"/>
                <w:rtl w:val="true"/>
              </w:rPr>
              <w:tab/>
            </w:r>
            <w:r>
              <w:rPr>
                <w:rStyle w:val="IndexLink"/>
              </w:rPr>
              <w:t>17</w:t>
            </w:r>
          </w:hyperlink>
        </w:p>
        <w:p>
          <w:pPr>
            <w:pStyle w:val="Contents3"/>
            <w:tabs>
              <w:tab w:val="clear" w:pos="8459"/>
              <w:tab w:val="right" w:pos="9026" w:leader="dot"/>
            </w:tabs>
            <w:rPr/>
          </w:pPr>
          <w:hyperlink w:anchor="__RefHeading___Toc734671_3244359995">
            <w:r>
              <w:rPr>
                <w:webHidden/>
                <w:rStyle w:val="IndexLink"/>
                <w:rtl w:val="true"/>
              </w:rPr>
              <w:t>أدلّة الاصولیّین علی البراءة</w:t>
            </w:r>
            <w:r>
              <w:rPr>
                <w:rStyle w:val="IndexLink"/>
                <w:rtl w:val="true"/>
              </w:rPr>
              <w:tab/>
            </w:r>
            <w:r>
              <w:rPr>
                <w:rStyle w:val="IndexLink"/>
              </w:rPr>
              <w:t>20</w:t>
            </w:r>
          </w:hyperlink>
        </w:p>
        <w:p>
          <w:pPr>
            <w:pStyle w:val="Contents4"/>
            <w:tabs>
              <w:tab w:val="clear" w:pos="8176"/>
              <w:tab w:val="right" w:pos="9026" w:leader="dot"/>
            </w:tabs>
            <w:rPr/>
          </w:pPr>
          <w:hyperlink w:anchor="__RefHeading___Toc734673_3244359995">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734675_3244359995">
            <w:r>
              <w:rPr>
                <w:webHidden/>
                <w:rStyle w:val="IndexLink"/>
                <w:rtl w:val="true"/>
              </w:rPr>
              <w:t>الاستدلال بالکتاب الکریم</w:t>
            </w:r>
            <w:r>
              <w:rPr>
                <w:rStyle w:val="IndexLink"/>
                <w:rtl w:val="true"/>
              </w:rPr>
              <w:tab/>
            </w:r>
            <w:r>
              <w:rPr>
                <w:rStyle w:val="IndexLink"/>
              </w:rPr>
              <w:t>21</w:t>
            </w:r>
          </w:hyperlink>
        </w:p>
        <w:p>
          <w:pPr>
            <w:pStyle w:val="Contents4"/>
            <w:tabs>
              <w:tab w:val="clear" w:pos="8176"/>
              <w:tab w:val="right" w:pos="9026" w:leader="dot"/>
            </w:tabs>
            <w:rPr/>
          </w:pPr>
          <w:hyperlink w:anchor="__RefHeading___Toc734677_3244359995">
            <w:r>
              <w:rPr>
                <w:webHidden/>
                <w:rStyle w:val="IndexLink"/>
                <w:rtl w:val="true"/>
              </w:rPr>
              <w:t>الاستدلال بالسنّة</w:t>
            </w:r>
            <w:r>
              <w:rPr>
                <w:rStyle w:val="IndexLink"/>
                <w:rtl w:val="true"/>
              </w:rPr>
              <w:tab/>
            </w:r>
            <w:r>
              <w:rPr>
                <w:rStyle w:val="IndexLink"/>
              </w:rPr>
              <w:t>25</w:t>
            </w:r>
          </w:hyperlink>
        </w:p>
        <w:p>
          <w:pPr>
            <w:pStyle w:val="Contents5"/>
            <w:tabs>
              <w:tab w:val="clear" w:pos="7892"/>
              <w:tab w:val="right" w:pos="9026" w:leader="dot"/>
            </w:tabs>
            <w:rPr/>
          </w:pPr>
          <w:hyperlink w:anchor="__RefHeading___Toc734679_3244359995">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734681_3244359995">
            <w:r>
              <w:rPr>
                <w:webHidden/>
                <w:rStyle w:val="IndexLink"/>
                <w:rtl w:val="true"/>
              </w:rPr>
              <w:t>الطائفة الاولی</w:t>
            </w:r>
            <w:r>
              <w:rPr>
                <w:rStyle w:val="IndexLink"/>
                <w:rtl w:val="true"/>
              </w:rPr>
              <w:t xml:space="preserve">: </w:t>
            </w:r>
            <w:r>
              <w:rPr>
                <w:rStyle w:val="IndexLink"/>
                <w:rtl w:val="true"/>
              </w:rPr>
              <w:t>الروایات ضعیفة السند</w:t>
            </w:r>
            <w:r>
              <w:rPr>
                <w:rStyle w:val="IndexLink"/>
                <w:rtl w:val="true"/>
              </w:rPr>
              <w:tab/>
            </w:r>
            <w:r>
              <w:rPr>
                <w:rStyle w:val="IndexLink"/>
              </w:rPr>
              <w:t>25</w:t>
            </w:r>
          </w:hyperlink>
        </w:p>
        <w:p>
          <w:pPr>
            <w:pStyle w:val="Contents6"/>
            <w:tabs>
              <w:tab w:val="clear" w:pos="7609"/>
              <w:tab w:val="right" w:pos="9026" w:leader="dot"/>
            </w:tabs>
            <w:rPr/>
          </w:pPr>
          <w:hyperlink w:anchor="__RefHeading___Toc734683_3244359995">
            <w:r>
              <w:rPr>
                <w:webHidden/>
                <w:rStyle w:val="IndexLink"/>
                <w:rtl w:val="true"/>
              </w:rPr>
              <w:t>منها</w:t>
            </w:r>
            <w:r>
              <w:rPr>
                <w:rStyle w:val="IndexLink"/>
                <w:rtl w:val="true"/>
              </w:rPr>
              <w:t xml:space="preserve">: </w:t>
            </w:r>
            <w:r>
              <w:rPr>
                <w:rStyle w:val="IndexLink"/>
                <w:rtl w:val="true"/>
              </w:rPr>
              <w:t>حدیث الحجب</w:t>
            </w:r>
            <w:r>
              <w:rPr>
                <w:rStyle w:val="IndexLink"/>
                <w:rtl w:val="true"/>
              </w:rPr>
              <w:tab/>
            </w:r>
            <w:r>
              <w:rPr>
                <w:rStyle w:val="IndexLink"/>
              </w:rPr>
              <w:t>25</w:t>
            </w:r>
          </w:hyperlink>
        </w:p>
        <w:p>
          <w:pPr>
            <w:pStyle w:val="Contents6"/>
            <w:tabs>
              <w:tab w:val="clear" w:pos="7609"/>
              <w:tab w:val="right" w:pos="9026" w:leader="dot"/>
            </w:tabs>
            <w:rPr/>
          </w:pPr>
          <w:hyperlink w:anchor="__RefHeading___Toc734685_3244359995">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734687_3244359995">
            <w:r>
              <w:rPr>
                <w:webHidden/>
                <w:rStyle w:val="IndexLink"/>
                <w:rtl w:val="true"/>
              </w:rPr>
              <w:t>بقی شی‌ء</w:t>
            </w:r>
            <w:r>
              <w:rPr>
                <w:rStyle w:val="IndexLink"/>
                <w:rtl w:val="true"/>
              </w:rPr>
              <w:t xml:space="preserve">: </w:t>
            </w:r>
            <w:r>
              <w:rPr>
                <w:rStyle w:val="IndexLink"/>
                <w:rtl w:val="true"/>
              </w:rPr>
              <w:t>حول شمول حدیث الحجب للشبهتین الموضوعیّة و الحکمیّة</w:t>
            </w:r>
            <w:r>
              <w:rPr>
                <w:rStyle w:val="IndexLink"/>
                <w:rtl w:val="true"/>
              </w:rPr>
              <w:tab/>
            </w:r>
            <w:r>
              <w:rPr>
                <w:rStyle w:val="IndexLink"/>
              </w:rPr>
              <w:t>27</w:t>
            </w:r>
          </w:hyperlink>
        </w:p>
        <w:p>
          <w:pPr>
            <w:pStyle w:val="Contents6"/>
            <w:tabs>
              <w:tab w:val="clear" w:pos="7609"/>
              <w:tab w:val="right" w:pos="9026" w:leader="dot"/>
            </w:tabs>
            <w:rPr/>
          </w:pPr>
          <w:hyperlink w:anchor="__RefHeading___Toc734689_3244359995">
            <w:r>
              <w:rPr>
                <w:webHidden/>
                <w:rStyle w:val="IndexLink"/>
                <w:rtl w:val="true"/>
              </w:rPr>
              <w:t>منها</w:t>
            </w:r>
            <w:r>
              <w:rPr>
                <w:rStyle w:val="IndexLink"/>
                <w:rtl w:val="true"/>
              </w:rPr>
              <w:t xml:space="preserve">: </w:t>
            </w:r>
            <w:r>
              <w:rPr>
                <w:rStyle w:val="IndexLink"/>
                <w:rtl w:val="true"/>
              </w:rPr>
              <w:t>حدیث السعة</w:t>
            </w:r>
            <w:r>
              <w:rPr>
                <w:rStyle w:val="IndexLink"/>
                <w:rtl w:val="true"/>
              </w:rPr>
              <w:tab/>
            </w:r>
            <w:r>
              <w:rPr>
                <w:rStyle w:val="IndexLink"/>
              </w:rPr>
              <w:t>28</w:t>
            </w:r>
          </w:hyperlink>
        </w:p>
        <w:p>
          <w:pPr>
            <w:pStyle w:val="Contents6"/>
            <w:tabs>
              <w:tab w:val="clear" w:pos="7609"/>
              <w:tab w:val="right" w:pos="9026" w:leader="dot"/>
            </w:tabs>
            <w:rPr/>
          </w:pPr>
          <w:hyperlink w:anchor="__RefHeading___Toc734691_3244359995">
            <w:r>
              <w:rPr>
                <w:webHidden/>
                <w:rStyle w:val="IndexLink"/>
                <w:rtl w:val="true"/>
              </w:rPr>
              <w:t>منها</w:t>
            </w:r>
            <w:r>
              <w:rPr>
                <w:rStyle w:val="IndexLink"/>
                <w:rtl w:val="true"/>
              </w:rPr>
              <w:t xml:space="preserve">: </w:t>
            </w:r>
            <w:r>
              <w:rPr>
                <w:rStyle w:val="IndexLink"/>
                <w:rtl w:val="true"/>
              </w:rPr>
              <w:t>حدیث کلّ شی‌ء مطلق</w:t>
            </w:r>
            <w:r>
              <w:rPr>
                <w:rStyle w:val="IndexLink"/>
                <w:rtl w:val="true"/>
              </w:rPr>
              <w:tab/>
            </w:r>
            <w:r>
              <w:rPr>
                <w:rStyle w:val="IndexLink"/>
              </w:rPr>
              <w:t>29</w:t>
            </w:r>
          </w:hyperlink>
        </w:p>
        <w:p>
          <w:pPr>
            <w:pStyle w:val="Contents6"/>
            <w:tabs>
              <w:tab w:val="clear" w:pos="7609"/>
              <w:tab w:val="right" w:pos="9026" w:leader="dot"/>
            </w:tabs>
            <w:rPr/>
          </w:pPr>
          <w:hyperlink w:anchor="__RefHeading___Toc734693_3244359995">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34695_3244359995">
            <w:r>
              <w:rPr>
                <w:webHidden/>
                <w:rStyle w:val="IndexLink"/>
                <w:rtl w:val="true"/>
              </w:rPr>
              <w:t>إفادة</w:t>
            </w:r>
            <w:r>
              <w:rPr>
                <w:rStyle w:val="IndexLink"/>
                <w:rtl w:val="true"/>
              </w:rPr>
              <w:t xml:space="preserve">: </w:t>
            </w:r>
            <w:r>
              <w:rPr>
                <w:rStyle w:val="IndexLink"/>
                <w:rtl w:val="true"/>
              </w:rPr>
              <w:t>فیما یدل علی اختصاص حدیث الإطلاق بالحلّیة الظاهریّة</w:t>
            </w:r>
            <w:r>
              <w:rPr>
                <w:rStyle w:val="IndexLink"/>
                <w:rtl w:val="true"/>
              </w:rPr>
              <w:tab/>
            </w:r>
            <w:r>
              <w:rPr>
                <w:rStyle w:val="IndexLink"/>
              </w:rPr>
              <w:t>34</w:t>
            </w:r>
          </w:hyperlink>
        </w:p>
        <w:p>
          <w:pPr>
            <w:pStyle w:val="Contents6"/>
            <w:tabs>
              <w:tab w:val="clear" w:pos="7609"/>
              <w:tab w:val="right" w:pos="9026" w:leader="dot"/>
            </w:tabs>
            <w:rPr/>
          </w:pPr>
          <w:hyperlink w:anchor="__RefHeading___Toc734697_3244359995">
            <w:r>
              <w:rPr>
                <w:webHidden/>
                <w:rStyle w:val="IndexLink"/>
                <w:rtl w:val="true"/>
              </w:rPr>
              <w:t>منها</w:t>
            </w:r>
            <w:r>
              <w:rPr>
                <w:rStyle w:val="IndexLink"/>
                <w:rtl w:val="true"/>
              </w:rPr>
              <w:t xml:space="preserve">: </w:t>
            </w:r>
            <w:r>
              <w:rPr>
                <w:rStyle w:val="IndexLink"/>
                <w:rtl w:val="true"/>
              </w:rPr>
              <w:t>حدیث الحلّ</w:t>
            </w:r>
            <w:r>
              <w:rPr>
                <w:rStyle w:val="IndexLink"/>
                <w:rtl w:val="true"/>
              </w:rPr>
              <w:tab/>
            </w:r>
            <w:r>
              <w:rPr>
                <w:rStyle w:val="IndexLink"/>
              </w:rPr>
              <w:t>34</w:t>
            </w:r>
          </w:hyperlink>
        </w:p>
        <w:p>
          <w:pPr>
            <w:pStyle w:val="Contents5"/>
            <w:tabs>
              <w:tab w:val="clear" w:pos="7892"/>
              <w:tab w:val="right" w:pos="9026" w:leader="dot"/>
            </w:tabs>
            <w:rPr/>
          </w:pPr>
          <w:hyperlink w:anchor="__RefHeading___Toc734699_3244359995">
            <w:r>
              <w:rPr>
                <w:webHidden/>
                <w:rStyle w:val="IndexLink"/>
                <w:rtl w:val="true"/>
              </w:rPr>
              <w:t>الطائفة الثانیة</w:t>
            </w:r>
            <w:r>
              <w:rPr>
                <w:rStyle w:val="IndexLink"/>
                <w:rtl w:val="true"/>
              </w:rPr>
              <w:t xml:space="preserve">: </w:t>
            </w:r>
            <w:r>
              <w:rPr>
                <w:rStyle w:val="IndexLink"/>
                <w:rtl w:val="true"/>
              </w:rPr>
              <w:t>الروایات القابلة للاعتماد علیها سندا</w:t>
            </w:r>
            <w:r>
              <w:rPr>
                <w:rStyle w:val="IndexLink"/>
                <w:rtl w:val="true"/>
              </w:rPr>
              <w:tab/>
            </w:r>
            <w:r>
              <w:rPr>
                <w:rStyle w:val="IndexLink"/>
              </w:rPr>
              <w:t>38</w:t>
            </w:r>
          </w:hyperlink>
        </w:p>
        <w:p>
          <w:pPr>
            <w:pStyle w:val="Contents6"/>
            <w:tabs>
              <w:tab w:val="clear" w:pos="7609"/>
              <w:tab w:val="right" w:pos="9026" w:leader="dot"/>
            </w:tabs>
            <w:rPr/>
          </w:pPr>
          <w:hyperlink w:anchor="__RefHeading___Toc734701_3244359995">
            <w:r>
              <w:rPr>
                <w:webHidden/>
                <w:rStyle w:val="IndexLink"/>
                <w:rtl w:val="true"/>
              </w:rPr>
              <w:t>فمنها</w:t>
            </w:r>
            <w:r>
              <w:rPr>
                <w:rStyle w:val="IndexLink"/>
                <w:rtl w:val="true"/>
              </w:rPr>
              <w:t xml:space="preserve">: </w:t>
            </w:r>
            <w:r>
              <w:rPr>
                <w:rStyle w:val="IndexLink"/>
                <w:rtl w:val="true"/>
              </w:rPr>
              <w:t>معتبر عبد الأعلی بن أعین</w:t>
            </w:r>
            <w:r>
              <w:rPr>
                <w:rStyle w:val="IndexLink"/>
                <w:rtl w:val="true"/>
              </w:rPr>
              <w:tab/>
            </w:r>
            <w:r>
              <w:rPr>
                <w:rStyle w:val="IndexLink"/>
              </w:rPr>
              <w:t>38</w:t>
            </w:r>
          </w:hyperlink>
        </w:p>
        <w:p>
          <w:pPr>
            <w:pStyle w:val="Contents6"/>
            <w:tabs>
              <w:tab w:val="clear" w:pos="7609"/>
              <w:tab w:val="right" w:pos="9026" w:leader="dot"/>
            </w:tabs>
            <w:rPr/>
          </w:pPr>
          <w:hyperlink w:anchor="__RefHeading___Toc734703_3244359995">
            <w:r>
              <w:rPr>
                <w:webHidden/>
                <w:rStyle w:val="IndexLink"/>
                <w:rtl w:val="true"/>
              </w:rPr>
              <w:t>و منها</w:t>
            </w:r>
            <w:r>
              <w:rPr>
                <w:rStyle w:val="IndexLink"/>
                <w:rtl w:val="true"/>
              </w:rPr>
              <w:t xml:space="preserve">: </w:t>
            </w:r>
            <w:r>
              <w:rPr>
                <w:rStyle w:val="IndexLink"/>
                <w:rtl w:val="true"/>
              </w:rPr>
              <w:t>معتبر ابن الطیّار</w:t>
            </w:r>
            <w:r>
              <w:rPr>
                <w:rStyle w:val="IndexLink"/>
                <w:rtl w:val="true"/>
              </w:rPr>
              <w:tab/>
            </w:r>
            <w:r>
              <w:rPr>
                <w:rStyle w:val="IndexLink"/>
              </w:rPr>
              <w:t>39</w:t>
            </w:r>
          </w:hyperlink>
        </w:p>
        <w:p>
          <w:pPr>
            <w:pStyle w:val="Contents6"/>
            <w:tabs>
              <w:tab w:val="clear" w:pos="7609"/>
              <w:tab w:val="right" w:pos="9026" w:leader="dot"/>
            </w:tabs>
            <w:rPr/>
          </w:pPr>
          <w:hyperlink w:anchor="__RefHeading___Toc734705_3244359995">
            <w:r>
              <w:rPr>
                <w:webHidden/>
                <w:rStyle w:val="IndexLink"/>
                <w:rtl w:val="true"/>
              </w:rPr>
              <w:t>و منها</w:t>
            </w:r>
            <w:r>
              <w:rPr>
                <w:rStyle w:val="IndexLink"/>
                <w:rtl w:val="true"/>
              </w:rPr>
              <w:t xml:space="preserve">: </w:t>
            </w:r>
            <w:r>
              <w:rPr>
                <w:rStyle w:val="IndexLink"/>
                <w:rtl w:val="true"/>
              </w:rPr>
              <w:t>معتبر عبد الأعلی</w:t>
            </w:r>
            <w:r>
              <w:rPr>
                <w:rStyle w:val="IndexLink"/>
                <w:rtl w:val="true"/>
              </w:rPr>
              <w:tab/>
            </w:r>
            <w:r>
              <w:rPr>
                <w:rStyle w:val="IndexLink"/>
              </w:rPr>
              <w:t>39</w:t>
            </w:r>
          </w:hyperlink>
        </w:p>
        <w:p>
          <w:pPr>
            <w:pStyle w:val="Contents6"/>
            <w:tabs>
              <w:tab w:val="clear" w:pos="7609"/>
              <w:tab w:val="right" w:pos="9026" w:leader="dot"/>
            </w:tabs>
            <w:rPr/>
          </w:pPr>
          <w:hyperlink w:anchor="__RefHeading___Toc734707_3244359995">
            <w:r>
              <w:rPr>
                <w:webHidden/>
                <w:rStyle w:val="IndexLink"/>
                <w:rtl w:val="true"/>
              </w:rPr>
              <w:t>و منها</w:t>
            </w:r>
            <w:r>
              <w:rPr>
                <w:rStyle w:val="IndexLink"/>
                <w:rtl w:val="true"/>
              </w:rPr>
              <w:t xml:space="preserve">: </w:t>
            </w:r>
            <w:r>
              <w:rPr>
                <w:rStyle w:val="IndexLink"/>
                <w:rtl w:val="true"/>
              </w:rPr>
              <w:t>معتبر عبد الرحمن بن الحجّاج</w:t>
            </w:r>
            <w:r>
              <w:rPr>
                <w:rStyle w:val="IndexLink"/>
                <w:rtl w:val="true"/>
              </w:rPr>
              <w:tab/>
            </w:r>
            <w:r>
              <w:rPr>
                <w:rStyle w:val="IndexLink"/>
              </w:rPr>
              <w:t>40</w:t>
            </w:r>
          </w:hyperlink>
        </w:p>
        <w:p>
          <w:pPr>
            <w:pStyle w:val="Contents6"/>
            <w:tabs>
              <w:tab w:val="clear" w:pos="7609"/>
              <w:tab w:val="right" w:pos="9026" w:leader="dot"/>
            </w:tabs>
            <w:rPr/>
          </w:pPr>
          <w:hyperlink w:anchor="__RefHeading___Toc734709_3244359995">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734711_3244359995">
            <w:r>
              <w:rPr>
                <w:webHidden/>
                <w:rStyle w:val="IndexLink"/>
                <w:rtl w:val="true"/>
              </w:rPr>
              <w:t>تذنیب</w:t>
            </w:r>
            <w:r>
              <w:rPr>
                <w:rStyle w:val="IndexLink"/>
                <w:rtl w:val="true"/>
              </w:rPr>
              <w:t xml:space="preserve">: </w:t>
            </w:r>
            <w:r>
              <w:rPr>
                <w:rStyle w:val="IndexLink"/>
                <w:rtl w:val="true"/>
              </w:rPr>
              <w:t>فی أنّ الغفلة عذر فی الأحکام دون الموضوعات</w:t>
            </w:r>
            <w:r>
              <w:rPr>
                <w:rStyle w:val="IndexLink"/>
                <w:rtl w:val="true"/>
              </w:rPr>
              <w:tab/>
            </w:r>
            <w:r>
              <w:rPr>
                <w:rStyle w:val="IndexLink"/>
              </w:rPr>
              <w:t>43</w:t>
            </w:r>
          </w:hyperlink>
        </w:p>
        <w:p>
          <w:pPr>
            <w:pStyle w:val="Contents6"/>
            <w:tabs>
              <w:tab w:val="clear" w:pos="7609"/>
              <w:tab w:val="right" w:pos="9026" w:leader="dot"/>
            </w:tabs>
            <w:rPr/>
          </w:pPr>
          <w:hyperlink w:anchor="__RefHeading___Toc734713_3244359995">
            <w:r>
              <w:rPr>
                <w:webHidden/>
                <w:rStyle w:val="IndexLink"/>
                <w:rtl w:val="true"/>
              </w:rPr>
              <w:t>و منها</w:t>
            </w:r>
            <w:r>
              <w:rPr>
                <w:rStyle w:val="IndexLink"/>
                <w:rtl w:val="true"/>
              </w:rPr>
              <w:t xml:space="preserve">: </w:t>
            </w:r>
            <w:r>
              <w:rPr>
                <w:rStyle w:val="IndexLink"/>
                <w:rtl w:val="true"/>
              </w:rPr>
              <w:t>معتبر عبد الصمد بن بشیر</w:t>
            </w:r>
            <w:r>
              <w:rPr>
                <w:rStyle w:val="IndexLink"/>
                <w:rtl w:val="true"/>
              </w:rPr>
              <w:tab/>
            </w:r>
            <w:r>
              <w:rPr>
                <w:rStyle w:val="IndexLink"/>
              </w:rPr>
              <w:t>44</w:t>
            </w:r>
          </w:hyperlink>
        </w:p>
        <w:p>
          <w:pPr>
            <w:pStyle w:val="Contents6"/>
            <w:tabs>
              <w:tab w:val="clear" w:pos="7609"/>
              <w:tab w:val="right" w:pos="9026" w:leader="dot"/>
            </w:tabs>
            <w:rPr/>
          </w:pPr>
          <w:hyperlink w:anchor="__RefHeading___Toc734715_3244359995">
            <w:r>
              <w:rPr>
                <w:webHidden/>
                <w:rStyle w:val="IndexLink"/>
                <w:rtl w:val="true"/>
              </w:rPr>
              <w:t>و منها</w:t>
            </w:r>
            <w:r>
              <w:rPr>
                <w:rStyle w:val="IndexLink"/>
                <w:rtl w:val="true"/>
              </w:rPr>
              <w:t xml:space="preserve">: </w:t>
            </w:r>
            <w:r>
              <w:rPr>
                <w:rStyle w:val="IndexLink"/>
                <w:rtl w:val="true"/>
              </w:rPr>
              <w:t>معتبر عبد اللّه بن سنان</w:t>
            </w:r>
            <w:r>
              <w:rPr>
                <w:rStyle w:val="IndexLink"/>
                <w:rtl w:val="true"/>
              </w:rPr>
              <w:tab/>
            </w:r>
            <w:r>
              <w:rPr>
                <w:rStyle w:val="IndexLink"/>
              </w:rPr>
              <w:t>46</w:t>
            </w:r>
          </w:hyperlink>
        </w:p>
        <w:p>
          <w:pPr>
            <w:pStyle w:val="Contents6"/>
            <w:tabs>
              <w:tab w:val="clear" w:pos="7609"/>
              <w:tab w:val="right" w:pos="9026" w:leader="dot"/>
            </w:tabs>
            <w:rPr/>
          </w:pPr>
          <w:hyperlink w:anchor="__RefHeading___Toc734717_3244359995">
            <w:r>
              <w:rPr>
                <w:webHidden/>
                <w:rStyle w:val="IndexLink"/>
                <w:rtl w:val="true"/>
              </w:rPr>
              <w:t>حول الاستدلال بحدیث الرفع علی البراءة</w:t>
            </w:r>
            <w:r>
              <w:rPr>
                <w:rStyle w:val="IndexLink"/>
                <w:rtl w:val="true"/>
              </w:rPr>
              <w:tab/>
            </w:r>
            <w:r>
              <w:rPr>
                <w:rStyle w:val="IndexLink"/>
              </w:rPr>
              <w:t>48</w:t>
            </w:r>
          </w:hyperlink>
        </w:p>
        <w:p>
          <w:pPr>
            <w:pStyle w:val="Contents6"/>
            <w:tabs>
              <w:tab w:val="clear" w:pos="7609"/>
              <w:tab w:val="right" w:pos="9026" w:leader="dot"/>
            </w:tabs>
            <w:rPr/>
          </w:pPr>
          <w:hyperlink w:anchor="__RefHeading___Toc734719_3244359995">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734721_3244359995">
            <w:r>
              <w:rPr>
                <w:webHidden/>
                <w:rStyle w:val="IndexLink"/>
                <w:rtl w:val="true"/>
              </w:rPr>
              <w:t>الجهة الاولی</w:t>
            </w:r>
            <w:r>
              <w:rPr>
                <w:rStyle w:val="IndexLink"/>
                <w:rtl w:val="true"/>
              </w:rPr>
              <w:t xml:space="preserve">: </w:t>
            </w:r>
            <w:r>
              <w:rPr>
                <w:rStyle w:val="IndexLink"/>
                <w:rtl w:val="true"/>
              </w:rPr>
              <w:t>فی السند</w:t>
            </w:r>
            <w:r>
              <w:rPr>
                <w:rStyle w:val="IndexLink"/>
                <w:rtl w:val="true"/>
              </w:rPr>
              <w:tab/>
            </w:r>
            <w:r>
              <w:rPr>
                <w:rStyle w:val="IndexLink"/>
              </w:rPr>
              <w:t>48</w:t>
            </w:r>
          </w:hyperlink>
        </w:p>
        <w:p>
          <w:pPr>
            <w:pStyle w:val="Contents6"/>
            <w:tabs>
              <w:tab w:val="clear" w:pos="7609"/>
              <w:tab w:val="right" w:pos="9026" w:leader="dot"/>
            </w:tabs>
            <w:rPr/>
          </w:pPr>
          <w:hyperlink w:anchor="__RefHeading___Toc734723_3244359995">
            <w:r>
              <w:rPr>
                <w:webHidden/>
                <w:rStyle w:val="IndexLink"/>
                <w:rtl w:val="true"/>
              </w:rPr>
              <w:t>الجهة الثانیة</w:t>
            </w:r>
            <w:r>
              <w:rPr>
                <w:rStyle w:val="IndexLink"/>
                <w:rtl w:val="true"/>
              </w:rPr>
              <w:t xml:space="preserve">: </w:t>
            </w:r>
            <w:r>
              <w:rPr>
                <w:rStyle w:val="IndexLink"/>
                <w:rtl w:val="true"/>
              </w:rPr>
              <w:t>فی الدلالة</w:t>
            </w:r>
            <w:r>
              <w:rPr>
                <w:rStyle w:val="IndexLink"/>
                <w:rtl w:val="true"/>
              </w:rPr>
              <w:tab/>
            </w:r>
            <w:r>
              <w:rPr>
                <w:rStyle w:val="IndexLink"/>
              </w:rPr>
              <w:t>52</w:t>
            </w:r>
          </w:hyperlink>
        </w:p>
        <w:p>
          <w:pPr>
            <w:pStyle w:val="Contents6"/>
            <w:tabs>
              <w:tab w:val="clear" w:pos="7609"/>
              <w:tab w:val="right" w:pos="9026" w:leader="dot"/>
            </w:tabs>
            <w:rPr/>
          </w:pPr>
          <w:hyperlink w:anchor="__RefHeading___Toc734725_3244359995">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734727_3244359995">
            <w:r>
              <w:rPr>
                <w:webHidden/>
                <w:rStyle w:val="IndexLink"/>
                <w:rtl w:val="true"/>
              </w:rPr>
              <w:t>تحصیل و تحقیق</w:t>
            </w:r>
            <w:r>
              <w:rPr>
                <w:rStyle w:val="IndexLink"/>
                <w:rtl w:val="true"/>
              </w:rPr>
              <w:tab/>
            </w:r>
            <w:r>
              <w:rPr>
                <w:rStyle w:val="IndexLink"/>
              </w:rPr>
              <w:t>57</w:t>
            </w:r>
          </w:hyperlink>
        </w:p>
        <w:p>
          <w:pPr>
            <w:pStyle w:val="Contents6"/>
            <w:tabs>
              <w:tab w:val="clear" w:pos="7609"/>
              <w:tab w:val="right" w:pos="9026" w:leader="dot"/>
            </w:tabs>
            <w:rPr/>
          </w:pPr>
          <w:hyperlink w:anchor="__RefHeading___Toc734729_3244359995">
            <w:r>
              <w:rPr>
                <w:webHidden/>
                <w:rStyle w:val="IndexLink"/>
                <w:rtl w:val="true"/>
              </w:rPr>
              <w:t>و هم و دفع</w:t>
            </w:r>
            <w:r>
              <w:rPr>
                <w:rStyle w:val="IndexLink"/>
                <w:rtl w:val="true"/>
              </w:rPr>
              <w:tab/>
            </w:r>
            <w:r>
              <w:rPr>
                <w:rStyle w:val="IndexLink"/>
              </w:rPr>
              <w:t>58</w:t>
            </w:r>
          </w:hyperlink>
        </w:p>
        <w:p>
          <w:pPr>
            <w:pStyle w:val="Contents6"/>
            <w:tabs>
              <w:tab w:val="clear" w:pos="7609"/>
              <w:tab w:val="right" w:pos="9026" w:leader="dot"/>
            </w:tabs>
            <w:rPr/>
          </w:pPr>
          <w:hyperlink w:anchor="__RefHeading___Toc734731_3244359995">
            <w:r>
              <w:rPr>
                <w:webHidden/>
                <w:rStyle w:val="IndexLink"/>
                <w:rtl w:val="true"/>
              </w:rPr>
              <w:t>دفع و توضیح</w:t>
            </w:r>
            <w:r>
              <w:rPr>
                <w:rStyle w:val="IndexLink"/>
                <w:rtl w:val="true"/>
              </w:rPr>
              <w:tab/>
            </w:r>
            <w:r>
              <w:rPr>
                <w:rStyle w:val="IndexLink"/>
              </w:rPr>
              <w:t>59</w:t>
            </w:r>
          </w:hyperlink>
        </w:p>
        <w:p>
          <w:pPr>
            <w:pStyle w:val="Contents6"/>
            <w:tabs>
              <w:tab w:val="clear" w:pos="7609"/>
              <w:tab w:val="right" w:pos="9026" w:leader="dot"/>
            </w:tabs>
            <w:rPr/>
          </w:pPr>
          <w:hyperlink w:anchor="__RefHeading___Toc734733_3244359995">
            <w:r>
              <w:rPr>
                <w:webHidden/>
                <w:rStyle w:val="IndexLink"/>
                <w:rtl w:val="true"/>
              </w:rPr>
              <w:t>الجهة الثالثة</w:t>
            </w:r>
            <w:r>
              <w:rPr>
                <w:rStyle w:val="IndexLink"/>
                <w:rtl w:val="true"/>
              </w:rPr>
              <w:t xml:space="preserve">: </w:t>
            </w:r>
            <w:r>
              <w:rPr>
                <w:rStyle w:val="IndexLink"/>
                <w:rtl w:val="true"/>
              </w:rPr>
              <w:t>فی اشتمال الحدیث علی المجاز و عدمه</w:t>
            </w:r>
            <w:r>
              <w:rPr>
                <w:rStyle w:val="IndexLink"/>
                <w:rtl w:val="true"/>
              </w:rPr>
              <w:tab/>
            </w:r>
            <w:r>
              <w:rPr>
                <w:rStyle w:val="IndexLink"/>
              </w:rPr>
              <w:t>60</w:t>
            </w:r>
          </w:hyperlink>
        </w:p>
        <w:p>
          <w:pPr>
            <w:pStyle w:val="Contents6"/>
            <w:tabs>
              <w:tab w:val="clear" w:pos="7609"/>
              <w:tab w:val="right" w:pos="9026" w:leader="dot"/>
            </w:tabs>
            <w:rPr/>
          </w:pPr>
          <w:hyperlink w:anchor="__RefHeading___Toc734735_3244359995">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734737_3244359995">
            <w:r>
              <w:rPr>
                <w:webHidden/>
                <w:rStyle w:val="IndexLink"/>
                <w:rtl w:val="true"/>
              </w:rPr>
              <w:t>المقام الأوّل</w:t>
            </w:r>
            <w:r>
              <w:rPr>
                <w:rStyle w:val="IndexLink"/>
                <w:rtl w:val="true"/>
              </w:rPr>
              <w:t xml:space="preserve">: </w:t>
            </w:r>
            <w:r>
              <w:rPr>
                <w:rStyle w:val="IndexLink"/>
                <w:rtl w:val="true"/>
              </w:rPr>
              <w:t>فی أصل اشتماله علی المجاز</w:t>
            </w:r>
            <w:r>
              <w:rPr>
                <w:rStyle w:val="IndexLink"/>
                <w:rtl w:val="true"/>
              </w:rPr>
              <w:tab/>
            </w:r>
            <w:r>
              <w:rPr>
                <w:rStyle w:val="IndexLink"/>
              </w:rPr>
              <w:t>61</w:t>
            </w:r>
          </w:hyperlink>
        </w:p>
        <w:p>
          <w:pPr>
            <w:pStyle w:val="Contents6"/>
            <w:tabs>
              <w:tab w:val="clear" w:pos="7609"/>
              <w:tab w:val="right" w:pos="9026" w:leader="dot"/>
            </w:tabs>
            <w:rPr/>
          </w:pPr>
          <w:hyperlink w:anchor="__RefHeading___Toc734739_3244359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734741_3244359995">
            <w:r>
              <w:rPr>
                <w:webHidden/>
                <w:rStyle w:val="IndexLink"/>
                <w:rtl w:val="true"/>
              </w:rPr>
              <w:t>ذنابة</w:t>
            </w:r>
            <w:r>
              <w:rPr>
                <w:rStyle w:val="IndexLink"/>
                <w:rtl w:val="true"/>
              </w:rPr>
              <w:t xml:space="preserve">: </w:t>
            </w:r>
            <w:r>
              <w:rPr>
                <w:rStyle w:val="IndexLink"/>
                <w:rtl w:val="true"/>
              </w:rPr>
              <w:t>فی أنّ جعل الحکم علی الطبیعة لا ینافی المجاز فی الإسناد</w:t>
            </w:r>
            <w:r>
              <w:rPr>
                <w:rStyle w:val="IndexLink"/>
                <w:rtl w:val="true"/>
              </w:rPr>
              <w:tab/>
            </w:r>
            <w:r>
              <w:rPr>
                <w:rStyle w:val="IndexLink"/>
              </w:rPr>
              <w:t>64</w:t>
            </w:r>
          </w:hyperlink>
        </w:p>
        <w:p>
          <w:pPr>
            <w:pStyle w:val="Contents6"/>
            <w:tabs>
              <w:tab w:val="clear" w:pos="7609"/>
              <w:tab w:val="right" w:pos="9026" w:leader="dot"/>
            </w:tabs>
            <w:rPr/>
          </w:pPr>
          <w:hyperlink w:anchor="__RefHeading___Toc734743_3244359995">
            <w:r>
              <w:rPr>
                <w:webHidden/>
                <w:rStyle w:val="IndexLink"/>
                <w:rtl w:val="true"/>
              </w:rPr>
              <w:t>بقی شی‌ء</w:t>
            </w:r>
            <w:r>
              <w:rPr>
                <w:rStyle w:val="IndexLink"/>
                <w:rtl w:val="true"/>
              </w:rPr>
              <w:t xml:space="preserve">: </w:t>
            </w:r>
            <w:r>
              <w:rPr>
                <w:rStyle w:val="IndexLink"/>
                <w:rtl w:val="true"/>
              </w:rPr>
              <w:t>فی انحصار المجاز بالفقرة الاولی</w:t>
            </w:r>
            <w:r>
              <w:rPr>
                <w:rStyle w:val="IndexLink"/>
                <w:rtl w:val="true"/>
              </w:rPr>
              <w:tab/>
            </w:r>
            <w:r>
              <w:rPr>
                <w:rStyle w:val="IndexLink"/>
              </w:rPr>
              <w:t>65</w:t>
            </w:r>
          </w:hyperlink>
        </w:p>
        <w:p>
          <w:pPr>
            <w:pStyle w:val="Contents6"/>
            <w:tabs>
              <w:tab w:val="clear" w:pos="7609"/>
              <w:tab w:val="right" w:pos="9026" w:leader="dot"/>
            </w:tabs>
            <w:rPr/>
          </w:pPr>
          <w:hyperlink w:anchor="__RefHeading___Toc734745_3244359995">
            <w:r>
              <w:rPr>
                <w:webHidden/>
                <w:rStyle w:val="IndexLink"/>
                <w:rtl w:val="true"/>
              </w:rPr>
              <w:t>المقام الثانی</w:t>
            </w:r>
            <w:r>
              <w:rPr>
                <w:rStyle w:val="IndexLink"/>
                <w:rtl w:val="true"/>
              </w:rPr>
              <w:t xml:space="preserve">: </w:t>
            </w:r>
            <w:r>
              <w:rPr>
                <w:rStyle w:val="IndexLink"/>
                <w:rtl w:val="true"/>
              </w:rPr>
              <w:t>فی بیان المصحّح لإسناد الرفع</w:t>
            </w:r>
            <w:r>
              <w:rPr>
                <w:rStyle w:val="IndexLink"/>
                <w:rtl w:val="true"/>
              </w:rPr>
              <w:tab/>
            </w:r>
            <w:r>
              <w:rPr>
                <w:rStyle w:val="IndexLink"/>
              </w:rPr>
              <w:t>66</w:t>
            </w:r>
          </w:hyperlink>
        </w:p>
        <w:p>
          <w:pPr>
            <w:pStyle w:val="Contents6"/>
            <w:tabs>
              <w:tab w:val="clear" w:pos="7609"/>
              <w:tab w:val="right" w:pos="9026" w:leader="dot"/>
            </w:tabs>
            <w:rPr/>
          </w:pPr>
          <w:hyperlink w:anchor="__RefHeading___Toc734747_3244359995">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734749_3244359995">
            <w:r>
              <w:rPr>
                <w:webHidden/>
                <w:rStyle w:val="IndexLink"/>
                <w:rtl w:val="true"/>
              </w:rPr>
              <w:t>المسلک الأوّل</w:t>
            </w:r>
            <w:r>
              <w:rPr>
                <w:rStyle w:val="IndexLink"/>
                <w:rtl w:val="true"/>
              </w:rPr>
              <w:t>:</w:t>
              <w:tab/>
            </w:r>
            <w:r>
              <w:rPr>
                <w:rStyle w:val="IndexLink"/>
              </w:rPr>
              <w:t>66</w:t>
            </w:r>
          </w:hyperlink>
        </w:p>
        <w:p>
          <w:pPr>
            <w:pStyle w:val="Contents6"/>
            <w:tabs>
              <w:tab w:val="clear" w:pos="7609"/>
              <w:tab w:val="right" w:pos="9026" w:leader="dot"/>
            </w:tabs>
            <w:rPr/>
          </w:pPr>
          <w:hyperlink w:anchor="__RefHeading___Toc734751_3244359995">
            <w:r>
              <w:rPr>
                <w:webHidden/>
                <w:rStyle w:val="IndexLink"/>
                <w:rtl w:val="true"/>
              </w:rPr>
              <w:t>المسلک الثانی</w:t>
            </w:r>
            <w:r>
              <w:rPr>
                <w:rStyle w:val="IndexLink"/>
                <w:rtl w:val="true"/>
              </w:rPr>
              <w:t>:</w:t>
              <w:tab/>
            </w:r>
            <w:r>
              <w:rPr>
                <w:rStyle w:val="IndexLink"/>
              </w:rPr>
              <w:t>69</w:t>
            </w:r>
          </w:hyperlink>
        </w:p>
        <w:p>
          <w:pPr>
            <w:pStyle w:val="Contents6"/>
            <w:tabs>
              <w:tab w:val="clear" w:pos="7609"/>
              <w:tab w:val="right" w:pos="9026" w:leader="dot"/>
            </w:tabs>
            <w:rPr/>
          </w:pPr>
          <w:hyperlink w:anchor="__RefHeading___Toc734753_324435999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734755_3244359995">
            <w:r>
              <w:rPr>
                <w:webHidden/>
                <w:rStyle w:val="IndexLink"/>
                <w:rtl w:val="true"/>
              </w:rPr>
              <w:t>و هنا عویصات</w:t>
            </w:r>
            <w:r>
              <w:rPr>
                <w:rStyle w:val="IndexLink"/>
                <w:rtl w:val="true"/>
              </w:rPr>
              <w:t>:</w:t>
              <w:tab/>
            </w:r>
            <w:r>
              <w:rPr>
                <w:rStyle w:val="IndexLink"/>
              </w:rPr>
              <w:t>71</w:t>
            </w:r>
          </w:hyperlink>
        </w:p>
        <w:p>
          <w:pPr>
            <w:pStyle w:val="Contents6"/>
            <w:tabs>
              <w:tab w:val="clear" w:pos="7609"/>
              <w:tab w:val="right" w:pos="9026" w:leader="dot"/>
            </w:tabs>
            <w:rPr/>
          </w:pPr>
          <w:hyperlink w:anchor="__RefHeading___Toc734757_3244359995">
            <w:r>
              <w:rPr>
                <w:webHidden/>
                <w:rStyle w:val="IndexLink"/>
                <w:rtl w:val="true"/>
              </w:rPr>
              <w:t>فذلکة الکلام</w:t>
            </w:r>
            <w:r>
              <w:rPr>
                <w:rStyle w:val="IndexLink"/>
                <w:rtl w:val="true"/>
              </w:rPr>
              <w:tab/>
            </w:r>
            <w:r>
              <w:rPr>
                <w:rStyle w:val="IndexLink"/>
              </w:rPr>
              <w:t>74</w:t>
            </w:r>
          </w:hyperlink>
        </w:p>
        <w:p>
          <w:pPr>
            <w:pStyle w:val="Contents6"/>
            <w:tabs>
              <w:tab w:val="clear" w:pos="7609"/>
              <w:tab w:val="right" w:pos="9026" w:leader="dot"/>
            </w:tabs>
            <w:rPr/>
          </w:pPr>
          <w:hyperlink w:anchor="__RefHeading___Toc734759_3244359995">
            <w:r>
              <w:rPr>
                <w:webHidden/>
                <w:rStyle w:val="IndexLink"/>
                <w:rtl w:val="true"/>
              </w:rPr>
              <w:t>بقی إشکال</w:t>
            </w:r>
            <w:r>
              <w:rPr>
                <w:rStyle w:val="IndexLink"/>
                <w:rtl w:val="true"/>
              </w:rPr>
              <w:tab/>
            </w:r>
            <w:r>
              <w:rPr>
                <w:rStyle w:val="IndexLink"/>
              </w:rPr>
              <w:t>74</w:t>
            </w:r>
          </w:hyperlink>
        </w:p>
        <w:p>
          <w:pPr>
            <w:pStyle w:val="Contents6"/>
            <w:tabs>
              <w:tab w:val="clear" w:pos="7609"/>
              <w:tab w:val="right" w:pos="9026" w:leader="dot"/>
            </w:tabs>
            <w:rPr/>
          </w:pPr>
          <w:hyperlink w:anchor="__RefHeading___Toc734761_3244359995">
            <w:r>
              <w:rPr>
                <w:webHidden/>
                <w:rStyle w:val="IndexLink"/>
                <w:rtl w:val="true"/>
              </w:rPr>
              <w:t>تکمیل</w:t>
            </w:r>
            <w:r>
              <w:rPr>
                <w:rStyle w:val="IndexLink"/>
                <w:rtl w:val="true"/>
              </w:rPr>
              <w:t xml:space="preserve">: </w:t>
            </w:r>
            <w:r>
              <w:rPr>
                <w:rStyle w:val="IndexLink"/>
                <w:rtl w:val="true"/>
              </w:rPr>
              <w:t>حول النسبة بین الحدیث و الأدلّة الأوّلیّة</w:t>
            </w:r>
            <w:r>
              <w:rPr>
                <w:rStyle w:val="IndexLink"/>
                <w:rtl w:val="true"/>
              </w:rPr>
              <w:tab/>
            </w:r>
            <w:r>
              <w:rPr>
                <w:rStyle w:val="IndexLink"/>
              </w:rPr>
              <w:t>76</w:t>
            </w:r>
          </w:hyperlink>
        </w:p>
        <w:p>
          <w:pPr>
            <w:pStyle w:val="Contents6"/>
            <w:tabs>
              <w:tab w:val="clear" w:pos="7609"/>
              <w:tab w:val="right" w:pos="9026" w:leader="dot"/>
            </w:tabs>
            <w:rPr/>
          </w:pPr>
          <w:hyperlink w:anchor="__RefHeading___Toc734763_3244359995">
            <w:r>
              <w:rPr>
                <w:webHidden/>
                <w:rStyle w:val="IndexLink"/>
                <w:rtl w:val="true"/>
              </w:rPr>
              <w:t>توضیح</w:t>
            </w:r>
            <w:r>
              <w:rPr>
                <w:rStyle w:val="IndexLink"/>
                <w:rtl w:val="true"/>
              </w:rPr>
              <w:t xml:space="preserve">: </w:t>
            </w:r>
            <w:r>
              <w:rPr>
                <w:rStyle w:val="IndexLink"/>
                <w:rtl w:val="true"/>
              </w:rPr>
              <w:t>حول محتملات الحدیث الشریف</w:t>
            </w:r>
            <w:r>
              <w:rPr>
                <w:rStyle w:val="IndexLink"/>
                <w:rtl w:val="true"/>
              </w:rPr>
              <w:tab/>
            </w:r>
            <w:r>
              <w:rPr>
                <w:rStyle w:val="IndexLink"/>
              </w:rPr>
              <w:t>78</w:t>
            </w:r>
          </w:hyperlink>
        </w:p>
        <w:p>
          <w:pPr>
            <w:pStyle w:val="Contents6"/>
            <w:tabs>
              <w:tab w:val="clear" w:pos="7609"/>
              <w:tab w:val="right" w:pos="9026" w:leader="dot"/>
            </w:tabs>
            <w:rPr/>
          </w:pPr>
          <w:hyperlink w:anchor="__RefHeading___Toc734765_3244359995">
            <w:r>
              <w:rPr>
                <w:webHidden/>
                <w:rStyle w:val="IndexLink"/>
                <w:rtl w:val="true"/>
              </w:rPr>
              <w:t>بقی شی‌ء</w:t>
            </w:r>
            <w:r>
              <w:rPr>
                <w:rStyle w:val="IndexLink"/>
                <w:rtl w:val="true"/>
              </w:rPr>
              <w:t xml:space="preserve">: </w:t>
            </w:r>
            <w:r>
              <w:rPr>
                <w:rStyle w:val="IndexLink"/>
                <w:rtl w:val="true"/>
              </w:rPr>
              <w:t>حول مختار الوالد المحقّق مدّ ظلّه</w:t>
            </w:r>
            <w:r>
              <w:rPr>
                <w:rStyle w:val="IndexLink"/>
                <w:rtl w:val="true"/>
              </w:rPr>
              <w:tab/>
            </w:r>
            <w:r>
              <w:rPr>
                <w:rStyle w:val="IndexLink"/>
              </w:rPr>
              <w:t>79</w:t>
            </w:r>
          </w:hyperlink>
        </w:p>
        <w:p>
          <w:pPr>
            <w:pStyle w:val="Contents6"/>
            <w:tabs>
              <w:tab w:val="clear" w:pos="7609"/>
              <w:tab w:val="right" w:pos="9026" w:leader="dot"/>
            </w:tabs>
            <w:rPr/>
          </w:pPr>
          <w:hyperlink w:anchor="__RefHeading___Toc734767_3244359995">
            <w:r>
              <w:rPr>
                <w:webHidden/>
                <w:rStyle w:val="IndexLink"/>
                <w:rtl w:val="true"/>
              </w:rPr>
              <w:t>المسلک الثالث</w:t>
            </w:r>
            <w:r>
              <w:rPr>
                <w:rStyle w:val="IndexLink"/>
                <w:rtl w:val="true"/>
              </w:rPr>
              <w:t>:</w:t>
              <w:tab/>
            </w:r>
            <w:r>
              <w:rPr>
                <w:rStyle w:val="IndexLink"/>
              </w:rPr>
              <w:t>80</w:t>
            </w:r>
          </w:hyperlink>
        </w:p>
        <w:p>
          <w:pPr>
            <w:pStyle w:val="Contents6"/>
            <w:tabs>
              <w:tab w:val="clear" w:pos="7609"/>
              <w:tab w:val="right" w:pos="9026" w:leader="dot"/>
            </w:tabs>
            <w:rPr/>
          </w:pPr>
          <w:hyperlink w:anchor="__RefHeading___Toc734769_3244359995">
            <w:r>
              <w:rPr>
                <w:webHidden/>
                <w:rStyle w:val="IndexLink"/>
                <w:rtl w:val="true"/>
              </w:rPr>
              <w:t>خاتمة الکلام</w:t>
            </w:r>
            <w:r>
              <w:rPr>
                <w:rStyle w:val="IndexLink"/>
                <w:rtl w:val="true"/>
              </w:rPr>
              <w:t xml:space="preserve">: </w:t>
            </w:r>
            <w:r>
              <w:rPr>
                <w:rStyle w:val="IndexLink"/>
                <w:rtl w:val="true"/>
              </w:rPr>
              <w:t>بیان نسبة بین حدیث الرفع و أخبار الاحتیاط</w:t>
            </w:r>
            <w:r>
              <w:rPr>
                <w:rStyle w:val="IndexLink"/>
                <w:rtl w:val="true"/>
              </w:rPr>
              <w:tab/>
            </w:r>
            <w:r>
              <w:rPr>
                <w:rStyle w:val="IndexLink"/>
              </w:rPr>
              <w:t>84</w:t>
            </w:r>
          </w:hyperlink>
        </w:p>
        <w:p>
          <w:pPr>
            <w:pStyle w:val="Contents6"/>
            <w:tabs>
              <w:tab w:val="clear" w:pos="7609"/>
              <w:tab w:val="right" w:pos="9026" w:leader="dot"/>
            </w:tabs>
            <w:rPr/>
          </w:pPr>
          <w:hyperlink w:anchor="__RefHeading___Toc734771_3244359995">
            <w:r>
              <w:rPr>
                <w:webHidden/>
                <w:rStyle w:val="IndexLink"/>
                <w:rtl w:val="true"/>
              </w:rPr>
              <w:t>الجهة الرابعة</w:t>
            </w:r>
            <w:r>
              <w:rPr>
                <w:rStyle w:val="IndexLink"/>
                <w:rtl w:val="true"/>
              </w:rPr>
              <w:t xml:space="preserve">: </w:t>
            </w:r>
            <w:r>
              <w:rPr>
                <w:rStyle w:val="IndexLink"/>
                <w:rtl w:val="true"/>
              </w:rPr>
              <w:t>و فیها مسائل ثلاث حول اختصاص الحدیث بمورد الامتنان</w:t>
            </w:r>
            <w:r>
              <w:rPr>
                <w:rStyle w:val="IndexLink"/>
                <w:rtl w:val="true"/>
              </w:rPr>
              <w:tab/>
            </w:r>
            <w:r>
              <w:rPr>
                <w:rStyle w:val="IndexLink"/>
              </w:rPr>
              <w:t>87</w:t>
            </w:r>
          </w:hyperlink>
        </w:p>
        <w:p>
          <w:pPr>
            <w:pStyle w:val="Contents6"/>
            <w:tabs>
              <w:tab w:val="clear" w:pos="7609"/>
              <w:tab w:val="right" w:pos="9026" w:leader="dot"/>
            </w:tabs>
            <w:rPr/>
          </w:pPr>
          <w:hyperlink w:anchor="__RefHeading___Toc734773_3244359995">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734775_3244359995">
            <w:r>
              <w:rPr>
                <w:webHidden/>
                <w:rStyle w:val="IndexLink"/>
                <w:rtl w:val="true"/>
              </w:rPr>
              <w:t>إیقاظ</w:t>
            </w:r>
            <w:r>
              <w:rPr>
                <w:rStyle w:val="IndexLink"/>
                <w:rtl w:val="true"/>
              </w:rPr>
              <w:t xml:space="preserve">: </w:t>
            </w:r>
            <w:r>
              <w:rPr>
                <w:rStyle w:val="IndexLink"/>
                <w:rtl w:val="true"/>
              </w:rPr>
              <w:t>حول جواب إشکال ارتفاع الضمان عند الإتلاف و نحوه</w:t>
            </w:r>
            <w:r>
              <w:rPr>
                <w:rStyle w:val="IndexLink"/>
                <w:rtl w:val="true"/>
              </w:rPr>
              <w:tab/>
            </w:r>
            <w:r>
              <w:rPr>
                <w:rStyle w:val="IndexLink"/>
              </w:rPr>
              <w:t>94</w:t>
            </w:r>
          </w:hyperlink>
        </w:p>
        <w:p>
          <w:pPr>
            <w:pStyle w:val="Contents6"/>
            <w:tabs>
              <w:tab w:val="clear" w:pos="7609"/>
              <w:tab w:val="right" w:pos="9026" w:leader="dot"/>
            </w:tabs>
            <w:rPr/>
          </w:pPr>
          <w:hyperlink w:anchor="__RefHeading___Toc734777_3244359995">
            <w:r>
              <w:rPr>
                <w:webHidden/>
                <w:rStyle w:val="IndexLink"/>
                <w:rtl w:val="true"/>
              </w:rPr>
              <w:t>وهم و دفع</w:t>
            </w:r>
            <w:r>
              <w:rPr>
                <w:rStyle w:val="IndexLink"/>
                <w:rtl w:val="true"/>
              </w:rPr>
              <w:tab/>
            </w:r>
            <w:r>
              <w:rPr>
                <w:rStyle w:val="IndexLink"/>
              </w:rPr>
              <w:t>97</w:t>
            </w:r>
          </w:hyperlink>
        </w:p>
        <w:p>
          <w:pPr>
            <w:pStyle w:val="Contents6"/>
            <w:tabs>
              <w:tab w:val="clear" w:pos="7609"/>
              <w:tab w:val="right" w:pos="9026" w:leader="dot"/>
            </w:tabs>
            <w:rPr/>
          </w:pPr>
          <w:hyperlink w:anchor="__RefHeading___Toc734779_3244359995">
            <w:r>
              <w:rPr>
                <w:webHidden/>
                <w:rStyle w:val="IndexLink"/>
                <w:rtl w:val="true"/>
              </w:rPr>
              <w:t>توضیح و توجیه</w:t>
            </w:r>
            <w:r>
              <w:rPr>
                <w:rStyle w:val="IndexLink"/>
                <w:rtl w:val="true"/>
              </w:rPr>
              <w:t xml:space="preserve">: </w:t>
            </w:r>
            <w:r>
              <w:rPr>
                <w:rStyle w:val="IndexLink"/>
                <w:rtl w:val="true"/>
              </w:rPr>
              <w:t>حول دوران الرفع مدار العناوین التسعة فی حدیث الرفع</w:t>
            </w:r>
            <w:r>
              <w:rPr>
                <w:rStyle w:val="IndexLink"/>
                <w:rtl w:val="true"/>
              </w:rPr>
              <w:tab/>
            </w:r>
            <w:r>
              <w:rPr>
                <w:rStyle w:val="IndexLink"/>
              </w:rPr>
              <w:t>98</w:t>
            </w:r>
          </w:hyperlink>
        </w:p>
        <w:p>
          <w:pPr>
            <w:pStyle w:val="Contents6"/>
            <w:tabs>
              <w:tab w:val="clear" w:pos="7609"/>
              <w:tab w:val="right" w:pos="9026" w:leader="dot"/>
            </w:tabs>
            <w:rPr/>
          </w:pPr>
          <w:hyperlink w:anchor="__RefHeading___Toc734781_3244359995">
            <w:r>
              <w:rPr>
                <w:webHidden/>
                <w:rStyle w:val="IndexLink"/>
                <w:rtl w:val="true"/>
              </w:rPr>
              <w:t>تحقیق بدیع</w:t>
            </w:r>
            <w:r>
              <w:rPr>
                <w:rStyle w:val="IndexLink"/>
                <w:rtl w:val="true"/>
              </w:rPr>
              <w:t xml:space="preserve">: </w:t>
            </w:r>
            <w:r>
              <w:rPr>
                <w:rStyle w:val="IndexLink"/>
                <w:rtl w:val="true"/>
              </w:rPr>
              <w:t>فی جواب إشکال الالتزام برفع مطلق الآثار</w:t>
            </w:r>
            <w:r>
              <w:rPr>
                <w:rStyle w:val="IndexLink"/>
                <w:rtl w:val="true"/>
              </w:rPr>
              <w:tab/>
            </w:r>
            <w:r>
              <w:rPr>
                <w:rStyle w:val="IndexLink"/>
              </w:rPr>
              <w:t>99</w:t>
            </w:r>
          </w:hyperlink>
        </w:p>
        <w:p>
          <w:pPr>
            <w:pStyle w:val="Contents6"/>
            <w:tabs>
              <w:tab w:val="clear" w:pos="7609"/>
              <w:tab w:val="right" w:pos="9026" w:leader="dot"/>
            </w:tabs>
            <w:rPr/>
          </w:pPr>
          <w:hyperlink w:anchor="__RefHeading___Toc734783_3244359995">
            <w:r>
              <w:rPr>
                <w:webHidden/>
                <w:rStyle w:val="IndexLink"/>
                <w:rtl w:val="true"/>
              </w:rPr>
              <w:t>وهم و دفع</w:t>
            </w:r>
            <w:r>
              <w:rPr>
                <w:rStyle w:val="IndexLink"/>
                <w:rtl w:val="true"/>
              </w:rPr>
              <w:t>:</w:t>
              <w:tab/>
            </w:r>
            <w:r>
              <w:rPr>
                <w:rStyle w:val="IndexLink"/>
              </w:rPr>
              <w:t>101</w:t>
            </w:r>
          </w:hyperlink>
        </w:p>
        <w:p>
          <w:pPr>
            <w:pStyle w:val="Contents6"/>
            <w:tabs>
              <w:tab w:val="clear" w:pos="7609"/>
              <w:tab w:val="right" w:pos="9026" w:leader="dot"/>
            </w:tabs>
            <w:rPr/>
          </w:pPr>
          <w:hyperlink w:anchor="__RefHeading___Toc734785_3244359995">
            <w:r>
              <w:rPr>
                <w:webHidden/>
                <w:rStyle w:val="IndexLink"/>
                <w:rtl w:val="true"/>
              </w:rPr>
              <w:t>الجهة الخامسة</w:t>
            </w:r>
            <w:r>
              <w:rPr>
                <w:rStyle w:val="IndexLink"/>
                <w:rtl w:val="true"/>
              </w:rPr>
              <w:t xml:space="preserve">: </w:t>
            </w:r>
            <w:r>
              <w:rPr>
                <w:rStyle w:val="IndexLink"/>
                <w:rtl w:val="true"/>
              </w:rPr>
              <w:t>فی محاذیر رفع مطلق الآثار و أجوبتها</w:t>
            </w:r>
            <w:r>
              <w:rPr>
                <w:rStyle w:val="IndexLink"/>
                <w:rtl w:val="true"/>
              </w:rPr>
              <w:tab/>
            </w:r>
            <w:r>
              <w:rPr>
                <w:rStyle w:val="IndexLink"/>
              </w:rPr>
              <w:t>102</w:t>
            </w:r>
          </w:hyperlink>
        </w:p>
        <w:p>
          <w:pPr>
            <w:pStyle w:val="Contents6"/>
            <w:tabs>
              <w:tab w:val="clear" w:pos="7609"/>
              <w:tab w:val="right" w:pos="9026" w:leader="dot"/>
            </w:tabs>
            <w:rPr/>
          </w:pPr>
          <w:hyperlink w:anchor="__RefHeading___Toc734787_3244359995">
            <w:r>
              <w:rPr>
                <w:webHidden/>
                <w:rStyle w:val="IndexLink"/>
                <w:rtl w:val="true"/>
              </w:rPr>
              <w:t>الجهة السادسة</w:t>
            </w:r>
            <w:r>
              <w:rPr>
                <w:rStyle w:val="IndexLink"/>
                <w:rtl w:val="true"/>
              </w:rPr>
              <w:t xml:space="preserve">: </w:t>
            </w:r>
            <w:r>
              <w:rPr>
                <w:rStyle w:val="IndexLink"/>
                <w:rtl w:val="true"/>
              </w:rPr>
              <w:t>فی شمول الحدیث لموارد سوء الاختیار و عدمه</w:t>
            </w:r>
            <w:r>
              <w:rPr>
                <w:rStyle w:val="IndexLink"/>
                <w:rtl w:val="true"/>
              </w:rPr>
              <w:tab/>
            </w:r>
            <w:r>
              <w:rPr>
                <w:rStyle w:val="IndexLink"/>
              </w:rPr>
              <w:t>106</w:t>
            </w:r>
          </w:hyperlink>
        </w:p>
        <w:p>
          <w:pPr>
            <w:pStyle w:val="Contents6"/>
            <w:tabs>
              <w:tab w:val="clear" w:pos="7609"/>
              <w:tab w:val="right" w:pos="9026" w:leader="dot"/>
            </w:tabs>
            <w:rPr/>
          </w:pPr>
          <w:hyperlink w:anchor="__RefHeading___Toc734789_3244359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734791_3244359995">
            <w:r>
              <w:rPr>
                <w:webHidden/>
                <w:rStyle w:val="IndexLink"/>
                <w:rtl w:val="true"/>
              </w:rPr>
              <w:t>تذنیب</w:t>
            </w:r>
            <w:r>
              <w:rPr>
                <w:rStyle w:val="IndexLink"/>
                <w:rtl w:val="true"/>
              </w:rPr>
              <w:t xml:space="preserve">: </w:t>
            </w:r>
            <w:r>
              <w:rPr>
                <w:rStyle w:val="IndexLink"/>
                <w:rtl w:val="true"/>
              </w:rPr>
              <w:t>فی شمول الحدیث للجهل بکافّة أنحائه</w:t>
            </w:r>
            <w:r>
              <w:rPr>
                <w:rStyle w:val="IndexLink"/>
                <w:rtl w:val="true"/>
              </w:rPr>
              <w:tab/>
            </w:r>
            <w:r>
              <w:rPr>
                <w:rStyle w:val="IndexLink"/>
              </w:rPr>
              <w:t>108</w:t>
            </w:r>
          </w:hyperlink>
        </w:p>
        <w:p>
          <w:pPr>
            <w:pStyle w:val="Contents6"/>
            <w:tabs>
              <w:tab w:val="clear" w:pos="7609"/>
              <w:tab w:val="right" w:pos="9026" w:leader="dot"/>
            </w:tabs>
            <w:rPr/>
          </w:pPr>
          <w:hyperlink w:anchor="__RefHeading___Toc734793_3244359995">
            <w:r>
              <w:rPr>
                <w:webHidden/>
                <w:rStyle w:val="IndexLink"/>
                <w:rtl w:val="true"/>
              </w:rPr>
              <w:t>الجهة السابعة</w:t>
            </w:r>
            <w:r>
              <w:rPr>
                <w:rStyle w:val="IndexLink"/>
                <w:rtl w:val="true"/>
              </w:rPr>
              <w:t xml:space="preserve">: </w:t>
            </w:r>
            <w:r>
              <w:rPr>
                <w:rStyle w:val="IndexLink"/>
                <w:rtl w:val="true"/>
              </w:rPr>
              <w:t>حول شمول الحدیث للامور العدمیّة</w:t>
            </w:r>
            <w:r>
              <w:rPr>
                <w:rStyle w:val="IndexLink"/>
                <w:rtl w:val="true"/>
              </w:rPr>
              <w:tab/>
            </w:r>
            <w:r>
              <w:rPr>
                <w:rStyle w:val="IndexLink"/>
              </w:rPr>
              <w:t>109</w:t>
            </w:r>
          </w:hyperlink>
        </w:p>
        <w:p>
          <w:pPr>
            <w:pStyle w:val="Contents6"/>
            <w:tabs>
              <w:tab w:val="clear" w:pos="7609"/>
              <w:tab w:val="right" w:pos="9026" w:leader="dot"/>
            </w:tabs>
            <w:rPr/>
          </w:pPr>
          <w:hyperlink w:anchor="__RefHeading___Toc734795_3244359995">
            <w:r>
              <w:rPr>
                <w:webHidden/>
                <w:rStyle w:val="IndexLink"/>
                <w:rtl w:val="true"/>
              </w:rPr>
              <w:t>الجهة الثامنة</w:t>
            </w:r>
            <w:r>
              <w:rPr>
                <w:rStyle w:val="IndexLink"/>
                <w:rtl w:val="true"/>
              </w:rPr>
              <w:t xml:space="preserve">: </w:t>
            </w:r>
            <w:r>
              <w:rPr>
                <w:rStyle w:val="IndexLink"/>
                <w:rtl w:val="true"/>
              </w:rPr>
              <w:t>حول تصحیح الحدیث للمرکبات الفاقدة لجزء أو شرط أو عدم مانع</w:t>
            </w:r>
            <w:r>
              <w:rPr>
                <w:rStyle w:val="IndexLink"/>
                <w:rtl w:val="true"/>
              </w:rPr>
              <w:tab/>
            </w:r>
            <w:r>
              <w:rPr>
                <w:rStyle w:val="IndexLink"/>
              </w:rPr>
              <w:t>111</w:t>
            </w:r>
          </w:hyperlink>
        </w:p>
        <w:p>
          <w:pPr>
            <w:pStyle w:val="Contents6"/>
            <w:tabs>
              <w:tab w:val="clear" w:pos="7609"/>
              <w:tab w:val="right" w:pos="9026" w:leader="dot"/>
            </w:tabs>
            <w:rPr/>
          </w:pPr>
          <w:hyperlink w:anchor="__RefHeading___Toc734797_324435999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734799_3244359995">
            <w:r>
              <w:rPr>
                <w:webHidden/>
                <w:rStyle w:val="IndexLink"/>
                <w:rtl w:val="true"/>
              </w:rPr>
              <w:t>المسألة الاولی</w:t>
            </w:r>
            <w:r>
              <w:rPr>
                <w:rStyle w:val="IndexLink"/>
                <w:rtl w:val="true"/>
              </w:rPr>
              <w:t xml:space="preserve">: </w:t>
            </w:r>
            <w:r>
              <w:rPr>
                <w:rStyle w:val="IndexLink"/>
                <w:rtl w:val="true"/>
              </w:rPr>
              <w:t>فی نسیان الجزء أو الشرط أو المانع فی العبادات</w:t>
            </w:r>
            <w:r>
              <w:rPr>
                <w:rStyle w:val="IndexLink"/>
                <w:rtl w:val="true"/>
              </w:rPr>
              <w:tab/>
            </w:r>
            <w:r>
              <w:rPr>
                <w:rStyle w:val="IndexLink"/>
              </w:rPr>
              <w:t>112</w:t>
            </w:r>
          </w:hyperlink>
        </w:p>
        <w:p>
          <w:pPr>
            <w:pStyle w:val="Contents6"/>
            <w:tabs>
              <w:tab w:val="clear" w:pos="7609"/>
              <w:tab w:val="right" w:pos="9026" w:leader="dot"/>
            </w:tabs>
            <w:rPr/>
          </w:pPr>
          <w:hyperlink w:anchor="__RefHeading___Toc734801_3244359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734803_3244359995">
            <w:r>
              <w:rPr>
                <w:webHidden/>
                <w:rStyle w:val="IndexLink"/>
                <w:rtl w:val="true"/>
              </w:rPr>
              <w:t>بقی شی‌ء</w:t>
            </w:r>
            <w:r>
              <w:rPr>
                <w:rStyle w:val="IndexLink"/>
                <w:rtl w:val="true"/>
              </w:rPr>
              <w:t xml:space="preserve">: </w:t>
            </w:r>
            <w:r>
              <w:rPr>
                <w:rStyle w:val="IndexLink"/>
                <w:rtl w:val="true"/>
              </w:rPr>
              <w:t>فی أنحاء النسیان و أحکامها</w:t>
            </w:r>
            <w:r>
              <w:rPr>
                <w:rStyle w:val="IndexLink"/>
                <w:rtl w:val="true"/>
              </w:rPr>
              <w:tab/>
            </w:r>
            <w:r>
              <w:rPr>
                <w:rStyle w:val="IndexLink"/>
              </w:rPr>
              <w:t>114</w:t>
            </w:r>
          </w:hyperlink>
        </w:p>
        <w:p>
          <w:pPr>
            <w:pStyle w:val="Contents6"/>
            <w:tabs>
              <w:tab w:val="clear" w:pos="7609"/>
              <w:tab w:val="right" w:pos="9026" w:leader="dot"/>
            </w:tabs>
            <w:rPr/>
          </w:pPr>
          <w:hyperlink w:anchor="__RefHeading___Toc734805_3244359995">
            <w:r>
              <w:rPr>
                <w:webHidden/>
                <w:rStyle w:val="IndexLink"/>
                <w:rtl w:val="true"/>
              </w:rPr>
              <w:t>تذنیب</w:t>
            </w:r>
            <w:r>
              <w:rPr>
                <w:rStyle w:val="IndexLink"/>
                <w:rtl w:val="true"/>
              </w:rPr>
              <w:t xml:space="preserve">: </w:t>
            </w:r>
            <w:r>
              <w:rPr>
                <w:rStyle w:val="IndexLink"/>
                <w:rtl w:val="true"/>
              </w:rPr>
              <w:t>فی عدم الفرق بین نسیان الجزء و الشرط و المانع</w:t>
            </w:r>
            <w:r>
              <w:rPr>
                <w:rStyle w:val="IndexLink"/>
                <w:rtl w:val="true"/>
              </w:rPr>
              <w:tab/>
            </w:r>
            <w:r>
              <w:rPr>
                <w:rStyle w:val="IndexLink"/>
              </w:rPr>
              <w:t>117</w:t>
            </w:r>
          </w:hyperlink>
        </w:p>
        <w:p>
          <w:pPr>
            <w:pStyle w:val="Contents6"/>
            <w:tabs>
              <w:tab w:val="clear" w:pos="7609"/>
              <w:tab w:val="right" w:pos="9026" w:leader="dot"/>
            </w:tabs>
            <w:rPr/>
          </w:pPr>
          <w:hyperlink w:anchor="__RefHeading___Toc734807_3244359995">
            <w:r>
              <w:rPr>
                <w:webHidden/>
                <w:rStyle w:val="IndexLink"/>
                <w:rtl w:val="true"/>
              </w:rPr>
              <w:t>تتمیم</w:t>
            </w:r>
            <w:r>
              <w:rPr>
                <w:rStyle w:val="IndexLink"/>
                <w:rtl w:val="true"/>
              </w:rPr>
              <w:t xml:space="preserve">: </w:t>
            </w:r>
            <w:r>
              <w:rPr>
                <w:rStyle w:val="IndexLink"/>
                <w:rtl w:val="true"/>
              </w:rPr>
              <w:t>حول حکم بعض أقسام الناسین</w:t>
            </w:r>
            <w:r>
              <w:rPr>
                <w:rStyle w:val="IndexLink"/>
                <w:rtl w:val="true"/>
              </w:rPr>
              <w:tab/>
            </w:r>
            <w:r>
              <w:rPr>
                <w:rStyle w:val="IndexLink"/>
              </w:rPr>
              <w:t>118</w:t>
            </w:r>
          </w:hyperlink>
        </w:p>
        <w:p>
          <w:pPr>
            <w:pStyle w:val="Contents6"/>
            <w:tabs>
              <w:tab w:val="clear" w:pos="7609"/>
              <w:tab w:val="right" w:pos="9026" w:leader="dot"/>
            </w:tabs>
            <w:rPr/>
          </w:pPr>
          <w:hyperlink w:anchor="__RefHeading___Toc734809_3244359995">
            <w:r>
              <w:rPr>
                <w:webHidden/>
                <w:rStyle w:val="IndexLink"/>
                <w:rtl w:val="true"/>
              </w:rPr>
              <w:t>ذنابة</w:t>
            </w:r>
            <w:r>
              <w:rPr>
                <w:rStyle w:val="IndexLink"/>
                <w:rtl w:val="true"/>
              </w:rPr>
              <w:t xml:space="preserve">: </w:t>
            </w:r>
            <w:r>
              <w:rPr>
                <w:rStyle w:val="IndexLink"/>
                <w:rtl w:val="true"/>
              </w:rPr>
              <w:t>فی حکم نسیان الجزء أو الشرط أو المانع فی المعاملات</w:t>
            </w:r>
            <w:r>
              <w:rPr>
                <w:rStyle w:val="IndexLink"/>
                <w:rtl w:val="true"/>
              </w:rPr>
              <w:tab/>
            </w:r>
            <w:r>
              <w:rPr>
                <w:rStyle w:val="IndexLink"/>
              </w:rPr>
              <w:t>120</w:t>
            </w:r>
          </w:hyperlink>
        </w:p>
        <w:p>
          <w:pPr>
            <w:pStyle w:val="Contents6"/>
            <w:tabs>
              <w:tab w:val="clear" w:pos="7609"/>
              <w:tab w:val="right" w:pos="9026" w:leader="dot"/>
            </w:tabs>
            <w:rPr/>
          </w:pPr>
          <w:hyperlink w:anchor="__RefHeading___Toc734811_3244359995">
            <w:r>
              <w:rPr>
                <w:webHidden/>
                <w:rStyle w:val="IndexLink"/>
                <w:rtl w:val="true"/>
              </w:rPr>
              <w:t>بحث و تحقیق</w:t>
            </w:r>
            <w:r>
              <w:rPr>
                <w:rStyle w:val="IndexLink"/>
                <w:rtl w:val="true"/>
              </w:rPr>
              <w:t xml:space="preserve">: </w:t>
            </w:r>
            <w:r>
              <w:rPr>
                <w:rStyle w:val="IndexLink"/>
                <w:rtl w:val="true"/>
              </w:rPr>
              <w:t>فی حکم نسیان الجزء الرکنی الدخیل فی صدق الطبیعة</w:t>
            </w:r>
            <w:r>
              <w:rPr>
                <w:rStyle w:val="IndexLink"/>
                <w:rtl w:val="true"/>
              </w:rPr>
              <w:tab/>
            </w:r>
            <w:r>
              <w:rPr>
                <w:rStyle w:val="IndexLink"/>
              </w:rPr>
              <w:t>121</w:t>
            </w:r>
          </w:hyperlink>
        </w:p>
        <w:p>
          <w:pPr>
            <w:pStyle w:val="Contents6"/>
            <w:tabs>
              <w:tab w:val="clear" w:pos="7609"/>
              <w:tab w:val="right" w:pos="9026" w:leader="dot"/>
            </w:tabs>
            <w:rPr/>
          </w:pPr>
          <w:hyperlink w:anchor="__RefHeading___Toc734813_3244359995">
            <w:r>
              <w:rPr>
                <w:webHidden/>
                <w:rStyle w:val="IndexLink"/>
                <w:rtl w:val="true"/>
              </w:rPr>
              <w:t>المسألة الثانیة</w:t>
            </w:r>
            <w:r>
              <w:rPr>
                <w:rStyle w:val="IndexLink"/>
                <w:rtl w:val="true"/>
              </w:rPr>
              <w:t xml:space="preserve">: </w:t>
            </w:r>
            <w:r>
              <w:rPr>
                <w:rStyle w:val="IndexLink"/>
                <w:rtl w:val="true"/>
              </w:rPr>
              <w:t>فی ترک الجزء و الشرط أو إیجاد المانع إکراها و اضطرارا</w:t>
            </w:r>
            <w:r>
              <w:rPr>
                <w:rStyle w:val="IndexLink"/>
                <w:rtl w:val="true"/>
              </w:rPr>
              <w:tab/>
            </w:r>
            <w:r>
              <w:rPr>
                <w:rStyle w:val="IndexLink"/>
              </w:rPr>
              <w:t>123</w:t>
            </w:r>
          </w:hyperlink>
        </w:p>
        <w:p>
          <w:pPr>
            <w:pStyle w:val="Contents6"/>
            <w:tabs>
              <w:tab w:val="clear" w:pos="7609"/>
              <w:tab w:val="right" w:pos="9026" w:leader="dot"/>
            </w:tabs>
            <w:rPr/>
          </w:pPr>
          <w:hyperlink w:anchor="__RefHeading___Toc734815_324435999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734817_3244359995">
            <w:r>
              <w:rPr>
                <w:webHidden/>
                <w:rStyle w:val="IndexLink"/>
                <w:rtl w:val="true"/>
              </w:rPr>
              <w:t>تذنیب</w:t>
            </w:r>
            <w:r>
              <w:rPr>
                <w:rStyle w:val="IndexLink"/>
                <w:rtl w:val="true"/>
              </w:rPr>
              <w:t xml:space="preserve">: </w:t>
            </w:r>
            <w:r>
              <w:rPr>
                <w:rStyle w:val="IndexLink"/>
                <w:rtl w:val="true"/>
              </w:rPr>
              <w:t>فی الإشکال علی التمسّک بحدیث الرفع هنا و جوابه</w:t>
            </w:r>
            <w:r>
              <w:rPr>
                <w:rStyle w:val="IndexLink"/>
                <w:rtl w:val="true"/>
              </w:rPr>
              <w:tab/>
            </w:r>
            <w:r>
              <w:rPr>
                <w:rStyle w:val="IndexLink"/>
              </w:rPr>
              <w:t>126</w:t>
            </w:r>
          </w:hyperlink>
        </w:p>
        <w:p>
          <w:pPr>
            <w:pStyle w:val="Contents6"/>
            <w:tabs>
              <w:tab w:val="clear" w:pos="7609"/>
              <w:tab w:val="right" w:pos="9026" w:leader="dot"/>
            </w:tabs>
            <w:rPr/>
          </w:pPr>
          <w:hyperlink w:anchor="__RefHeading___Toc734819_3244359995">
            <w:r>
              <w:rPr>
                <w:webHidden/>
                <w:rStyle w:val="IndexLink"/>
                <w:rtl w:val="true"/>
              </w:rPr>
              <w:t>تنبیه</w:t>
            </w:r>
            <w:r>
              <w:rPr>
                <w:rStyle w:val="IndexLink"/>
                <w:rtl w:val="true"/>
              </w:rPr>
              <w:t xml:space="preserve">: </w:t>
            </w:r>
            <w:r>
              <w:rPr>
                <w:rStyle w:val="IndexLink"/>
                <w:rtl w:val="true"/>
              </w:rPr>
              <w:t>فی توهّم اختصاص الحدیث بالإکراه و الاضطرار المستوعبین و جوابه</w:t>
            </w:r>
            <w:r>
              <w:rPr>
                <w:rStyle w:val="IndexLink"/>
                <w:rtl w:val="true"/>
              </w:rPr>
              <w:tab/>
            </w:r>
            <w:r>
              <w:rPr>
                <w:rStyle w:val="IndexLink"/>
              </w:rPr>
              <w:t>127</w:t>
            </w:r>
          </w:hyperlink>
        </w:p>
        <w:p>
          <w:pPr>
            <w:pStyle w:val="Contents6"/>
            <w:tabs>
              <w:tab w:val="clear" w:pos="7609"/>
              <w:tab w:val="right" w:pos="9026" w:leader="dot"/>
            </w:tabs>
            <w:rPr/>
          </w:pPr>
          <w:hyperlink w:anchor="__RefHeading___Toc734821_3244359995">
            <w:r>
              <w:rPr>
                <w:webHidden/>
                <w:rStyle w:val="IndexLink"/>
                <w:rtl w:val="true"/>
              </w:rPr>
              <w:t>بقی شی‌ء</w:t>
            </w:r>
            <w:r>
              <w:rPr>
                <w:rStyle w:val="IndexLink"/>
                <w:rtl w:val="true"/>
              </w:rPr>
              <w:t xml:space="preserve">: </w:t>
            </w:r>
            <w:r>
              <w:rPr>
                <w:rStyle w:val="IndexLink"/>
                <w:rtl w:val="true"/>
              </w:rPr>
              <w:t>فی أنّ الدلیل الخاصّ قد یقتضی عدم الإجزاء هنا</w:t>
            </w:r>
            <w:r>
              <w:rPr>
                <w:rStyle w:val="IndexLink"/>
                <w:rtl w:val="true"/>
              </w:rPr>
              <w:tab/>
            </w:r>
            <w:r>
              <w:rPr>
                <w:rStyle w:val="IndexLink"/>
              </w:rPr>
              <w:t>129</w:t>
            </w:r>
          </w:hyperlink>
        </w:p>
        <w:p>
          <w:pPr>
            <w:pStyle w:val="Contents6"/>
            <w:tabs>
              <w:tab w:val="clear" w:pos="7609"/>
              <w:tab w:val="right" w:pos="9026" w:leader="dot"/>
            </w:tabs>
            <w:rPr/>
          </w:pPr>
          <w:hyperlink w:anchor="__RefHeading___Toc734823_3244359995">
            <w:r>
              <w:rPr>
                <w:webHidden/>
                <w:rStyle w:val="IndexLink"/>
                <w:rtl w:val="true"/>
              </w:rPr>
              <w:t>المسألة الثالثة</w:t>
            </w:r>
            <w:r>
              <w:rPr>
                <w:rStyle w:val="IndexLink"/>
                <w:rtl w:val="true"/>
              </w:rPr>
              <w:t xml:space="preserve">: </w:t>
            </w:r>
            <w:r>
              <w:rPr>
                <w:rStyle w:val="IndexLink"/>
                <w:rtl w:val="true"/>
              </w:rPr>
              <w:t>فی ترک المرکب العبادیّ الموقّت أو المعاملیّ</w:t>
            </w:r>
            <w:r>
              <w:rPr>
                <w:rStyle w:val="IndexLink"/>
                <w:rtl w:val="true"/>
              </w:rPr>
              <w:tab/>
            </w:r>
            <w:r>
              <w:rPr>
                <w:rStyle w:val="IndexLink"/>
              </w:rPr>
              <w:t>130</w:t>
            </w:r>
          </w:hyperlink>
        </w:p>
        <w:p>
          <w:pPr>
            <w:pStyle w:val="Contents6"/>
            <w:tabs>
              <w:tab w:val="clear" w:pos="7609"/>
              <w:tab w:val="right" w:pos="9026" w:leader="dot"/>
            </w:tabs>
            <w:rPr/>
          </w:pPr>
          <w:hyperlink w:anchor="__RefHeading___Toc734825_324435999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734827_3244359995">
            <w:r>
              <w:rPr>
                <w:webHidden/>
                <w:rStyle w:val="IndexLink"/>
                <w:rtl w:val="true"/>
              </w:rPr>
              <w:t>بقی شی‌ء</w:t>
            </w:r>
            <w:r>
              <w:rPr>
                <w:rStyle w:val="IndexLink"/>
                <w:rtl w:val="true"/>
              </w:rPr>
              <w:t xml:space="preserve">: </w:t>
            </w:r>
            <w:r>
              <w:rPr>
                <w:rStyle w:val="IndexLink"/>
                <w:rtl w:val="true"/>
              </w:rPr>
              <w:t>فی الغفلة و اشتراط شی‌ء غیر مقصود عن توجّه و التفات</w:t>
            </w:r>
            <w:r>
              <w:rPr>
                <w:rStyle w:val="IndexLink"/>
                <w:rtl w:val="true"/>
              </w:rPr>
              <w:tab/>
            </w:r>
            <w:r>
              <w:rPr>
                <w:rStyle w:val="IndexLink"/>
              </w:rPr>
              <w:t>133</w:t>
            </w:r>
          </w:hyperlink>
        </w:p>
        <w:p>
          <w:pPr>
            <w:pStyle w:val="Contents6"/>
            <w:tabs>
              <w:tab w:val="clear" w:pos="7609"/>
              <w:tab w:val="right" w:pos="9026" w:leader="dot"/>
            </w:tabs>
            <w:rPr/>
          </w:pPr>
          <w:hyperlink w:anchor="__RefHeading___Toc734829_3244359995">
            <w:r>
              <w:rPr>
                <w:webHidden/>
                <w:rStyle w:val="IndexLink"/>
                <w:rtl w:val="true"/>
              </w:rPr>
              <w:t>المسألة الرابعة</w:t>
            </w:r>
            <w:r>
              <w:rPr>
                <w:rStyle w:val="IndexLink"/>
                <w:rtl w:val="true"/>
              </w:rPr>
              <w:t xml:space="preserve">: </w:t>
            </w:r>
            <w:r>
              <w:rPr>
                <w:rStyle w:val="IndexLink"/>
                <w:rtl w:val="true"/>
              </w:rPr>
              <w:t>حول تفصیل بین الشبهات الحکمیّة و الموضوعیّة عند الشکّ فی المانعیّة</w:t>
            </w:r>
            <w:r>
              <w:rPr>
                <w:rStyle w:val="IndexLink"/>
                <w:rtl w:val="true"/>
              </w:rPr>
              <w:tab/>
            </w:r>
            <w:r>
              <w:rPr>
                <w:rStyle w:val="IndexLink"/>
              </w:rPr>
              <w:t>133</w:t>
            </w:r>
          </w:hyperlink>
        </w:p>
        <w:p>
          <w:pPr>
            <w:pStyle w:val="Contents6"/>
            <w:tabs>
              <w:tab w:val="clear" w:pos="7609"/>
              <w:tab w:val="right" w:pos="9026" w:leader="dot"/>
            </w:tabs>
            <w:rPr/>
          </w:pPr>
          <w:hyperlink w:anchor="__RefHeading___Toc734831_3244359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734833_3244359995">
            <w:r>
              <w:rPr>
                <w:webHidden/>
                <w:rStyle w:val="IndexLink"/>
                <w:rtl w:val="true"/>
              </w:rPr>
              <w:t>منع قیام الإجماع علی الأخذ بالبراءة</w:t>
            </w:r>
            <w:r>
              <w:rPr>
                <w:rStyle w:val="IndexLink"/>
                <w:rtl w:val="true"/>
              </w:rPr>
              <w:tab/>
            </w:r>
            <w:r>
              <w:rPr>
                <w:rStyle w:val="IndexLink"/>
              </w:rPr>
              <w:t>134</w:t>
            </w:r>
          </w:hyperlink>
        </w:p>
        <w:p>
          <w:pPr>
            <w:pStyle w:val="Contents6"/>
            <w:tabs>
              <w:tab w:val="clear" w:pos="7609"/>
              <w:tab w:val="right" w:pos="9026" w:leader="dot"/>
            </w:tabs>
            <w:rPr/>
          </w:pPr>
          <w:hyperlink w:anchor="__RefHeading___Toc734835_3244359995">
            <w:r>
              <w:rPr>
                <w:webHidden/>
                <w:rStyle w:val="IndexLink"/>
                <w:rtl w:val="true"/>
              </w:rPr>
              <w:t>الاستدلال بالعقل</w:t>
            </w:r>
            <w:r>
              <w:rPr>
                <w:rStyle w:val="IndexLink"/>
                <w:rtl w:val="true"/>
              </w:rPr>
              <w:tab/>
            </w:r>
            <w:r>
              <w:rPr>
                <w:rStyle w:val="IndexLink"/>
              </w:rPr>
              <w:t>136</w:t>
            </w:r>
          </w:hyperlink>
        </w:p>
        <w:p>
          <w:pPr>
            <w:pStyle w:val="Contents6"/>
            <w:tabs>
              <w:tab w:val="clear" w:pos="7609"/>
              <w:tab w:val="right" w:pos="9026" w:leader="dot"/>
            </w:tabs>
            <w:rPr/>
          </w:pPr>
          <w:hyperlink w:anchor="__RefHeading___Toc734837_3244359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34839_3244359995">
            <w:r>
              <w:rPr>
                <w:webHidden/>
                <w:rStyle w:val="IndexLink"/>
                <w:rtl w:val="true"/>
              </w:rPr>
              <w:t>الجهة الاولی</w:t>
            </w:r>
            <w:r>
              <w:rPr>
                <w:rStyle w:val="IndexLink"/>
                <w:rtl w:val="true"/>
              </w:rPr>
              <w:t xml:space="preserve">: </w:t>
            </w:r>
            <w:r>
              <w:rPr>
                <w:rStyle w:val="IndexLink"/>
                <w:rtl w:val="true"/>
              </w:rPr>
              <w:t>فی انقسام البراءة إلی شرعیّة و عقلیّة و عقلائیّة</w:t>
            </w:r>
            <w:r>
              <w:rPr>
                <w:rStyle w:val="IndexLink"/>
                <w:rtl w:val="true"/>
              </w:rPr>
              <w:tab/>
            </w:r>
            <w:r>
              <w:rPr>
                <w:rStyle w:val="IndexLink"/>
              </w:rPr>
              <w:t>136</w:t>
            </w:r>
          </w:hyperlink>
        </w:p>
        <w:p>
          <w:pPr>
            <w:pStyle w:val="Contents6"/>
            <w:tabs>
              <w:tab w:val="clear" w:pos="7609"/>
              <w:tab w:val="right" w:pos="9026" w:leader="dot"/>
            </w:tabs>
            <w:rPr/>
          </w:pPr>
          <w:hyperlink w:anchor="__RefHeading___Toc734841_3244359995">
            <w:r>
              <w:rPr>
                <w:webHidden/>
                <w:rStyle w:val="IndexLink"/>
                <w:rtl w:val="true"/>
              </w:rPr>
              <w:t>الجهة الثانیة</w:t>
            </w:r>
            <w:r>
              <w:rPr>
                <w:rStyle w:val="IndexLink"/>
                <w:rtl w:val="true"/>
              </w:rPr>
              <w:t xml:space="preserve">: </w:t>
            </w:r>
            <w:r>
              <w:rPr>
                <w:rStyle w:val="IndexLink"/>
                <w:rtl w:val="true"/>
              </w:rPr>
              <w:t>حول تمامیّة کبری قاعدة قبح العقاب بلا بیان</w:t>
            </w:r>
            <w:r>
              <w:rPr>
                <w:rStyle w:val="IndexLink"/>
                <w:rtl w:val="true"/>
              </w:rPr>
              <w:tab/>
            </w:r>
            <w:r>
              <w:rPr>
                <w:rStyle w:val="IndexLink"/>
              </w:rPr>
              <w:t>138</w:t>
            </w:r>
          </w:hyperlink>
        </w:p>
        <w:p>
          <w:pPr>
            <w:pStyle w:val="Contents6"/>
            <w:tabs>
              <w:tab w:val="clear" w:pos="7609"/>
              <w:tab w:val="right" w:pos="9026" w:leader="dot"/>
            </w:tabs>
            <w:rPr/>
          </w:pPr>
          <w:hyperlink w:anchor="__RefHeading___Toc734843_3244359995">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734845_3244359995">
            <w:r>
              <w:rPr>
                <w:webHidden/>
                <w:rStyle w:val="IndexLink"/>
                <w:rtl w:val="true"/>
              </w:rPr>
              <w:t>بحث و تحصیل</w:t>
            </w:r>
            <w:r>
              <w:rPr>
                <w:rStyle w:val="IndexLink"/>
                <w:rtl w:val="true"/>
              </w:rPr>
              <w:t xml:space="preserve">: </w:t>
            </w:r>
            <w:r>
              <w:rPr>
                <w:rStyle w:val="IndexLink"/>
                <w:rtl w:val="true"/>
              </w:rPr>
              <w:t>حول مشکلة العقاب بلا بیان</w:t>
            </w:r>
            <w:r>
              <w:rPr>
                <w:rStyle w:val="IndexLink"/>
                <w:rtl w:val="true"/>
              </w:rPr>
              <w:tab/>
            </w:r>
            <w:r>
              <w:rPr>
                <w:rStyle w:val="IndexLink"/>
              </w:rPr>
              <w:t>139</w:t>
            </w:r>
          </w:hyperlink>
        </w:p>
        <w:p>
          <w:pPr>
            <w:pStyle w:val="Contents6"/>
            <w:tabs>
              <w:tab w:val="clear" w:pos="7609"/>
              <w:tab w:val="right" w:pos="9026" w:leader="dot"/>
            </w:tabs>
            <w:rPr/>
          </w:pPr>
          <w:hyperlink w:anchor="__RefHeading___Toc734847_3244359995">
            <w:r>
              <w:rPr>
                <w:webHidden/>
                <w:rStyle w:val="IndexLink"/>
                <w:rtl w:val="true"/>
              </w:rPr>
              <w:t>بحث و تحقیق</w:t>
            </w:r>
            <w:r>
              <w:rPr>
                <w:rStyle w:val="IndexLink"/>
                <w:rtl w:val="true"/>
              </w:rPr>
              <w:t xml:space="preserve">: </w:t>
            </w:r>
            <w:r>
              <w:rPr>
                <w:rStyle w:val="IndexLink"/>
                <w:rtl w:val="true"/>
              </w:rPr>
              <w:t>فی منع قاعدة قبح العقاب عقلا، لا عرفا و عقلائیّا</w:t>
            </w:r>
            <w:r>
              <w:rPr>
                <w:rStyle w:val="IndexLink"/>
                <w:rtl w:val="true"/>
              </w:rPr>
              <w:tab/>
            </w:r>
            <w:r>
              <w:rPr>
                <w:rStyle w:val="IndexLink"/>
              </w:rPr>
              <w:t>142</w:t>
            </w:r>
          </w:hyperlink>
        </w:p>
        <w:p>
          <w:pPr>
            <w:pStyle w:val="Contents6"/>
            <w:tabs>
              <w:tab w:val="clear" w:pos="7609"/>
              <w:tab w:val="right" w:pos="9026" w:leader="dot"/>
            </w:tabs>
            <w:rPr/>
          </w:pPr>
          <w:hyperlink w:anchor="__RefHeading___Toc734849_3244359995">
            <w:r>
              <w:rPr>
                <w:webHidden/>
                <w:rStyle w:val="IndexLink"/>
                <w:rtl w:val="true"/>
              </w:rPr>
              <w:t>تذنیب</w:t>
            </w:r>
            <w:r>
              <w:rPr>
                <w:rStyle w:val="IndexLink"/>
                <w:rtl w:val="true"/>
              </w:rPr>
              <w:t xml:space="preserve">: </w:t>
            </w:r>
            <w:r>
              <w:rPr>
                <w:rStyle w:val="IndexLink"/>
                <w:rtl w:val="true"/>
              </w:rPr>
              <w:t>حول جریان البراءة فی الشبهات الموضوعیّة</w:t>
            </w:r>
            <w:r>
              <w:rPr>
                <w:rStyle w:val="IndexLink"/>
                <w:rtl w:val="true"/>
              </w:rPr>
              <w:tab/>
            </w:r>
            <w:r>
              <w:rPr>
                <w:rStyle w:val="IndexLink"/>
              </w:rPr>
              <w:t>143</w:t>
            </w:r>
          </w:hyperlink>
        </w:p>
        <w:p>
          <w:pPr>
            <w:pStyle w:val="Contents6"/>
            <w:tabs>
              <w:tab w:val="clear" w:pos="7609"/>
              <w:tab w:val="right" w:pos="9026" w:leader="dot"/>
            </w:tabs>
            <w:rPr/>
          </w:pPr>
          <w:hyperlink w:anchor="__RefHeading___Toc734851_3244359995">
            <w:r>
              <w:rPr>
                <w:webHidden/>
                <w:rStyle w:val="IndexLink"/>
                <w:rtl w:val="true"/>
              </w:rPr>
              <w:t>تذنیب آخر</w:t>
            </w:r>
            <w:r>
              <w:rPr>
                <w:rStyle w:val="IndexLink"/>
                <w:rtl w:val="true"/>
              </w:rPr>
              <w:t xml:space="preserve">: </w:t>
            </w:r>
            <w:r>
              <w:rPr>
                <w:rStyle w:val="IndexLink"/>
                <w:rtl w:val="true"/>
              </w:rPr>
              <w:t>و فیه مناقشة عقلیّة لقاعدة قبح العقاب بلا بیان</w:t>
            </w:r>
            <w:r>
              <w:rPr>
                <w:rStyle w:val="IndexLink"/>
                <w:rtl w:val="true"/>
              </w:rPr>
              <w:tab/>
            </w:r>
            <w:r>
              <w:rPr>
                <w:rStyle w:val="IndexLink"/>
              </w:rPr>
              <w:t>145</w:t>
            </w:r>
          </w:hyperlink>
        </w:p>
        <w:p>
          <w:pPr>
            <w:pStyle w:val="Contents6"/>
            <w:tabs>
              <w:tab w:val="clear" w:pos="7609"/>
              <w:tab w:val="right" w:pos="9026" w:leader="dot"/>
            </w:tabs>
            <w:rPr/>
          </w:pPr>
          <w:hyperlink w:anchor="__RefHeading___Toc734853_3244359995">
            <w:r>
              <w:rPr>
                <w:webHidden/>
                <w:rStyle w:val="IndexLink"/>
                <w:rtl w:val="true"/>
              </w:rPr>
              <w:t>الجهة الثالثة</w:t>
            </w:r>
            <w:r>
              <w:rPr>
                <w:rStyle w:val="IndexLink"/>
                <w:rtl w:val="true"/>
              </w:rPr>
              <w:t xml:space="preserve">: </w:t>
            </w:r>
            <w:r>
              <w:rPr>
                <w:rStyle w:val="IndexLink"/>
                <w:rtl w:val="true"/>
              </w:rPr>
              <w:t>حول نسبة القاعدة مع قاعدة لزوم دفع الضرر</w:t>
            </w:r>
            <w:r>
              <w:rPr>
                <w:rStyle w:val="IndexLink"/>
                <w:rtl w:val="true"/>
              </w:rPr>
              <w:tab/>
            </w:r>
            <w:r>
              <w:rPr>
                <w:rStyle w:val="IndexLink"/>
              </w:rPr>
              <w:t>148</w:t>
            </w:r>
          </w:hyperlink>
        </w:p>
        <w:p>
          <w:pPr>
            <w:pStyle w:val="Contents6"/>
            <w:tabs>
              <w:tab w:val="clear" w:pos="7609"/>
              <w:tab w:val="right" w:pos="9026" w:leader="dot"/>
            </w:tabs>
            <w:rPr/>
          </w:pPr>
          <w:hyperlink w:anchor="__RefHeading___Toc734855_3244359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734857_3244359995">
            <w:r>
              <w:rPr>
                <w:webHidden/>
                <w:rStyle w:val="IndexLink"/>
                <w:rtl w:val="true"/>
              </w:rPr>
              <w:t>و هم و دفع</w:t>
            </w:r>
            <w:r>
              <w:rPr>
                <w:rStyle w:val="IndexLink"/>
                <w:rtl w:val="true"/>
              </w:rPr>
              <w:t xml:space="preserve">: </w:t>
            </w:r>
            <w:r>
              <w:rPr>
                <w:rStyle w:val="IndexLink"/>
                <w:rtl w:val="true"/>
              </w:rPr>
              <w:t>حول ورود قاعدة قبح العقاب علی قاعدة دفع الضرر</w:t>
            </w:r>
            <w:r>
              <w:rPr>
                <w:rStyle w:val="IndexLink"/>
                <w:rtl w:val="true"/>
              </w:rPr>
              <w:tab/>
            </w:r>
            <w:r>
              <w:rPr>
                <w:rStyle w:val="IndexLink"/>
              </w:rPr>
              <w:t>149</w:t>
            </w:r>
          </w:hyperlink>
        </w:p>
        <w:p>
          <w:pPr>
            <w:pStyle w:val="Contents6"/>
            <w:tabs>
              <w:tab w:val="clear" w:pos="7609"/>
              <w:tab w:val="right" w:pos="9026" w:leader="dot"/>
            </w:tabs>
            <w:rPr/>
          </w:pPr>
          <w:hyperlink w:anchor="__RefHeading___Toc734859_3244359995">
            <w:r>
              <w:rPr>
                <w:webHidden/>
                <w:rStyle w:val="IndexLink"/>
                <w:rtl w:val="true"/>
              </w:rPr>
              <w:t>تنبیه</w:t>
            </w:r>
            <w:r>
              <w:rPr>
                <w:rStyle w:val="IndexLink"/>
                <w:rtl w:val="true"/>
              </w:rPr>
              <w:t xml:space="preserve">: </w:t>
            </w:r>
            <w:r>
              <w:rPr>
                <w:rStyle w:val="IndexLink"/>
                <w:rtl w:val="true"/>
              </w:rPr>
              <w:t xml:space="preserve">حول المراد من </w:t>
            </w:r>
            <w:r>
              <w:rPr>
                <w:rStyle w:val="IndexLink"/>
                <w:rtl w:val="true"/>
              </w:rPr>
              <w:t>«</w:t>
            </w:r>
            <w:r>
              <w:rPr>
                <w:rStyle w:val="IndexLink"/>
                <w:rtl w:val="true"/>
              </w:rPr>
              <w:t>الضرر</w:t>
            </w:r>
            <w:r>
              <w:rPr>
                <w:rStyle w:val="IndexLink"/>
                <w:rtl w:val="true"/>
              </w:rPr>
              <w:t xml:space="preserve">» </w:t>
            </w:r>
            <w:r>
              <w:rPr>
                <w:rStyle w:val="IndexLink"/>
                <w:rtl w:val="true"/>
              </w:rPr>
              <w:t>فی القاعدة</w:t>
            </w:r>
            <w:r>
              <w:rPr>
                <w:rStyle w:val="IndexLink"/>
                <w:rtl w:val="true"/>
              </w:rPr>
              <w:tab/>
            </w:r>
            <w:r>
              <w:rPr>
                <w:rStyle w:val="IndexLink"/>
              </w:rPr>
              <w:t>150</w:t>
            </w:r>
          </w:hyperlink>
        </w:p>
        <w:p>
          <w:pPr>
            <w:pStyle w:val="Contents6"/>
            <w:tabs>
              <w:tab w:val="clear" w:pos="7609"/>
              <w:tab w:val="right" w:pos="9026" w:leader="dot"/>
            </w:tabs>
            <w:rPr/>
          </w:pPr>
          <w:hyperlink w:anchor="__RefHeading___Toc734861_3244359995">
            <w:r>
              <w:rPr>
                <w:webHidden/>
                <w:rStyle w:val="IndexLink"/>
                <w:rtl w:val="true"/>
              </w:rPr>
              <w:t>التحقیق فی قاعدة لزوم دفع الضرر المحتمل</w:t>
            </w:r>
            <w:r>
              <w:rPr>
                <w:rStyle w:val="IndexLink"/>
                <w:rtl w:val="true"/>
              </w:rPr>
              <w:tab/>
            </w:r>
            <w:r>
              <w:rPr>
                <w:rStyle w:val="IndexLink"/>
              </w:rPr>
              <w:t>151</w:t>
            </w:r>
          </w:hyperlink>
        </w:p>
        <w:p>
          <w:pPr>
            <w:pStyle w:val="Contents6"/>
            <w:tabs>
              <w:tab w:val="clear" w:pos="7609"/>
              <w:tab w:val="right" w:pos="9026" w:leader="dot"/>
            </w:tabs>
            <w:rPr/>
          </w:pPr>
          <w:hyperlink w:anchor="__RefHeading___Toc734863_3244359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734865_3244359995">
            <w:r>
              <w:rPr>
                <w:webHidden/>
                <w:rStyle w:val="IndexLink"/>
                <w:rtl w:val="true"/>
              </w:rPr>
              <w:t>أمّا المقام الأوّل</w:t>
            </w:r>
            <w:r>
              <w:rPr>
                <w:rStyle w:val="IndexLink"/>
                <w:rtl w:val="true"/>
              </w:rPr>
              <w:t>:</w:t>
              <w:tab/>
            </w:r>
            <w:r>
              <w:rPr>
                <w:rStyle w:val="IndexLink"/>
              </w:rPr>
              <w:t>151</w:t>
            </w:r>
          </w:hyperlink>
        </w:p>
        <w:p>
          <w:pPr>
            <w:pStyle w:val="Contents6"/>
            <w:tabs>
              <w:tab w:val="clear" w:pos="7609"/>
              <w:tab w:val="right" w:pos="9026" w:leader="dot"/>
            </w:tabs>
            <w:rPr/>
          </w:pPr>
          <w:hyperlink w:anchor="__RefHeading___Toc734867_3244359995">
            <w:r>
              <w:rPr>
                <w:webHidden/>
                <w:rStyle w:val="IndexLink"/>
                <w:rtl w:val="true"/>
              </w:rPr>
              <w:t>و أمّا المقام الثانی</w:t>
            </w:r>
            <w:r>
              <w:rPr>
                <w:rStyle w:val="IndexLink"/>
                <w:rtl w:val="true"/>
              </w:rPr>
              <w:t>:</w:t>
              <w:tab/>
            </w:r>
            <w:r>
              <w:rPr>
                <w:rStyle w:val="IndexLink"/>
              </w:rPr>
              <w:t>152</w:t>
            </w:r>
          </w:hyperlink>
        </w:p>
        <w:p>
          <w:pPr>
            <w:pStyle w:val="Contents6"/>
            <w:tabs>
              <w:tab w:val="clear" w:pos="7609"/>
              <w:tab w:val="right" w:pos="9026" w:leader="dot"/>
            </w:tabs>
            <w:rPr/>
          </w:pPr>
          <w:hyperlink w:anchor="__RefHeading___Toc734869_3244359995">
            <w:r>
              <w:rPr>
                <w:webHidden/>
                <w:rStyle w:val="IndexLink"/>
                <w:rtl w:val="true"/>
              </w:rPr>
              <w:t>بقی شی‌ء</w:t>
            </w:r>
            <w:r>
              <w:rPr>
                <w:rStyle w:val="IndexLink"/>
                <w:rtl w:val="true"/>
              </w:rPr>
              <w:t xml:space="preserve">: </w:t>
            </w:r>
            <w:r>
              <w:rPr>
                <w:rStyle w:val="IndexLink"/>
                <w:rtl w:val="true"/>
              </w:rPr>
              <w:t>فی أنّ وجوب دفع الضرر لیس نفسیّا و غیریّا و لا طریقیّا</w:t>
            </w:r>
            <w:r>
              <w:rPr>
                <w:rStyle w:val="IndexLink"/>
                <w:rtl w:val="true"/>
              </w:rPr>
              <w:tab/>
            </w:r>
            <w:r>
              <w:rPr>
                <w:rStyle w:val="IndexLink"/>
              </w:rPr>
              <w:t>153</w:t>
            </w:r>
          </w:hyperlink>
        </w:p>
        <w:p>
          <w:pPr>
            <w:pStyle w:val="Contents6"/>
            <w:tabs>
              <w:tab w:val="clear" w:pos="7609"/>
              <w:tab w:val="right" w:pos="9026" w:leader="dot"/>
            </w:tabs>
            <w:rPr/>
          </w:pPr>
          <w:hyperlink w:anchor="__RefHeading___Toc734871_3244359995">
            <w:r>
              <w:rPr>
                <w:webHidden/>
                <w:rStyle w:val="IndexLink"/>
                <w:rtl w:val="true"/>
              </w:rPr>
              <w:t>تذنیب</w:t>
            </w:r>
            <w:r>
              <w:rPr>
                <w:rStyle w:val="IndexLink"/>
                <w:rtl w:val="true"/>
              </w:rPr>
              <w:t xml:space="preserve">: </w:t>
            </w:r>
            <w:r>
              <w:rPr>
                <w:rStyle w:val="IndexLink"/>
                <w:rtl w:val="true"/>
              </w:rPr>
              <w:t>حول التمسّک بعدم الوصول و بالاستصحاب لإثبات البراءة</w:t>
            </w:r>
            <w:r>
              <w:rPr>
                <w:rStyle w:val="IndexLink"/>
                <w:rtl w:val="true"/>
              </w:rPr>
              <w:tab/>
            </w:r>
            <w:r>
              <w:rPr>
                <w:rStyle w:val="IndexLink"/>
              </w:rPr>
              <w:t>154</w:t>
            </w:r>
          </w:hyperlink>
        </w:p>
        <w:p>
          <w:pPr>
            <w:pStyle w:val="Contents3"/>
            <w:tabs>
              <w:tab w:val="clear" w:pos="8459"/>
              <w:tab w:val="right" w:pos="9026" w:leader="dot"/>
            </w:tabs>
            <w:rPr/>
          </w:pPr>
          <w:hyperlink w:anchor="__RefHeading___Toc734873_3244359995">
            <w:r>
              <w:rPr>
                <w:webHidden/>
                <w:rStyle w:val="IndexLink"/>
                <w:rtl w:val="true"/>
              </w:rPr>
              <w:t>أدلّة الأخباریّین علی الاحتیاط</w:t>
            </w:r>
            <w:r>
              <w:rPr>
                <w:rStyle w:val="IndexLink"/>
                <w:rtl w:val="true"/>
              </w:rPr>
              <w:tab/>
            </w:r>
            <w:r>
              <w:rPr>
                <w:rStyle w:val="IndexLink"/>
              </w:rPr>
              <w:t>155</w:t>
            </w:r>
          </w:hyperlink>
        </w:p>
        <w:p>
          <w:pPr>
            <w:pStyle w:val="Contents4"/>
            <w:tabs>
              <w:tab w:val="clear" w:pos="8176"/>
              <w:tab w:val="right" w:pos="9026" w:leader="dot"/>
            </w:tabs>
            <w:rPr/>
          </w:pPr>
          <w:hyperlink w:anchor="__RefHeading___Toc734875_324435999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734877_3244359995">
            <w:r>
              <w:rPr>
                <w:webHidden/>
                <w:rStyle w:val="IndexLink"/>
                <w:rtl w:val="true"/>
              </w:rPr>
              <w:t>أمّا الآیات</w:t>
            </w:r>
            <w:r>
              <w:rPr>
                <w:rStyle w:val="IndexLink"/>
                <w:rtl w:val="true"/>
              </w:rPr>
              <w:tab/>
            </w:r>
            <w:r>
              <w:rPr>
                <w:rStyle w:val="IndexLink"/>
              </w:rPr>
              <w:t>156</w:t>
            </w:r>
          </w:hyperlink>
        </w:p>
        <w:p>
          <w:pPr>
            <w:pStyle w:val="Contents4"/>
            <w:tabs>
              <w:tab w:val="clear" w:pos="8176"/>
              <w:tab w:val="right" w:pos="9026" w:leader="dot"/>
            </w:tabs>
            <w:rPr/>
          </w:pPr>
          <w:hyperlink w:anchor="__RefHeading___Toc734879_3244359995">
            <w:r>
              <w:rPr>
                <w:webHidden/>
                <w:rStyle w:val="IndexLink"/>
                <w:rtl w:val="true"/>
              </w:rPr>
              <w:t>و أمّا السنّة</w:t>
            </w:r>
            <w:r>
              <w:rPr>
                <w:rStyle w:val="IndexLink"/>
                <w:rtl w:val="true"/>
              </w:rPr>
              <w:tab/>
            </w:r>
            <w:r>
              <w:rPr>
                <w:rStyle w:val="IndexLink"/>
              </w:rPr>
              <w:t>163</w:t>
            </w:r>
          </w:hyperlink>
        </w:p>
        <w:p>
          <w:pPr>
            <w:pStyle w:val="Contents5"/>
            <w:tabs>
              <w:tab w:val="clear" w:pos="7892"/>
              <w:tab w:val="right" w:pos="9026" w:leader="dot"/>
            </w:tabs>
            <w:rPr/>
          </w:pPr>
          <w:hyperlink w:anchor="__RefHeading___Toc734881_3244359995">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734883_3244359995">
            <w:r>
              <w:rPr>
                <w:webHidden/>
                <w:rStyle w:val="IndexLink"/>
                <w:rtl w:val="true"/>
              </w:rPr>
              <w:t>الطائفة الاولی</w:t>
            </w:r>
            <w:r>
              <w:rPr>
                <w:rStyle w:val="IndexLink"/>
                <w:rtl w:val="true"/>
              </w:rPr>
              <w:t xml:space="preserve">: </w:t>
            </w:r>
            <w:r>
              <w:rPr>
                <w:rStyle w:val="IndexLink"/>
                <w:rtl w:val="true"/>
              </w:rPr>
              <w:t>ما تدّل علی الردّ إلی اللّه و إلی أهل البیت علیهم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734885_3244359995">
            <w:r>
              <w:rPr>
                <w:webHidden/>
                <w:rStyle w:val="IndexLink"/>
                <w:rtl w:val="true"/>
              </w:rPr>
              <w:t>الطائفة الثانیة</w:t>
            </w:r>
            <w:r>
              <w:rPr>
                <w:rStyle w:val="IndexLink"/>
                <w:rtl w:val="true"/>
              </w:rPr>
              <w:t xml:space="preserve">: </w:t>
            </w:r>
            <w:r>
              <w:rPr>
                <w:rStyle w:val="IndexLink"/>
                <w:rtl w:val="true"/>
              </w:rPr>
              <w:t>الأخبار المتضمّنة للأمر بالتوقّف</w:t>
            </w:r>
            <w:r>
              <w:rPr>
                <w:rStyle w:val="IndexLink"/>
                <w:rtl w:val="true"/>
              </w:rPr>
              <w:tab/>
            </w:r>
            <w:r>
              <w:rPr>
                <w:rStyle w:val="IndexLink"/>
              </w:rPr>
              <w:t>167</w:t>
            </w:r>
          </w:hyperlink>
        </w:p>
        <w:p>
          <w:pPr>
            <w:pStyle w:val="Contents6"/>
            <w:tabs>
              <w:tab w:val="clear" w:pos="7609"/>
              <w:tab w:val="right" w:pos="9026" w:leader="dot"/>
            </w:tabs>
            <w:rPr/>
          </w:pPr>
          <w:hyperlink w:anchor="__RefHeading___Toc734887_324435999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734889_3244359995">
            <w:r>
              <w:rPr>
                <w:webHidden/>
                <w:rStyle w:val="IndexLink"/>
                <w:rtl w:val="true"/>
              </w:rPr>
              <w:t>جولة و تحقیق</w:t>
            </w:r>
            <w:r>
              <w:rPr>
                <w:rStyle w:val="IndexLink"/>
                <w:rtl w:val="true"/>
              </w:rPr>
              <w:t xml:space="preserve">: </w:t>
            </w:r>
            <w:r>
              <w:rPr>
                <w:rStyle w:val="IndexLink"/>
                <w:rtl w:val="true"/>
              </w:rPr>
              <w:t>فی المراد من الأمر بالتوقّف</w:t>
            </w:r>
            <w:r>
              <w:rPr>
                <w:rStyle w:val="IndexLink"/>
                <w:rtl w:val="true"/>
              </w:rPr>
              <w:tab/>
            </w:r>
            <w:r>
              <w:rPr>
                <w:rStyle w:val="IndexLink"/>
              </w:rPr>
              <w:t>170</w:t>
            </w:r>
          </w:hyperlink>
        </w:p>
        <w:p>
          <w:pPr>
            <w:pStyle w:val="Contents5"/>
            <w:tabs>
              <w:tab w:val="clear" w:pos="7892"/>
              <w:tab w:val="right" w:pos="9026" w:leader="dot"/>
            </w:tabs>
            <w:rPr/>
          </w:pPr>
          <w:hyperlink w:anchor="__RefHeading___Toc734891_3244359995">
            <w:r>
              <w:rPr>
                <w:webHidden/>
                <w:rStyle w:val="IndexLink"/>
                <w:rtl w:val="true"/>
              </w:rPr>
              <w:t>الطائفة الثالثة</w:t>
            </w:r>
            <w:r>
              <w:rPr>
                <w:rStyle w:val="IndexLink"/>
                <w:rtl w:val="true"/>
              </w:rPr>
              <w:t xml:space="preserve">: </w:t>
            </w:r>
            <w:r>
              <w:rPr>
                <w:rStyle w:val="IndexLink"/>
                <w:rtl w:val="true"/>
              </w:rPr>
              <w:t>الأخبار الآمرة بالاحتیاط و المتضمّنة له</w:t>
            </w:r>
            <w:r>
              <w:rPr>
                <w:rStyle w:val="IndexLink"/>
                <w:rtl w:val="true"/>
              </w:rPr>
              <w:tab/>
            </w:r>
            <w:r>
              <w:rPr>
                <w:rStyle w:val="IndexLink"/>
              </w:rPr>
              <w:t>173</w:t>
            </w:r>
          </w:hyperlink>
        </w:p>
        <w:p>
          <w:pPr>
            <w:pStyle w:val="Contents6"/>
            <w:tabs>
              <w:tab w:val="clear" w:pos="7609"/>
              <w:tab w:val="right" w:pos="9026" w:leader="dot"/>
            </w:tabs>
            <w:rPr/>
          </w:pPr>
          <w:hyperlink w:anchor="__RefHeading___Toc734893_3244359995">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734895_3244359995">
            <w:r>
              <w:rPr>
                <w:webHidden/>
                <w:rStyle w:val="IndexLink"/>
                <w:rtl w:val="true"/>
              </w:rPr>
              <w:t>حول استلزام أدلّة الاحتیاط للدور</w:t>
            </w:r>
            <w:r>
              <w:rPr>
                <w:rStyle w:val="IndexLink"/>
                <w:rtl w:val="true"/>
              </w:rPr>
              <w:tab/>
            </w:r>
            <w:r>
              <w:rPr>
                <w:rStyle w:val="IndexLink"/>
              </w:rPr>
              <w:t>180</w:t>
            </w:r>
          </w:hyperlink>
        </w:p>
        <w:p>
          <w:pPr>
            <w:pStyle w:val="Contents6"/>
            <w:tabs>
              <w:tab w:val="clear" w:pos="7609"/>
              <w:tab w:val="right" w:pos="9026" w:leader="dot"/>
            </w:tabs>
            <w:rPr/>
          </w:pPr>
          <w:hyperlink w:anchor="__RefHeading___Toc734897_3244359995">
            <w:r>
              <w:rPr>
                <w:webHidden/>
                <w:rStyle w:val="IndexLink"/>
                <w:rtl w:val="true"/>
              </w:rPr>
              <w:t>حکم التعارض بین أخبار البراءة و الاحتیاط</w:t>
            </w:r>
            <w:r>
              <w:rPr>
                <w:rStyle w:val="IndexLink"/>
                <w:rtl w:val="true"/>
              </w:rPr>
              <w:tab/>
            </w:r>
            <w:r>
              <w:rPr>
                <w:rStyle w:val="IndexLink"/>
              </w:rPr>
              <w:t>182</w:t>
            </w:r>
          </w:hyperlink>
        </w:p>
        <w:p>
          <w:pPr>
            <w:pStyle w:val="Contents6"/>
            <w:tabs>
              <w:tab w:val="clear" w:pos="7609"/>
              <w:tab w:val="right" w:pos="9026" w:leader="dot"/>
            </w:tabs>
            <w:rPr/>
          </w:pPr>
          <w:hyperlink w:anchor="__RefHeading___Toc734899_3244359995">
            <w:r>
              <w:rPr>
                <w:webHidden/>
                <w:rStyle w:val="IndexLink"/>
                <w:rtl w:val="true"/>
              </w:rPr>
              <w:t>تذنیب</w:t>
            </w:r>
            <w:r>
              <w:rPr>
                <w:rStyle w:val="IndexLink"/>
                <w:rtl w:val="true"/>
              </w:rPr>
              <w:t xml:space="preserve">: </w:t>
            </w:r>
            <w:r>
              <w:rPr>
                <w:rStyle w:val="IndexLink"/>
                <w:rtl w:val="true"/>
              </w:rPr>
              <w:t>حول النسبة بین أدلّة البراءة و الاحتیاط</w:t>
            </w:r>
            <w:r>
              <w:rPr>
                <w:rStyle w:val="IndexLink"/>
                <w:rtl w:val="true"/>
              </w:rPr>
              <w:tab/>
            </w:r>
            <w:r>
              <w:rPr>
                <w:rStyle w:val="IndexLink"/>
              </w:rPr>
              <w:t>184</w:t>
            </w:r>
          </w:hyperlink>
        </w:p>
        <w:p>
          <w:pPr>
            <w:pStyle w:val="Contents5"/>
            <w:tabs>
              <w:tab w:val="clear" w:pos="7892"/>
              <w:tab w:val="right" w:pos="9026" w:leader="dot"/>
            </w:tabs>
            <w:rPr/>
          </w:pPr>
          <w:hyperlink w:anchor="__RefHeading___Toc734901_3244359995">
            <w:r>
              <w:rPr>
                <w:webHidden/>
                <w:rStyle w:val="IndexLink"/>
                <w:rtl w:val="true"/>
              </w:rPr>
              <w:t>الطائفة الرابعة</w:t>
            </w:r>
            <w:r>
              <w:rPr>
                <w:rStyle w:val="IndexLink"/>
                <w:rtl w:val="true"/>
              </w:rPr>
              <w:t xml:space="preserve">: </w:t>
            </w:r>
            <w:r>
              <w:rPr>
                <w:rStyle w:val="IndexLink"/>
                <w:rtl w:val="true"/>
              </w:rPr>
              <w:t>المآثیر الآمرة بطرح المشتبه و ما فیه الریب</w:t>
            </w:r>
            <w:r>
              <w:rPr>
                <w:rStyle w:val="IndexLink"/>
                <w:rtl w:val="true"/>
              </w:rPr>
              <w:tab/>
            </w:r>
            <w:r>
              <w:rPr>
                <w:rStyle w:val="IndexLink"/>
              </w:rPr>
              <w:t>185</w:t>
            </w:r>
          </w:hyperlink>
        </w:p>
        <w:p>
          <w:pPr>
            <w:pStyle w:val="Contents5"/>
            <w:tabs>
              <w:tab w:val="clear" w:pos="7892"/>
              <w:tab w:val="right" w:pos="9026" w:leader="dot"/>
            </w:tabs>
            <w:rPr/>
          </w:pPr>
          <w:hyperlink w:anchor="__RefHeading___Toc734903_3244359995">
            <w:r>
              <w:rPr>
                <w:webHidden/>
                <w:rStyle w:val="IndexLink"/>
                <w:rtl w:val="true"/>
              </w:rPr>
              <w:t>الطائفة الخامسة</w:t>
            </w:r>
            <w:r>
              <w:rPr>
                <w:rStyle w:val="IndexLink"/>
                <w:rtl w:val="true"/>
              </w:rPr>
              <w:t xml:space="preserve">: </w:t>
            </w:r>
            <w:r>
              <w:rPr>
                <w:rStyle w:val="IndexLink"/>
                <w:rtl w:val="true"/>
              </w:rPr>
              <w:t xml:space="preserve">الروایات المشتملة علی أنّ </w:t>
            </w:r>
            <w:r>
              <w:rPr>
                <w:rStyle w:val="IndexLink"/>
                <w:rtl w:val="true"/>
              </w:rPr>
              <w:t>«</w:t>
            </w:r>
            <w:r>
              <w:rPr>
                <w:rStyle w:val="IndexLink"/>
                <w:rtl w:val="true"/>
              </w:rPr>
              <w:t>لکلّ ملک حمی، و حمی اللّه محارمه</w:t>
            </w:r>
            <w:r>
              <w:rPr>
                <w:rStyle w:val="IndexLink"/>
                <w:rtl w:val="true"/>
              </w:rPr>
              <w:t>»</w:t>
              <w:tab/>
            </w:r>
            <w:r>
              <w:rPr>
                <w:rStyle w:val="IndexLink"/>
              </w:rPr>
              <w:t>187</w:t>
            </w:r>
          </w:hyperlink>
        </w:p>
        <w:p>
          <w:pPr>
            <w:pStyle w:val="Contents6"/>
            <w:tabs>
              <w:tab w:val="clear" w:pos="7609"/>
              <w:tab w:val="right" w:pos="9026" w:leader="dot"/>
            </w:tabs>
            <w:rPr/>
          </w:pPr>
          <w:hyperlink w:anchor="__RefHeading___Toc734905_3244359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734907_3244359995">
            <w:r>
              <w:rPr>
                <w:webHidden/>
                <w:rStyle w:val="IndexLink"/>
                <w:rtl w:val="true"/>
              </w:rPr>
              <w:t>جولة إجمالیّة حول المسألة</w:t>
            </w:r>
            <w:r>
              <w:rPr>
                <w:rStyle w:val="IndexLink"/>
                <w:rtl w:val="true"/>
              </w:rPr>
              <w:tab/>
            </w:r>
            <w:r>
              <w:rPr>
                <w:rStyle w:val="IndexLink"/>
              </w:rPr>
              <w:t>187</w:t>
            </w:r>
          </w:hyperlink>
        </w:p>
        <w:p>
          <w:pPr>
            <w:pStyle w:val="Contents4"/>
            <w:tabs>
              <w:tab w:val="clear" w:pos="8176"/>
              <w:tab w:val="right" w:pos="9026" w:leader="dot"/>
            </w:tabs>
            <w:rPr/>
          </w:pPr>
          <w:hyperlink w:anchor="__RefHeading___Toc734909_3244359995">
            <w:r>
              <w:rPr>
                <w:webHidden/>
                <w:rStyle w:val="IndexLink"/>
                <w:rtl w:val="true"/>
              </w:rPr>
              <w:t>و أمّا العقل</w:t>
            </w:r>
            <w:r>
              <w:rPr>
                <w:rStyle w:val="IndexLink"/>
                <w:rtl w:val="true"/>
              </w:rPr>
              <w:tab/>
            </w:r>
            <w:r>
              <w:rPr>
                <w:rStyle w:val="IndexLink"/>
              </w:rPr>
              <w:t>190</w:t>
            </w:r>
          </w:hyperlink>
        </w:p>
        <w:p>
          <w:pPr>
            <w:pStyle w:val="Contents5"/>
            <w:tabs>
              <w:tab w:val="clear" w:pos="7892"/>
              <w:tab w:val="right" w:pos="9026" w:leader="dot"/>
            </w:tabs>
            <w:rPr/>
          </w:pPr>
          <w:hyperlink w:anchor="__RefHeading___Toc734911_324435999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734913_3244359995">
            <w:r>
              <w:rPr>
                <w:webHidden/>
                <w:rStyle w:val="IndexLink"/>
                <w:rtl w:val="true"/>
              </w:rPr>
              <w:t>شبهات و تفصّیات</w:t>
            </w:r>
            <w:r>
              <w:rPr>
                <w:rStyle w:val="IndexLink"/>
                <w:rtl w:val="true"/>
              </w:rPr>
              <w:tab/>
            </w:r>
            <w:r>
              <w:rPr>
                <w:rStyle w:val="IndexLink"/>
              </w:rPr>
              <w:t>193</w:t>
            </w:r>
          </w:hyperlink>
        </w:p>
        <w:p>
          <w:pPr>
            <w:pStyle w:val="Contents6"/>
            <w:tabs>
              <w:tab w:val="clear" w:pos="7609"/>
              <w:tab w:val="right" w:pos="9026" w:leader="dot"/>
            </w:tabs>
            <w:rPr/>
          </w:pPr>
          <w:hyperlink w:anchor="__RefHeading___Toc734915_324435999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734917_3244359995">
            <w:r>
              <w:rPr>
                <w:webHidden/>
                <w:rStyle w:val="IndexLink"/>
                <w:rtl w:val="true"/>
              </w:rPr>
              <w:t>الشبهة الاولی</w:t>
            </w:r>
            <w:r>
              <w:rPr>
                <w:rStyle w:val="IndexLink"/>
                <w:rtl w:val="true"/>
              </w:rPr>
              <w:t>:</w:t>
              <w:tab/>
            </w:r>
            <w:r>
              <w:rPr>
                <w:rStyle w:val="IndexLink"/>
              </w:rPr>
              <w:t>193</w:t>
            </w:r>
          </w:hyperlink>
        </w:p>
        <w:p>
          <w:pPr>
            <w:pStyle w:val="Contents6"/>
            <w:tabs>
              <w:tab w:val="clear" w:pos="7609"/>
              <w:tab w:val="right" w:pos="9026" w:leader="dot"/>
            </w:tabs>
            <w:rPr/>
          </w:pPr>
          <w:hyperlink w:anchor="__RefHeading___Toc734919_3244359995">
            <w:r>
              <w:rPr>
                <w:webHidden/>
                <w:rStyle w:val="IndexLink"/>
                <w:rtl w:val="true"/>
              </w:rPr>
              <w:t>الشبهة الثانیة</w:t>
            </w:r>
            <w:r>
              <w:rPr>
                <w:rStyle w:val="IndexLink"/>
                <w:rtl w:val="true"/>
              </w:rPr>
              <w:t>:</w:t>
              <w:tab/>
            </w:r>
            <w:r>
              <w:rPr>
                <w:rStyle w:val="IndexLink"/>
              </w:rPr>
              <w:t>195</w:t>
            </w:r>
          </w:hyperlink>
        </w:p>
        <w:p>
          <w:pPr>
            <w:pStyle w:val="Contents6"/>
            <w:tabs>
              <w:tab w:val="clear" w:pos="7609"/>
              <w:tab w:val="right" w:pos="9026" w:leader="dot"/>
            </w:tabs>
            <w:rPr/>
          </w:pPr>
          <w:hyperlink w:anchor="__RefHeading___Toc734921_3244359995">
            <w:r>
              <w:rPr>
                <w:webHidden/>
                <w:rStyle w:val="IndexLink"/>
                <w:rtl w:val="true"/>
              </w:rPr>
              <w:t>الشبهة الثالثة</w:t>
            </w:r>
            <w:r>
              <w:rPr>
                <w:rStyle w:val="IndexLink"/>
                <w:rtl w:val="true"/>
              </w:rPr>
              <w:t>:</w:t>
              <w:tab/>
            </w:r>
            <w:r>
              <w:rPr>
                <w:rStyle w:val="IndexLink"/>
              </w:rPr>
              <w:t>198</w:t>
            </w:r>
          </w:hyperlink>
        </w:p>
        <w:p>
          <w:pPr>
            <w:pStyle w:val="Contents6"/>
            <w:tabs>
              <w:tab w:val="clear" w:pos="7609"/>
              <w:tab w:val="right" w:pos="9026" w:leader="dot"/>
            </w:tabs>
            <w:rPr/>
          </w:pPr>
          <w:hyperlink w:anchor="__RefHeading___Toc734923_3244359995">
            <w:r>
              <w:rPr>
                <w:webHidden/>
                <w:rStyle w:val="IndexLink"/>
                <w:rtl w:val="true"/>
              </w:rPr>
              <w:t>الشبهة الرابعة</w:t>
            </w:r>
            <w:r>
              <w:rPr>
                <w:rStyle w:val="IndexLink"/>
                <w:rtl w:val="true"/>
              </w:rPr>
              <w:t>:</w:t>
              <w:tab/>
            </w:r>
            <w:r>
              <w:rPr>
                <w:rStyle w:val="IndexLink"/>
              </w:rPr>
              <w:t>198</w:t>
            </w:r>
          </w:hyperlink>
        </w:p>
        <w:p>
          <w:pPr>
            <w:pStyle w:val="Contents5"/>
            <w:tabs>
              <w:tab w:val="clear" w:pos="7892"/>
              <w:tab w:val="right" w:pos="9026" w:leader="dot"/>
            </w:tabs>
            <w:rPr/>
          </w:pPr>
          <w:hyperlink w:anchor="__RefHeading___Toc734925_3244359995">
            <w:r>
              <w:rPr>
                <w:webHidden/>
                <w:rStyle w:val="IndexLink"/>
                <w:rtl w:val="true"/>
              </w:rPr>
              <w:t>فذلکة البحث</w:t>
            </w:r>
            <w:r>
              <w:rPr>
                <w:rStyle w:val="IndexLink"/>
                <w:rtl w:val="true"/>
              </w:rPr>
              <w:t xml:space="preserve">: </w:t>
            </w:r>
            <w:r>
              <w:rPr>
                <w:rStyle w:val="IndexLink"/>
                <w:rtl w:val="true"/>
              </w:rPr>
              <w:t>فی لزوم الاحتیاط عقلا</w:t>
            </w:r>
            <w:r>
              <w:rPr>
                <w:rStyle w:val="IndexLink"/>
                <w:rtl w:val="true"/>
              </w:rPr>
              <w:tab/>
            </w:r>
            <w:r>
              <w:rPr>
                <w:rStyle w:val="IndexLink"/>
              </w:rPr>
              <w:t>199</w:t>
            </w:r>
          </w:hyperlink>
        </w:p>
        <w:p>
          <w:pPr>
            <w:pStyle w:val="Contents5"/>
            <w:tabs>
              <w:tab w:val="clear" w:pos="7892"/>
              <w:tab w:val="right" w:pos="9026" w:leader="dot"/>
            </w:tabs>
            <w:rPr/>
          </w:pPr>
          <w:hyperlink w:anchor="__RefHeading___Toc734927_3244359995">
            <w:r>
              <w:rPr>
                <w:webHidden/>
                <w:rStyle w:val="IndexLink"/>
                <w:rtl w:val="true"/>
              </w:rPr>
              <w:t>الإیراد علی وجوب الاحتیاط</w:t>
            </w:r>
            <w:r>
              <w:rPr>
                <w:rStyle w:val="IndexLink"/>
                <w:rtl w:val="true"/>
              </w:rPr>
              <w:tab/>
            </w:r>
            <w:r>
              <w:rPr>
                <w:rStyle w:val="IndexLink"/>
              </w:rPr>
              <w:t>202</w:t>
            </w:r>
          </w:hyperlink>
        </w:p>
        <w:p>
          <w:pPr>
            <w:pStyle w:val="Contents5"/>
            <w:tabs>
              <w:tab w:val="clear" w:pos="7892"/>
              <w:tab w:val="right" w:pos="9026" w:leader="dot"/>
            </w:tabs>
            <w:rPr/>
          </w:pPr>
          <w:hyperlink w:anchor="__RefHeading___Toc734929_3244359995">
            <w:r>
              <w:rPr>
                <w:webHidden/>
                <w:rStyle w:val="IndexLink"/>
                <w:rtl w:val="true"/>
              </w:rPr>
              <w:t>تذنیب</w:t>
            </w:r>
            <w:r>
              <w:rPr>
                <w:rStyle w:val="IndexLink"/>
                <w:rtl w:val="true"/>
              </w:rPr>
              <w:t xml:space="preserve">: </w:t>
            </w:r>
            <w:r>
              <w:rPr>
                <w:rStyle w:val="IndexLink"/>
                <w:rtl w:val="true"/>
              </w:rPr>
              <w:t>حول أصالة الحظر</w:t>
            </w:r>
            <w:r>
              <w:rPr>
                <w:rStyle w:val="IndexLink"/>
                <w:rtl w:val="true"/>
              </w:rPr>
              <w:tab/>
            </w:r>
            <w:r>
              <w:rPr>
                <w:rStyle w:val="IndexLink"/>
              </w:rPr>
              <w:t>206</w:t>
            </w:r>
          </w:hyperlink>
        </w:p>
        <w:p>
          <w:pPr>
            <w:pStyle w:val="Contents3"/>
            <w:tabs>
              <w:tab w:val="clear" w:pos="8459"/>
              <w:tab w:val="right" w:pos="9026" w:leader="dot"/>
            </w:tabs>
            <w:rPr/>
          </w:pPr>
          <w:hyperlink w:anchor="__RefHeading___Toc734931_3244359995">
            <w:r>
              <w:rPr>
                <w:webHidden/>
                <w:rStyle w:val="IndexLink"/>
                <w:rtl w:val="true"/>
              </w:rPr>
              <w:t>و هنا تنبیهات</w:t>
            </w:r>
            <w:r>
              <w:rPr>
                <w:rStyle w:val="IndexLink"/>
                <w:rtl w:val="true"/>
              </w:rPr>
              <w:t>:</w:t>
              <w:tab/>
            </w:r>
            <w:r>
              <w:rPr>
                <w:rStyle w:val="IndexLink"/>
              </w:rPr>
              <w:t>209</w:t>
            </w:r>
          </w:hyperlink>
        </w:p>
        <w:p>
          <w:pPr>
            <w:pStyle w:val="Contents4"/>
            <w:tabs>
              <w:tab w:val="clear" w:pos="8176"/>
              <w:tab w:val="right" w:pos="9026" w:leader="dot"/>
            </w:tabs>
            <w:rPr/>
          </w:pPr>
          <w:hyperlink w:anchor="__RefHeading___Toc734933_3244359995">
            <w:r>
              <w:rPr>
                <w:webHidden/>
                <w:rStyle w:val="IndexLink"/>
                <w:rtl w:val="true"/>
              </w:rPr>
              <w:t>التنبیه الأوّل فی حدود جریان البراءة</w:t>
            </w:r>
            <w:r>
              <w:rPr>
                <w:rStyle w:val="IndexLink"/>
                <w:rtl w:val="true"/>
              </w:rPr>
              <w:tab/>
            </w:r>
            <w:r>
              <w:rPr>
                <w:rStyle w:val="IndexLink"/>
              </w:rPr>
              <w:t>209</w:t>
            </w:r>
          </w:hyperlink>
        </w:p>
        <w:p>
          <w:pPr>
            <w:pStyle w:val="Contents4"/>
            <w:tabs>
              <w:tab w:val="clear" w:pos="8176"/>
              <w:tab w:val="right" w:pos="9026" w:leader="dot"/>
            </w:tabs>
            <w:rPr/>
          </w:pPr>
          <w:hyperlink w:anchor="__RefHeading___Toc734935_3244359995">
            <w:r>
              <w:rPr>
                <w:webHidden/>
                <w:rStyle w:val="IndexLink"/>
                <w:rtl w:val="true"/>
              </w:rPr>
              <w:t>التنبیه الثانی فی صور الشک فی الشبهات الموضوعیّة و أحکامها</w:t>
            </w:r>
            <w:r>
              <w:rPr>
                <w:rStyle w:val="IndexLink"/>
                <w:rtl w:val="true"/>
              </w:rPr>
              <w:tab/>
            </w:r>
            <w:r>
              <w:rPr>
                <w:rStyle w:val="IndexLink"/>
              </w:rPr>
              <w:t>210</w:t>
            </w:r>
          </w:hyperlink>
        </w:p>
        <w:p>
          <w:pPr>
            <w:pStyle w:val="Contents5"/>
            <w:tabs>
              <w:tab w:val="clear" w:pos="7892"/>
              <w:tab w:val="right" w:pos="9026" w:leader="dot"/>
            </w:tabs>
            <w:rPr/>
          </w:pPr>
          <w:hyperlink w:anchor="__RefHeading___Toc734937_3244359995">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734939_3244359995">
            <w:r>
              <w:rPr>
                <w:webHidden/>
                <w:rStyle w:val="IndexLink"/>
                <w:rtl w:val="true"/>
              </w:rPr>
              <w:t>الصورة الاولی</w:t>
            </w:r>
            <w:r>
              <w:rPr>
                <w:rStyle w:val="IndexLink"/>
                <w:rtl w:val="true"/>
              </w:rPr>
              <w:t>:</w:t>
              <w:tab/>
            </w:r>
            <w:r>
              <w:rPr>
                <w:rStyle w:val="IndexLink"/>
              </w:rPr>
              <w:t>212</w:t>
            </w:r>
          </w:hyperlink>
        </w:p>
        <w:p>
          <w:pPr>
            <w:pStyle w:val="Contents6"/>
            <w:tabs>
              <w:tab w:val="clear" w:pos="7609"/>
              <w:tab w:val="right" w:pos="9026" w:leader="dot"/>
            </w:tabs>
            <w:rPr/>
          </w:pPr>
          <w:hyperlink w:anchor="__RefHeading___Toc734941_3244359995">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734943_3244359995">
            <w:r>
              <w:rPr>
                <w:webHidden/>
                <w:rStyle w:val="IndexLink"/>
                <w:rtl w:val="true"/>
              </w:rPr>
              <w:t>بقی بحث</w:t>
            </w:r>
            <w:r>
              <w:rPr>
                <w:rStyle w:val="IndexLink"/>
                <w:rtl w:val="true"/>
              </w:rPr>
              <w:t xml:space="preserve">: </w:t>
            </w:r>
            <w:r>
              <w:rPr>
                <w:rStyle w:val="IndexLink"/>
                <w:rtl w:val="true"/>
              </w:rPr>
              <w:t>حول الاستدلال بأنّ ترک الطبیعة بترک جمیع الأفراد</w:t>
            </w:r>
            <w:r>
              <w:rPr>
                <w:rStyle w:val="IndexLink"/>
                <w:rtl w:val="true"/>
              </w:rPr>
              <w:tab/>
            </w:r>
            <w:r>
              <w:rPr>
                <w:rStyle w:val="IndexLink"/>
              </w:rPr>
              <w:t>213</w:t>
            </w:r>
          </w:hyperlink>
        </w:p>
        <w:p>
          <w:pPr>
            <w:pStyle w:val="Contents5"/>
            <w:tabs>
              <w:tab w:val="clear" w:pos="7892"/>
              <w:tab w:val="right" w:pos="9026" w:leader="dot"/>
            </w:tabs>
            <w:rPr/>
          </w:pPr>
          <w:hyperlink w:anchor="__RefHeading___Toc734945_3244359995">
            <w:r>
              <w:rPr>
                <w:webHidden/>
                <w:rStyle w:val="IndexLink"/>
                <w:rtl w:val="true"/>
              </w:rPr>
              <w:t>الصورة الثانیة</w:t>
            </w:r>
            <w:r>
              <w:rPr>
                <w:rStyle w:val="IndexLink"/>
                <w:rtl w:val="true"/>
              </w:rPr>
              <w:t>:</w:t>
              <w:tab/>
            </w:r>
            <w:r>
              <w:rPr>
                <w:rStyle w:val="IndexLink"/>
              </w:rPr>
              <w:t>214</w:t>
            </w:r>
          </w:hyperlink>
        </w:p>
        <w:p>
          <w:pPr>
            <w:pStyle w:val="Contents5"/>
            <w:tabs>
              <w:tab w:val="clear" w:pos="7892"/>
              <w:tab w:val="right" w:pos="9026" w:leader="dot"/>
            </w:tabs>
            <w:rPr/>
          </w:pPr>
          <w:hyperlink w:anchor="__RefHeading___Toc734947_3244359995">
            <w:r>
              <w:rPr>
                <w:webHidden/>
                <w:rStyle w:val="IndexLink"/>
                <w:rtl w:val="true"/>
              </w:rPr>
              <w:t>الصورة الثالثة</w:t>
            </w:r>
            <w:r>
              <w:rPr>
                <w:rStyle w:val="IndexLink"/>
                <w:rtl w:val="true"/>
              </w:rPr>
              <w:t>:</w:t>
              <w:tab/>
            </w:r>
            <w:r>
              <w:rPr>
                <w:rStyle w:val="IndexLink"/>
              </w:rPr>
              <w:t>215</w:t>
            </w:r>
          </w:hyperlink>
        </w:p>
        <w:p>
          <w:pPr>
            <w:pStyle w:val="Contents6"/>
            <w:tabs>
              <w:tab w:val="clear" w:pos="7609"/>
              <w:tab w:val="right" w:pos="9026" w:leader="dot"/>
            </w:tabs>
            <w:rPr/>
          </w:pPr>
          <w:hyperlink w:anchor="__RefHeading___Toc734949_3244359995">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734951_3244359995">
            <w:r>
              <w:rPr>
                <w:webHidden/>
                <w:rStyle w:val="IndexLink"/>
                <w:rtl w:val="true"/>
              </w:rPr>
              <w:t>تذنیب</w:t>
            </w:r>
            <w:r>
              <w:rPr>
                <w:rStyle w:val="IndexLink"/>
                <w:rtl w:val="true"/>
              </w:rPr>
              <w:t xml:space="preserve">: </w:t>
            </w:r>
            <w:r>
              <w:rPr>
                <w:rStyle w:val="IndexLink"/>
                <w:rtl w:val="true"/>
              </w:rPr>
              <w:t>حول جریان البراءة فی الشبهة الموضوعیّة التحریمیّة</w:t>
            </w:r>
            <w:r>
              <w:rPr>
                <w:rStyle w:val="IndexLink"/>
                <w:rtl w:val="true"/>
              </w:rPr>
              <w:tab/>
            </w:r>
            <w:r>
              <w:rPr>
                <w:rStyle w:val="IndexLink"/>
              </w:rPr>
              <w:t>217</w:t>
            </w:r>
          </w:hyperlink>
        </w:p>
        <w:p>
          <w:pPr>
            <w:pStyle w:val="Contents6"/>
            <w:tabs>
              <w:tab w:val="clear" w:pos="7609"/>
              <w:tab w:val="right" w:pos="9026" w:leader="dot"/>
            </w:tabs>
            <w:rPr/>
          </w:pPr>
          <w:hyperlink w:anchor="__RefHeading___Toc734953_3244359995">
            <w:r>
              <w:rPr>
                <w:webHidden/>
                <w:rStyle w:val="IndexLink"/>
                <w:rtl w:val="true"/>
              </w:rPr>
              <w:t>بقی أمران</w:t>
            </w:r>
            <w:r>
              <w:rPr>
                <w:rStyle w:val="IndexLink"/>
                <w:rtl w:val="true"/>
              </w:rPr>
              <w:t>:</w:t>
              <w:tab/>
            </w:r>
            <w:r>
              <w:rPr>
                <w:rStyle w:val="IndexLink"/>
              </w:rPr>
              <w:t>218</w:t>
            </w:r>
          </w:hyperlink>
        </w:p>
        <w:p>
          <w:pPr>
            <w:pStyle w:val="Contents6"/>
            <w:tabs>
              <w:tab w:val="clear" w:pos="7609"/>
              <w:tab w:val="right" w:pos="9026" w:leader="dot"/>
            </w:tabs>
            <w:rPr/>
          </w:pPr>
          <w:hyperlink w:anchor="__RefHeading___Toc734955_3244359995">
            <w:r>
              <w:rPr>
                <w:webHidden/>
                <w:rStyle w:val="IndexLink"/>
                <w:rtl w:val="true"/>
              </w:rPr>
              <w:t>أحدهما</w:t>
            </w:r>
            <w:r>
              <w:rPr>
                <w:rStyle w:val="IndexLink"/>
                <w:rtl w:val="true"/>
              </w:rPr>
              <w:t xml:space="preserve">: </w:t>
            </w:r>
            <w:r>
              <w:rPr>
                <w:rStyle w:val="IndexLink"/>
                <w:rtl w:val="true"/>
              </w:rPr>
              <w:t>فی تصویر المنهیّ فی العامّ المجموعیّ</w:t>
            </w:r>
            <w:r>
              <w:rPr>
                <w:rStyle w:val="IndexLink"/>
                <w:rtl w:val="true"/>
              </w:rPr>
              <w:tab/>
            </w:r>
            <w:r>
              <w:rPr>
                <w:rStyle w:val="IndexLink"/>
              </w:rPr>
              <w:t>218</w:t>
            </w:r>
          </w:hyperlink>
        </w:p>
        <w:p>
          <w:pPr>
            <w:pStyle w:val="Contents6"/>
            <w:tabs>
              <w:tab w:val="clear" w:pos="7609"/>
              <w:tab w:val="right" w:pos="9026" w:leader="dot"/>
            </w:tabs>
            <w:rPr/>
          </w:pPr>
          <w:hyperlink w:anchor="__RefHeading___Toc734957_3244359995">
            <w:r>
              <w:rPr>
                <w:webHidden/>
                <w:rStyle w:val="IndexLink"/>
                <w:rtl w:val="true"/>
              </w:rPr>
              <w:t>ثانیهما</w:t>
            </w:r>
            <w:r>
              <w:rPr>
                <w:rStyle w:val="IndexLink"/>
                <w:rtl w:val="true"/>
              </w:rPr>
              <w:t xml:space="preserve">: </w:t>
            </w:r>
            <w:r>
              <w:rPr>
                <w:rStyle w:val="IndexLink"/>
                <w:rtl w:val="true"/>
              </w:rPr>
              <w:t>حول کفایة ترک الطبیعة فی تحقّق الامتثال عند النهی عن نفس الطبیعة أو العموم المجموعیّ</w:t>
            </w:r>
            <w:r>
              <w:rPr>
                <w:rStyle w:val="IndexLink"/>
                <w:rtl w:val="true"/>
              </w:rPr>
              <w:tab/>
            </w:r>
            <w:r>
              <w:rPr>
                <w:rStyle w:val="IndexLink"/>
              </w:rPr>
              <w:t>219</w:t>
            </w:r>
          </w:hyperlink>
        </w:p>
        <w:p>
          <w:pPr>
            <w:pStyle w:val="Contents5"/>
            <w:tabs>
              <w:tab w:val="clear" w:pos="7892"/>
              <w:tab w:val="right" w:pos="9026" w:leader="dot"/>
            </w:tabs>
            <w:rPr/>
          </w:pPr>
          <w:hyperlink w:anchor="__RefHeading___Toc734959_3244359995">
            <w:r>
              <w:rPr>
                <w:webHidden/>
                <w:rStyle w:val="IndexLink"/>
                <w:rtl w:val="true"/>
              </w:rPr>
              <w:t>الصورة الرابعة</w:t>
            </w:r>
            <w:r>
              <w:rPr>
                <w:rStyle w:val="IndexLink"/>
                <w:rtl w:val="true"/>
              </w:rPr>
              <w:t>:</w:t>
              <w:tab/>
            </w:r>
            <w:r>
              <w:rPr>
                <w:rStyle w:val="IndexLink"/>
              </w:rPr>
              <w:t>220</w:t>
            </w:r>
          </w:hyperlink>
        </w:p>
        <w:p>
          <w:pPr>
            <w:pStyle w:val="Contents4"/>
            <w:tabs>
              <w:tab w:val="clear" w:pos="8176"/>
              <w:tab w:val="right" w:pos="9026" w:leader="dot"/>
            </w:tabs>
            <w:rPr/>
          </w:pPr>
          <w:hyperlink w:anchor="__RefHeading___Toc734961_3244359995">
            <w:r>
              <w:rPr>
                <w:webHidden/>
                <w:rStyle w:val="IndexLink"/>
                <w:rtl w:val="true"/>
              </w:rPr>
              <w:t>التنبیه الثالث فی عدم جریان البراءة مع وجود الأصل المقدّم علیها</w:t>
            </w:r>
            <w:r>
              <w:rPr>
                <w:rStyle w:val="IndexLink"/>
                <w:rtl w:val="true"/>
              </w:rPr>
              <w:tab/>
            </w:r>
            <w:r>
              <w:rPr>
                <w:rStyle w:val="IndexLink"/>
              </w:rPr>
              <w:t>223</w:t>
            </w:r>
          </w:hyperlink>
        </w:p>
        <w:p>
          <w:pPr>
            <w:pStyle w:val="Contents5"/>
            <w:tabs>
              <w:tab w:val="clear" w:pos="7892"/>
              <w:tab w:val="right" w:pos="9026" w:leader="dot"/>
            </w:tabs>
            <w:rPr/>
          </w:pPr>
          <w:hyperlink w:anchor="__RefHeading___Toc734963_3244359995">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734965_3244359995">
            <w:r>
              <w:rPr>
                <w:webHidden/>
                <w:rStyle w:val="IndexLink"/>
                <w:rtl w:val="true"/>
              </w:rPr>
              <w:t>بقی شی‌ء</w:t>
            </w:r>
            <w:r>
              <w:rPr>
                <w:rStyle w:val="IndexLink"/>
                <w:rtl w:val="true"/>
              </w:rPr>
              <w:t xml:space="preserve">: </w:t>
            </w:r>
            <w:r>
              <w:rPr>
                <w:rStyle w:val="IndexLink"/>
                <w:rtl w:val="true"/>
              </w:rPr>
              <w:t>حول حکومة الاستصحاب علی البراءة دائما</w:t>
            </w:r>
            <w:r>
              <w:rPr>
                <w:rStyle w:val="IndexLink"/>
                <w:rtl w:val="true"/>
              </w:rPr>
              <w:tab/>
            </w:r>
            <w:r>
              <w:rPr>
                <w:rStyle w:val="IndexLink"/>
              </w:rPr>
              <w:t>224</w:t>
            </w:r>
          </w:hyperlink>
        </w:p>
        <w:p>
          <w:pPr>
            <w:pStyle w:val="Contents5"/>
            <w:tabs>
              <w:tab w:val="clear" w:pos="7892"/>
              <w:tab w:val="right" w:pos="9026" w:leader="dot"/>
            </w:tabs>
            <w:rPr/>
          </w:pPr>
          <w:hyperlink w:anchor="__RefHeading___Toc734967_3244359995">
            <w:r>
              <w:rPr>
                <w:webHidden/>
                <w:rStyle w:val="IndexLink"/>
                <w:rtl w:val="true"/>
              </w:rPr>
              <w:t>و بقی أمر آخر</w:t>
            </w:r>
            <w:r>
              <w:rPr>
                <w:rStyle w:val="IndexLink"/>
                <w:rtl w:val="true"/>
              </w:rPr>
              <w:t xml:space="preserve">: </w:t>
            </w:r>
            <w:r>
              <w:rPr>
                <w:rStyle w:val="IndexLink"/>
                <w:rtl w:val="true"/>
              </w:rPr>
              <w:t>فی تقدّم قاعدة الاشتغال علی البراءة</w:t>
            </w:r>
            <w:r>
              <w:rPr>
                <w:rStyle w:val="IndexLink"/>
                <w:rtl w:val="true"/>
              </w:rPr>
              <w:tab/>
            </w:r>
            <w:r>
              <w:rPr>
                <w:rStyle w:val="IndexLink"/>
              </w:rPr>
              <w:t>227</w:t>
            </w:r>
          </w:hyperlink>
        </w:p>
        <w:p>
          <w:pPr>
            <w:pStyle w:val="Contents4"/>
            <w:tabs>
              <w:tab w:val="clear" w:pos="8176"/>
              <w:tab w:val="right" w:pos="9026" w:leader="dot"/>
            </w:tabs>
            <w:rPr/>
          </w:pPr>
          <w:hyperlink w:anchor="__RefHeading___Toc734969_3244359995">
            <w:r>
              <w:rPr>
                <w:webHidden/>
                <w:rStyle w:val="IndexLink"/>
                <w:rtl w:val="true"/>
              </w:rPr>
              <w:t>التنبیه الرابع حول حسن الاحتیاط عقلا</w:t>
            </w:r>
            <w:r>
              <w:rPr>
                <w:rStyle w:val="IndexLink"/>
                <w:rtl w:val="true"/>
              </w:rPr>
              <w:tab/>
            </w:r>
            <w:r>
              <w:rPr>
                <w:rStyle w:val="IndexLink"/>
              </w:rPr>
              <w:t>229</w:t>
            </w:r>
          </w:hyperlink>
        </w:p>
        <w:p>
          <w:pPr>
            <w:pStyle w:val="Contents5"/>
            <w:tabs>
              <w:tab w:val="clear" w:pos="7892"/>
              <w:tab w:val="right" w:pos="9026" w:leader="dot"/>
            </w:tabs>
            <w:rPr/>
          </w:pPr>
          <w:hyperlink w:anchor="__RefHeading___Toc734971_3244359995">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34973_3244359995">
            <w:r>
              <w:rPr>
                <w:webHidden/>
                <w:rStyle w:val="IndexLink"/>
                <w:rtl w:val="true"/>
              </w:rPr>
              <w:t>الأمر الأوّل</w:t>
            </w:r>
            <w:r>
              <w:rPr>
                <w:rStyle w:val="IndexLink"/>
                <w:rtl w:val="true"/>
              </w:rPr>
              <w:t xml:space="preserve">: </w:t>
            </w:r>
            <w:r>
              <w:rPr>
                <w:rStyle w:val="IndexLink"/>
                <w:rtl w:val="true"/>
              </w:rPr>
              <w:t>حول الاحتیاط فی التوصّلیات</w:t>
            </w:r>
            <w:r>
              <w:rPr>
                <w:rStyle w:val="IndexLink"/>
                <w:rtl w:val="true"/>
              </w:rPr>
              <w:tab/>
            </w:r>
            <w:r>
              <w:rPr>
                <w:rStyle w:val="IndexLink"/>
              </w:rPr>
              <w:t>230</w:t>
            </w:r>
          </w:hyperlink>
        </w:p>
        <w:p>
          <w:pPr>
            <w:pStyle w:val="Contents6"/>
            <w:tabs>
              <w:tab w:val="clear" w:pos="7609"/>
              <w:tab w:val="right" w:pos="9026" w:leader="dot"/>
            </w:tabs>
            <w:rPr/>
          </w:pPr>
          <w:hyperlink w:anchor="__RefHeading___Toc734975_3244359995">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734977_3244359995">
            <w:r>
              <w:rPr>
                <w:webHidden/>
                <w:rStyle w:val="IndexLink"/>
                <w:rtl w:val="true"/>
              </w:rPr>
              <w:t>و هم و دفع</w:t>
            </w:r>
            <w:r>
              <w:rPr>
                <w:rStyle w:val="IndexLink"/>
                <w:rtl w:val="true"/>
              </w:rPr>
              <w:tab/>
            </w:r>
            <w:r>
              <w:rPr>
                <w:rStyle w:val="IndexLink"/>
              </w:rPr>
              <w:t>232</w:t>
            </w:r>
          </w:hyperlink>
        </w:p>
        <w:p>
          <w:pPr>
            <w:pStyle w:val="Contents5"/>
            <w:tabs>
              <w:tab w:val="clear" w:pos="7892"/>
              <w:tab w:val="right" w:pos="9026" w:leader="dot"/>
            </w:tabs>
            <w:rPr/>
          </w:pPr>
          <w:hyperlink w:anchor="__RefHeading___Toc734979_3244359995">
            <w:r>
              <w:rPr>
                <w:webHidden/>
                <w:rStyle w:val="IndexLink"/>
                <w:rtl w:val="true"/>
              </w:rPr>
              <w:t>الأمر الثانی</w:t>
            </w:r>
            <w:r>
              <w:rPr>
                <w:rStyle w:val="IndexLink"/>
                <w:rtl w:val="true"/>
              </w:rPr>
              <w:t xml:space="preserve">: </w:t>
            </w:r>
            <w:r>
              <w:rPr>
                <w:rStyle w:val="IndexLink"/>
                <w:rtl w:val="true"/>
              </w:rPr>
              <w:t>حول الاحتیاط فی التعبّدیات</w:t>
            </w:r>
            <w:r>
              <w:rPr>
                <w:rStyle w:val="IndexLink"/>
                <w:rtl w:val="true"/>
              </w:rPr>
              <w:tab/>
            </w:r>
            <w:r>
              <w:rPr>
                <w:rStyle w:val="IndexLink"/>
              </w:rPr>
              <w:t>233</w:t>
            </w:r>
          </w:hyperlink>
        </w:p>
        <w:p>
          <w:pPr>
            <w:pStyle w:val="Contents6"/>
            <w:tabs>
              <w:tab w:val="clear" w:pos="7609"/>
              <w:tab w:val="right" w:pos="9026" w:leader="dot"/>
            </w:tabs>
            <w:rPr/>
          </w:pPr>
          <w:hyperlink w:anchor="__RefHeading___Toc734981_3244359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734983_3244359995">
            <w:r>
              <w:rPr>
                <w:webHidden/>
                <w:rStyle w:val="IndexLink"/>
                <w:rtl w:val="true"/>
              </w:rPr>
              <w:t>بقی تنبیه</w:t>
            </w:r>
            <w:r>
              <w:rPr>
                <w:rStyle w:val="IndexLink"/>
                <w:rtl w:val="true"/>
              </w:rPr>
              <w:t xml:space="preserve">: </w:t>
            </w:r>
            <w:r>
              <w:rPr>
                <w:rStyle w:val="IndexLink"/>
                <w:rtl w:val="true"/>
              </w:rPr>
              <w:t>و فیه إشکال صغرویّ علی رجحان الاحتیاط</w:t>
            </w:r>
            <w:r>
              <w:rPr>
                <w:rStyle w:val="IndexLink"/>
                <w:rtl w:val="true"/>
              </w:rPr>
              <w:tab/>
            </w:r>
            <w:r>
              <w:rPr>
                <w:rStyle w:val="IndexLink"/>
              </w:rPr>
              <w:t>235</w:t>
            </w:r>
          </w:hyperlink>
        </w:p>
        <w:p>
          <w:pPr>
            <w:pStyle w:val="Contents5"/>
            <w:tabs>
              <w:tab w:val="clear" w:pos="7892"/>
              <w:tab w:val="right" w:pos="9026" w:leader="dot"/>
            </w:tabs>
            <w:rPr/>
          </w:pPr>
          <w:hyperlink w:anchor="__RefHeading___Toc734985_3244359995">
            <w:r>
              <w:rPr>
                <w:webHidden/>
                <w:rStyle w:val="IndexLink"/>
                <w:rtl w:val="true"/>
              </w:rPr>
              <w:t>الأمر الثالث</w:t>
            </w:r>
            <w:r>
              <w:rPr>
                <w:rStyle w:val="IndexLink"/>
                <w:rtl w:val="true"/>
              </w:rPr>
              <w:t xml:space="preserve">: </w:t>
            </w:r>
            <w:r>
              <w:rPr>
                <w:rStyle w:val="IndexLink"/>
                <w:rtl w:val="true"/>
              </w:rPr>
              <w:t>فی المراد من أوامر أخبار الاحتیاط</w:t>
            </w:r>
            <w:r>
              <w:rPr>
                <w:rStyle w:val="IndexLink"/>
                <w:rtl w:val="true"/>
              </w:rPr>
              <w:tab/>
            </w:r>
            <w:r>
              <w:rPr>
                <w:rStyle w:val="IndexLink"/>
              </w:rPr>
              <w:t>236</w:t>
            </w:r>
          </w:hyperlink>
        </w:p>
        <w:p>
          <w:pPr>
            <w:pStyle w:val="Contents6"/>
            <w:tabs>
              <w:tab w:val="clear" w:pos="7609"/>
              <w:tab w:val="right" w:pos="9026" w:leader="dot"/>
            </w:tabs>
            <w:rPr/>
          </w:pPr>
          <w:hyperlink w:anchor="__RefHeading___Toc734987_3244359995">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34989_3244359995">
            <w:r>
              <w:rPr>
                <w:webHidden/>
                <w:rStyle w:val="IndexLink"/>
                <w:rtl w:val="true"/>
              </w:rPr>
              <w:t>بقی شی‌ء</w:t>
            </w:r>
            <w:r>
              <w:rPr>
                <w:rStyle w:val="IndexLink"/>
                <w:rtl w:val="true"/>
              </w:rPr>
              <w:t xml:space="preserve">: </w:t>
            </w:r>
            <w:r>
              <w:rPr>
                <w:rStyle w:val="IndexLink"/>
                <w:rtl w:val="true"/>
              </w:rPr>
              <w:t>فی أنّ حسن الاحتیاط إضافیّ لا حقیقیّ</w:t>
            </w:r>
            <w:r>
              <w:rPr>
                <w:rStyle w:val="IndexLink"/>
                <w:rtl w:val="true"/>
              </w:rPr>
              <w:tab/>
            </w:r>
            <w:r>
              <w:rPr>
                <w:rStyle w:val="IndexLink"/>
              </w:rPr>
              <w:t>238</w:t>
            </w:r>
          </w:hyperlink>
        </w:p>
        <w:p>
          <w:pPr>
            <w:pStyle w:val="Contents5"/>
            <w:tabs>
              <w:tab w:val="clear" w:pos="7892"/>
              <w:tab w:val="right" w:pos="9026" w:leader="dot"/>
            </w:tabs>
            <w:rPr/>
          </w:pPr>
          <w:hyperlink w:anchor="__RefHeading___Toc734991_3244359995">
            <w:r>
              <w:rPr>
                <w:webHidden/>
                <w:rStyle w:val="IndexLink"/>
                <w:rtl w:val="true"/>
              </w:rPr>
              <w:t xml:space="preserve">خاتمة المطاف فی أخبار </w:t>
            </w:r>
            <w:r>
              <w:rPr>
                <w:rStyle w:val="IndexLink"/>
                <w:rtl w:val="true"/>
              </w:rPr>
              <w:t>«</w:t>
            </w:r>
            <w:r>
              <w:rPr>
                <w:rStyle w:val="IndexLink"/>
                <w:rtl w:val="true"/>
              </w:rPr>
              <w:t>من بلغ</w:t>
            </w:r>
            <w:r>
              <w:rPr>
                <w:rStyle w:val="IndexLink"/>
                <w:rtl w:val="true"/>
              </w:rPr>
              <w:t>»</w:t>
              <w:tab/>
            </w:r>
            <w:r>
              <w:rPr>
                <w:rStyle w:val="IndexLink"/>
              </w:rPr>
              <w:t>239</w:t>
            </w:r>
          </w:hyperlink>
        </w:p>
        <w:p>
          <w:pPr>
            <w:pStyle w:val="Contents4"/>
            <w:tabs>
              <w:tab w:val="clear" w:pos="8176"/>
              <w:tab w:val="right" w:pos="9026" w:leader="dot"/>
            </w:tabs>
            <w:rPr/>
          </w:pPr>
          <w:hyperlink w:anchor="__RefHeading___Toc734993_3244359995">
            <w:r>
              <w:rPr>
                <w:webHidden/>
                <w:rStyle w:val="IndexLink"/>
                <w:rtl w:val="true"/>
              </w:rPr>
              <w:t>التنبیه الخامس فی حکم دوران الأمر بین التعیین و التخییر</w:t>
            </w:r>
            <w:r>
              <w:rPr>
                <w:rStyle w:val="IndexLink"/>
                <w:rtl w:val="true"/>
              </w:rPr>
              <w:tab/>
            </w:r>
            <w:r>
              <w:rPr>
                <w:rStyle w:val="IndexLink"/>
              </w:rPr>
              <w:t>245</w:t>
            </w:r>
          </w:hyperlink>
        </w:p>
        <w:p>
          <w:pPr>
            <w:pStyle w:val="Contents5"/>
            <w:tabs>
              <w:tab w:val="clear" w:pos="7892"/>
              <w:tab w:val="right" w:pos="9026" w:leader="dot"/>
            </w:tabs>
            <w:rPr/>
          </w:pPr>
          <w:hyperlink w:anchor="__RefHeading___Toc734995_3244359995">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734997_3244359995">
            <w:r>
              <w:rPr>
                <w:webHidden/>
                <w:rStyle w:val="IndexLink"/>
                <w:rtl w:val="true"/>
              </w:rPr>
              <w:t>أحدها</w:t>
            </w:r>
            <w:r>
              <w:rPr>
                <w:rStyle w:val="IndexLink"/>
                <w:rtl w:val="true"/>
              </w:rPr>
              <w:t xml:space="preserve">: </w:t>
            </w:r>
            <w:r>
              <w:rPr>
                <w:rStyle w:val="IndexLink"/>
                <w:rtl w:val="true"/>
              </w:rPr>
              <w:t>حول جریان البراءة عن التکلیف التخییریّ</w:t>
            </w:r>
            <w:r>
              <w:rPr>
                <w:rStyle w:val="IndexLink"/>
                <w:rtl w:val="true"/>
              </w:rPr>
              <w:tab/>
            </w:r>
            <w:r>
              <w:rPr>
                <w:rStyle w:val="IndexLink"/>
              </w:rPr>
              <w:t>245</w:t>
            </w:r>
          </w:hyperlink>
        </w:p>
        <w:p>
          <w:pPr>
            <w:pStyle w:val="Contents6"/>
            <w:tabs>
              <w:tab w:val="clear" w:pos="7609"/>
              <w:tab w:val="right" w:pos="9026" w:leader="dot"/>
            </w:tabs>
            <w:rPr/>
          </w:pPr>
          <w:hyperlink w:anchor="__RefHeading___Toc734999_3244359995">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735001_3244359995">
            <w:r>
              <w:rPr>
                <w:webHidden/>
                <w:rStyle w:val="IndexLink"/>
                <w:rtl w:val="true"/>
              </w:rPr>
              <w:t>بقی شی‌ء</w:t>
            </w:r>
            <w:r>
              <w:rPr>
                <w:rStyle w:val="IndexLink"/>
                <w:rtl w:val="true"/>
              </w:rPr>
              <w:t xml:space="preserve">: </w:t>
            </w:r>
            <w:r>
              <w:rPr>
                <w:rStyle w:val="IndexLink"/>
                <w:rtl w:val="true"/>
              </w:rPr>
              <w:t>فی کفایة رفع أحد أطراف الوجوب التخییریّ</w:t>
            </w:r>
            <w:r>
              <w:rPr>
                <w:rStyle w:val="IndexLink"/>
                <w:rtl w:val="true"/>
              </w:rPr>
              <w:tab/>
            </w:r>
            <w:r>
              <w:rPr>
                <w:rStyle w:val="IndexLink"/>
              </w:rPr>
              <w:t>246</w:t>
            </w:r>
          </w:hyperlink>
        </w:p>
        <w:p>
          <w:pPr>
            <w:pStyle w:val="Contents5"/>
            <w:tabs>
              <w:tab w:val="clear" w:pos="7892"/>
              <w:tab w:val="right" w:pos="9026" w:leader="dot"/>
            </w:tabs>
            <w:rPr/>
          </w:pPr>
          <w:hyperlink w:anchor="__RefHeading___Toc735003_3244359995">
            <w:r>
              <w:rPr>
                <w:webHidden/>
                <w:rStyle w:val="IndexLink"/>
                <w:rtl w:val="true"/>
              </w:rPr>
              <w:t>ثانیها</w:t>
            </w:r>
            <w:r>
              <w:rPr>
                <w:rStyle w:val="IndexLink"/>
                <w:rtl w:val="true"/>
              </w:rPr>
              <w:t xml:space="preserve">: </w:t>
            </w:r>
            <w:r>
              <w:rPr>
                <w:rStyle w:val="IndexLink"/>
                <w:rtl w:val="true"/>
              </w:rPr>
              <w:t>فی أقسام دوران الأمر بین التعیین و التخییر</w:t>
            </w:r>
            <w:r>
              <w:rPr>
                <w:rStyle w:val="IndexLink"/>
                <w:rtl w:val="true"/>
              </w:rPr>
              <w:tab/>
            </w:r>
            <w:r>
              <w:rPr>
                <w:rStyle w:val="IndexLink"/>
              </w:rPr>
              <w:t>248</w:t>
            </w:r>
          </w:hyperlink>
        </w:p>
        <w:p>
          <w:pPr>
            <w:pStyle w:val="Contents5"/>
            <w:tabs>
              <w:tab w:val="clear" w:pos="7892"/>
              <w:tab w:val="right" w:pos="9026" w:leader="dot"/>
            </w:tabs>
            <w:rPr/>
          </w:pPr>
          <w:hyperlink w:anchor="__RefHeading___Toc735005_3244359995">
            <w:r>
              <w:rPr>
                <w:webHidden/>
                <w:rStyle w:val="IndexLink"/>
                <w:rtl w:val="true"/>
              </w:rPr>
              <w:t>ثالثها</w:t>
            </w:r>
            <w:r>
              <w:rPr>
                <w:rStyle w:val="IndexLink"/>
                <w:rtl w:val="true"/>
              </w:rPr>
              <w:t xml:space="preserve">: </w:t>
            </w:r>
            <w:r>
              <w:rPr>
                <w:rStyle w:val="IndexLink"/>
                <w:rtl w:val="true"/>
              </w:rPr>
              <w:t>فی حکومة الاصول الرافعة للشکّ علی التخییر</w:t>
            </w:r>
            <w:r>
              <w:rPr>
                <w:rStyle w:val="IndexLink"/>
                <w:rtl w:val="true"/>
              </w:rPr>
              <w:tab/>
            </w:r>
            <w:r>
              <w:rPr>
                <w:rStyle w:val="IndexLink"/>
              </w:rPr>
              <w:t>250</w:t>
            </w:r>
          </w:hyperlink>
        </w:p>
        <w:p>
          <w:pPr>
            <w:pStyle w:val="Contents6"/>
            <w:tabs>
              <w:tab w:val="clear" w:pos="7609"/>
              <w:tab w:val="right" w:pos="9026" w:leader="dot"/>
            </w:tabs>
            <w:rPr/>
          </w:pPr>
          <w:hyperlink w:anchor="__RefHeading___Toc735007_3244359995">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735009_3244359995">
            <w:r>
              <w:rPr>
                <w:webHidden/>
                <w:rStyle w:val="IndexLink"/>
                <w:rtl w:val="true"/>
              </w:rPr>
              <w:t>بقی شی‌ء</w:t>
            </w:r>
            <w:r>
              <w:rPr>
                <w:rStyle w:val="IndexLink"/>
                <w:rtl w:val="true"/>
              </w:rPr>
              <w:t xml:space="preserve">: </w:t>
            </w:r>
            <w:r>
              <w:rPr>
                <w:rStyle w:val="IndexLink"/>
                <w:rtl w:val="true"/>
              </w:rPr>
              <w:t>فی عدم کفایة استصحاب التعیینیّة أو التخییریّة</w:t>
            </w:r>
            <w:r>
              <w:rPr>
                <w:rStyle w:val="IndexLink"/>
                <w:rtl w:val="true"/>
              </w:rPr>
              <w:tab/>
            </w:r>
            <w:r>
              <w:rPr>
                <w:rStyle w:val="IndexLink"/>
              </w:rPr>
              <w:t>251</w:t>
            </w:r>
          </w:hyperlink>
        </w:p>
        <w:p>
          <w:pPr>
            <w:pStyle w:val="Contents6"/>
            <w:tabs>
              <w:tab w:val="clear" w:pos="7609"/>
              <w:tab w:val="right" w:pos="9026" w:leader="dot"/>
            </w:tabs>
            <w:rPr/>
          </w:pPr>
          <w:hyperlink w:anchor="__RefHeading___Toc735011_3244359995">
            <w:r>
              <w:rPr>
                <w:webHidden/>
                <w:rStyle w:val="IndexLink"/>
                <w:rtl w:val="true"/>
              </w:rPr>
              <w:t>أحکام أقسام دوران الأمر بین التعیین و التخییر</w:t>
            </w:r>
            <w:r>
              <w:rPr>
                <w:rStyle w:val="IndexLink"/>
                <w:rtl w:val="true"/>
              </w:rPr>
              <w:tab/>
            </w:r>
            <w:r>
              <w:rPr>
                <w:rStyle w:val="IndexLink"/>
              </w:rPr>
              <w:t>252</w:t>
            </w:r>
          </w:hyperlink>
        </w:p>
        <w:p>
          <w:pPr>
            <w:pStyle w:val="Contents6"/>
            <w:tabs>
              <w:tab w:val="clear" w:pos="7609"/>
              <w:tab w:val="right" w:pos="9026" w:leader="dot"/>
            </w:tabs>
            <w:rPr/>
          </w:pPr>
          <w:hyperlink w:anchor="__RefHeading___Toc735013_3244359995">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735015_3244359995">
            <w:r>
              <w:rPr>
                <w:webHidden/>
                <w:rStyle w:val="IndexLink"/>
                <w:rtl w:val="true"/>
              </w:rPr>
              <w:t>أمّا القسم الأوّل</w:t>
            </w:r>
            <w:r>
              <w:rPr>
                <w:rStyle w:val="IndexLink"/>
                <w:rtl w:val="true"/>
              </w:rPr>
              <w:t>:</w:t>
              <w:tab/>
            </w:r>
            <w:r>
              <w:rPr>
                <w:rStyle w:val="IndexLink"/>
              </w:rPr>
              <w:t>252</w:t>
            </w:r>
          </w:hyperlink>
        </w:p>
        <w:p>
          <w:pPr>
            <w:pStyle w:val="Contents6"/>
            <w:tabs>
              <w:tab w:val="clear" w:pos="7609"/>
              <w:tab w:val="right" w:pos="9026" w:leader="dot"/>
            </w:tabs>
            <w:rPr/>
          </w:pPr>
          <w:hyperlink w:anchor="__RefHeading___Toc735017_3244359995">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735019_3244359995">
            <w:r>
              <w:rPr>
                <w:webHidden/>
                <w:rStyle w:val="IndexLink"/>
                <w:rtl w:val="true"/>
              </w:rPr>
              <w:t>بقی شی‌ء</w:t>
            </w:r>
            <w:r>
              <w:rPr>
                <w:rStyle w:val="IndexLink"/>
                <w:rtl w:val="true"/>
              </w:rPr>
              <w:t xml:space="preserve">: </w:t>
            </w:r>
            <w:r>
              <w:rPr>
                <w:rStyle w:val="IndexLink"/>
                <w:rtl w:val="true"/>
              </w:rPr>
              <w:t>حول مختار المحقّق العراقی من الاشتغال وردّه</w:t>
            </w:r>
            <w:r>
              <w:rPr>
                <w:rStyle w:val="IndexLink"/>
                <w:rtl w:val="true"/>
              </w:rPr>
              <w:tab/>
            </w:r>
            <w:r>
              <w:rPr>
                <w:rStyle w:val="IndexLink"/>
              </w:rPr>
              <w:t>255</w:t>
            </w:r>
          </w:hyperlink>
        </w:p>
        <w:p>
          <w:pPr>
            <w:pStyle w:val="Contents6"/>
            <w:tabs>
              <w:tab w:val="clear" w:pos="7609"/>
              <w:tab w:val="right" w:pos="9026" w:leader="dot"/>
            </w:tabs>
            <w:rPr/>
          </w:pPr>
          <w:hyperlink w:anchor="__RefHeading___Toc735021_3244359995">
            <w:r>
              <w:rPr>
                <w:webHidden/>
                <w:rStyle w:val="IndexLink"/>
                <w:rtl w:val="true"/>
              </w:rPr>
              <w:t>حکم الفرض غیر الرئیسی من القسم الأوّل</w:t>
            </w:r>
            <w:r>
              <w:rPr>
                <w:rStyle w:val="IndexLink"/>
                <w:rtl w:val="true"/>
              </w:rPr>
              <w:tab/>
            </w:r>
            <w:r>
              <w:rPr>
                <w:rStyle w:val="IndexLink"/>
              </w:rPr>
              <w:t>256</w:t>
            </w:r>
          </w:hyperlink>
        </w:p>
        <w:p>
          <w:pPr>
            <w:pStyle w:val="Contents6"/>
            <w:tabs>
              <w:tab w:val="clear" w:pos="7609"/>
              <w:tab w:val="right" w:pos="9026" w:leader="dot"/>
            </w:tabs>
            <w:rPr/>
          </w:pPr>
          <w:hyperlink w:anchor="__RefHeading___Toc735023_3244359995">
            <w:r>
              <w:rPr>
                <w:webHidden/>
                <w:rStyle w:val="IndexLink"/>
                <w:rtl w:val="true"/>
              </w:rPr>
              <w:t>بیان آخر لوجوب الاحتیاط عند الدوران بین التعیین و التخییر</w:t>
            </w:r>
            <w:r>
              <w:rPr>
                <w:rStyle w:val="IndexLink"/>
                <w:rtl w:val="true"/>
              </w:rPr>
              <w:tab/>
            </w:r>
            <w:r>
              <w:rPr>
                <w:rStyle w:val="IndexLink"/>
              </w:rPr>
              <w:t>256</w:t>
            </w:r>
          </w:hyperlink>
        </w:p>
        <w:p>
          <w:pPr>
            <w:pStyle w:val="Contents6"/>
            <w:tabs>
              <w:tab w:val="clear" w:pos="7609"/>
              <w:tab w:val="right" w:pos="9026" w:leader="dot"/>
            </w:tabs>
            <w:rPr/>
          </w:pPr>
          <w:hyperlink w:anchor="__RefHeading___Toc735025_3244359995">
            <w:r>
              <w:rPr>
                <w:webHidden/>
                <w:rStyle w:val="IndexLink"/>
                <w:rtl w:val="true"/>
              </w:rPr>
              <w:t>تقریبنا للزوم الاحتیاط فی المقام</w:t>
            </w:r>
            <w:r>
              <w:rPr>
                <w:rStyle w:val="IndexLink"/>
                <w:rtl w:val="true"/>
              </w:rPr>
              <w:tab/>
            </w:r>
            <w:r>
              <w:rPr>
                <w:rStyle w:val="IndexLink"/>
              </w:rPr>
              <w:t>257</w:t>
            </w:r>
          </w:hyperlink>
        </w:p>
        <w:p>
          <w:pPr>
            <w:pStyle w:val="Contents6"/>
            <w:tabs>
              <w:tab w:val="clear" w:pos="7609"/>
              <w:tab w:val="right" w:pos="9026" w:leader="dot"/>
            </w:tabs>
            <w:rPr/>
          </w:pPr>
          <w:hyperlink w:anchor="__RefHeading___Toc735027_3244359995">
            <w:r>
              <w:rPr>
                <w:webHidden/>
                <w:rStyle w:val="IndexLink"/>
                <w:rtl w:val="true"/>
              </w:rPr>
              <w:t>القسم الثانی</w:t>
            </w:r>
            <w:r>
              <w:rPr>
                <w:rStyle w:val="IndexLink"/>
                <w:rtl w:val="true"/>
              </w:rPr>
              <w:t>:</w:t>
              <w:tab/>
            </w:r>
            <w:r>
              <w:rPr>
                <w:rStyle w:val="IndexLink"/>
              </w:rPr>
              <w:t>258</w:t>
            </w:r>
          </w:hyperlink>
        </w:p>
        <w:p>
          <w:pPr>
            <w:pStyle w:val="Contents6"/>
            <w:tabs>
              <w:tab w:val="clear" w:pos="7609"/>
              <w:tab w:val="right" w:pos="9026" w:leader="dot"/>
            </w:tabs>
            <w:rPr/>
          </w:pPr>
          <w:hyperlink w:anchor="__RefHeading___Toc735029_3244359995">
            <w:r>
              <w:rPr>
                <w:webHidden/>
                <w:rStyle w:val="IndexLink"/>
                <w:rtl w:val="true"/>
              </w:rPr>
              <w:t>القسم الثالث</w:t>
            </w:r>
            <w:r>
              <w:rPr>
                <w:rStyle w:val="IndexLink"/>
                <w:rtl w:val="true"/>
              </w:rPr>
              <w:t>:</w:t>
              <w:tab/>
            </w:r>
            <w:r>
              <w:rPr>
                <w:rStyle w:val="IndexLink"/>
              </w:rPr>
              <w:t>260</w:t>
            </w:r>
          </w:hyperlink>
        </w:p>
        <w:p>
          <w:pPr>
            <w:pStyle w:val="Contents6"/>
            <w:tabs>
              <w:tab w:val="clear" w:pos="7609"/>
              <w:tab w:val="right" w:pos="9026" w:leader="dot"/>
            </w:tabs>
            <w:rPr/>
          </w:pPr>
          <w:hyperlink w:anchor="__RefHeading___Toc735031_3244359995">
            <w:r>
              <w:rPr>
                <w:webHidden/>
                <w:rStyle w:val="IndexLink"/>
                <w:rtl w:val="true"/>
              </w:rPr>
              <w:t>القسم الرابع</w:t>
            </w:r>
            <w:r>
              <w:rPr>
                <w:rStyle w:val="IndexLink"/>
                <w:rtl w:val="true"/>
              </w:rPr>
              <w:t>:</w:t>
              <w:tab/>
            </w:r>
            <w:r>
              <w:rPr>
                <w:rStyle w:val="IndexLink"/>
              </w:rPr>
              <w:t>262</w:t>
            </w:r>
          </w:hyperlink>
        </w:p>
        <w:p>
          <w:pPr>
            <w:pStyle w:val="Contents6"/>
            <w:tabs>
              <w:tab w:val="clear" w:pos="7609"/>
              <w:tab w:val="right" w:pos="9026" w:leader="dot"/>
            </w:tabs>
            <w:rPr/>
          </w:pPr>
          <w:hyperlink w:anchor="__RefHeading___Toc735033_3244359995">
            <w:r>
              <w:rPr>
                <w:webHidden/>
                <w:rStyle w:val="IndexLink"/>
                <w:rtl w:val="true"/>
              </w:rPr>
              <w:t>القسم الخامس</w:t>
            </w:r>
            <w:r>
              <w:rPr>
                <w:rStyle w:val="IndexLink"/>
                <w:rtl w:val="true"/>
              </w:rPr>
              <w:t>:</w:t>
              <w:tab/>
            </w:r>
            <w:r>
              <w:rPr>
                <w:rStyle w:val="IndexLink"/>
              </w:rPr>
              <w:t>268</w:t>
            </w:r>
          </w:hyperlink>
        </w:p>
        <w:p>
          <w:pPr>
            <w:pStyle w:val="Contents6"/>
            <w:tabs>
              <w:tab w:val="clear" w:pos="7609"/>
              <w:tab w:val="right" w:pos="9026" w:leader="dot"/>
            </w:tabs>
            <w:rPr/>
          </w:pPr>
          <w:hyperlink w:anchor="__RefHeading___Toc735035_3244359995">
            <w:r>
              <w:rPr>
                <w:webHidden/>
                <w:rStyle w:val="IndexLink"/>
                <w:rtl w:val="true"/>
              </w:rPr>
              <w:t>القسم السادس</w:t>
            </w:r>
            <w:r>
              <w:rPr>
                <w:rStyle w:val="IndexLink"/>
                <w:rtl w:val="true"/>
              </w:rPr>
              <w:t>:</w:t>
              <w:tab/>
            </w:r>
            <w:r>
              <w:rPr>
                <w:rStyle w:val="IndexLink"/>
              </w:rPr>
              <w:t>268</w:t>
            </w:r>
          </w:hyperlink>
        </w:p>
        <w:p>
          <w:pPr>
            <w:pStyle w:val="Contents4"/>
            <w:tabs>
              <w:tab w:val="clear" w:pos="8176"/>
              <w:tab w:val="right" w:pos="9026" w:leader="dot"/>
            </w:tabs>
            <w:rPr/>
          </w:pPr>
          <w:hyperlink w:anchor="__RefHeading___Toc735037_3244359995">
            <w:r>
              <w:rPr>
                <w:webHidden/>
                <w:rStyle w:val="IndexLink"/>
                <w:rtl w:val="true"/>
              </w:rPr>
              <w:t>التنبیه السادس فی إجمال النص للشکّ فی أنّ المتعلق صرف الوجود أو الوجود الساری</w:t>
            </w:r>
            <w:r>
              <w:rPr>
                <w:rStyle w:val="IndexLink"/>
                <w:rtl w:val="true"/>
              </w:rPr>
              <w:tab/>
            </w:r>
            <w:r>
              <w:rPr>
                <w:rStyle w:val="IndexLink"/>
              </w:rPr>
              <w:t>272</w:t>
            </w:r>
          </w:hyperlink>
        </w:p>
        <w:p>
          <w:pPr>
            <w:pStyle w:val="Contents4"/>
            <w:tabs>
              <w:tab w:val="clear" w:pos="8176"/>
              <w:tab w:val="right" w:pos="9026" w:leader="dot"/>
            </w:tabs>
            <w:rPr/>
          </w:pPr>
          <w:hyperlink w:anchor="__RefHeading___Toc735039_3244359995">
            <w:r>
              <w:rPr>
                <w:webHidden/>
                <w:rStyle w:val="IndexLink"/>
                <w:rtl w:val="true"/>
              </w:rPr>
              <w:t>التنبیه السابع فی دوران الأمر بین العینیّ و الکفائیّ</w:t>
            </w:r>
            <w:r>
              <w:rPr>
                <w:rStyle w:val="IndexLink"/>
                <w:rtl w:val="true"/>
              </w:rPr>
              <w:tab/>
            </w:r>
            <w:r>
              <w:rPr>
                <w:rStyle w:val="IndexLink"/>
              </w:rPr>
              <w:t>273</w:t>
            </w:r>
          </w:hyperlink>
        </w:p>
        <w:p>
          <w:pPr>
            <w:pStyle w:val="Contents5"/>
            <w:tabs>
              <w:tab w:val="clear" w:pos="7892"/>
              <w:tab w:val="right" w:pos="9026" w:leader="dot"/>
            </w:tabs>
            <w:rPr/>
          </w:pPr>
          <w:hyperlink w:anchor="__RefHeading___Toc735041_3244359995">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735043_3244359995">
            <w:r>
              <w:rPr>
                <w:webHidden/>
                <w:rStyle w:val="IndexLink"/>
                <w:rtl w:val="true"/>
              </w:rPr>
              <w:t>تذنیب</w:t>
            </w:r>
            <w:r>
              <w:rPr>
                <w:rStyle w:val="IndexLink"/>
                <w:rtl w:val="true"/>
              </w:rPr>
              <w:t xml:space="preserve">: </w:t>
            </w:r>
            <w:r>
              <w:rPr>
                <w:rStyle w:val="IndexLink"/>
                <w:rtl w:val="true"/>
              </w:rPr>
              <w:t>حول أمثلة الدوران بین العینیّ و الکفائیّ</w:t>
            </w:r>
            <w:r>
              <w:rPr>
                <w:rStyle w:val="IndexLink"/>
                <w:rtl w:val="true"/>
              </w:rPr>
              <w:tab/>
            </w:r>
            <w:r>
              <w:rPr>
                <w:rStyle w:val="IndexLink"/>
              </w:rPr>
              <w:t>278</w:t>
            </w:r>
          </w:hyperlink>
        </w:p>
        <w:p>
          <w:pPr>
            <w:pStyle w:val="Contents5"/>
            <w:tabs>
              <w:tab w:val="clear" w:pos="7892"/>
              <w:tab w:val="right" w:pos="9026" w:leader="dot"/>
            </w:tabs>
            <w:rPr/>
          </w:pPr>
          <w:hyperlink w:anchor="__RefHeading___Toc735045_3244359995">
            <w:r>
              <w:rPr>
                <w:webHidden/>
                <w:rStyle w:val="IndexLink"/>
                <w:rtl w:val="true"/>
              </w:rPr>
              <w:t>تنبیه</w:t>
            </w:r>
            <w:r>
              <w:rPr>
                <w:rStyle w:val="IndexLink"/>
                <w:rtl w:val="true"/>
              </w:rPr>
              <w:t xml:space="preserve">: </w:t>
            </w:r>
            <w:r>
              <w:rPr>
                <w:rStyle w:val="IndexLink"/>
                <w:rtl w:val="true"/>
              </w:rPr>
              <w:t>فی حکم الدوران بین العینیّ المباشریّ و الأعمّ</w:t>
            </w:r>
            <w:r>
              <w:rPr>
                <w:rStyle w:val="IndexLink"/>
                <w:rtl w:val="true"/>
              </w:rPr>
              <w:tab/>
            </w:r>
            <w:r>
              <w:rPr>
                <w:rStyle w:val="IndexLink"/>
              </w:rPr>
              <w:t>279</w:t>
            </w:r>
          </w:hyperlink>
        </w:p>
        <w:p>
          <w:pPr>
            <w:pStyle w:val="Contents4"/>
            <w:tabs>
              <w:tab w:val="clear" w:pos="8176"/>
              <w:tab w:val="right" w:pos="9026" w:leader="dot"/>
            </w:tabs>
            <w:rPr/>
          </w:pPr>
          <w:hyperlink w:anchor="__RefHeading___Toc735047_3244359995">
            <w:r>
              <w:rPr>
                <w:webHidden/>
                <w:rStyle w:val="IndexLink"/>
                <w:rtl w:val="true"/>
              </w:rPr>
              <w:t>التنبیه الثامن فی دوران الأمر بین الوجوب الأوّلیّ و الثانویّ</w:t>
            </w:r>
            <w:r>
              <w:rPr>
                <w:rStyle w:val="IndexLink"/>
                <w:rtl w:val="true"/>
              </w:rPr>
              <w:tab/>
            </w:r>
            <w:r>
              <w:rPr>
                <w:rStyle w:val="IndexLink"/>
              </w:rPr>
              <w:t>280</w:t>
            </w:r>
          </w:hyperlink>
        </w:p>
        <w:p>
          <w:pPr>
            <w:pStyle w:val="Contents4"/>
            <w:tabs>
              <w:tab w:val="clear" w:pos="8176"/>
              <w:tab w:val="right" w:pos="9026" w:leader="dot"/>
            </w:tabs>
            <w:rPr/>
          </w:pPr>
          <w:hyperlink w:anchor="__RefHeading___Toc735049_3244359995">
            <w:r>
              <w:rPr>
                <w:webHidden/>
                <w:rStyle w:val="IndexLink"/>
                <w:rtl w:val="true"/>
              </w:rPr>
              <w:t>التنبیه التاسع فی دوران الأمر بین المحذورین</w:t>
            </w:r>
            <w:r>
              <w:rPr>
                <w:rStyle w:val="IndexLink"/>
                <w:rtl w:val="true"/>
              </w:rPr>
              <w:tab/>
            </w:r>
            <w:r>
              <w:rPr>
                <w:rStyle w:val="IndexLink"/>
              </w:rPr>
              <w:t>283</w:t>
            </w:r>
          </w:hyperlink>
        </w:p>
        <w:p>
          <w:pPr>
            <w:pStyle w:val="Contents5"/>
            <w:tabs>
              <w:tab w:val="clear" w:pos="7892"/>
              <w:tab w:val="right" w:pos="9026" w:leader="dot"/>
            </w:tabs>
            <w:rPr/>
          </w:pPr>
          <w:hyperlink w:anchor="__RefHeading___Toc735051_3244359995">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735053_3244359995">
            <w:r>
              <w:rPr>
                <w:webHidden/>
                <w:rStyle w:val="IndexLink"/>
                <w:rtl w:val="true"/>
              </w:rPr>
              <w:t>الأمر الأوّل</w:t>
            </w:r>
            <w:r>
              <w:rPr>
                <w:rStyle w:val="IndexLink"/>
                <w:rtl w:val="true"/>
              </w:rPr>
              <w:t xml:space="preserve">: </w:t>
            </w:r>
            <w:r>
              <w:rPr>
                <w:rStyle w:val="IndexLink"/>
                <w:rtl w:val="true"/>
              </w:rPr>
              <w:t>فی شمول البحث للدوران بین الحرامین</w:t>
            </w:r>
            <w:r>
              <w:rPr>
                <w:rStyle w:val="IndexLink"/>
                <w:rtl w:val="true"/>
              </w:rPr>
              <w:tab/>
            </w:r>
            <w:r>
              <w:rPr>
                <w:rStyle w:val="IndexLink"/>
              </w:rPr>
              <w:t>283</w:t>
            </w:r>
          </w:hyperlink>
        </w:p>
        <w:p>
          <w:pPr>
            <w:pStyle w:val="Contents5"/>
            <w:tabs>
              <w:tab w:val="clear" w:pos="7892"/>
              <w:tab w:val="right" w:pos="9026" w:leader="dot"/>
            </w:tabs>
            <w:rPr/>
          </w:pPr>
          <w:hyperlink w:anchor="__RefHeading___Toc735055_3244359995">
            <w:r>
              <w:rPr>
                <w:webHidden/>
                <w:rStyle w:val="IndexLink"/>
                <w:rtl w:val="true"/>
              </w:rPr>
              <w:t>الأمر الثانی</w:t>
            </w:r>
            <w:r>
              <w:rPr>
                <w:rStyle w:val="IndexLink"/>
                <w:rtl w:val="true"/>
              </w:rPr>
              <w:t xml:space="preserve">: </w:t>
            </w:r>
            <w:r>
              <w:rPr>
                <w:rStyle w:val="IndexLink"/>
                <w:rtl w:val="true"/>
              </w:rPr>
              <w:t>فی الخروج عن محل النزاع مع وجود ما یعین أحد الطرفین</w:t>
            </w:r>
            <w:r>
              <w:rPr>
                <w:rStyle w:val="IndexLink"/>
                <w:rtl w:val="true"/>
              </w:rPr>
              <w:tab/>
            </w:r>
            <w:r>
              <w:rPr>
                <w:rStyle w:val="IndexLink"/>
              </w:rPr>
              <w:t>284</w:t>
            </w:r>
          </w:hyperlink>
        </w:p>
        <w:p>
          <w:pPr>
            <w:pStyle w:val="Contents5"/>
            <w:tabs>
              <w:tab w:val="clear" w:pos="7892"/>
              <w:tab w:val="right" w:pos="9026" w:leader="dot"/>
            </w:tabs>
            <w:rPr/>
          </w:pPr>
          <w:hyperlink w:anchor="__RefHeading___Toc735057_3244359995">
            <w:r>
              <w:rPr>
                <w:webHidden/>
                <w:rStyle w:val="IndexLink"/>
                <w:rtl w:val="true"/>
              </w:rPr>
              <w:t>الأمر الثالث</w:t>
            </w:r>
            <w:r>
              <w:rPr>
                <w:rStyle w:val="IndexLink"/>
                <w:rtl w:val="true"/>
              </w:rPr>
              <w:t xml:space="preserve">: </w:t>
            </w:r>
            <w:r>
              <w:rPr>
                <w:rStyle w:val="IndexLink"/>
                <w:rtl w:val="true"/>
              </w:rPr>
              <w:t>فی أقسام دوران الأمر بین محذورین</w:t>
            </w:r>
            <w:r>
              <w:rPr>
                <w:rStyle w:val="IndexLink"/>
                <w:rtl w:val="true"/>
              </w:rPr>
              <w:tab/>
            </w:r>
            <w:r>
              <w:rPr>
                <w:rStyle w:val="IndexLink"/>
              </w:rPr>
              <w:t>286</w:t>
            </w:r>
          </w:hyperlink>
        </w:p>
        <w:p>
          <w:pPr>
            <w:pStyle w:val="Contents6"/>
            <w:tabs>
              <w:tab w:val="clear" w:pos="7609"/>
              <w:tab w:val="right" w:pos="9026" w:leader="dot"/>
            </w:tabs>
            <w:rPr/>
          </w:pPr>
          <w:hyperlink w:anchor="__RefHeading___Toc735059_3244359995">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735061_3244359995">
            <w:r>
              <w:rPr>
                <w:webHidden/>
                <w:rStyle w:val="IndexLink"/>
                <w:rtl w:val="true"/>
              </w:rPr>
              <w:t>المسألة الاولی</w:t>
            </w:r>
            <w:r>
              <w:rPr>
                <w:rStyle w:val="IndexLink"/>
                <w:rtl w:val="true"/>
              </w:rPr>
              <w:t xml:space="preserve">: </w:t>
            </w:r>
            <w:r>
              <w:rPr>
                <w:rStyle w:val="IndexLink"/>
                <w:rtl w:val="true"/>
              </w:rPr>
              <w:t>فی تساوی المحذورین من حیث الأهمیّة</w:t>
            </w:r>
            <w:r>
              <w:rPr>
                <w:rStyle w:val="IndexLink"/>
                <w:rtl w:val="true"/>
              </w:rPr>
              <w:tab/>
            </w:r>
            <w:r>
              <w:rPr>
                <w:rStyle w:val="IndexLink"/>
              </w:rPr>
              <w:t>287</w:t>
            </w:r>
          </w:hyperlink>
        </w:p>
        <w:p>
          <w:pPr>
            <w:pStyle w:val="Contents6"/>
            <w:tabs>
              <w:tab w:val="clear" w:pos="7609"/>
              <w:tab w:val="right" w:pos="9026" w:leader="dot"/>
            </w:tabs>
            <w:rPr/>
          </w:pPr>
          <w:hyperlink w:anchor="__RefHeading___Toc735063_3244359995">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735065_3244359995">
            <w:r>
              <w:rPr>
                <w:webHidden/>
                <w:rStyle w:val="IndexLink"/>
                <w:rtl w:val="true"/>
              </w:rPr>
              <w:t>بقی شی‌ء</w:t>
            </w:r>
            <w:r>
              <w:rPr>
                <w:rStyle w:val="IndexLink"/>
                <w:rtl w:val="true"/>
              </w:rPr>
              <w:t xml:space="preserve">: </w:t>
            </w:r>
            <w:r>
              <w:rPr>
                <w:rStyle w:val="IndexLink"/>
                <w:rtl w:val="true"/>
              </w:rPr>
              <w:t>حول إمکان الامتثال عند الدوران بین محذورین</w:t>
            </w:r>
            <w:r>
              <w:rPr>
                <w:rStyle w:val="IndexLink"/>
                <w:rtl w:val="true"/>
              </w:rPr>
              <w:tab/>
            </w:r>
            <w:r>
              <w:rPr>
                <w:rStyle w:val="IndexLink"/>
              </w:rPr>
              <w:t>292</w:t>
            </w:r>
          </w:hyperlink>
        </w:p>
        <w:p>
          <w:pPr>
            <w:pStyle w:val="Contents6"/>
            <w:tabs>
              <w:tab w:val="clear" w:pos="7609"/>
              <w:tab w:val="right" w:pos="9026" w:leader="dot"/>
            </w:tabs>
            <w:rPr/>
          </w:pPr>
          <w:hyperlink w:anchor="__RefHeading___Toc735067_3244359995">
            <w:r>
              <w:rPr>
                <w:webHidden/>
                <w:rStyle w:val="IndexLink"/>
                <w:rtl w:val="true"/>
              </w:rPr>
              <w:t>تذنیب</w:t>
            </w:r>
            <w:r>
              <w:rPr>
                <w:rStyle w:val="IndexLink"/>
                <w:rtl w:val="true"/>
              </w:rPr>
              <w:t xml:space="preserve">: </w:t>
            </w:r>
            <w:r>
              <w:rPr>
                <w:rStyle w:val="IndexLink"/>
                <w:rtl w:val="true"/>
              </w:rPr>
              <w:t>فی وجوب الموافقة الالتزامیّة فی المقام</w:t>
            </w:r>
            <w:r>
              <w:rPr>
                <w:rStyle w:val="IndexLink"/>
                <w:rtl w:val="true"/>
              </w:rPr>
              <w:tab/>
            </w:r>
            <w:r>
              <w:rPr>
                <w:rStyle w:val="IndexLink"/>
              </w:rPr>
              <w:t>294</w:t>
            </w:r>
          </w:hyperlink>
        </w:p>
        <w:p>
          <w:pPr>
            <w:pStyle w:val="Contents6"/>
            <w:tabs>
              <w:tab w:val="clear" w:pos="7609"/>
              <w:tab w:val="right" w:pos="9026" w:leader="dot"/>
            </w:tabs>
            <w:rPr/>
          </w:pPr>
          <w:hyperlink w:anchor="__RefHeading___Toc735069_3244359995">
            <w:r>
              <w:rPr>
                <w:webHidden/>
                <w:rStyle w:val="IndexLink"/>
                <w:rtl w:val="true"/>
              </w:rPr>
              <w:t>تحقیق و تفصیل</w:t>
            </w:r>
            <w:r>
              <w:rPr>
                <w:rStyle w:val="IndexLink"/>
                <w:rtl w:val="true"/>
              </w:rPr>
              <w:t xml:space="preserve">: </w:t>
            </w:r>
            <w:r>
              <w:rPr>
                <w:rStyle w:val="IndexLink"/>
                <w:rtl w:val="true"/>
              </w:rPr>
              <w:t>فی عدم الفرق بین المحذورین الشرعیّین و العقلیّین و المختلفین</w:t>
            </w:r>
            <w:r>
              <w:rPr>
                <w:rStyle w:val="IndexLink"/>
                <w:rtl w:val="true"/>
              </w:rPr>
              <w:tab/>
            </w:r>
            <w:r>
              <w:rPr>
                <w:rStyle w:val="IndexLink"/>
              </w:rPr>
              <w:t>295</w:t>
            </w:r>
          </w:hyperlink>
        </w:p>
        <w:p>
          <w:pPr>
            <w:pStyle w:val="Contents6"/>
            <w:tabs>
              <w:tab w:val="clear" w:pos="7609"/>
              <w:tab w:val="right" w:pos="9026" w:leader="dot"/>
            </w:tabs>
            <w:rPr/>
          </w:pPr>
          <w:hyperlink w:anchor="__RefHeading___Toc735071_3244359995">
            <w:r>
              <w:rPr>
                <w:webHidden/>
                <w:rStyle w:val="IndexLink"/>
                <w:rtl w:val="true"/>
              </w:rPr>
              <w:t>إیقاظ</w:t>
            </w:r>
            <w:r>
              <w:rPr>
                <w:rStyle w:val="IndexLink"/>
                <w:rtl w:val="true"/>
              </w:rPr>
              <w:t xml:space="preserve">: </w:t>
            </w:r>
            <w:r>
              <w:rPr>
                <w:rStyle w:val="IndexLink"/>
                <w:rtl w:val="true"/>
              </w:rPr>
              <w:t>فی ثمرة جریان القاعدة الشرعیّة</w:t>
            </w:r>
            <w:r>
              <w:rPr>
                <w:rStyle w:val="IndexLink"/>
                <w:rtl w:val="true"/>
              </w:rPr>
              <w:tab/>
            </w:r>
            <w:r>
              <w:rPr>
                <w:rStyle w:val="IndexLink"/>
              </w:rPr>
              <w:t>296</w:t>
            </w:r>
          </w:hyperlink>
        </w:p>
        <w:p>
          <w:pPr>
            <w:pStyle w:val="Contents6"/>
            <w:tabs>
              <w:tab w:val="clear" w:pos="7609"/>
              <w:tab w:val="right" w:pos="9026" w:leader="dot"/>
            </w:tabs>
            <w:rPr/>
          </w:pPr>
          <w:hyperlink w:anchor="__RefHeading___Toc735073_3244359995">
            <w:r>
              <w:rPr>
                <w:webHidden/>
                <w:rStyle w:val="IndexLink"/>
                <w:rtl w:val="true"/>
              </w:rPr>
              <w:t>المسألة الثانیة</w:t>
            </w:r>
            <w:r>
              <w:rPr>
                <w:rStyle w:val="IndexLink"/>
                <w:rtl w:val="true"/>
              </w:rPr>
              <w:t xml:space="preserve">: </w:t>
            </w:r>
            <w:r>
              <w:rPr>
                <w:rStyle w:val="IndexLink"/>
                <w:rtl w:val="true"/>
              </w:rPr>
              <w:t>فی اختلاف المحذورین من حیث الأهمّیة</w:t>
            </w:r>
            <w:r>
              <w:rPr>
                <w:rStyle w:val="IndexLink"/>
                <w:rtl w:val="true"/>
              </w:rPr>
              <w:tab/>
            </w:r>
            <w:r>
              <w:rPr>
                <w:rStyle w:val="IndexLink"/>
              </w:rPr>
              <w:t>297</w:t>
            </w:r>
          </w:hyperlink>
        </w:p>
        <w:p>
          <w:pPr>
            <w:pStyle w:val="Contents6"/>
            <w:tabs>
              <w:tab w:val="clear" w:pos="7609"/>
              <w:tab w:val="right" w:pos="9026" w:leader="dot"/>
            </w:tabs>
            <w:rPr/>
          </w:pPr>
          <w:hyperlink w:anchor="__RefHeading___Toc735075_3244359995">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735077_3244359995">
            <w:r>
              <w:rPr>
                <w:webHidden/>
                <w:rStyle w:val="IndexLink"/>
                <w:rtl w:val="true"/>
              </w:rPr>
              <w:t>اولاها</w:t>
            </w:r>
            <w:r>
              <w:rPr>
                <w:rStyle w:val="IndexLink"/>
                <w:rtl w:val="true"/>
              </w:rPr>
              <w:t xml:space="preserve">: </w:t>
            </w:r>
            <w:r>
              <w:rPr>
                <w:rStyle w:val="IndexLink"/>
                <w:rtl w:val="true"/>
              </w:rPr>
              <w:t>فی میزان ترجح أحد المحذورین</w:t>
            </w:r>
            <w:r>
              <w:rPr>
                <w:rStyle w:val="IndexLink"/>
                <w:rtl w:val="true"/>
              </w:rPr>
              <w:tab/>
            </w:r>
            <w:r>
              <w:rPr>
                <w:rStyle w:val="IndexLink"/>
              </w:rPr>
              <w:t>297</w:t>
            </w:r>
          </w:hyperlink>
        </w:p>
        <w:p>
          <w:pPr>
            <w:pStyle w:val="Contents6"/>
            <w:tabs>
              <w:tab w:val="clear" w:pos="7609"/>
              <w:tab w:val="right" w:pos="9026" w:leader="dot"/>
            </w:tabs>
            <w:rPr/>
          </w:pPr>
          <w:hyperlink w:anchor="__RefHeading___Toc735079_3244359995">
            <w:r>
              <w:rPr>
                <w:webHidden/>
                <w:rStyle w:val="IndexLink"/>
                <w:rtl w:val="true"/>
              </w:rPr>
              <w:t>ثانیتها</w:t>
            </w:r>
            <w:r>
              <w:rPr>
                <w:rStyle w:val="IndexLink"/>
                <w:rtl w:val="true"/>
              </w:rPr>
              <w:t xml:space="preserve">: </w:t>
            </w:r>
            <w:r>
              <w:rPr>
                <w:rStyle w:val="IndexLink"/>
                <w:rtl w:val="true"/>
              </w:rPr>
              <w:t>حول دخول هذه المسألة فی الدوران بین التعیین و التخییر</w:t>
            </w:r>
            <w:r>
              <w:rPr>
                <w:rStyle w:val="IndexLink"/>
                <w:rtl w:val="true"/>
              </w:rPr>
              <w:tab/>
            </w:r>
            <w:r>
              <w:rPr>
                <w:rStyle w:val="IndexLink"/>
              </w:rPr>
              <w:t>298</w:t>
            </w:r>
          </w:hyperlink>
        </w:p>
        <w:p>
          <w:pPr>
            <w:pStyle w:val="Contents6"/>
            <w:tabs>
              <w:tab w:val="clear" w:pos="7609"/>
              <w:tab w:val="right" w:pos="9026" w:leader="dot"/>
            </w:tabs>
            <w:rPr/>
          </w:pPr>
          <w:hyperlink w:anchor="__RefHeading___Toc735081_3244359995">
            <w:r>
              <w:rPr>
                <w:webHidden/>
                <w:rStyle w:val="IndexLink"/>
                <w:rtl w:val="true"/>
              </w:rPr>
              <w:t>ثالثتها</w:t>
            </w:r>
            <w:r>
              <w:rPr>
                <w:rStyle w:val="IndexLink"/>
                <w:rtl w:val="true"/>
              </w:rPr>
              <w:t xml:space="preserve">: </w:t>
            </w:r>
            <w:r>
              <w:rPr>
                <w:rStyle w:val="IndexLink"/>
                <w:rtl w:val="true"/>
              </w:rPr>
              <w:t>فی ترجّح ما لا تجری البراءة فیه خاصّة علی الآخر</w:t>
            </w:r>
            <w:r>
              <w:rPr>
                <w:rStyle w:val="IndexLink"/>
                <w:rtl w:val="true"/>
              </w:rPr>
              <w:tab/>
            </w:r>
            <w:r>
              <w:rPr>
                <w:rStyle w:val="IndexLink"/>
              </w:rPr>
              <w:t>299</w:t>
            </w:r>
          </w:hyperlink>
        </w:p>
        <w:p>
          <w:pPr>
            <w:pStyle w:val="Contents6"/>
            <w:tabs>
              <w:tab w:val="clear" w:pos="7609"/>
              <w:tab w:val="right" w:pos="9026" w:leader="dot"/>
            </w:tabs>
            <w:rPr/>
          </w:pPr>
          <w:hyperlink w:anchor="__RefHeading___Toc735083_3244359995">
            <w:r>
              <w:rPr>
                <w:webHidden/>
                <w:rStyle w:val="IndexLink"/>
                <w:rtl w:val="true"/>
              </w:rPr>
              <w:t>تحقیق و إفاضة</w:t>
            </w:r>
            <w:r>
              <w:rPr>
                <w:rStyle w:val="IndexLink"/>
                <w:rtl w:val="true"/>
              </w:rPr>
              <w:tab/>
            </w:r>
            <w:r>
              <w:rPr>
                <w:rStyle w:val="IndexLink"/>
              </w:rPr>
              <w:t>300</w:t>
            </w:r>
          </w:hyperlink>
        </w:p>
        <w:p>
          <w:pPr>
            <w:pStyle w:val="Contents6"/>
            <w:tabs>
              <w:tab w:val="clear" w:pos="7609"/>
              <w:tab w:val="right" w:pos="9026" w:leader="dot"/>
            </w:tabs>
            <w:rPr/>
          </w:pPr>
          <w:hyperlink w:anchor="__RefHeading___Toc735085_3244359995">
            <w:r>
              <w:rPr>
                <w:webHidden/>
                <w:rStyle w:val="IndexLink"/>
                <w:rtl w:val="true"/>
              </w:rPr>
              <w:t>المسألة الثالثة</w:t>
            </w:r>
            <w:r>
              <w:rPr>
                <w:rStyle w:val="IndexLink"/>
                <w:rtl w:val="true"/>
              </w:rPr>
              <w:t xml:space="preserve">: </w:t>
            </w:r>
            <w:r>
              <w:rPr>
                <w:rStyle w:val="IndexLink"/>
                <w:rtl w:val="true"/>
              </w:rPr>
              <w:t>فی تعدّد الوقائع المقتضی لتعدّد التکلیف</w:t>
            </w:r>
            <w:r>
              <w:rPr>
                <w:rStyle w:val="IndexLink"/>
                <w:rtl w:val="true"/>
              </w:rPr>
              <w:tab/>
            </w:r>
            <w:r>
              <w:rPr>
                <w:rStyle w:val="IndexLink"/>
              </w:rPr>
              <w:t>302</w:t>
            </w:r>
          </w:hyperlink>
        </w:p>
        <w:p>
          <w:pPr>
            <w:pStyle w:val="Contents6"/>
            <w:tabs>
              <w:tab w:val="clear" w:pos="7609"/>
              <w:tab w:val="right" w:pos="9026" w:leader="dot"/>
            </w:tabs>
            <w:rPr/>
          </w:pPr>
          <w:hyperlink w:anchor="__RefHeading___Toc735087_3244359995">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735089_3244359995">
            <w:r>
              <w:rPr>
                <w:webHidden/>
                <w:rStyle w:val="IndexLink"/>
                <w:rtl w:val="true"/>
              </w:rPr>
              <w:t>تتمیم</w:t>
            </w:r>
            <w:r>
              <w:rPr>
                <w:rStyle w:val="IndexLink"/>
                <w:rtl w:val="true"/>
              </w:rPr>
              <w:t xml:space="preserve">: </w:t>
            </w:r>
            <w:r>
              <w:rPr>
                <w:rStyle w:val="IndexLink"/>
                <w:rtl w:val="true"/>
              </w:rPr>
              <w:t>فی بیان کیفیّة الموافقة الاحتمالیّة فی المقام</w:t>
            </w:r>
            <w:r>
              <w:rPr>
                <w:rStyle w:val="IndexLink"/>
                <w:rtl w:val="true"/>
              </w:rPr>
              <w:tab/>
            </w:r>
            <w:r>
              <w:rPr>
                <w:rStyle w:val="IndexLink"/>
              </w:rPr>
              <w:t>305</w:t>
            </w:r>
          </w:hyperlink>
        </w:p>
        <w:p>
          <w:pPr>
            <w:pStyle w:val="Contents6"/>
            <w:tabs>
              <w:tab w:val="clear" w:pos="7609"/>
              <w:tab w:val="right" w:pos="9026" w:leader="dot"/>
            </w:tabs>
            <w:rPr/>
          </w:pPr>
          <w:hyperlink w:anchor="__RefHeading___Toc735091_3244359995">
            <w:r>
              <w:rPr>
                <w:webHidden/>
                <w:rStyle w:val="IndexLink"/>
                <w:rtl w:val="true"/>
              </w:rPr>
              <w:t>تذنیب</w:t>
            </w:r>
            <w:r>
              <w:rPr>
                <w:rStyle w:val="IndexLink"/>
                <w:rtl w:val="true"/>
              </w:rPr>
              <w:t xml:space="preserve">: </w:t>
            </w:r>
            <w:r>
              <w:rPr>
                <w:rStyle w:val="IndexLink"/>
                <w:rtl w:val="true"/>
              </w:rPr>
              <w:t>فی دوران الأحکام الوضعیّة بین محذورین</w:t>
            </w:r>
            <w:r>
              <w:rPr>
                <w:rStyle w:val="IndexLink"/>
                <w:rtl w:val="true"/>
              </w:rPr>
              <w:tab/>
            </w:r>
            <w:r>
              <w:rPr>
                <w:rStyle w:val="IndexLink"/>
              </w:rPr>
              <w:t>305</w:t>
            </w:r>
          </w:hyperlink>
        </w:p>
        <w:p>
          <w:pPr>
            <w:pStyle w:val="Contents6"/>
            <w:tabs>
              <w:tab w:val="clear" w:pos="7609"/>
              <w:tab w:val="right" w:pos="9026" w:leader="dot"/>
            </w:tabs>
            <w:rPr/>
          </w:pPr>
          <w:hyperlink w:anchor="__RefHeading___Toc735093_3244359995">
            <w:r>
              <w:rPr>
                <w:webHidden/>
                <w:rStyle w:val="IndexLink"/>
                <w:rtl w:val="true"/>
              </w:rPr>
              <w:t>إعادة و إفادة</w:t>
            </w:r>
            <w:r>
              <w:rPr>
                <w:rStyle w:val="IndexLink"/>
                <w:rtl w:val="true"/>
              </w:rPr>
              <w:t xml:space="preserve">: </w:t>
            </w:r>
            <w:r>
              <w:rPr>
                <w:rStyle w:val="IndexLink"/>
                <w:rtl w:val="true"/>
              </w:rPr>
              <w:t>فی تعیّن التخییر البدوی فی المقام</w:t>
            </w:r>
            <w:r>
              <w:rPr>
                <w:rStyle w:val="IndexLink"/>
                <w:rtl w:val="true"/>
              </w:rPr>
              <w:tab/>
            </w:r>
            <w:r>
              <w:rPr>
                <w:rStyle w:val="IndexLink"/>
              </w:rPr>
              <w:t>306</w:t>
            </w:r>
          </w:hyperlink>
        </w:p>
        <w:p>
          <w:pPr>
            <w:pStyle w:val="Contents6"/>
            <w:tabs>
              <w:tab w:val="clear" w:pos="7609"/>
              <w:tab w:val="right" w:pos="9026" w:leader="dot"/>
            </w:tabs>
            <w:rPr/>
          </w:pPr>
          <w:hyperlink w:anchor="__RefHeading___Toc735095_3244359995">
            <w:r>
              <w:rPr>
                <w:webHidden/>
                <w:rStyle w:val="IndexLink"/>
                <w:rtl w:val="true"/>
              </w:rPr>
              <w:t>بقی شی‌ء</w:t>
            </w:r>
            <w:r>
              <w:rPr>
                <w:rStyle w:val="IndexLink"/>
                <w:rtl w:val="true"/>
              </w:rPr>
              <w:t xml:space="preserve">: </w:t>
            </w:r>
            <w:r>
              <w:rPr>
                <w:rStyle w:val="IndexLink"/>
                <w:rtl w:val="true"/>
              </w:rPr>
              <w:t>فی تردّد صوم شهر ما بین الحرمة و الوجوب</w:t>
            </w:r>
            <w:r>
              <w:rPr>
                <w:rStyle w:val="IndexLink"/>
                <w:rtl w:val="true"/>
              </w:rPr>
              <w:tab/>
            </w:r>
            <w:r>
              <w:rPr>
                <w:rStyle w:val="IndexLink"/>
              </w:rPr>
              <w:t>307</w:t>
            </w:r>
          </w:hyperlink>
        </w:p>
        <w:p>
          <w:pPr>
            <w:pStyle w:val="Contents2"/>
            <w:tabs>
              <w:tab w:val="clear" w:pos="8743"/>
              <w:tab w:val="right" w:pos="9026" w:leader="dot"/>
            </w:tabs>
            <w:rPr/>
          </w:pPr>
          <w:hyperlink w:anchor="__RefHeading___Toc735097_3244359995">
            <w:r>
              <w:rPr>
                <w:webHidden/>
                <w:rStyle w:val="IndexLink"/>
                <w:rtl w:val="true"/>
              </w:rPr>
              <w:t>المقصد العاشر فی الاشتغال</w:t>
            </w:r>
            <w:r>
              <w:rPr>
                <w:rStyle w:val="IndexLink"/>
                <w:rtl w:val="true"/>
              </w:rPr>
              <w:tab/>
            </w:r>
            <w:r>
              <w:rPr>
                <w:rStyle w:val="IndexLink"/>
              </w:rPr>
              <w:t>308</w:t>
            </w:r>
          </w:hyperlink>
        </w:p>
        <w:p>
          <w:pPr>
            <w:pStyle w:val="Contents3"/>
            <w:tabs>
              <w:tab w:val="clear" w:pos="8459"/>
              <w:tab w:val="right" w:pos="9026" w:leader="dot"/>
            </w:tabs>
            <w:rPr/>
          </w:pPr>
          <w:hyperlink w:anchor="__RefHeading___Toc735099_3244359995">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735101_3244359995">
            <w:r>
              <w:rPr>
                <w:webHidden/>
                <w:rStyle w:val="IndexLink"/>
                <w:rtl w:val="true"/>
              </w:rPr>
              <w:t>تمهید حول الشکّ فی المکلّف به</w:t>
            </w:r>
            <w:r>
              <w:rPr>
                <w:rStyle w:val="IndexLink"/>
                <w:rtl w:val="true"/>
              </w:rPr>
              <w:tab/>
            </w:r>
            <w:r>
              <w:rPr>
                <w:rStyle w:val="IndexLink"/>
              </w:rPr>
              <w:t>309</w:t>
            </w:r>
          </w:hyperlink>
        </w:p>
        <w:p>
          <w:pPr>
            <w:pStyle w:val="Contents4"/>
            <w:tabs>
              <w:tab w:val="clear" w:pos="8176"/>
              <w:tab w:val="right" w:pos="9026" w:leader="dot"/>
            </w:tabs>
            <w:rPr/>
          </w:pPr>
          <w:hyperlink w:anchor="__RefHeading___Toc735103_3244359995">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735105_3244359995">
            <w:r>
              <w:rPr>
                <w:webHidden/>
                <w:rStyle w:val="IndexLink"/>
                <w:rtl w:val="true"/>
              </w:rPr>
              <w:t>الجهة الاولی</w:t>
            </w:r>
            <w:r>
              <w:rPr>
                <w:rStyle w:val="IndexLink"/>
                <w:rtl w:val="true"/>
              </w:rPr>
              <w:t xml:space="preserve">: </w:t>
            </w:r>
            <w:r>
              <w:rPr>
                <w:rStyle w:val="IndexLink"/>
                <w:rtl w:val="true"/>
              </w:rPr>
              <w:t>فی أنحاء الشکوک فی المقام</w:t>
            </w:r>
            <w:r>
              <w:rPr>
                <w:rStyle w:val="IndexLink"/>
                <w:rtl w:val="true"/>
              </w:rPr>
              <w:tab/>
            </w:r>
            <w:r>
              <w:rPr>
                <w:rStyle w:val="IndexLink"/>
              </w:rPr>
              <w:t>310</w:t>
            </w:r>
          </w:hyperlink>
        </w:p>
        <w:p>
          <w:pPr>
            <w:pStyle w:val="Contents4"/>
            <w:tabs>
              <w:tab w:val="clear" w:pos="8176"/>
              <w:tab w:val="right" w:pos="9026" w:leader="dot"/>
            </w:tabs>
            <w:rPr/>
          </w:pPr>
          <w:hyperlink w:anchor="__RefHeading___Toc735107_3244359995">
            <w:r>
              <w:rPr>
                <w:webHidden/>
                <w:rStyle w:val="IndexLink"/>
                <w:rtl w:val="true"/>
              </w:rPr>
              <w:t>الجهة الثانیة</w:t>
            </w:r>
            <w:r>
              <w:rPr>
                <w:rStyle w:val="IndexLink"/>
                <w:rtl w:val="true"/>
              </w:rPr>
              <w:t xml:space="preserve">: </w:t>
            </w:r>
            <w:r>
              <w:rPr>
                <w:rStyle w:val="IndexLink"/>
                <w:rtl w:val="true"/>
              </w:rPr>
              <w:t>حول العناوین المذکورة فی المقام</w:t>
            </w:r>
            <w:r>
              <w:rPr>
                <w:rStyle w:val="IndexLink"/>
                <w:rtl w:val="true"/>
              </w:rPr>
              <w:tab/>
            </w:r>
            <w:r>
              <w:rPr>
                <w:rStyle w:val="IndexLink"/>
              </w:rPr>
              <w:t>311</w:t>
            </w:r>
          </w:hyperlink>
        </w:p>
        <w:p>
          <w:pPr>
            <w:pStyle w:val="Contents5"/>
            <w:tabs>
              <w:tab w:val="clear" w:pos="7892"/>
              <w:tab w:val="right" w:pos="9026" w:leader="dot"/>
            </w:tabs>
            <w:rPr/>
          </w:pPr>
          <w:hyperlink w:anchor="__RefHeading___Toc735109_3244359995">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735111_3244359995">
            <w:r>
              <w:rPr>
                <w:webHidden/>
                <w:rStyle w:val="IndexLink"/>
                <w:rtl w:val="true"/>
              </w:rPr>
              <w:t>تذییل</w:t>
            </w:r>
            <w:r>
              <w:rPr>
                <w:rStyle w:val="IndexLink"/>
                <w:rtl w:val="true"/>
              </w:rPr>
              <w:t xml:space="preserve">: </w:t>
            </w:r>
            <w:r>
              <w:rPr>
                <w:rStyle w:val="IndexLink"/>
                <w:rtl w:val="true"/>
              </w:rPr>
              <w:t>تحقیق حول العلم الإجمالی هنا و ما مرّ فی القطع</w:t>
            </w:r>
            <w:r>
              <w:rPr>
                <w:rStyle w:val="IndexLink"/>
                <w:rtl w:val="true"/>
              </w:rPr>
              <w:tab/>
            </w:r>
            <w:r>
              <w:rPr>
                <w:rStyle w:val="IndexLink"/>
              </w:rPr>
              <w:t>314</w:t>
            </w:r>
          </w:hyperlink>
        </w:p>
        <w:p>
          <w:pPr>
            <w:pStyle w:val="Contents6"/>
            <w:tabs>
              <w:tab w:val="clear" w:pos="7609"/>
              <w:tab w:val="right" w:pos="9026" w:leader="dot"/>
            </w:tabs>
            <w:rPr/>
          </w:pPr>
          <w:hyperlink w:anchor="__RefHeading___Toc735113_3244359995">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735115_3244359995">
            <w:r>
              <w:rPr>
                <w:webHidden/>
                <w:rStyle w:val="IndexLink"/>
                <w:rtl w:val="true"/>
              </w:rPr>
              <w:t>تنبیه</w:t>
            </w:r>
            <w:r>
              <w:rPr>
                <w:rStyle w:val="IndexLink"/>
                <w:rtl w:val="true"/>
              </w:rPr>
              <w:t xml:space="preserve">: </w:t>
            </w:r>
            <w:r>
              <w:rPr>
                <w:rStyle w:val="IndexLink"/>
                <w:rtl w:val="true"/>
              </w:rPr>
              <w:t>حول خروج العلم الإجمالی بالامتثال عن محل النزاع</w:t>
            </w:r>
            <w:r>
              <w:rPr>
                <w:rStyle w:val="IndexLink"/>
                <w:rtl w:val="true"/>
              </w:rPr>
              <w:tab/>
            </w:r>
            <w:r>
              <w:rPr>
                <w:rStyle w:val="IndexLink"/>
              </w:rPr>
              <w:t>317</w:t>
            </w:r>
          </w:hyperlink>
        </w:p>
        <w:p>
          <w:pPr>
            <w:pStyle w:val="Contents4"/>
            <w:tabs>
              <w:tab w:val="clear" w:pos="8176"/>
              <w:tab w:val="right" w:pos="9026" w:leader="dot"/>
            </w:tabs>
            <w:rPr/>
          </w:pPr>
          <w:hyperlink w:anchor="__RefHeading___Toc735117_3244359995">
            <w:r>
              <w:rPr>
                <w:webHidden/>
                <w:rStyle w:val="IndexLink"/>
                <w:rtl w:val="true"/>
              </w:rPr>
              <w:t>الجهة الثالثة</w:t>
            </w:r>
            <w:r>
              <w:rPr>
                <w:rStyle w:val="IndexLink"/>
                <w:rtl w:val="true"/>
              </w:rPr>
              <w:t xml:space="preserve">: </w:t>
            </w:r>
            <w:r>
              <w:rPr>
                <w:rStyle w:val="IndexLink"/>
                <w:rtl w:val="true"/>
              </w:rPr>
              <w:t>و فیها إشارة إلی حقیقة العلم الإجمالی</w:t>
            </w:r>
            <w:r>
              <w:rPr>
                <w:rStyle w:val="IndexLink"/>
                <w:rtl w:val="true"/>
              </w:rPr>
              <w:tab/>
            </w:r>
            <w:r>
              <w:rPr>
                <w:rStyle w:val="IndexLink"/>
              </w:rPr>
              <w:t>318</w:t>
            </w:r>
          </w:hyperlink>
        </w:p>
        <w:p>
          <w:pPr>
            <w:pStyle w:val="Contents5"/>
            <w:tabs>
              <w:tab w:val="clear" w:pos="7892"/>
              <w:tab w:val="right" w:pos="9026" w:leader="dot"/>
            </w:tabs>
            <w:rPr/>
          </w:pPr>
          <w:hyperlink w:anchor="__RefHeading___Toc735119_3244359995">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735121_3244359995">
            <w:r>
              <w:rPr>
                <w:webHidden/>
                <w:rStyle w:val="IndexLink"/>
                <w:rtl w:val="true"/>
              </w:rPr>
              <w:t>المسألة الاولی إمکان الترخیص فی أطراف الشبهة الحکمیة</w:t>
            </w:r>
            <w:r>
              <w:rPr>
                <w:rStyle w:val="IndexLink"/>
                <w:rtl w:val="true"/>
              </w:rPr>
              <w:tab/>
            </w:r>
            <w:r>
              <w:rPr>
                <w:rStyle w:val="IndexLink"/>
              </w:rPr>
              <w:t>320</w:t>
            </w:r>
          </w:hyperlink>
        </w:p>
        <w:p>
          <w:pPr>
            <w:pStyle w:val="Contents6"/>
            <w:tabs>
              <w:tab w:val="clear" w:pos="7609"/>
              <w:tab w:val="right" w:pos="9026" w:leader="dot"/>
            </w:tabs>
            <w:rPr/>
          </w:pPr>
          <w:hyperlink w:anchor="__RefHeading___Toc735123_3244359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735125_3244359995">
            <w:r>
              <w:rPr>
                <w:webHidden/>
                <w:rStyle w:val="IndexLink"/>
                <w:rtl w:val="true"/>
              </w:rPr>
              <w:t>تمهید حول تقریب بدیع لوجوب الاحتیاط</w:t>
            </w:r>
            <w:r>
              <w:rPr>
                <w:rStyle w:val="IndexLink"/>
                <w:rtl w:val="true"/>
              </w:rPr>
              <w:tab/>
            </w:r>
            <w:r>
              <w:rPr>
                <w:rStyle w:val="IndexLink"/>
              </w:rPr>
              <w:t>321</w:t>
            </w:r>
          </w:hyperlink>
        </w:p>
        <w:p>
          <w:pPr>
            <w:pStyle w:val="Contents6"/>
            <w:tabs>
              <w:tab w:val="clear" w:pos="7609"/>
              <w:tab w:val="right" w:pos="9026" w:leader="dot"/>
            </w:tabs>
            <w:rPr/>
          </w:pPr>
          <w:hyperlink w:anchor="__RefHeading___Toc735127_3244359995">
            <w:r>
              <w:rPr>
                <w:webHidden/>
                <w:rStyle w:val="IndexLink"/>
                <w:rtl w:val="true"/>
              </w:rPr>
              <w:t>بقی شی‌ء</w:t>
            </w:r>
            <w:r>
              <w:rPr>
                <w:rStyle w:val="IndexLink"/>
                <w:rtl w:val="true"/>
              </w:rPr>
              <w:t xml:space="preserve">: </w:t>
            </w:r>
            <w:r>
              <w:rPr>
                <w:rStyle w:val="IndexLink"/>
                <w:rtl w:val="true"/>
              </w:rPr>
              <w:t>فی بیان ما یوجب الاحتیاط عند العلم الإجمالی</w:t>
            </w:r>
            <w:r>
              <w:rPr>
                <w:rStyle w:val="IndexLink"/>
                <w:rtl w:val="true"/>
              </w:rPr>
              <w:tab/>
            </w:r>
            <w:r>
              <w:rPr>
                <w:rStyle w:val="IndexLink"/>
              </w:rPr>
              <w:t>322</w:t>
            </w:r>
          </w:hyperlink>
        </w:p>
        <w:p>
          <w:pPr>
            <w:pStyle w:val="Contents6"/>
            <w:tabs>
              <w:tab w:val="clear" w:pos="7609"/>
              <w:tab w:val="right" w:pos="9026" w:leader="dot"/>
            </w:tabs>
            <w:rPr/>
          </w:pPr>
          <w:hyperlink w:anchor="__RefHeading___Toc735129_3244359995">
            <w:r>
              <w:rPr>
                <w:webHidden/>
                <w:rStyle w:val="IndexLink"/>
                <w:rtl w:val="true"/>
              </w:rPr>
              <w:t>تنبیه</w:t>
            </w:r>
            <w:r>
              <w:rPr>
                <w:rStyle w:val="IndexLink"/>
                <w:rtl w:val="true"/>
              </w:rPr>
              <w:tab/>
            </w:r>
            <w:r>
              <w:rPr>
                <w:rStyle w:val="IndexLink"/>
              </w:rPr>
              <w:t>323</w:t>
            </w:r>
          </w:hyperlink>
        </w:p>
        <w:p>
          <w:pPr>
            <w:pStyle w:val="Contents6"/>
            <w:tabs>
              <w:tab w:val="clear" w:pos="7609"/>
              <w:tab w:val="right" w:pos="9026" w:leader="dot"/>
            </w:tabs>
            <w:rPr/>
          </w:pPr>
          <w:hyperlink w:anchor="__RefHeading___Toc735131_3244359995">
            <w:r>
              <w:rPr>
                <w:webHidden/>
                <w:rStyle w:val="IndexLink"/>
                <w:rtl w:val="true"/>
              </w:rPr>
              <w:t>إفادة و إعادة</w:t>
            </w:r>
            <w:r>
              <w:rPr>
                <w:rStyle w:val="IndexLink"/>
                <w:rtl w:val="true"/>
              </w:rPr>
              <w:tab/>
            </w:r>
            <w:r>
              <w:rPr>
                <w:rStyle w:val="IndexLink"/>
              </w:rPr>
              <w:t>323</w:t>
            </w:r>
          </w:hyperlink>
        </w:p>
        <w:p>
          <w:pPr>
            <w:pStyle w:val="Contents6"/>
            <w:tabs>
              <w:tab w:val="clear" w:pos="7609"/>
              <w:tab w:val="right" w:pos="9026" w:leader="dot"/>
            </w:tabs>
            <w:rPr/>
          </w:pPr>
          <w:hyperlink w:anchor="__RefHeading___Toc735133_3244359995">
            <w:r>
              <w:rPr>
                <w:webHidden/>
                <w:rStyle w:val="IndexLink"/>
                <w:rtl w:val="true"/>
              </w:rPr>
              <w:t>المقام الأوّل</w:t>
            </w:r>
            <w:r>
              <w:rPr>
                <w:rStyle w:val="IndexLink"/>
                <w:rtl w:val="true"/>
              </w:rPr>
              <w:t xml:space="preserve">: </w:t>
            </w:r>
            <w:r>
              <w:rPr>
                <w:rStyle w:val="IndexLink"/>
                <w:rtl w:val="true"/>
              </w:rPr>
              <w:t>حول معقولیّة الترخیص بالنسبة إلی جمیع الأطراف</w:t>
            </w:r>
            <w:r>
              <w:rPr>
                <w:rStyle w:val="IndexLink"/>
                <w:rtl w:val="true"/>
              </w:rPr>
              <w:tab/>
            </w:r>
            <w:r>
              <w:rPr>
                <w:rStyle w:val="IndexLink"/>
              </w:rPr>
              <w:t>324</w:t>
            </w:r>
          </w:hyperlink>
        </w:p>
        <w:p>
          <w:pPr>
            <w:pStyle w:val="Contents6"/>
            <w:tabs>
              <w:tab w:val="clear" w:pos="7609"/>
              <w:tab w:val="right" w:pos="9026" w:leader="dot"/>
            </w:tabs>
            <w:rPr/>
          </w:pPr>
          <w:hyperlink w:anchor="__RefHeading___Toc735135_3244359995">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735137_3244359995">
            <w:r>
              <w:rPr>
                <w:webHidden/>
                <w:rStyle w:val="IndexLink"/>
                <w:rtl w:val="true"/>
              </w:rPr>
              <w:t>تنبیه</w:t>
            </w:r>
            <w:r>
              <w:rPr>
                <w:rStyle w:val="IndexLink"/>
                <w:rtl w:val="true"/>
              </w:rPr>
              <w:t xml:space="preserve">: </w:t>
            </w:r>
            <w:r>
              <w:rPr>
                <w:rStyle w:val="IndexLink"/>
                <w:rtl w:val="true"/>
              </w:rPr>
              <w:t>فی بعض ما لا ینبغی الخوض فیه هنا</w:t>
            </w:r>
            <w:r>
              <w:rPr>
                <w:rStyle w:val="IndexLink"/>
                <w:rtl w:val="true"/>
              </w:rPr>
              <w:tab/>
            </w:r>
            <w:r>
              <w:rPr>
                <w:rStyle w:val="IndexLink"/>
              </w:rPr>
              <w:t>331</w:t>
            </w:r>
          </w:hyperlink>
        </w:p>
        <w:p>
          <w:pPr>
            <w:pStyle w:val="Contents6"/>
            <w:tabs>
              <w:tab w:val="clear" w:pos="7609"/>
              <w:tab w:val="right" w:pos="9026" w:leader="dot"/>
            </w:tabs>
            <w:rPr/>
          </w:pPr>
          <w:hyperlink w:anchor="__RefHeading___Toc735139_3244359995">
            <w:r>
              <w:rPr>
                <w:webHidden/>
                <w:rStyle w:val="IndexLink"/>
                <w:rtl w:val="true"/>
              </w:rPr>
              <w:t>فذلکة البحث</w:t>
            </w:r>
            <w:r>
              <w:rPr>
                <w:rStyle w:val="IndexLink"/>
                <w:rtl w:val="true"/>
              </w:rPr>
              <w:tab/>
            </w:r>
            <w:r>
              <w:rPr>
                <w:rStyle w:val="IndexLink"/>
              </w:rPr>
              <w:t>332</w:t>
            </w:r>
          </w:hyperlink>
        </w:p>
        <w:p>
          <w:pPr>
            <w:pStyle w:val="Contents6"/>
            <w:tabs>
              <w:tab w:val="clear" w:pos="7609"/>
              <w:tab w:val="right" w:pos="9026" w:leader="dot"/>
            </w:tabs>
            <w:rPr/>
          </w:pPr>
          <w:hyperlink w:anchor="__RefHeading___Toc735141_3244359995">
            <w:r>
              <w:rPr>
                <w:webHidden/>
                <w:rStyle w:val="IndexLink"/>
                <w:rtl w:val="true"/>
              </w:rPr>
              <w:t>المقام الثانی</w:t>
            </w:r>
            <w:r>
              <w:rPr>
                <w:rStyle w:val="IndexLink"/>
                <w:rtl w:val="true"/>
              </w:rPr>
              <w:t xml:space="preserve">: </w:t>
            </w:r>
            <w:r>
              <w:rPr>
                <w:rStyle w:val="IndexLink"/>
                <w:rtl w:val="true"/>
              </w:rPr>
              <w:t>حول ما یتعلّق بحدود ترخیص الشرع تصدیقا فی الشبهات الحکمیّة المقرونة بالعلم الإجمالیّ</w:t>
            </w:r>
            <w:r>
              <w:rPr>
                <w:rStyle w:val="IndexLink"/>
                <w:rtl w:val="true"/>
              </w:rPr>
              <w:tab/>
            </w:r>
            <w:r>
              <w:rPr>
                <w:rStyle w:val="IndexLink"/>
              </w:rPr>
              <w:t>333</w:t>
            </w:r>
          </w:hyperlink>
        </w:p>
        <w:p>
          <w:pPr>
            <w:pStyle w:val="Contents6"/>
            <w:tabs>
              <w:tab w:val="clear" w:pos="7609"/>
              <w:tab w:val="right" w:pos="9026" w:leader="dot"/>
            </w:tabs>
            <w:rPr/>
          </w:pPr>
          <w:hyperlink w:anchor="__RefHeading___Toc735143_3244359995">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735145_3244359995">
            <w:r>
              <w:rPr>
                <w:webHidden/>
                <w:rStyle w:val="IndexLink"/>
                <w:rtl w:val="true"/>
              </w:rPr>
              <w:t>الصورة الاولی</w:t>
            </w:r>
            <w:r>
              <w:rPr>
                <w:rStyle w:val="IndexLink"/>
                <w:rtl w:val="true"/>
              </w:rPr>
              <w:t xml:space="preserve">: </w:t>
            </w:r>
            <w:r>
              <w:rPr>
                <w:rStyle w:val="IndexLink"/>
                <w:rtl w:val="true"/>
              </w:rPr>
              <w:t>ما إذا علم علما وجدانیّا بالحکم و التکلیف</w:t>
            </w:r>
            <w:r>
              <w:rPr>
                <w:rStyle w:val="IndexLink"/>
                <w:rtl w:val="true"/>
              </w:rPr>
              <w:tab/>
            </w:r>
            <w:r>
              <w:rPr>
                <w:rStyle w:val="IndexLink"/>
              </w:rPr>
              <w:t>335</w:t>
            </w:r>
          </w:hyperlink>
        </w:p>
        <w:p>
          <w:pPr>
            <w:pStyle w:val="Contents6"/>
            <w:tabs>
              <w:tab w:val="clear" w:pos="7609"/>
              <w:tab w:val="right" w:pos="9026" w:leader="dot"/>
            </w:tabs>
            <w:rPr/>
          </w:pPr>
          <w:hyperlink w:anchor="__RefHeading___Toc735147_3244359995">
            <w:r>
              <w:rPr>
                <w:webHidden/>
                <w:rStyle w:val="IndexLink"/>
                <w:rtl w:val="true"/>
              </w:rPr>
              <w:t>الصورة الثانیة</w:t>
            </w:r>
            <w:r>
              <w:rPr>
                <w:rStyle w:val="IndexLink"/>
                <w:rtl w:val="true"/>
              </w:rPr>
              <w:t xml:space="preserve">: </w:t>
            </w:r>
            <w:r>
              <w:rPr>
                <w:rStyle w:val="IndexLink"/>
                <w:rtl w:val="true"/>
              </w:rPr>
              <w:t>ما لو علم بالحجّة إجمالا</w:t>
            </w:r>
            <w:r>
              <w:rPr>
                <w:rStyle w:val="IndexLink"/>
                <w:rtl w:val="true"/>
              </w:rPr>
              <w:tab/>
            </w:r>
            <w:r>
              <w:rPr>
                <w:rStyle w:val="IndexLink"/>
              </w:rPr>
              <w:t>337</w:t>
            </w:r>
          </w:hyperlink>
        </w:p>
        <w:p>
          <w:pPr>
            <w:pStyle w:val="Contents6"/>
            <w:tabs>
              <w:tab w:val="clear" w:pos="7609"/>
              <w:tab w:val="right" w:pos="9026" w:leader="dot"/>
            </w:tabs>
            <w:rPr/>
          </w:pPr>
          <w:hyperlink w:anchor="__RefHeading___Toc735149_3244359995">
            <w:r>
              <w:rPr>
                <w:webHidden/>
                <w:rStyle w:val="IndexLink"/>
                <w:rtl w:val="true"/>
              </w:rPr>
              <w:t>بقی شی‌ء</w:t>
            </w:r>
            <w:r>
              <w:rPr>
                <w:rStyle w:val="IndexLink"/>
                <w:rtl w:val="true"/>
              </w:rPr>
              <w:t xml:space="preserve">: </w:t>
            </w:r>
            <w:r>
              <w:rPr>
                <w:rStyle w:val="IndexLink"/>
                <w:rtl w:val="true"/>
              </w:rPr>
              <w:t>دفع شبهة عقلائیّة عن جریان الاصول فی مجموع الأطراف</w:t>
            </w:r>
            <w:r>
              <w:rPr>
                <w:rStyle w:val="IndexLink"/>
                <w:rtl w:val="true"/>
              </w:rPr>
              <w:tab/>
            </w:r>
            <w:r>
              <w:rPr>
                <w:rStyle w:val="IndexLink"/>
              </w:rPr>
              <w:t>342</w:t>
            </w:r>
          </w:hyperlink>
        </w:p>
        <w:p>
          <w:pPr>
            <w:pStyle w:val="Contents6"/>
            <w:tabs>
              <w:tab w:val="clear" w:pos="7609"/>
              <w:tab w:val="right" w:pos="9026" w:leader="dot"/>
            </w:tabs>
            <w:rPr/>
          </w:pPr>
          <w:hyperlink w:anchor="__RefHeading___Toc735151_3244359995">
            <w:r>
              <w:rPr>
                <w:webHidden/>
                <w:rStyle w:val="IndexLink"/>
                <w:rtl w:val="true"/>
              </w:rPr>
              <w:t>تنبیه</w:t>
            </w:r>
            <w:r>
              <w:rPr>
                <w:rStyle w:val="IndexLink"/>
                <w:rtl w:val="true"/>
              </w:rPr>
              <w:t xml:space="preserve">: </w:t>
            </w:r>
            <w:r>
              <w:rPr>
                <w:rStyle w:val="IndexLink"/>
                <w:rtl w:val="true"/>
              </w:rPr>
              <w:t>حول موارد العلم الإجمالیّ بالبطلان</w:t>
            </w:r>
            <w:r>
              <w:rPr>
                <w:rStyle w:val="IndexLink"/>
                <w:rtl w:val="true"/>
              </w:rPr>
              <w:tab/>
            </w:r>
            <w:r>
              <w:rPr>
                <w:rStyle w:val="IndexLink"/>
              </w:rPr>
              <w:t>344</w:t>
            </w:r>
          </w:hyperlink>
        </w:p>
        <w:p>
          <w:pPr>
            <w:pStyle w:val="Contents6"/>
            <w:tabs>
              <w:tab w:val="clear" w:pos="7609"/>
              <w:tab w:val="right" w:pos="9026" w:leader="dot"/>
            </w:tabs>
            <w:rPr/>
          </w:pPr>
          <w:hyperlink w:anchor="__RefHeading___Toc735153_3244359995">
            <w:r>
              <w:rPr>
                <w:webHidden/>
                <w:rStyle w:val="IndexLink"/>
                <w:rtl w:val="true"/>
              </w:rPr>
              <w:t>تذنیبان</w:t>
            </w:r>
            <w:r>
              <w:rPr>
                <w:rStyle w:val="IndexLink"/>
                <w:rtl w:val="true"/>
              </w:rPr>
              <w:t>:</w:t>
              <w:tab/>
            </w:r>
            <w:r>
              <w:rPr>
                <w:rStyle w:val="IndexLink"/>
              </w:rPr>
              <w:t>346</w:t>
            </w:r>
          </w:hyperlink>
        </w:p>
        <w:p>
          <w:pPr>
            <w:pStyle w:val="Contents6"/>
            <w:tabs>
              <w:tab w:val="clear" w:pos="7609"/>
              <w:tab w:val="right" w:pos="9026" w:leader="dot"/>
            </w:tabs>
            <w:rPr/>
          </w:pPr>
          <w:hyperlink w:anchor="__RefHeading___Toc735155_3244359995">
            <w:r>
              <w:rPr>
                <w:webHidden/>
                <w:rStyle w:val="IndexLink"/>
                <w:rtl w:val="true"/>
              </w:rPr>
              <w:t>أحدهما</w:t>
            </w:r>
            <w:r>
              <w:rPr>
                <w:rStyle w:val="IndexLink"/>
                <w:rtl w:val="true"/>
              </w:rPr>
              <w:t xml:space="preserve">: </w:t>
            </w:r>
            <w:r>
              <w:rPr>
                <w:rStyle w:val="IndexLink"/>
                <w:rtl w:val="true"/>
              </w:rPr>
              <w:t>و فیه بیان بدیع لإمکان الترخیص فی أطراف الشبهات الحکمیّة</w:t>
            </w:r>
            <w:r>
              <w:rPr>
                <w:rStyle w:val="IndexLink"/>
                <w:rtl w:val="true"/>
              </w:rPr>
              <w:tab/>
            </w:r>
            <w:r>
              <w:rPr>
                <w:rStyle w:val="IndexLink"/>
              </w:rPr>
              <w:t>346</w:t>
            </w:r>
          </w:hyperlink>
        </w:p>
        <w:p>
          <w:pPr>
            <w:pStyle w:val="Contents6"/>
            <w:tabs>
              <w:tab w:val="clear" w:pos="7609"/>
              <w:tab w:val="right" w:pos="9026" w:leader="dot"/>
            </w:tabs>
            <w:rPr/>
          </w:pPr>
          <w:hyperlink w:anchor="__RefHeading___Toc735157_3244359995">
            <w:r>
              <w:rPr>
                <w:webHidden/>
                <w:rStyle w:val="IndexLink"/>
                <w:rtl w:val="true"/>
              </w:rPr>
              <w:t>ثانیهما</w:t>
            </w:r>
            <w:r>
              <w:rPr>
                <w:rStyle w:val="IndexLink"/>
                <w:rtl w:val="true"/>
              </w:rPr>
              <w:t xml:space="preserve">: </w:t>
            </w:r>
            <w:r>
              <w:rPr>
                <w:rStyle w:val="IndexLink"/>
                <w:rtl w:val="true"/>
              </w:rPr>
              <w:t>فی الفارق بین تجویز العلّامة الخراسانی للترخیص و بین تجویزنا</w:t>
            </w:r>
            <w:r>
              <w:rPr>
                <w:rStyle w:val="IndexLink"/>
                <w:rtl w:val="true"/>
              </w:rPr>
              <w:tab/>
            </w:r>
            <w:r>
              <w:rPr>
                <w:rStyle w:val="IndexLink"/>
              </w:rPr>
              <w:t>349</w:t>
            </w:r>
          </w:hyperlink>
        </w:p>
        <w:p>
          <w:pPr>
            <w:pStyle w:val="Contents5"/>
            <w:tabs>
              <w:tab w:val="clear" w:pos="7892"/>
              <w:tab w:val="right" w:pos="9026" w:leader="dot"/>
            </w:tabs>
            <w:rPr/>
          </w:pPr>
          <w:hyperlink w:anchor="__RefHeading___Toc735159_3244359995">
            <w:r>
              <w:rPr>
                <w:webHidden/>
                <w:rStyle w:val="IndexLink"/>
                <w:rtl w:val="true"/>
              </w:rPr>
              <w:t>المسألة الثانیة حول الشبهات الموضوعیّة</w:t>
            </w:r>
            <w:r>
              <w:rPr>
                <w:rStyle w:val="IndexLink"/>
                <w:rtl w:val="true"/>
              </w:rPr>
              <w:tab/>
            </w:r>
            <w:r>
              <w:rPr>
                <w:rStyle w:val="IndexLink"/>
              </w:rPr>
              <w:t>351</w:t>
            </w:r>
          </w:hyperlink>
        </w:p>
        <w:p>
          <w:pPr>
            <w:pStyle w:val="Contents6"/>
            <w:tabs>
              <w:tab w:val="clear" w:pos="7609"/>
              <w:tab w:val="right" w:pos="9026" w:leader="dot"/>
            </w:tabs>
            <w:rPr/>
          </w:pPr>
          <w:hyperlink w:anchor="__RefHeading___Toc735161_3244359995">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735163_3244359995">
            <w:r>
              <w:rPr>
                <w:webHidden/>
                <w:rStyle w:val="IndexLink"/>
                <w:rtl w:val="true"/>
              </w:rPr>
              <w:t>تمهید</w:t>
            </w:r>
            <w:r>
              <w:rPr>
                <w:rStyle w:val="IndexLink"/>
                <w:rtl w:val="true"/>
              </w:rPr>
              <w:tab/>
            </w:r>
            <w:r>
              <w:rPr>
                <w:rStyle w:val="IndexLink"/>
              </w:rPr>
              <w:t>352</w:t>
            </w:r>
          </w:hyperlink>
        </w:p>
        <w:p>
          <w:pPr>
            <w:pStyle w:val="Contents6"/>
            <w:tabs>
              <w:tab w:val="clear" w:pos="7609"/>
              <w:tab w:val="right" w:pos="9026" w:leader="dot"/>
            </w:tabs>
            <w:rPr/>
          </w:pPr>
          <w:hyperlink w:anchor="__RefHeading___Toc735165_3244359995">
            <w:r>
              <w:rPr>
                <w:webHidden/>
                <w:rStyle w:val="IndexLink"/>
                <w:rtl w:val="true"/>
              </w:rPr>
              <w:t>امتیازات بین الشبهات الحکمیّة و الموضوعیّة فی العلم الإجمالیّ</w:t>
            </w:r>
            <w:r>
              <w:rPr>
                <w:rStyle w:val="IndexLink"/>
                <w:rtl w:val="true"/>
              </w:rPr>
              <w:tab/>
            </w:r>
            <w:r>
              <w:rPr>
                <w:rStyle w:val="IndexLink"/>
              </w:rPr>
              <w:t>352</w:t>
            </w:r>
          </w:hyperlink>
        </w:p>
        <w:p>
          <w:pPr>
            <w:pStyle w:val="Contents6"/>
            <w:tabs>
              <w:tab w:val="clear" w:pos="7609"/>
              <w:tab w:val="right" w:pos="9026" w:leader="dot"/>
            </w:tabs>
            <w:rPr/>
          </w:pPr>
          <w:hyperlink w:anchor="__RefHeading___Toc735167_3244359995">
            <w:r>
              <w:rPr>
                <w:webHidden/>
                <w:rStyle w:val="IndexLink"/>
                <w:rtl w:val="true"/>
              </w:rPr>
              <w:t>المقام الأوّل</w:t>
            </w:r>
            <w:r>
              <w:rPr>
                <w:rStyle w:val="IndexLink"/>
                <w:rtl w:val="true"/>
              </w:rPr>
              <w:t xml:space="preserve">: </w:t>
            </w:r>
            <w:r>
              <w:rPr>
                <w:rStyle w:val="IndexLink"/>
                <w:rtl w:val="true"/>
              </w:rPr>
              <w:t>فی الترخیص بالأمارات و الطرق، و نسبة أدلّتها إلی الأدلّة الواقعیّة النفسیّة</w:t>
            </w:r>
            <w:r>
              <w:rPr>
                <w:rStyle w:val="IndexLink"/>
                <w:rtl w:val="true"/>
              </w:rPr>
              <w:tab/>
            </w:r>
            <w:r>
              <w:rPr>
                <w:rStyle w:val="IndexLink"/>
              </w:rPr>
              <w:t>356</w:t>
            </w:r>
          </w:hyperlink>
        </w:p>
        <w:p>
          <w:pPr>
            <w:pStyle w:val="Contents6"/>
            <w:tabs>
              <w:tab w:val="clear" w:pos="7609"/>
              <w:tab w:val="right" w:pos="9026" w:leader="dot"/>
            </w:tabs>
            <w:rPr/>
          </w:pPr>
          <w:hyperlink w:anchor="__RefHeading___Toc735169_3244359995">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735171_3244359995">
            <w:r>
              <w:rPr>
                <w:webHidden/>
                <w:rStyle w:val="IndexLink"/>
                <w:rtl w:val="true"/>
              </w:rPr>
              <w:t>إیقاظ</w:t>
            </w:r>
            <w:r>
              <w:rPr>
                <w:rStyle w:val="IndexLink"/>
                <w:rtl w:val="true"/>
              </w:rPr>
              <w:tab/>
            </w:r>
            <w:r>
              <w:rPr>
                <w:rStyle w:val="IndexLink"/>
              </w:rPr>
              <w:t>359</w:t>
            </w:r>
          </w:hyperlink>
        </w:p>
        <w:p>
          <w:pPr>
            <w:pStyle w:val="Contents6"/>
            <w:tabs>
              <w:tab w:val="clear" w:pos="7609"/>
              <w:tab w:val="right" w:pos="9026" w:leader="dot"/>
            </w:tabs>
            <w:rPr/>
          </w:pPr>
          <w:hyperlink w:anchor="__RefHeading___Toc735173_3244359995">
            <w:r>
              <w:rPr>
                <w:webHidden/>
                <w:rStyle w:val="IndexLink"/>
                <w:rtl w:val="true"/>
              </w:rPr>
              <w:t>تنبیه</w:t>
            </w:r>
            <w:r>
              <w:rPr>
                <w:rStyle w:val="IndexLink"/>
                <w:rtl w:val="true"/>
              </w:rPr>
              <w:t xml:space="preserve">: </w:t>
            </w:r>
            <w:r>
              <w:rPr>
                <w:rStyle w:val="IndexLink"/>
                <w:rtl w:val="true"/>
              </w:rPr>
              <w:t>و فیه استدلال بالأخبار العلاجیة علی حجّیة الخبر و البیّنة</w:t>
            </w:r>
            <w:r>
              <w:rPr>
                <w:rStyle w:val="IndexLink"/>
                <w:rtl w:val="true"/>
              </w:rPr>
              <w:tab/>
            </w:r>
            <w:r>
              <w:rPr>
                <w:rStyle w:val="IndexLink"/>
              </w:rPr>
              <w:t>359</w:t>
            </w:r>
          </w:hyperlink>
        </w:p>
        <w:p>
          <w:pPr>
            <w:pStyle w:val="Contents6"/>
            <w:tabs>
              <w:tab w:val="clear" w:pos="7609"/>
              <w:tab w:val="right" w:pos="9026" w:leader="dot"/>
            </w:tabs>
            <w:rPr/>
          </w:pPr>
          <w:hyperlink w:anchor="__RefHeading___Toc735175_3244359995">
            <w:r>
              <w:rPr>
                <w:webHidden/>
                <w:rStyle w:val="IndexLink"/>
                <w:rtl w:val="true"/>
              </w:rPr>
              <w:t>توجیه</w:t>
            </w:r>
            <w:r>
              <w:rPr>
                <w:rStyle w:val="IndexLink"/>
                <w:rtl w:val="true"/>
              </w:rPr>
              <w:t xml:space="preserve">: </w:t>
            </w:r>
            <w:r>
              <w:rPr>
                <w:rStyle w:val="IndexLink"/>
                <w:rtl w:val="true"/>
              </w:rPr>
              <w:t>فی إبطال توهّم تعارض البیّنتین هنا</w:t>
            </w:r>
            <w:r>
              <w:rPr>
                <w:rStyle w:val="IndexLink"/>
                <w:rtl w:val="true"/>
              </w:rPr>
              <w:tab/>
            </w:r>
            <w:r>
              <w:rPr>
                <w:rStyle w:val="IndexLink"/>
              </w:rPr>
              <w:t>360</w:t>
            </w:r>
          </w:hyperlink>
        </w:p>
        <w:p>
          <w:pPr>
            <w:pStyle w:val="Contents6"/>
            <w:tabs>
              <w:tab w:val="clear" w:pos="7609"/>
              <w:tab w:val="right" w:pos="9026" w:leader="dot"/>
            </w:tabs>
            <w:rPr/>
          </w:pPr>
          <w:hyperlink w:anchor="__RefHeading___Toc735177_3244359995">
            <w:r>
              <w:rPr>
                <w:webHidden/>
                <w:rStyle w:val="IndexLink"/>
                <w:rtl w:val="true"/>
              </w:rPr>
              <w:t>المقام الثانی</w:t>
            </w:r>
            <w:r>
              <w:rPr>
                <w:rStyle w:val="IndexLink"/>
                <w:rtl w:val="true"/>
              </w:rPr>
              <w:t xml:space="preserve">: </w:t>
            </w:r>
            <w:r>
              <w:rPr>
                <w:rStyle w:val="IndexLink"/>
                <w:rtl w:val="true"/>
              </w:rPr>
              <w:t>فی الاصول المحرزة</w:t>
            </w:r>
            <w:r>
              <w:rPr>
                <w:rStyle w:val="IndexLink"/>
                <w:rtl w:val="true"/>
              </w:rPr>
              <w:tab/>
            </w:r>
            <w:r>
              <w:rPr>
                <w:rStyle w:val="IndexLink"/>
              </w:rPr>
              <w:t>361</w:t>
            </w:r>
          </w:hyperlink>
        </w:p>
        <w:p>
          <w:pPr>
            <w:pStyle w:val="Contents6"/>
            <w:tabs>
              <w:tab w:val="clear" w:pos="7609"/>
              <w:tab w:val="right" w:pos="9026" w:leader="dot"/>
            </w:tabs>
            <w:rPr/>
          </w:pPr>
          <w:hyperlink w:anchor="__RefHeading___Toc735179_3244359995">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735181_3244359995">
            <w:r>
              <w:rPr>
                <w:webHidden/>
                <w:rStyle w:val="IndexLink"/>
                <w:rtl w:val="true"/>
              </w:rPr>
              <w:t>تذییل</w:t>
            </w:r>
            <w:r>
              <w:rPr>
                <w:rStyle w:val="IndexLink"/>
                <w:rtl w:val="true"/>
              </w:rPr>
              <w:t xml:space="preserve">: </w:t>
            </w:r>
            <w:r>
              <w:rPr>
                <w:rStyle w:val="IndexLink"/>
                <w:rtl w:val="true"/>
              </w:rPr>
              <w:t>حول القواعد الجاریة فی مقام الامتثال فی أطراف العلم الإجمالیّ</w:t>
            </w:r>
            <w:r>
              <w:rPr>
                <w:rStyle w:val="IndexLink"/>
                <w:rtl w:val="true"/>
              </w:rPr>
              <w:tab/>
            </w:r>
            <w:r>
              <w:rPr>
                <w:rStyle w:val="IndexLink"/>
              </w:rPr>
              <w:t>369</w:t>
            </w:r>
          </w:hyperlink>
        </w:p>
        <w:p>
          <w:pPr>
            <w:pStyle w:val="Contents6"/>
            <w:tabs>
              <w:tab w:val="clear" w:pos="7609"/>
              <w:tab w:val="right" w:pos="9026" w:leader="dot"/>
            </w:tabs>
            <w:rPr/>
          </w:pPr>
          <w:hyperlink w:anchor="__RefHeading___Toc735183_3244359995">
            <w:r>
              <w:rPr>
                <w:webHidden/>
                <w:rStyle w:val="IndexLink"/>
                <w:rtl w:val="true"/>
              </w:rPr>
              <w:t>بقی شی‌ء</w:t>
            </w:r>
            <w:r>
              <w:rPr>
                <w:rStyle w:val="IndexLink"/>
                <w:rtl w:val="true"/>
              </w:rPr>
              <w:t xml:space="preserve">: </w:t>
            </w:r>
            <w:r>
              <w:rPr>
                <w:rStyle w:val="IndexLink"/>
                <w:rtl w:val="true"/>
              </w:rPr>
              <w:t>حول التمسّک بقاعدة التجاوز عند العلم إجمالا بترک الرکوع أو السجدتین بعد المحلّ</w:t>
            </w:r>
            <w:r>
              <w:rPr>
                <w:rStyle w:val="IndexLink"/>
                <w:rtl w:val="true"/>
              </w:rPr>
              <w:tab/>
            </w:r>
            <w:r>
              <w:rPr>
                <w:rStyle w:val="IndexLink"/>
              </w:rPr>
              <w:t>373</w:t>
            </w:r>
          </w:hyperlink>
        </w:p>
        <w:p>
          <w:pPr>
            <w:pStyle w:val="Contents6"/>
            <w:tabs>
              <w:tab w:val="clear" w:pos="7609"/>
              <w:tab w:val="right" w:pos="9026" w:leader="dot"/>
            </w:tabs>
            <w:rPr/>
          </w:pPr>
          <w:hyperlink w:anchor="__RefHeading___Toc735185_3244359995">
            <w:r>
              <w:rPr>
                <w:webHidden/>
                <w:rStyle w:val="IndexLink"/>
                <w:rtl w:val="true"/>
              </w:rPr>
              <w:t>تذییل</w:t>
            </w:r>
            <w:r>
              <w:rPr>
                <w:rStyle w:val="IndexLink"/>
                <w:rtl w:val="true"/>
              </w:rPr>
              <w:t xml:space="preserve">: </w:t>
            </w:r>
            <w:r>
              <w:rPr>
                <w:rStyle w:val="IndexLink"/>
                <w:rtl w:val="true"/>
              </w:rPr>
              <w:t>حول قاعدتی الحلّ و الطهارة، و حدود دلالة أخبارهما</w:t>
            </w:r>
            <w:r>
              <w:rPr>
                <w:rStyle w:val="IndexLink"/>
                <w:rtl w:val="true"/>
              </w:rPr>
              <w:tab/>
            </w:r>
            <w:r>
              <w:rPr>
                <w:rStyle w:val="IndexLink"/>
              </w:rPr>
              <w:t>375</w:t>
            </w:r>
          </w:hyperlink>
        </w:p>
        <w:p>
          <w:pPr>
            <w:pStyle w:val="Contents6"/>
            <w:tabs>
              <w:tab w:val="clear" w:pos="7609"/>
              <w:tab w:val="right" w:pos="9026" w:leader="dot"/>
            </w:tabs>
            <w:rPr/>
          </w:pPr>
          <w:hyperlink w:anchor="__RefHeading___Toc735187_3244359995">
            <w:r>
              <w:rPr>
                <w:webHidden/>
                <w:rStyle w:val="IndexLink"/>
                <w:rtl w:val="true"/>
              </w:rPr>
              <w:t>تتمیم</w:t>
            </w:r>
            <w:r>
              <w:rPr>
                <w:rStyle w:val="IndexLink"/>
                <w:rtl w:val="true"/>
              </w:rPr>
              <w:t xml:space="preserve">: </w:t>
            </w:r>
            <w:r>
              <w:rPr>
                <w:rStyle w:val="IndexLink"/>
                <w:rtl w:val="true"/>
              </w:rPr>
              <w:t>حول جریان قاعدتی الحل و الطهارة فی أطراف العلم الإجمالیّ</w:t>
            </w:r>
            <w:r>
              <w:rPr>
                <w:rStyle w:val="IndexLink"/>
                <w:rtl w:val="true"/>
              </w:rPr>
              <w:tab/>
            </w:r>
            <w:r>
              <w:rPr>
                <w:rStyle w:val="IndexLink"/>
              </w:rPr>
              <w:t>379</w:t>
            </w:r>
          </w:hyperlink>
        </w:p>
        <w:p>
          <w:pPr>
            <w:pStyle w:val="Contents6"/>
            <w:tabs>
              <w:tab w:val="clear" w:pos="7609"/>
              <w:tab w:val="right" w:pos="9026" w:leader="dot"/>
            </w:tabs>
            <w:rPr/>
          </w:pPr>
          <w:hyperlink w:anchor="__RefHeading___Toc735189_3244359995">
            <w:r>
              <w:rPr>
                <w:webHidden/>
                <w:rStyle w:val="IndexLink"/>
                <w:rtl w:val="true"/>
              </w:rPr>
              <w:t>بقی شی‌ء</w:t>
            </w:r>
            <w:r>
              <w:rPr>
                <w:rStyle w:val="IndexLink"/>
                <w:rtl w:val="true"/>
              </w:rPr>
              <w:tab/>
            </w:r>
            <w:r>
              <w:rPr>
                <w:rStyle w:val="IndexLink"/>
              </w:rPr>
              <w:t>381</w:t>
            </w:r>
          </w:hyperlink>
        </w:p>
        <w:p>
          <w:pPr>
            <w:pStyle w:val="Contents5"/>
            <w:tabs>
              <w:tab w:val="clear" w:pos="7892"/>
              <w:tab w:val="right" w:pos="9026" w:leader="dot"/>
            </w:tabs>
            <w:rPr/>
          </w:pPr>
          <w:hyperlink w:anchor="__RefHeading___Toc735191_3244359995">
            <w:r>
              <w:rPr>
                <w:webHidden/>
                <w:rStyle w:val="IndexLink"/>
                <w:rtl w:val="true"/>
              </w:rPr>
              <w:t>تذنیبات و تنبیهات</w:t>
            </w:r>
            <w:r>
              <w:rPr>
                <w:rStyle w:val="IndexLink"/>
                <w:rtl w:val="true"/>
              </w:rPr>
              <w:tab/>
            </w:r>
            <w:r>
              <w:rPr>
                <w:rStyle w:val="IndexLink"/>
              </w:rPr>
              <w:t>383</w:t>
            </w:r>
          </w:hyperlink>
        </w:p>
        <w:p>
          <w:pPr>
            <w:pStyle w:val="Contents6"/>
            <w:tabs>
              <w:tab w:val="clear" w:pos="7609"/>
              <w:tab w:val="right" w:pos="9026" w:leader="dot"/>
            </w:tabs>
            <w:rPr/>
          </w:pPr>
          <w:hyperlink w:anchor="__RefHeading___Toc735193_3244359995">
            <w:r>
              <w:rPr>
                <w:webHidden/>
                <w:rStyle w:val="IndexLink"/>
                <w:rtl w:val="true"/>
              </w:rPr>
              <w:t>التنبیه الأوّل حول جریان الاصول فی أطراف العلم الإجمالی</w:t>
            </w:r>
            <w:r>
              <w:rPr>
                <w:rStyle w:val="IndexLink"/>
                <w:rtl w:val="true"/>
              </w:rPr>
              <w:tab/>
            </w:r>
            <w:r>
              <w:rPr>
                <w:rStyle w:val="IndexLink"/>
              </w:rPr>
              <w:t>383</w:t>
            </w:r>
          </w:hyperlink>
        </w:p>
        <w:p>
          <w:pPr>
            <w:pStyle w:val="Contents6"/>
            <w:tabs>
              <w:tab w:val="clear" w:pos="7609"/>
              <w:tab w:val="right" w:pos="9026" w:leader="dot"/>
            </w:tabs>
            <w:rPr/>
          </w:pPr>
          <w:hyperlink w:anchor="__RefHeading___Toc735195_3244359995">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735197_3244359995">
            <w:r>
              <w:rPr>
                <w:webHidden/>
                <w:rStyle w:val="IndexLink"/>
                <w:rtl w:val="true"/>
              </w:rPr>
              <w:t>فذلکة الموقف</w:t>
            </w:r>
            <w:r>
              <w:rPr>
                <w:rStyle w:val="IndexLink"/>
                <w:rtl w:val="true"/>
              </w:rPr>
              <w:tab/>
            </w:r>
            <w:r>
              <w:rPr>
                <w:rStyle w:val="IndexLink"/>
              </w:rPr>
              <w:t>385</w:t>
            </w:r>
          </w:hyperlink>
        </w:p>
        <w:p>
          <w:pPr>
            <w:pStyle w:val="Contents6"/>
            <w:tabs>
              <w:tab w:val="clear" w:pos="7609"/>
              <w:tab w:val="right" w:pos="9026" w:leader="dot"/>
            </w:tabs>
            <w:rPr/>
          </w:pPr>
          <w:hyperlink w:anchor="__RefHeading___Toc735199_3244359995">
            <w:r>
              <w:rPr>
                <w:webHidden/>
                <w:rStyle w:val="IndexLink"/>
                <w:rtl w:val="true"/>
              </w:rPr>
              <w:t>وجوه الترخیص فی بعض الأطراف دون بعض</w:t>
            </w:r>
            <w:r>
              <w:rPr>
                <w:rStyle w:val="IndexLink"/>
                <w:rtl w:val="true"/>
              </w:rPr>
              <w:tab/>
            </w:r>
            <w:r>
              <w:rPr>
                <w:rStyle w:val="IndexLink"/>
              </w:rPr>
              <w:t>387</w:t>
            </w:r>
          </w:hyperlink>
        </w:p>
        <w:p>
          <w:pPr>
            <w:pStyle w:val="Contents6"/>
            <w:tabs>
              <w:tab w:val="clear" w:pos="7609"/>
              <w:tab w:val="right" w:pos="9026" w:leader="dot"/>
            </w:tabs>
            <w:rPr/>
          </w:pPr>
          <w:hyperlink w:anchor="__RefHeading___Toc735201_3244359995">
            <w:r>
              <w:rPr>
                <w:webHidden/>
                <w:rStyle w:val="IndexLink"/>
                <w:rtl w:val="true"/>
              </w:rPr>
              <w:t>بقی شی‌ء</w:t>
            </w:r>
            <w:r>
              <w:rPr>
                <w:rStyle w:val="IndexLink"/>
                <w:rtl w:val="true"/>
              </w:rPr>
              <w:t xml:space="preserve">: </w:t>
            </w:r>
            <w:r>
              <w:rPr>
                <w:rStyle w:val="IndexLink"/>
                <w:rtl w:val="true"/>
              </w:rPr>
              <w:t>فی تحدید محل جریان الأصل فی بعض الأطراف</w:t>
            </w:r>
            <w:r>
              <w:rPr>
                <w:rStyle w:val="IndexLink"/>
                <w:rtl w:val="true"/>
              </w:rPr>
              <w:tab/>
            </w:r>
            <w:r>
              <w:rPr>
                <w:rStyle w:val="IndexLink"/>
              </w:rPr>
              <w:t>393</w:t>
            </w:r>
          </w:hyperlink>
        </w:p>
        <w:p>
          <w:pPr>
            <w:pStyle w:val="Contents6"/>
            <w:tabs>
              <w:tab w:val="clear" w:pos="7609"/>
              <w:tab w:val="right" w:pos="9026" w:leader="dot"/>
            </w:tabs>
            <w:rPr/>
          </w:pPr>
          <w:hyperlink w:anchor="__RefHeading___Toc735203_3244359995">
            <w:r>
              <w:rPr>
                <w:webHidden/>
                <w:rStyle w:val="IndexLink"/>
                <w:rtl w:val="true"/>
              </w:rPr>
              <w:t>تنبیه</w:t>
            </w:r>
            <w:r>
              <w:rPr>
                <w:rStyle w:val="IndexLink"/>
                <w:rtl w:val="true"/>
              </w:rPr>
              <w:t xml:space="preserve">: </w:t>
            </w:r>
            <w:r>
              <w:rPr>
                <w:rStyle w:val="IndexLink"/>
                <w:rtl w:val="true"/>
              </w:rPr>
              <w:t>حول استدلال المحقّق العراقی علی منع جریان الأصل النافی للتکلیف</w:t>
            </w:r>
            <w:r>
              <w:rPr>
                <w:rStyle w:val="IndexLink"/>
                <w:rtl w:val="true"/>
              </w:rPr>
              <w:tab/>
            </w:r>
            <w:r>
              <w:rPr>
                <w:rStyle w:val="IndexLink"/>
              </w:rPr>
              <w:t>394</w:t>
            </w:r>
          </w:hyperlink>
        </w:p>
        <w:p>
          <w:pPr>
            <w:pStyle w:val="Contents6"/>
            <w:tabs>
              <w:tab w:val="clear" w:pos="7609"/>
              <w:tab w:val="right" w:pos="9026" w:leader="dot"/>
            </w:tabs>
            <w:rPr/>
          </w:pPr>
          <w:hyperlink w:anchor="__RefHeading___Toc735205_3244359995">
            <w:r>
              <w:rPr>
                <w:webHidden/>
                <w:rStyle w:val="IndexLink"/>
                <w:rtl w:val="true"/>
              </w:rPr>
              <w:t>التنبیه الثانی فی إمکان الالتزام بالتخییر العقلیّ أو الشرعیّ فی المعلوم بالإجمال</w:t>
            </w:r>
            <w:r>
              <w:rPr>
                <w:rStyle w:val="IndexLink"/>
                <w:rtl w:val="true"/>
              </w:rPr>
              <w:tab/>
            </w:r>
            <w:r>
              <w:rPr>
                <w:rStyle w:val="IndexLink"/>
              </w:rPr>
              <w:t>396</w:t>
            </w:r>
          </w:hyperlink>
        </w:p>
        <w:p>
          <w:pPr>
            <w:pStyle w:val="Contents6"/>
            <w:tabs>
              <w:tab w:val="clear" w:pos="7609"/>
              <w:tab w:val="right" w:pos="9026" w:leader="dot"/>
            </w:tabs>
            <w:rPr/>
          </w:pPr>
          <w:hyperlink w:anchor="__RefHeading___Toc735207_3244359995">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735209_3244359995">
            <w:r>
              <w:rPr>
                <w:webHidden/>
                <w:rStyle w:val="IndexLink"/>
                <w:rtl w:val="true"/>
              </w:rPr>
              <w:t>و هم و دفع</w:t>
            </w:r>
            <w:r>
              <w:rPr>
                <w:rStyle w:val="IndexLink"/>
                <w:rtl w:val="true"/>
              </w:rPr>
              <w:tab/>
            </w:r>
            <w:r>
              <w:rPr>
                <w:rStyle w:val="IndexLink"/>
              </w:rPr>
              <w:t>396</w:t>
            </w:r>
          </w:hyperlink>
        </w:p>
        <w:p>
          <w:pPr>
            <w:pStyle w:val="Contents6"/>
            <w:tabs>
              <w:tab w:val="clear" w:pos="7609"/>
              <w:tab w:val="right" w:pos="9026" w:leader="dot"/>
            </w:tabs>
            <w:rPr/>
          </w:pPr>
          <w:hyperlink w:anchor="__RefHeading___Toc735211_3244359995">
            <w:r>
              <w:rPr>
                <w:webHidden/>
                <w:rStyle w:val="IndexLink"/>
                <w:rtl w:val="true"/>
              </w:rPr>
              <w:t>الوجوه الإثباتیة للالتزام بالتخییر فی الأطراف</w:t>
            </w:r>
            <w:r>
              <w:rPr>
                <w:rStyle w:val="IndexLink"/>
                <w:rtl w:val="true"/>
              </w:rPr>
              <w:tab/>
            </w:r>
            <w:r>
              <w:rPr>
                <w:rStyle w:val="IndexLink"/>
              </w:rPr>
              <w:t>399</w:t>
            </w:r>
          </w:hyperlink>
        </w:p>
        <w:p>
          <w:pPr>
            <w:pStyle w:val="Contents6"/>
            <w:tabs>
              <w:tab w:val="clear" w:pos="7609"/>
              <w:tab w:val="right" w:pos="9026" w:leader="dot"/>
            </w:tabs>
            <w:rPr/>
          </w:pPr>
          <w:hyperlink w:anchor="__RefHeading___Toc735213_3244359995">
            <w:r>
              <w:rPr>
                <w:webHidden/>
                <w:rStyle w:val="IndexLink"/>
                <w:rtl w:val="true"/>
              </w:rPr>
              <w:t>التنبیه الثالث حول مختار الحدائق من تقیید الطهارة و النجاسة بالعلم</w:t>
            </w:r>
            <w:r>
              <w:rPr>
                <w:rStyle w:val="IndexLink"/>
                <w:rtl w:val="true"/>
              </w:rPr>
              <w:tab/>
            </w:r>
            <w:r>
              <w:rPr>
                <w:rStyle w:val="IndexLink"/>
              </w:rPr>
              <w:t>404</w:t>
            </w:r>
          </w:hyperlink>
        </w:p>
        <w:p>
          <w:pPr>
            <w:pStyle w:val="Contents6"/>
            <w:tabs>
              <w:tab w:val="clear" w:pos="7609"/>
              <w:tab w:val="right" w:pos="9026" w:leader="dot"/>
            </w:tabs>
            <w:rPr/>
          </w:pPr>
          <w:hyperlink w:anchor="__RefHeading___Toc735215_3244359995">
            <w:r>
              <w:rPr>
                <w:webHidden/>
                <w:rStyle w:val="IndexLink"/>
                <w:rtl w:val="true"/>
              </w:rPr>
              <w:t>التنبیه الرابع حول معارضة الاستصحاب لقاعدة الحلّ</w:t>
            </w:r>
            <w:r>
              <w:rPr>
                <w:rStyle w:val="IndexLink"/>
                <w:rtl w:val="true"/>
              </w:rPr>
              <w:tab/>
            </w:r>
            <w:r>
              <w:rPr>
                <w:rStyle w:val="IndexLink"/>
              </w:rPr>
              <w:t>406</w:t>
            </w:r>
          </w:hyperlink>
        </w:p>
        <w:p>
          <w:pPr>
            <w:pStyle w:val="Contents6"/>
            <w:tabs>
              <w:tab w:val="clear" w:pos="7609"/>
              <w:tab w:val="right" w:pos="9026" w:leader="dot"/>
            </w:tabs>
            <w:rPr/>
          </w:pPr>
          <w:hyperlink w:anchor="__RefHeading___Toc735217_3244359995">
            <w:r>
              <w:rPr>
                <w:webHidden/>
                <w:rStyle w:val="IndexLink"/>
                <w:rtl w:val="true"/>
              </w:rPr>
              <w:t>التنبیه الخامس فی أنّ تدریجیّة الأطراف لا تضرّ بالتنجیز</w:t>
            </w:r>
            <w:r>
              <w:rPr>
                <w:rStyle w:val="IndexLink"/>
                <w:rtl w:val="true"/>
              </w:rPr>
              <w:tab/>
            </w:r>
            <w:r>
              <w:rPr>
                <w:rStyle w:val="IndexLink"/>
              </w:rPr>
              <w:t>409</w:t>
            </w:r>
          </w:hyperlink>
        </w:p>
        <w:p>
          <w:pPr>
            <w:pStyle w:val="Contents6"/>
            <w:tabs>
              <w:tab w:val="clear" w:pos="7609"/>
              <w:tab w:val="right" w:pos="9026" w:leader="dot"/>
            </w:tabs>
            <w:rPr/>
          </w:pPr>
          <w:hyperlink w:anchor="__RefHeading___Toc735219_3244359995">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735221_3244359995">
            <w:r>
              <w:rPr>
                <w:webHidden/>
                <w:rStyle w:val="IndexLink"/>
                <w:rtl w:val="true"/>
              </w:rPr>
              <w:t>تنبیه</w:t>
            </w:r>
            <w:r>
              <w:rPr>
                <w:rStyle w:val="IndexLink"/>
                <w:rtl w:val="true"/>
              </w:rPr>
              <w:t xml:space="preserve">: </w:t>
            </w:r>
            <w:r>
              <w:rPr>
                <w:rStyle w:val="IndexLink"/>
                <w:rtl w:val="true"/>
              </w:rPr>
              <w:t>حول وجوب الاحتیاط عند العلم بتحقق الشرط فیما یأتی</w:t>
            </w:r>
            <w:r>
              <w:rPr>
                <w:rStyle w:val="IndexLink"/>
                <w:rtl w:val="true"/>
              </w:rPr>
              <w:tab/>
            </w:r>
            <w:r>
              <w:rPr>
                <w:rStyle w:val="IndexLink"/>
              </w:rPr>
              <w:t>411</w:t>
            </w:r>
          </w:hyperlink>
        </w:p>
        <w:p>
          <w:pPr>
            <w:pStyle w:val="Contents6"/>
            <w:tabs>
              <w:tab w:val="clear" w:pos="7609"/>
              <w:tab w:val="right" w:pos="9026" w:leader="dot"/>
            </w:tabs>
            <w:rPr/>
          </w:pPr>
          <w:hyperlink w:anchor="__RefHeading___Toc735223_3244359995">
            <w:r>
              <w:rPr>
                <w:webHidden/>
                <w:rStyle w:val="IndexLink"/>
                <w:rtl w:val="true"/>
              </w:rPr>
              <w:t>تذنیب</w:t>
            </w:r>
            <w:r>
              <w:rPr>
                <w:rStyle w:val="IndexLink"/>
                <w:rtl w:val="true"/>
              </w:rPr>
              <w:t xml:space="preserve">: </w:t>
            </w:r>
            <w:r>
              <w:rPr>
                <w:rStyle w:val="IndexLink"/>
                <w:rtl w:val="true"/>
              </w:rPr>
              <w:t>حول وجوب التحفّظ علی المقدمات المفوتة</w:t>
            </w:r>
            <w:r>
              <w:rPr>
                <w:rStyle w:val="IndexLink"/>
                <w:rtl w:val="true"/>
              </w:rPr>
              <w:tab/>
            </w:r>
            <w:r>
              <w:rPr>
                <w:rStyle w:val="IndexLink"/>
              </w:rPr>
              <w:t>413</w:t>
            </w:r>
          </w:hyperlink>
        </w:p>
        <w:p>
          <w:pPr>
            <w:pStyle w:val="Contents6"/>
            <w:tabs>
              <w:tab w:val="clear" w:pos="7609"/>
              <w:tab w:val="right" w:pos="9026" w:leader="dot"/>
            </w:tabs>
            <w:rPr/>
          </w:pPr>
          <w:hyperlink w:anchor="__RefHeading___Toc735225_3244359995">
            <w:r>
              <w:rPr>
                <w:webHidden/>
                <w:rStyle w:val="IndexLink"/>
                <w:rtl w:val="true"/>
              </w:rPr>
              <w:t>التنبیه السادس حول صور تنجیز العلم الإجمالی فی المسائل المالیة</w:t>
            </w:r>
            <w:r>
              <w:rPr>
                <w:rStyle w:val="IndexLink"/>
                <w:rtl w:val="true"/>
              </w:rPr>
              <w:tab/>
            </w:r>
            <w:r>
              <w:rPr>
                <w:rStyle w:val="IndexLink"/>
              </w:rPr>
              <w:t>414</w:t>
            </w:r>
          </w:hyperlink>
        </w:p>
        <w:p>
          <w:pPr>
            <w:pStyle w:val="Contents6"/>
            <w:tabs>
              <w:tab w:val="clear" w:pos="7609"/>
              <w:tab w:val="right" w:pos="9026" w:leader="dot"/>
            </w:tabs>
            <w:rPr/>
          </w:pPr>
          <w:hyperlink w:anchor="__RefHeading___Toc735227_3244359995">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735229_3244359995">
            <w:r>
              <w:rPr>
                <w:webHidden/>
                <w:rStyle w:val="IndexLink"/>
                <w:rtl w:val="true"/>
              </w:rPr>
              <w:t>الصورة الاولی</w:t>
            </w:r>
            <w:r>
              <w:rPr>
                <w:rStyle w:val="IndexLink"/>
                <w:rtl w:val="true"/>
              </w:rPr>
              <w:t>:</w:t>
              <w:tab/>
            </w:r>
            <w:r>
              <w:rPr>
                <w:rStyle w:val="IndexLink"/>
              </w:rPr>
              <w:t>415</w:t>
            </w:r>
          </w:hyperlink>
        </w:p>
        <w:p>
          <w:pPr>
            <w:pStyle w:val="Contents6"/>
            <w:tabs>
              <w:tab w:val="clear" w:pos="7609"/>
              <w:tab w:val="right" w:pos="9026" w:leader="dot"/>
            </w:tabs>
            <w:rPr/>
          </w:pPr>
          <w:hyperlink w:anchor="__RefHeading___Toc735231_3244359995">
            <w:r>
              <w:rPr>
                <w:webHidden/>
                <w:rStyle w:val="IndexLink"/>
                <w:rtl w:val="true"/>
              </w:rPr>
              <w:t>الصورة الثانیة</w:t>
            </w:r>
            <w:r>
              <w:rPr>
                <w:rStyle w:val="IndexLink"/>
                <w:rtl w:val="true"/>
              </w:rPr>
              <w:t>:</w:t>
              <w:tab/>
            </w:r>
            <w:r>
              <w:rPr>
                <w:rStyle w:val="IndexLink"/>
              </w:rPr>
              <w:t>416</w:t>
            </w:r>
          </w:hyperlink>
        </w:p>
        <w:p>
          <w:pPr>
            <w:pStyle w:val="Contents6"/>
            <w:tabs>
              <w:tab w:val="clear" w:pos="7609"/>
              <w:tab w:val="right" w:pos="9026" w:leader="dot"/>
            </w:tabs>
            <w:rPr/>
          </w:pPr>
          <w:hyperlink w:anchor="__RefHeading___Toc735233_3244359995">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735235_3244359995">
            <w:r>
              <w:rPr>
                <w:webHidden/>
                <w:rStyle w:val="IndexLink"/>
                <w:rtl w:val="true"/>
              </w:rPr>
              <w:t>بقی إشکال</w:t>
            </w:r>
            <w:r>
              <w:rPr>
                <w:rStyle w:val="IndexLink"/>
                <w:rtl w:val="true"/>
              </w:rPr>
              <w:t>:</w:t>
              <w:tab/>
            </w:r>
            <w:r>
              <w:rPr>
                <w:rStyle w:val="IndexLink"/>
              </w:rPr>
              <w:t>419</w:t>
            </w:r>
          </w:hyperlink>
        </w:p>
        <w:p>
          <w:pPr>
            <w:pStyle w:val="Contents6"/>
            <w:tabs>
              <w:tab w:val="clear" w:pos="7609"/>
              <w:tab w:val="right" w:pos="9026" w:leader="dot"/>
            </w:tabs>
            <w:rPr/>
          </w:pPr>
          <w:hyperlink w:anchor="__RefHeading___Toc735237_3244359995">
            <w:r>
              <w:rPr>
                <w:webHidden/>
                <w:rStyle w:val="IndexLink"/>
                <w:rtl w:val="true"/>
              </w:rPr>
              <w:t>الصورة الثالثة</w:t>
            </w:r>
            <w:r>
              <w:rPr>
                <w:rStyle w:val="IndexLink"/>
                <w:rtl w:val="true"/>
              </w:rPr>
              <w:t>:</w:t>
              <w:tab/>
            </w:r>
            <w:r>
              <w:rPr>
                <w:rStyle w:val="IndexLink"/>
              </w:rPr>
              <w:t>420</w:t>
            </w:r>
          </w:hyperlink>
        </w:p>
        <w:p>
          <w:pPr>
            <w:pStyle w:val="Contents6"/>
            <w:tabs>
              <w:tab w:val="clear" w:pos="7609"/>
              <w:tab w:val="right" w:pos="9026" w:leader="dot"/>
            </w:tabs>
            <w:rPr/>
          </w:pPr>
          <w:hyperlink w:anchor="__RefHeading___Toc735239_3244359995">
            <w:r>
              <w:rPr>
                <w:webHidden/>
                <w:rStyle w:val="IndexLink"/>
                <w:rtl w:val="true"/>
              </w:rPr>
              <w:t>الصورة الرابعة</w:t>
            </w:r>
            <w:r>
              <w:rPr>
                <w:rStyle w:val="IndexLink"/>
                <w:rtl w:val="true"/>
              </w:rPr>
              <w:t>:</w:t>
              <w:tab/>
            </w:r>
            <w:r>
              <w:rPr>
                <w:rStyle w:val="IndexLink"/>
              </w:rPr>
              <w:t>423</w:t>
            </w:r>
          </w:hyperlink>
        </w:p>
        <w:p>
          <w:pPr>
            <w:pStyle w:val="Contents6"/>
            <w:tabs>
              <w:tab w:val="clear" w:pos="7609"/>
              <w:tab w:val="right" w:pos="9026" w:leader="dot"/>
            </w:tabs>
            <w:rPr/>
          </w:pPr>
          <w:hyperlink w:anchor="__RefHeading___Toc735241_3244359995">
            <w:r>
              <w:rPr>
                <w:webHidden/>
                <w:rStyle w:val="IndexLink"/>
                <w:rtl w:val="true"/>
              </w:rPr>
              <w:t>الصورة الخامسة</w:t>
            </w:r>
            <w:r>
              <w:rPr>
                <w:rStyle w:val="IndexLink"/>
                <w:rtl w:val="true"/>
              </w:rPr>
              <w:t>:</w:t>
              <w:tab/>
            </w:r>
            <w:r>
              <w:rPr>
                <w:rStyle w:val="IndexLink"/>
              </w:rPr>
              <w:t>424</w:t>
            </w:r>
          </w:hyperlink>
        </w:p>
        <w:p>
          <w:pPr>
            <w:pStyle w:val="Contents6"/>
            <w:tabs>
              <w:tab w:val="clear" w:pos="7609"/>
              <w:tab w:val="right" w:pos="9026" w:leader="dot"/>
            </w:tabs>
            <w:rPr/>
          </w:pPr>
          <w:hyperlink w:anchor="__RefHeading___Toc735243_3244359995">
            <w:r>
              <w:rPr>
                <w:webHidden/>
                <w:rStyle w:val="IndexLink"/>
                <w:rtl w:val="true"/>
              </w:rPr>
              <w:t>تذنیب</w:t>
            </w:r>
            <w:r>
              <w:rPr>
                <w:rStyle w:val="IndexLink"/>
                <w:rtl w:val="true"/>
              </w:rPr>
              <w:t xml:space="preserve">: </w:t>
            </w:r>
            <w:r>
              <w:rPr>
                <w:rStyle w:val="IndexLink"/>
                <w:rtl w:val="true"/>
              </w:rPr>
              <w:t>فی بعض صور العلم الإجمالی باشتغال الذمّة</w:t>
            </w:r>
            <w:r>
              <w:rPr>
                <w:rStyle w:val="IndexLink"/>
                <w:rtl w:val="true"/>
              </w:rPr>
              <w:tab/>
            </w:r>
            <w:r>
              <w:rPr>
                <w:rStyle w:val="IndexLink"/>
              </w:rPr>
              <w:t>425</w:t>
            </w:r>
          </w:hyperlink>
        </w:p>
        <w:p>
          <w:pPr>
            <w:pStyle w:val="Contents6"/>
            <w:tabs>
              <w:tab w:val="clear" w:pos="7609"/>
              <w:tab w:val="right" w:pos="9026" w:leader="dot"/>
            </w:tabs>
            <w:rPr/>
          </w:pPr>
          <w:hyperlink w:anchor="__RefHeading___Toc735245_3244359995">
            <w:r>
              <w:rPr>
                <w:webHidden/>
                <w:rStyle w:val="IndexLink"/>
                <w:rtl w:val="true"/>
              </w:rPr>
              <w:t>التنبیه السابع فی الشبهة غیر المحصورة</w:t>
            </w:r>
            <w:r>
              <w:rPr>
                <w:rStyle w:val="IndexLink"/>
                <w:rtl w:val="true"/>
              </w:rPr>
              <w:tab/>
            </w:r>
            <w:r>
              <w:rPr>
                <w:rStyle w:val="IndexLink"/>
              </w:rPr>
              <w:t>428</w:t>
            </w:r>
          </w:hyperlink>
        </w:p>
        <w:p>
          <w:pPr>
            <w:pStyle w:val="Contents6"/>
            <w:tabs>
              <w:tab w:val="clear" w:pos="7609"/>
              <w:tab w:val="right" w:pos="9026" w:leader="dot"/>
            </w:tabs>
            <w:rPr/>
          </w:pPr>
          <w:hyperlink w:anchor="__RefHeading___Toc735247_3244359995">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735249_3244359995">
            <w:r>
              <w:rPr>
                <w:webHidden/>
                <w:rStyle w:val="IndexLink"/>
                <w:rtl w:val="true"/>
              </w:rPr>
              <w:t>الاولی</w:t>
            </w:r>
            <w:r>
              <w:rPr>
                <w:rStyle w:val="IndexLink"/>
                <w:rtl w:val="true"/>
              </w:rPr>
              <w:t>:</w:t>
              <w:tab/>
            </w:r>
            <w:r>
              <w:rPr>
                <w:rStyle w:val="IndexLink"/>
              </w:rPr>
              <w:t>428</w:t>
            </w:r>
          </w:hyperlink>
        </w:p>
        <w:p>
          <w:pPr>
            <w:pStyle w:val="Contents6"/>
            <w:tabs>
              <w:tab w:val="clear" w:pos="7609"/>
              <w:tab w:val="right" w:pos="9026" w:leader="dot"/>
            </w:tabs>
            <w:rPr/>
          </w:pPr>
          <w:hyperlink w:anchor="__RefHeading___Toc735251_3244359995">
            <w:r>
              <w:rPr>
                <w:webHidden/>
                <w:rStyle w:val="IndexLink"/>
                <w:rtl w:val="true"/>
              </w:rPr>
              <w:t>الثانیة</w:t>
            </w:r>
            <w:r>
              <w:rPr>
                <w:rStyle w:val="IndexLink"/>
                <w:rtl w:val="true"/>
              </w:rPr>
              <w:t>:</w:t>
              <w:tab/>
            </w:r>
            <w:r>
              <w:rPr>
                <w:rStyle w:val="IndexLink"/>
              </w:rPr>
              <w:t>428</w:t>
            </w:r>
          </w:hyperlink>
        </w:p>
        <w:p>
          <w:pPr>
            <w:pStyle w:val="Contents6"/>
            <w:tabs>
              <w:tab w:val="clear" w:pos="7609"/>
              <w:tab w:val="right" w:pos="9026" w:leader="dot"/>
            </w:tabs>
            <w:rPr/>
          </w:pPr>
          <w:hyperlink w:anchor="__RefHeading___Toc735253_3244359995">
            <w:r>
              <w:rPr>
                <w:webHidden/>
                <w:rStyle w:val="IndexLink"/>
                <w:rtl w:val="true"/>
              </w:rPr>
              <w:t>الثالثة</w:t>
            </w:r>
            <w:r>
              <w:rPr>
                <w:rStyle w:val="IndexLink"/>
                <w:rtl w:val="true"/>
              </w:rPr>
              <w:t>:</w:t>
              <w:tab/>
            </w:r>
            <w:r>
              <w:rPr>
                <w:rStyle w:val="IndexLink"/>
              </w:rPr>
              <w:t>429</w:t>
            </w:r>
          </w:hyperlink>
        </w:p>
        <w:p>
          <w:pPr>
            <w:pStyle w:val="Contents6"/>
            <w:tabs>
              <w:tab w:val="clear" w:pos="7609"/>
              <w:tab w:val="right" w:pos="9026" w:leader="dot"/>
            </w:tabs>
            <w:rPr/>
          </w:pPr>
          <w:hyperlink w:anchor="__RefHeading___Toc735255_3244359995">
            <w:r>
              <w:rPr>
                <w:webHidden/>
                <w:rStyle w:val="IndexLink"/>
                <w:rtl w:val="true"/>
              </w:rPr>
              <w:t>الرابعة</w:t>
            </w:r>
            <w:r>
              <w:rPr>
                <w:rStyle w:val="IndexLink"/>
                <w:rtl w:val="true"/>
              </w:rPr>
              <w:t>:</w:t>
              <w:tab/>
            </w:r>
            <w:r>
              <w:rPr>
                <w:rStyle w:val="IndexLink"/>
              </w:rPr>
              <w:t>430</w:t>
            </w:r>
          </w:hyperlink>
        </w:p>
        <w:p>
          <w:pPr>
            <w:pStyle w:val="Contents6"/>
            <w:tabs>
              <w:tab w:val="clear" w:pos="7609"/>
              <w:tab w:val="right" w:pos="9026" w:leader="dot"/>
            </w:tabs>
            <w:rPr/>
          </w:pPr>
          <w:hyperlink w:anchor="__RefHeading___Toc735257_3244359995">
            <w:r>
              <w:rPr>
                <w:webHidden/>
                <w:rStyle w:val="IndexLink"/>
                <w:rtl w:val="true"/>
              </w:rPr>
              <w:t>بقی شی‌ء</w:t>
            </w:r>
            <w:r>
              <w:rPr>
                <w:rStyle w:val="IndexLink"/>
                <w:rtl w:val="true"/>
              </w:rPr>
              <w:t xml:space="preserve">: </w:t>
            </w:r>
            <w:r>
              <w:rPr>
                <w:rStyle w:val="IndexLink"/>
                <w:rtl w:val="true"/>
              </w:rPr>
              <w:t xml:space="preserve">حول بیان بدیع لشیخ مشایخنا فی </w:t>
            </w:r>
            <w:r>
              <w:rPr>
                <w:rStyle w:val="IndexLink"/>
                <w:rtl w:val="true"/>
              </w:rPr>
              <w:t>«</w:t>
            </w:r>
            <w:r>
              <w:rPr>
                <w:rStyle w:val="IndexLink"/>
                <w:rtl w:val="true"/>
              </w:rPr>
              <w:t>الدرر</w:t>
            </w:r>
            <w:r>
              <w:rPr>
                <w:rStyle w:val="IndexLink"/>
                <w:rtl w:val="true"/>
              </w:rPr>
              <w:t>»</w:t>
              <w:tab/>
            </w:r>
            <w:r>
              <w:rPr>
                <w:rStyle w:val="IndexLink"/>
              </w:rPr>
              <w:t>432</w:t>
            </w:r>
          </w:hyperlink>
        </w:p>
        <w:p>
          <w:pPr>
            <w:pStyle w:val="Contents6"/>
            <w:tabs>
              <w:tab w:val="clear" w:pos="7609"/>
              <w:tab w:val="right" w:pos="9026" w:leader="dot"/>
            </w:tabs>
            <w:rPr/>
          </w:pPr>
          <w:hyperlink w:anchor="__RefHeading___Toc735259_3244359995">
            <w:r>
              <w:rPr>
                <w:webHidden/>
                <w:rStyle w:val="IndexLink"/>
                <w:rtl w:val="true"/>
              </w:rPr>
              <w:t>بقی تذنیب</w:t>
            </w:r>
            <w:r>
              <w:rPr>
                <w:rStyle w:val="IndexLink"/>
                <w:rtl w:val="true"/>
              </w:rPr>
              <w:t xml:space="preserve">: </w:t>
            </w:r>
            <w:r>
              <w:rPr>
                <w:rStyle w:val="IndexLink"/>
                <w:rtl w:val="true"/>
              </w:rPr>
              <w:t>حول أدلّة الترخیص</w:t>
            </w:r>
            <w:r>
              <w:rPr>
                <w:rStyle w:val="IndexLink"/>
                <w:rtl w:val="true"/>
              </w:rPr>
              <w:tab/>
            </w:r>
            <w:r>
              <w:rPr>
                <w:rStyle w:val="IndexLink"/>
              </w:rPr>
              <w:t>435</w:t>
            </w:r>
          </w:hyperlink>
        </w:p>
        <w:p>
          <w:pPr>
            <w:pStyle w:val="Contents6"/>
            <w:tabs>
              <w:tab w:val="clear" w:pos="7609"/>
              <w:tab w:val="right" w:pos="9026" w:leader="dot"/>
            </w:tabs>
            <w:rPr/>
          </w:pPr>
          <w:hyperlink w:anchor="__RefHeading___Toc735261_3244359995">
            <w:r>
              <w:rPr>
                <w:webHidden/>
                <w:rStyle w:val="IndexLink"/>
                <w:rtl w:val="true"/>
              </w:rPr>
              <w:t>ذنابة</w:t>
            </w:r>
            <w:r>
              <w:rPr>
                <w:rStyle w:val="IndexLink"/>
                <w:rtl w:val="true"/>
              </w:rPr>
              <w:t xml:space="preserve">: </w:t>
            </w:r>
            <w:r>
              <w:rPr>
                <w:rStyle w:val="IndexLink"/>
                <w:rtl w:val="true"/>
              </w:rPr>
              <w:t>حول التفصیل بین الشبهة المحصورة و غیرها</w:t>
            </w:r>
            <w:r>
              <w:rPr>
                <w:rStyle w:val="IndexLink"/>
                <w:rtl w:val="true"/>
              </w:rPr>
              <w:tab/>
            </w:r>
            <w:r>
              <w:rPr>
                <w:rStyle w:val="IndexLink"/>
              </w:rPr>
              <w:t>436</w:t>
            </w:r>
          </w:hyperlink>
        </w:p>
        <w:p>
          <w:pPr>
            <w:pStyle w:val="Contents6"/>
            <w:tabs>
              <w:tab w:val="clear" w:pos="7609"/>
              <w:tab w:val="right" w:pos="9026" w:leader="dot"/>
            </w:tabs>
            <w:rPr/>
          </w:pPr>
          <w:hyperlink w:anchor="__RefHeading___Toc735263_3244359995">
            <w:r>
              <w:rPr>
                <w:webHidden/>
                <w:rStyle w:val="IndexLink"/>
                <w:rtl w:val="true"/>
              </w:rPr>
              <w:t>تنبیه</w:t>
            </w:r>
            <w:r>
              <w:rPr>
                <w:rStyle w:val="IndexLink"/>
                <w:rtl w:val="true"/>
              </w:rPr>
              <w:t xml:space="preserve">: </w:t>
            </w:r>
            <w:r>
              <w:rPr>
                <w:rStyle w:val="IndexLink"/>
                <w:rtl w:val="true"/>
              </w:rPr>
              <w:t>فی صیرورة الشبهة لا شبهة، کالعلم</w:t>
            </w:r>
            <w:r>
              <w:rPr>
                <w:rStyle w:val="IndexLink"/>
                <w:rtl w:val="true"/>
              </w:rPr>
              <w:tab/>
            </w:r>
            <w:r>
              <w:rPr>
                <w:rStyle w:val="IndexLink"/>
              </w:rPr>
              <w:t>440</w:t>
            </w:r>
          </w:hyperlink>
        </w:p>
        <w:p>
          <w:pPr>
            <w:pStyle w:val="Contents6"/>
            <w:tabs>
              <w:tab w:val="clear" w:pos="7609"/>
              <w:tab w:val="right" w:pos="9026" w:leader="dot"/>
            </w:tabs>
            <w:rPr/>
          </w:pPr>
          <w:hyperlink w:anchor="__RefHeading___Toc735265_3244359995">
            <w:r>
              <w:rPr>
                <w:webHidden/>
                <w:rStyle w:val="IndexLink"/>
                <w:rtl w:val="true"/>
              </w:rPr>
              <w:t>تکمیل</w:t>
            </w:r>
            <w:r>
              <w:rPr>
                <w:rStyle w:val="IndexLink"/>
                <w:rtl w:val="true"/>
              </w:rPr>
              <w:t xml:space="preserve">: </w:t>
            </w:r>
            <w:r>
              <w:rPr>
                <w:rStyle w:val="IndexLink"/>
                <w:rtl w:val="true"/>
              </w:rPr>
              <w:t>حول ترخیص المخالفة القطعیّة فی غیر المحصورة</w:t>
            </w:r>
            <w:r>
              <w:rPr>
                <w:rStyle w:val="IndexLink"/>
                <w:rtl w:val="true"/>
              </w:rPr>
              <w:tab/>
            </w:r>
            <w:r>
              <w:rPr>
                <w:rStyle w:val="IndexLink"/>
              </w:rPr>
              <w:t>441</w:t>
            </w:r>
          </w:hyperlink>
        </w:p>
        <w:p>
          <w:pPr>
            <w:pStyle w:val="Contents6"/>
            <w:tabs>
              <w:tab w:val="clear" w:pos="7609"/>
              <w:tab w:val="right" w:pos="9026" w:leader="dot"/>
            </w:tabs>
            <w:rPr/>
          </w:pPr>
          <w:hyperlink w:anchor="__RefHeading___Toc735267_3244359995">
            <w:r>
              <w:rPr>
                <w:webHidden/>
                <w:rStyle w:val="IndexLink"/>
                <w:rtl w:val="true"/>
              </w:rPr>
              <w:t>تتمّة</w:t>
            </w:r>
            <w:r>
              <w:rPr>
                <w:rStyle w:val="IndexLink"/>
                <w:rtl w:val="true"/>
              </w:rPr>
              <w:t xml:space="preserve">: </w:t>
            </w:r>
            <w:r>
              <w:rPr>
                <w:rStyle w:val="IndexLink"/>
                <w:rtl w:val="true"/>
              </w:rPr>
              <w:t>فی الشبهة الوجوبیة من غیر المحصورة</w:t>
            </w:r>
            <w:r>
              <w:rPr>
                <w:rStyle w:val="IndexLink"/>
                <w:rtl w:val="true"/>
              </w:rPr>
              <w:tab/>
            </w:r>
            <w:r>
              <w:rPr>
                <w:rStyle w:val="IndexLink"/>
              </w:rPr>
              <w:t>442</w:t>
            </w:r>
          </w:hyperlink>
        </w:p>
        <w:p>
          <w:pPr>
            <w:pStyle w:val="Contents6"/>
            <w:tabs>
              <w:tab w:val="clear" w:pos="7609"/>
              <w:tab w:val="right" w:pos="9026" w:leader="dot"/>
            </w:tabs>
            <w:rPr/>
          </w:pPr>
          <w:hyperlink w:anchor="__RefHeading___Toc735269_3244359995">
            <w:r>
              <w:rPr>
                <w:webHidden/>
                <w:rStyle w:val="IndexLink"/>
                <w:rtl w:val="true"/>
              </w:rPr>
              <w:t>بقی شی‌ء</w:t>
            </w:r>
            <w:r>
              <w:rPr>
                <w:rStyle w:val="IndexLink"/>
                <w:rtl w:val="true"/>
              </w:rPr>
              <w:t xml:space="preserve">: </w:t>
            </w:r>
            <w:r>
              <w:rPr>
                <w:rStyle w:val="IndexLink"/>
                <w:rtl w:val="true"/>
              </w:rPr>
              <w:t>حول الشبهة الوجوبیة من غیر المحصورة</w:t>
            </w:r>
            <w:r>
              <w:rPr>
                <w:rStyle w:val="IndexLink"/>
                <w:rtl w:val="true"/>
              </w:rPr>
              <w:tab/>
            </w:r>
            <w:r>
              <w:rPr>
                <w:rStyle w:val="IndexLink"/>
              </w:rPr>
              <w:t>444</w:t>
            </w:r>
          </w:hyperlink>
        </w:p>
        <w:p>
          <w:pPr>
            <w:pStyle w:val="Contents6"/>
            <w:tabs>
              <w:tab w:val="clear" w:pos="7609"/>
              <w:tab w:val="right" w:pos="9026" w:leader="dot"/>
            </w:tabs>
            <w:rPr/>
          </w:pPr>
          <w:hyperlink w:anchor="__RefHeading___Toc735271_3244359995">
            <w:r>
              <w:rPr>
                <w:webHidden/>
                <w:rStyle w:val="IndexLink"/>
                <w:rtl w:val="true"/>
              </w:rPr>
              <w:t>خاتمة</w:t>
            </w:r>
            <w:r>
              <w:rPr>
                <w:rStyle w:val="IndexLink"/>
                <w:rtl w:val="true"/>
              </w:rPr>
              <w:t xml:space="preserve">: </w:t>
            </w:r>
            <w:r>
              <w:rPr>
                <w:rStyle w:val="IndexLink"/>
                <w:rtl w:val="true"/>
              </w:rPr>
              <w:t>فی موارد الکثیر فی الکثیر و الکثیر فی القلیل</w:t>
            </w:r>
            <w:r>
              <w:rPr>
                <w:rStyle w:val="IndexLink"/>
                <w:rtl w:val="true"/>
              </w:rPr>
              <w:tab/>
            </w:r>
            <w:r>
              <w:rPr>
                <w:rStyle w:val="IndexLink"/>
              </w:rPr>
              <w:t>445</w:t>
            </w:r>
          </w:hyperlink>
        </w:p>
        <w:p>
          <w:pPr>
            <w:pStyle w:val="Contents6"/>
            <w:tabs>
              <w:tab w:val="clear" w:pos="7609"/>
              <w:tab w:val="right" w:pos="9026" w:leader="dot"/>
            </w:tabs>
            <w:rPr/>
          </w:pPr>
          <w:hyperlink w:anchor="__RefHeading___Toc735273_3244359995">
            <w:r>
              <w:rPr>
                <w:webHidden/>
                <w:rStyle w:val="IndexLink"/>
                <w:rtl w:val="true"/>
              </w:rPr>
              <w:t>التنبیه الثامن فی حکم الخروج عن محلّ الابتلاء</w:t>
            </w:r>
            <w:r>
              <w:rPr>
                <w:rStyle w:val="IndexLink"/>
                <w:rtl w:val="true"/>
              </w:rPr>
              <w:tab/>
            </w:r>
            <w:r>
              <w:rPr>
                <w:rStyle w:val="IndexLink"/>
              </w:rPr>
              <w:t>447</w:t>
            </w:r>
          </w:hyperlink>
        </w:p>
        <w:p>
          <w:pPr>
            <w:pStyle w:val="Contents6"/>
            <w:tabs>
              <w:tab w:val="clear" w:pos="7609"/>
              <w:tab w:val="right" w:pos="9026" w:leader="dot"/>
            </w:tabs>
            <w:rPr/>
          </w:pPr>
          <w:hyperlink w:anchor="__RefHeading___Toc735275_3244359995">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735277_3244359995">
            <w:r>
              <w:rPr>
                <w:webHidden/>
                <w:rStyle w:val="IndexLink"/>
                <w:rtl w:val="true"/>
              </w:rPr>
              <w:t>المرحلة الاولی</w:t>
            </w:r>
            <w:r>
              <w:rPr>
                <w:rStyle w:val="IndexLink"/>
                <w:rtl w:val="true"/>
              </w:rPr>
              <w:t xml:space="preserve">: </w:t>
            </w:r>
            <w:r>
              <w:rPr>
                <w:rStyle w:val="IndexLink"/>
                <w:rtl w:val="true"/>
              </w:rPr>
              <w:t>حول شرطیّة العلم بالتکلیف الفعلی و عدمها</w:t>
            </w:r>
            <w:r>
              <w:rPr>
                <w:rStyle w:val="IndexLink"/>
                <w:rtl w:val="true"/>
              </w:rPr>
              <w:tab/>
            </w:r>
            <w:r>
              <w:rPr>
                <w:rStyle w:val="IndexLink"/>
              </w:rPr>
              <w:t>448</w:t>
            </w:r>
          </w:hyperlink>
        </w:p>
        <w:p>
          <w:pPr>
            <w:pStyle w:val="Contents6"/>
            <w:tabs>
              <w:tab w:val="clear" w:pos="7609"/>
              <w:tab w:val="right" w:pos="9026" w:leader="dot"/>
            </w:tabs>
            <w:rPr/>
          </w:pPr>
          <w:hyperlink w:anchor="__RefHeading___Toc735279_3244359995">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735281_3244359995">
            <w:r>
              <w:rPr>
                <w:webHidden/>
                <w:rStyle w:val="IndexLink"/>
                <w:rtl w:val="true"/>
              </w:rPr>
              <w:t>تکمیل</w:t>
            </w:r>
            <w:r>
              <w:rPr>
                <w:rStyle w:val="IndexLink"/>
                <w:rtl w:val="true"/>
              </w:rPr>
              <w:t xml:space="preserve">: </w:t>
            </w:r>
            <w:r>
              <w:rPr>
                <w:rStyle w:val="IndexLink"/>
                <w:rtl w:val="true"/>
              </w:rPr>
              <w:t>فی أنّ مجرد العلم بالحکم الفعلی لا یوجب التنجیز</w:t>
            </w:r>
            <w:r>
              <w:rPr>
                <w:rStyle w:val="IndexLink"/>
                <w:rtl w:val="true"/>
              </w:rPr>
              <w:tab/>
            </w:r>
            <w:r>
              <w:rPr>
                <w:rStyle w:val="IndexLink"/>
              </w:rPr>
              <w:t>449</w:t>
            </w:r>
          </w:hyperlink>
        </w:p>
        <w:p>
          <w:pPr>
            <w:pStyle w:val="Contents6"/>
            <w:tabs>
              <w:tab w:val="clear" w:pos="7609"/>
              <w:tab w:val="right" w:pos="9026" w:leader="dot"/>
            </w:tabs>
            <w:rPr/>
          </w:pPr>
          <w:hyperlink w:anchor="__RefHeading___Toc735283_3244359995">
            <w:r>
              <w:rPr>
                <w:webHidden/>
                <w:rStyle w:val="IndexLink"/>
                <w:rtl w:val="true"/>
              </w:rPr>
              <w:t>المرحلة الثانیة</w:t>
            </w:r>
            <w:r>
              <w:rPr>
                <w:rStyle w:val="IndexLink"/>
                <w:rtl w:val="true"/>
              </w:rPr>
              <w:t xml:space="preserve">: </w:t>
            </w:r>
            <w:r>
              <w:rPr>
                <w:rStyle w:val="IndexLink"/>
                <w:rtl w:val="true"/>
              </w:rPr>
              <w:t>حول حدیث اشتراط تأثیر العلم بعدم کون بعض الأطراف خارجا عن محلّ الابتلاء</w:t>
            </w:r>
            <w:r>
              <w:rPr>
                <w:rStyle w:val="IndexLink"/>
                <w:rtl w:val="true"/>
              </w:rPr>
              <w:tab/>
            </w:r>
            <w:r>
              <w:rPr>
                <w:rStyle w:val="IndexLink"/>
              </w:rPr>
              <w:t>450</w:t>
            </w:r>
          </w:hyperlink>
        </w:p>
        <w:p>
          <w:pPr>
            <w:pStyle w:val="Contents6"/>
            <w:tabs>
              <w:tab w:val="clear" w:pos="7609"/>
              <w:tab w:val="right" w:pos="9026" w:leader="dot"/>
            </w:tabs>
            <w:rPr/>
          </w:pPr>
          <w:hyperlink w:anchor="__RefHeading___Toc735285_3244359995">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735287_3244359995">
            <w:r>
              <w:rPr>
                <w:webHidden/>
                <w:rStyle w:val="IndexLink"/>
                <w:rtl w:val="true"/>
              </w:rPr>
              <w:t>الأمر الأوّل</w:t>
            </w:r>
            <w:r>
              <w:rPr>
                <w:rStyle w:val="IndexLink"/>
                <w:rtl w:val="true"/>
              </w:rPr>
              <w:t xml:space="preserve">: </w:t>
            </w:r>
            <w:r>
              <w:rPr>
                <w:rStyle w:val="IndexLink"/>
                <w:rtl w:val="true"/>
              </w:rPr>
              <w:t>حول ما ذهب إلیه الأعلام فی المسألة</w:t>
            </w:r>
            <w:r>
              <w:rPr>
                <w:rStyle w:val="IndexLink"/>
                <w:rtl w:val="true"/>
              </w:rPr>
              <w:tab/>
            </w:r>
            <w:r>
              <w:rPr>
                <w:rStyle w:val="IndexLink"/>
              </w:rPr>
              <w:t>450</w:t>
            </w:r>
          </w:hyperlink>
        </w:p>
        <w:p>
          <w:pPr>
            <w:pStyle w:val="Contents6"/>
            <w:tabs>
              <w:tab w:val="clear" w:pos="7609"/>
              <w:tab w:val="right" w:pos="9026" w:leader="dot"/>
            </w:tabs>
            <w:rPr/>
          </w:pPr>
          <w:hyperlink w:anchor="__RefHeading___Toc735289_3244359995">
            <w:r>
              <w:rPr>
                <w:webHidden/>
                <w:rStyle w:val="IndexLink"/>
                <w:rtl w:val="true"/>
              </w:rPr>
              <w:t>الأمر الثانی</w:t>
            </w:r>
            <w:r>
              <w:rPr>
                <w:rStyle w:val="IndexLink"/>
                <w:rtl w:val="true"/>
              </w:rPr>
              <w:t xml:space="preserve">: </w:t>
            </w:r>
            <w:r>
              <w:rPr>
                <w:rStyle w:val="IndexLink"/>
                <w:rtl w:val="true"/>
              </w:rPr>
              <w:t>فی بیان صور الخروج عن محلّ الابتلاء</w:t>
            </w:r>
            <w:r>
              <w:rPr>
                <w:rStyle w:val="IndexLink"/>
                <w:rtl w:val="true"/>
              </w:rPr>
              <w:tab/>
            </w:r>
            <w:r>
              <w:rPr>
                <w:rStyle w:val="IndexLink"/>
              </w:rPr>
              <w:t>451</w:t>
            </w:r>
          </w:hyperlink>
        </w:p>
        <w:p>
          <w:pPr>
            <w:pStyle w:val="Contents6"/>
            <w:tabs>
              <w:tab w:val="clear" w:pos="7609"/>
              <w:tab w:val="right" w:pos="9026" w:leader="dot"/>
            </w:tabs>
            <w:rPr/>
          </w:pPr>
          <w:hyperlink w:anchor="__RefHeading___Toc735291_3244359995">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735293_3244359995">
            <w:r>
              <w:rPr>
                <w:webHidden/>
                <w:rStyle w:val="IndexLink"/>
                <w:rtl w:val="true"/>
              </w:rPr>
              <w:t>تنبیه</w:t>
            </w:r>
            <w:r>
              <w:rPr>
                <w:rStyle w:val="IndexLink"/>
                <w:rtl w:val="true"/>
              </w:rPr>
              <w:t xml:space="preserve">: </w:t>
            </w:r>
            <w:r>
              <w:rPr>
                <w:rStyle w:val="IndexLink"/>
                <w:rtl w:val="true"/>
              </w:rPr>
              <w:t>حول الخلط الواقع فی کلمات الباحثین</w:t>
            </w:r>
            <w:r>
              <w:rPr>
                <w:rStyle w:val="IndexLink"/>
                <w:rtl w:val="true"/>
              </w:rPr>
              <w:tab/>
            </w:r>
            <w:r>
              <w:rPr>
                <w:rStyle w:val="IndexLink"/>
              </w:rPr>
              <w:t>455</w:t>
            </w:r>
          </w:hyperlink>
        </w:p>
        <w:p>
          <w:pPr>
            <w:pStyle w:val="Contents6"/>
            <w:tabs>
              <w:tab w:val="clear" w:pos="7609"/>
              <w:tab w:val="right" w:pos="9026" w:leader="dot"/>
            </w:tabs>
            <w:rPr/>
          </w:pPr>
          <w:hyperlink w:anchor="__RefHeading___Toc735295_3244359995">
            <w:r>
              <w:rPr>
                <w:webHidden/>
                <w:rStyle w:val="IndexLink"/>
                <w:rtl w:val="true"/>
              </w:rPr>
              <w:t>الأمر الثالث</w:t>
            </w:r>
            <w:r>
              <w:rPr>
                <w:rStyle w:val="IndexLink"/>
                <w:rtl w:val="true"/>
              </w:rPr>
              <w:t xml:space="preserve">: </w:t>
            </w:r>
            <w:r>
              <w:rPr>
                <w:rStyle w:val="IndexLink"/>
                <w:rtl w:val="true"/>
              </w:rPr>
              <w:t>فی التفصیل بین الشبهات الوجوبیة و التحریمیة</w:t>
            </w:r>
            <w:r>
              <w:rPr>
                <w:rStyle w:val="IndexLink"/>
                <w:rtl w:val="true"/>
              </w:rPr>
              <w:tab/>
            </w:r>
            <w:r>
              <w:rPr>
                <w:rStyle w:val="IndexLink"/>
              </w:rPr>
              <w:t>455</w:t>
            </w:r>
          </w:hyperlink>
        </w:p>
        <w:p>
          <w:pPr>
            <w:pStyle w:val="Contents6"/>
            <w:tabs>
              <w:tab w:val="clear" w:pos="7609"/>
              <w:tab w:val="right" w:pos="9026" w:leader="dot"/>
            </w:tabs>
            <w:rPr/>
          </w:pPr>
          <w:hyperlink w:anchor="__RefHeading___Toc735297_3244359995">
            <w:r>
              <w:rPr>
                <w:webHidden/>
                <w:rStyle w:val="IndexLink"/>
                <w:rtl w:val="true"/>
              </w:rPr>
              <w:t>الأمر الرابع</w:t>
            </w:r>
            <w:r>
              <w:rPr>
                <w:rStyle w:val="IndexLink"/>
                <w:rtl w:val="true"/>
              </w:rPr>
              <w:t xml:space="preserve">: </w:t>
            </w:r>
            <w:r>
              <w:rPr>
                <w:rStyle w:val="IndexLink"/>
                <w:rtl w:val="true"/>
              </w:rPr>
              <w:t>فی وجوه الجواب عن الشبهة السابقة</w:t>
            </w:r>
            <w:r>
              <w:rPr>
                <w:rStyle w:val="IndexLink"/>
                <w:rtl w:val="true"/>
              </w:rPr>
              <w:tab/>
            </w:r>
            <w:r>
              <w:rPr>
                <w:rStyle w:val="IndexLink"/>
              </w:rPr>
              <w:t>457</w:t>
            </w:r>
          </w:hyperlink>
        </w:p>
        <w:p>
          <w:pPr>
            <w:pStyle w:val="Contents6"/>
            <w:tabs>
              <w:tab w:val="clear" w:pos="7609"/>
              <w:tab w:val="right" w:pos="9026" w:leader="dot"/>
            </w:tabs>
            <w:rPr/>
          </w:pPr>
          <w:hyperlink w:anchor="__RefHeading___Toc735299_3244359995">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735301_3244359995">
            <w:r>
              <w:rPr>
                <w:webHidden/>
                <w:rStyle w:val="IndexLink"/>
                <w:rtl w:val="true"/>
              </w:rPr>
              <w:t>تتمّة</w:t>
            </w:r>
            <w:r>
              <w:rPr>
                <w:rStyle w:val="IndexLink"/>
                <w:rtl w:val="true"/>
              </w:rPr>
              <w:t xml:space="preserve">: </w:t>
            </w:r>
            <w:r>
              <w:rPr>
                <w:rStyle w:val="IndexLink"/>
                <w:rtl w:val="true"/>
              </w:rPr>
              <w:t>فی حکم عدم العلم بالمحبوبیة و المبغوضیة الإلزامیّتین</w:t>
            </w:r>
            <w:r>
              <w:rPr>
                <w:rStyle w:val="IndexLink"/>
                <w:rtl w:val="true"/>
              </w:rPr>
              <w:tab/>
            </w:r>
            <w:r>
              <w:rPr>
                <w:rStyle w:val="IndexLink"/>
              </w:rPr>
              <w:t>464</w:t>
            </w:r>
          </w:hyperlink>
        </w:p>
        <w:p>
          <w:pPr>
            <w:pStyle w:val="Contents6"/>
            <w:tabs>
              <w:tab w:val="clear" w:pos="7609"/>
              <w:tab w:val="right" w:pos="9026" w:leader="dot"/>
            </w:tabs>
            <w:rPr/>
          </w:pPr>
          <w:hyperlink w:anchor="__RefHeading___Toc735303_3244359995">
            <w:r>
              <w:rPr>
                <w:webHidden/>
                <w:rStyle w:val="IndexLink"/>
                <w:rtl w:val="true"/>
              </w:rPr>
              <w:t>بقی شی‌ء</w:t>
            </w:r>
            <w:r>
              <w:rPr>
                <w:rStyle w:val="IndexLink"/>
                <w:rtl w:val="true"/>
              </w:rPr>
              <w:t xml:space="preserve">: </w:t>
            </w:r>
            <w:r>
              <w:rPr>
                <w:rStyle w:val="IndexLink"/>
                <w:rtl w:val="true"/>
              </w:rPr>
              <w:t>حول إثبات الاحتیاط بناء علی الخطابات القانونیة</w:t>
            </w:r>
            <w:r>
              <w:rPr>
                <w:rStyle w:val="IndexLink"/>
                <w:rtl w:val="true"/>
              </w:rPr>
              <w:tab/>
            </w:r>
            <w:r>
              <w:rPr>
                <w:rStyle w:val="IndexLink"/>
              </w:rPr>
              <w:t>465</w:t>
            </w:r>
          </w:hyperlink>
        </w:p>
        <w:p>
          <w:pPr>
            <w:pStyle w:val="Contents6"/>
            <w:tabs>
              <w:tab w:val="clear" w:pos="7609"/>
              <w:tab w:val="right" w:pos="9026" w:leader="dot"/>
            </w:tabs>
            <w:rPr/>
          </w:pPr>
          <w:hyperlink w:anchor="__RefHeading___Toc735305_3244359995">
            <w:r>
              <w:rPr>
                <w:webHidden/>
                <w:rStyle w:val="IndexLink"/>
                <w:rtl w:val="true"/>
              </w:rPr>
              <w:t>الأمر الخامس</w:t>
            </w:r>
            <w:r>
              <w:rPr>
                <w:rStyle w:val="IndexLink"/>
                <w:rtl w:val="true"/>
              </w:rPr>
              <w:t xml:space="preserve">: </w:t>
            </w:r>
            <w:r>
              <w:rPr>
                <w:rStyle w:val="IndexLink"/>
                <w:rtl w:val="true"/>
              </w:rPr>
              <w:t>حول عدم تنجیز العلم الإجمالی مع سبق الخروج عن محل الابتلاء أو تقارنه</w:t>
            </w:r>
            <w:r>
              <w:rPr>
                <w:rStyle w:val="IndexLink"/>
                <w:rtl w:val="true"/>
              </w:rPr>
              <w:tab/>
            </w:r>
            <w:r>
              <w:rPr>
                <w:rStyle w:val="IndexLink"/>
              </w:rPr>
              <w:t>466</w:t>
            </w:r>
          </w:hyperlink>
        </w:p>
        <w:p>
          <w:pPr>
            <w:pStyle w:val="Contents6"/>
            <w:tabs>
              <w:tab w:val="clear" w:pos="7609"/>
              <w:tab w:val="right" w:pos="9026" w:leader="dot"/>
            </w:tabs>
            <w:rPr/>
          </w:pPr>
          <w:hyperlink w:anchor="__RefHeading___Toc735307_3244359995">
            <w:r>
              <w:rPr>
                <w:webHidden/>
                <w:rStyle w:val="IndexLink"/>
                <w:rtl w:val="true"/>
              </w:rPr>
              <w:t>الأمر السادس</w:t>
            </w:r>
            <w:r>
              <w:rPr>
                <w:rStyle w:val="IndexLink"/>
                <w:rtl w:val="true"/>
              </w:rPr>
              <w:t xml:space="preserve">: </w:t>
            </w:r>
            <w:r>
              <w:rPr>
                <w:rStyle w:val="IndexLink"/>
                <w:rtl w:val="true"/>
              </w:rPr>
              <w:t>حول صور الشکّ فی المسألة و بیان أحکامها</w:t>
            </w:r>
            <w:r>
              <w:rPr>
                <w:rStyle w:val="IndexLink"/>
                <w:rtl w:val="true"/>
              </w:rPr>
              <w:tab/>
            </w:r>
            <w:r>
              <w:rPr>
                <w:rStyle w:val="IndexLink"/>
              </w:rPr>
              <w:t>467</w:t>
            </w:r>
          </w:hyperlink>
        </w:p>
        <w:p>
          <w:pPr>
            <w:pStyle w:val="Contents6"/>
            <w:tabs>
              <w:tab w:val="clear" w:pos="7609"/>
              <w:tab w:val="right" w:pos="9026" w:leader="dot"/>
            </w:tabs>
            <w:rPr/>
          </w:pPr>
          <w:hyperlink w:anchor="__RefHeading___Toc735309_3244359995">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735311_3244359995">
            <w:r>
              <w:rPr>
                <w:webHidden/>
                <w:rStyle w:val="IndexLink"/>
                <w:rtl w:val="true"/>
              </w:rPr>
              <w:t>تفصیل صور الشکّ فی الخروج عن محلّ الابتلاء و أحکامها الصورة الاولی</w:t>
            </w:r>
            <w:r>
              <w:rPr>
                <w:rStyle w:val="IndexLink"/>
                <w:rtl w:val="true"/>
              </w:rPr>
              <w:t>:</w:t>
              <w:tab/>
            </w:r>
            <w:r>
              <w:rPr>
                <w:rStyle w:val="IndexLink"/>
              </w:rPr>
              <w:t>469</w:t>
            </w:r>
          </w:hyperlink>
        </w:p>
        <w:p>
          <w:pPr>
            <w:pStyle w:val="Contents6"/>
            <w:tabs>
              <w:tab w:val="clear" w:pos="7609"/>
              <w:tab w:val="right" w:pos="9026" w:leader="dot"/>
            </w:tabs>
            <w:rPr/>
          </w:pPr>
          <w:hyperlink w:anchor="__RefHeading___Toc735313_3244359995">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735315_3244359995">
            <w:r>
              <w:rPr>
                <w:webHidden/>
                <w:rStyle w:val="IndexLink"/>
                <w:rtl w:val="true"/>
              </w:rPr>
              <w:t>الصورة الثانیة</w:t>
            </w:r>
            <w:r>
              <w:rPr>
                <w:rStyle w:val="IndexLink"/>
                <w:rtl w:val="true"/>
              </w:rPr>
              <w:t>:</w:t>
              <w:tab/>
            </w:r>
            <w:r>
              <w:rPr>
                <w:rStyle w:val="IndexLink"/>
              </w:rPr>
              <w:t>472</w:t>
            </w:r>
          </w:hyperlink>
        </w:p>
        <w:p>
          <w:pPr>
            <w:pStyle w:val="Contents6"/>
            <w:tabs>
              <w:tab w:val="clear" w:pos="7609"/>
              <w:tab w:val="right" w:pos="9026" w:leader="dot"/>
            </w:tabs>
            <w:rPr/>
          </w:pPr>
          <w:hyperlink w:anchor="__RefHeading___Toc735317_3244359995">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735319_3244359995">
            <w:r>
              <w:rPr>
                <w:webHidden/>
                <w:rStyle w:val="IndexLink"/>
                <w:rtl w:val="true"/>
              </w:rPr>
              <w:t>بقی شی‌ء</w:t>
            </w:r>
            <w:r>
              <w:rPr>
                <w:rStyle w:val="IndexLink"/>
                <w:rtl w:val="true"/>
              </w:rPr>
              <w:t xml:space="preserve">: </w:t>
            </w:r>
            <w:r>
              <w:rPr>
                <w:rStyle w:val="IndexLink"/>
                <w:rtl w:val="true"/>
              </w:rPr>
              <w:t>فی التمسّک بعمومات الأدلّة و إطلاقاتها لرفع الشکّ فی المسألة الاصولیّة</w:t>
            </w:r>
            <w:r>
              <w:rPr>
                <w:rStyle w:val="IndexLink"/>
                <w:rtl w:val="true"/>
              </w:rPr>
              <w:tab/>
            </w:r>
            <w:r>
              <w:rPr>
                <w:rStyle w:val="IndexLink"/>
              </w:rPr>
              <w:t>474</w:t>
            </w:r>
          </w:hyperlink>
        </w:p>
        <w:p>
          <w:pPr>
            <w:pStyle w:val="Contents6"/>
            <w:tabs>
              <w:tab w:val="clear" w:pos="7609"/>
              <w:tab w:val="right" w:pos="9026" w:leader="dot"/>
            </w:tabs>
            <w:rPr/>
          </w:pPr>
          <w:hyperlink w:anchor="__RefHeading___Toc735321_3244359995">
            <w:r>
              <w:rPr>
                <w:webHidden/>
                <w:rStyle w:val="IndexLink"/>
                <w:rtl w:val="true"/>
              </w:rPr>
              <w:t>بقی شی‌ء آخر</w:t>
            </w:r>
            <w:r>
              <w:rPr>
                <w:rStyle w:val="IndexLink"/>
                <w:rtl w:val="true"/>
              </w:rPr>
              <w:t xml:space="preserve">: </w:t>
            </w:r>
            <w:r>
              <w:rPr>
                <w:rStyle w:val="IndexLink"/>
                <w:rtl w:val="true"/>
              </w:rPr>
              <w:t>فی التمسّک بحدیث البراءة لرفع الشکّ المذکور</w:t>
            </w:r>
            <w:r>
              <w:rPr>
                <w:rStyle w:val="IndexLink"/>
                <w:rtl w:val="true"/>
              </w:rPr>
              <w:tab/>
            </w:r>
            <w:r>
              <w:rPr>
                <w:rStyle w:val="IndexLink"/>
              </w:rPr>
              <w:t>476</w:t>
            </w:r>
          </w:hyperlink>
        </w:p>
        <w:p>
          <w:pPr>
            <w:pStyle w:val="Contents6"/>
            <w:tabs>
              <w:tab w:val="clear" w:pos="7609"/>
              <w:tab w:val="right" w:pos="9026" w:leader="dot"/>
            </w:tabs>
            <w:rPr/>
          </w:pPr>
          <w:hyperlink w:anchor="__RefHeading___Toc735323_3244359995">
            <w:r>
              <w:rPr>
                <w:webHidden/>
                <w:rStyle w:val="IndexLink"/>
                <w:rtl w:val="true"/>
              </w:rPr>
              <w:t>الصورة الثالثة</w:t>
            </w:r>
            <w:r>
              <w:rPr>
                <w:rStyle w:val="IndexLink"/>
                <w:rtl w:val="true"/>
              </w:rPr>
              <w:t>:</w:t>
              <w:tab/>
            </w:r>
            <w:r>
              <w:rPr>
                <w:rStyle w:val="IndexLink"/>
              </w:rPr>
              <w:t>477</w:t>
            </w:r>
          </w:hyperlink>
        </w:p>
        <w:p>
          <w:pPr>
            <w:pStyle w:val="Contents6"/>
            <w:tabs>
              <w:tab w:val="clear" w:pos="7609"/>
              <w:tab w:val="right" w:pos="9026" w:leader="dot"/>
            </w:tabs>
            <w:rPr/>
          </w:pPr>
          <w:hyperlink w:anchor="__RefHeading___Toc735325_3244359995">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735327_3244359995">
            <w:r>
              <w:rPr>
                <w:webHidden/>
                <w:rStyle w:val="IndexLink"/>
                <w:rtl w:val="true"/>
              </w:rPr>
              <w:t>تذنیب</w:t>
            </w:r>
            <w:r>
              <w:rPr>
                <w:rStyle w:val="IndexLink"/>
                <w:rtl w:val="true"/>
              </w:rPr>
              <w:tab/>
            </w:r>
            <w:r>
              <w:rPr>
                <w:rStyle w:val="IndexLink"/>
              </w:rPr>
              <w:t>482</w:t>
            </w:r>
          </w:hyperlink>
        </w:p>
        <w:p>
          <w:pPr>
            <w:pStyle w:val="Contents6"/>
            <w:tabs>
              <w:tab w:val="clear" w:pos="7609"/>
              <w:tab w:val="right" w:pos="9026" w:leader="dot"/>
            </w:tabs>
            <w:rPr/>
          </w:pPr>
          <w:hyperlink w:anchor="__RefHeading___Toc735329_3244359995">
            <w:r>
              <w:rPr>
                <w:webHidden/>
                <w:rStyle w:val="IndexLink"/>
                <w:rtl w:val="true"/>
              </w:rPr>
              <w:t>الصورة الرابعة</w:t>
            </w:r>
            <w:r>
              <w:rPr>
                <w:rStyle w:val="IndexLink"/>
                <w:rtl w:val="true"/>
              </w:rPr>
              <w:t>:</w:t>
              <w:tab/>
            </w:r>
            <w:r>
              <w:rPr>
                <w:rStyle w:val="IndexLink"/>
              </w:rPr>
              <w:t>482</w:t>
            </w:r>
          </w:hyperlink>
        </w:p>
        <w:p>
          <w:pPr>
            <w:pStyle w:val="Contents6"/>
            <w:tabs>
              <w:tab w:val="clear" w:pos="7609"/>
              <w:tab w:val="right" w:pos="9026" w:leader="dot"/>
            </w:tabs>
            <w:rPr/>
          </w:pPr>
          <w:hyperlink w:anchor="__RefHeading___Toc735331_3244359995">
            <w:r>
              <w:rPr>
                <w:webHidden/>
                <w:rStyle w:val="IndexLink"/>
                <w:rtl w:val="true"/>
              </w:rPr>
              <w:t>و أمّا الصورة الخامسة</w:t>
            </w:r>
            <w:r>
              <w:rPr>
                <w:rStyle w:val="IndexLink"/>
                <w:rtl w:val="true"/>
              </w:rPr>
              <w:t>:</w:t>
              <w:tab/>
            </w:r>
            <w:r>
              <w:rPr>
                <w:rStyle w:val="IndexLink"/>
              </w:rPr>
              <w:t>482</w:t>
            </w:r>
          </w:hyperlink>
        </w:p>
        <w:p>
          <w:pPr>
            <w:pStyle w:val="Contents6"/>
            <w:tabs>
              <w:tab w:val="clear" w:pos="7609"/>
              <w:tab w:val="right" w:pos="9026" w:leader="dot"/>
            </w:tabs>
            <w:rPr/>
          </w:pPr>
          <w:hyperlink w:anchor="__RefHeading___Toc735333_3244359995">
            <w:r>
              <w:rPr>
                <w:webHidden/>
                <w:rStyle w:val="IndexLink"/>
                <w:rtl w:val="true"/>
              </w:rPr>
              <w:t>نعم، الصورة السادسة</w:t>
            </w:r>
            <w:r>
              <w:rPr>
                <w:rStyle w:val="IndexLink"/>
                <w:rtl w:val="true"/>
              </w:rPr>
              <w:t>:</w:t>
              <w:tab/>
            </w:r>
            <w:r>
              <w:rPr>
                <w:rStyle w:val="IndexLink"/>
              </w:rPr>
              <w:t>482</w:t>
            </w:r>
          </w:hyperlink>
        </w:p>
        <w:p>
          <w:pPr>
            <w:pStyle w:val="Contents6"/>
            <w:tabs>
              <w:tab w:val="clear" w:pos="7609"/>
              <w:tab w:val="right" w:pos="9026" w:leader="dot"/>
            </w:tabs>
            <w:rPr/>
          </w:pPr>
          <w:hyperlink w:anchor="__RefHeading___Toc735335_3244359995">
            <w:r>
              <w:rPr>
                <w:webHidden/>
                <w:rStyle w:val="IndexLink"/>
                <w:rtl w:val="true"/>
              </w:rPr>
              <w:t>ذنابة</w:t>
            </w:r>
            <w:r>
              <w:rPr>
                <w:rStyle w:val="IndexLink"/>
                <w:rtl w:val="true"/>
              </w:rPr>
              <w:t xml:space="preserve">: </w:t>
            </w:r>
            <w:r>
              <w:rPr>
                <w:rStyle w:val="IndexLink"/>
                <w:rtl w:val="true"/>
              </w:rPr>
              <w:t xml:space="preserve">فی بیان شبهة متوجّهة من ناحیة </w:t>
            </w:r>
            <w:r>
              <w:rPr>
                <w:rStyle w:val="IndexLink"/>
                <w:rtl w:val="true"/>
              </w:rPr>
              <w:t>«</w:t>
            </w:r>
            <w:r>
              <w:rPr>
                <w:rStyle w:val="IndexLink"/>
                <w:rtl w:val="true"/>
              </w:rPr>
              <w:t xml:space="preserve">رفع </w:t>
            </w:r>
            <w:r>
              <w:rPr>
                <w:rStyle w:val="IndexLink"/>
                <w:rtl w:val="true"/>
              </w:rPr>
              <w:t xml:space="preserve">... </w:t>
            </w:r>
            <w:r>
              <w:rPr>
                <w:rStyle w:val="IndexLink"/>
                <w:rtl w:val="true"/>
              </w:rPr>
              <w:t>ما لا یطیقون</w:t>
            </w:r>
            <w:r>
              <w:rPr>
                <w:rStyle w:val="IndexLink"/>
                <w:rtl w:val="true"/>
              </w:rPr>
              <w:t>»</w:t>
              <w:tab/>
            </w:r>
            <w:r>
              <w:rPr>
                <w:rStyle w:val="IndexLink"/>
              </w:rPr>
              <w:t>483</w:t>
            </w:r>
          </w:hyperlink>
        </w:p>
        <w:p>
          <w:pPr>
            <w:pStyle w:val="Contents6"/>
            <w:tabs>
              <w:tab w:val="clear" w:pos="7609"/>
              <w:tab w:val="right" w:pos="9026" w:leader="dot"/>
            </w:tabs>
            <w:rPr/>
          </w:pPr>
          <w:hyperlink w:anchor="__RefHeading___Toc735337_3244359995">
            <w:r>
              <w:rPr>
                <w:webHidden/>
                <w:rStyle w:val="IndexLink"/>
                <w:rtl w:val="true"/>
              </w:rPr>
              <w:t>تتمیم</w:t>
            </w:r>
            <w:r>
              <w:rPr>
                <w:rStyle w:val="IndexLink"/>
                <w:rtl w:val="true"/>
              </w:rPr>
              <w:t xml:space="preserve">: </w:t>
            </w:r>
            <w:r>
              <w:rPr>
                <w:rStyle w:val="IndexLink"/>
                <w:rtl w:val="true"/>
              </w:rPr>
              <w:t>حول عدم تأثیر العلم فی موارد الامتناع الشرعی</w:t>
            </w:r>
            <w:r>
              <w:rPr>
                <w:rStyle w:val="IndexLink"/>
                <w:rtl w:val="true"/>
              </w:rPr>
              <w:tab/>
            </w:r>
            <w:r>
              <w:rPr>
                <w:rStyle w:val="IndexLink"/>
              </w:rPr>
              <w:t>484</w:t>
            </w:r>
          </w:hyperlink>
        </w:p>
        <w:p>
          <w:pPr>
            <w:pStyle w:val="Contents6"/>
            <w:tabs>
              <w:tab w:val="clear" w:pos="7609"/>
              <w:tab w:val="right" w:pos="9026" w:leader="dot"/>
            </w:tabs>
            <w:rPr/>
          </w:pPr>
          <w:hyperlink w:anchor="__RefHeading___Toc735339_3244359995">
            <w:r>
              <w:rPr>
                <w:webHidden/>
                <w:rStyle w:val="IndexLink"/>
                <w:rtl w:val="true"/>
              </w:rPr>
              <w:t>التنبیه التاسع فیما إذا اضطرّ إلی أحد الأطراف، و هکذا لو اکره علیه</w:t>
            </w:r>
            <w:r>
              <w:rPr>
                <w:rStyle w:val="IndexLink"/>
                <w:rtl w:val="true"/>
              </w:rPr>
              <w:tab/>
            </w:r>
            <w:r>
              <w:rPr>
                <w:rStyle w:val="IndexLink"/>
              </w:rPr>
              <w:t>485</w:t>
            </w:r>
          </w:hyperlink>
        </w:p>
        <w:p>
          <w:pPr>
            <w:pStyle w:val="Contents6"/>
            <w:tabs>
              <w:tab w:val="clear" w:pos="7609"/>
              <w:tab w:val="right" w:pos="9026" w:leader="dot"/>
            </w:tabs>
            <w:rPr/>
          </w:pPr>
          <w:hyperlink w:anchor="__RefHeading___Toc735341_3244359995">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735343_3244359995">
            <w:r>
              <w:rPr>
                <w:webHidden/>
                <w:rStyle w:val="IndexLink"/>
                <w:rtl w:val="true"/>
              </w:rPr>
              <w:t>الأمر الأوّل</w:t>
            </w:r>
            <w:r>
              <w:rPr>
                <w:rStyle w:val="IndexLink"/>
                <w:rtl w:val="true"/>
              </w:rPr>
              <w:t xml:space="preserve">: </w:t>
            </w:r>
            <w:r>
              <w:rPr>
                <w:rStyle w:val="IndexLink"/>
                <w:rtl w:val="true"/>
              </w:rPr>
              <w:t>فی صور الاضطرار</w:t>
            </w:r>
            <w:r>
              <w:rPr>
                <w:rStyle w:val="IndexLink"/>
                <w:rtl w:val="true"/>
              </w:rPr>
              <w:tab/>
            </w:r>
            <w:r>
              <w:rPr>
                <w:rStyle w:val="IndexLink"/>
              </w:rPr>
              <w:t>486</w:t>
            </w:r>
          </w:hyperlink>
        </w:p>
        <w:p>
          <w:pPr>
            <w:pStyle w:val="Contents6"/>
            <w:tabs>
              <w:tab w:val="clear" w:pos="7609"/>
              <w:tab w:val="right" w:pos="9026" w:leader="dot"/>
            </w:tabs>
            <w:rPr/>
          </w:pPr>
          <w:hyperlink w:anchor="__RefHeading___Toc735345_3244359995">
            <w:r>
              <w:rPr>
                <w:webHidden/>
                <w:rStyle w:val="IndexLink"/>
                <w:rtl w:val="true"/>
              </w:rPr>
              <w:t>الأمر الثانی</w:t>
            </w:r>
            <w:r>
              <w:rPr>
                <w:rStyle w:val="IndexLink"/>
                <w:rtl w:val="true"/>
              </w:rPr>
              <w:t xml:space="preserve">: </w:t>
            </w:r>
            <w:r>
              <w:rPr>
                <w:rStyle w:val="IndexLink"/>
                <w:rtl w:val="true"/>
              </w:rPr>
              <w:t>فی بیان الأقوال فی المسألة</w:t>
            </w:r>
            <w:r>
              <w:rPr>
                <w:rStyle w:val="IndexLink"/>
                <w:rtl w:val="true"/>
              </w:rPr>
              <w:tab/>
            </w:r>
            <w:r>
              <w:rPr>
                <w:rStyle w:val="IndexLink"/>
              </w:rPr>
              <w:t>487</w:t>
            </w:r>
          </w:hyperlink>
        </w:p>
        <w:p>
          <w:pPr>
            <w:pStyle w:val="Contents6"/>
            <w:tabs>
              <w:tab w:val="clear" w:pos="7609"/>
              <w:tab w:val="right" w:pos="9026" w:leader="dot"/>
            </w:tabs>
            <w:rPr/>
          </w:pPr>
          <w:hyperlink w:anchor="__RefHeading___Toc735347_3244359995">
            <w:r>
              <w:rPr>
                <w:webHidden/>
                <w:rStyle w:val="IndexLink"/>
                <w:rtl w:val="true"/>
              </w:rPr>
              <w:t>الأمر الثالث</w:t>
            </w:r>
            <w:r>
              <w:rPr>
                <w:rStyle w:val="IndexLink"/>
                <w:rtl w:val="true"/>
              </w:rPr>
              <w:t xml:space="preserve">: </w:t>
            </w:r>
            <w:r>
              <w:rPr>
                <w:rStyle w:val="IndexLink"/>
                <w:rtl w:val="true"/>
              </w:rPr>
              <w:t>حول أنّ المرتفع هو الأثر المضطرّ إلیه دون مطلق الأثر</w:t>
            </w:r>
            <w:r>
              <w:rPr>
                <w:rStyle w:val="IndexLink"/>
                <w:rtl w:val="true"/>
              </w:rPr>
              <w:tab/>
            </w:r>
            <w:r>
              <w:rPr>
                <w:rStyle w:val="IndexLink"/>
              </w:rPr>
              <w:t>487</w:t>
            </w:r>
          </w:hyperlink>
        </w:p>
        <w:p>
          <w:pPr>
            <w:pStyle w:val="Contents6"/>
            <w:tabs>
              <w:tab w:val="clear" w:pos="7609"/>
              <w:tab w:val="right" w:pos="9026" w:leader="dot"/>
            </w:tabs>
            <w:rPr/>
          </w:pPr>
          <w:hyperlink w:anchor="__RefHeading___Toc735349_3244359995">
            <w:r>
              <w:rPr>
                <w:webHidden/>
                <w:rStyle w:val="IndexLink"/>
                <w:rtl w:val="true"/>
              </w:rPr>
              <w:t>الأمر الرابع</w:t>
            </w:r>
            <w:r>
              <w:rPr>
                <w:rStyle w:val="IndexLink"/>
                <w:rtl w:val="true"/>
              </w:rPr>
              <w:t xml:space="preserve">: </w:t>
            </w:r>
            <w:r>
              <w:rPr>
                <w:rStyle w:val="IndexLink"/>
                <w:rtl w:val="true"/>
              </w:rPr>
              <w:t>فی أولویة ذکر صور الإکراه</w:t>
            </w:r>
            <w:r>
              <w:rPr>
                <w:rStyle w:val="IndexLink"/>
                <w:rtl w:val="true"/>
              </w:rPr>
              <w:tab/>
            </w:r>
            <w:r>
              <w:rPr>
                <w:rStyle w:val="IndexLink"/>
              </w:rPr>
              <w:t>488</w:t>
            </w:r>
          </w:hyperlink>
        </w:p>
        <w:p>
          <w:pPr>
            <w:pStyle w:val="Contents6"/>
            <w:tabs>
              <w:tab w:val="clear" w:pos="7609"/>
              <w:tab w:val="right" w:pos="9026" w:leader="dot"/>
            </w:tabs>
            <w:rPr/>
          </w:pPr>
          <w:hyperlink w:anchor="__RefHeading___Toc735351_3244359995">
            <w:r>
              <w:rPr>
                <w:webHidden/>
                <w:rStyle w:val="IndexLink"/>
                <w:rtl w:val="true"/>
              </w:rPr>
              <w:t>الأمر الخامس</w:t>
            </w:r>
            <w:r>
              <w:rPr>
                <w:rStyle w:val="IndexLink"/>
                <w:rtl w:val="true"/>
              </w:rPr>
              <w:t xml:space="preserve">: </w:t>
            </w:r>
            <w:r>
              <w:rPr>
                <w:rStyle w:val="IndexLink"/>
                <w:rtl w:val="true"/>
              </w:rPr>
              <w:t>فی شمول الاضطرار للعقلی و العرفی</w:t>
            </w:r>
            <w:r>
              <w:rPr>
                <w:rStyle w:val="IndexLink"/>
                <w:rtl w:val="true"/>
              </w:rPr>
              <w:tab/>
            </w:r>
            <w:r>
              <w:rPr>
                <w:rStyle w:val="IndexLink"/>
              </w:rPr>
              <w:t>488</w:t>
            </w:r>
          </w:hyperlink>
        </w:p>
        <w:p>
          <w:pPr>
            <w:pStyle w:val="Contents6"/>
            <w:tabs>
              <w:tab w:val="clear" w:pos="7609"/>
              <w:tab w:val="right" w:pos="9026" w:leader="dot"/>
            </w:tabs>
            <w:rPr/>
          </w:pPr>
          <w:hyperlink w:anchor="__RefHeading___Toc735353_3244359995">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735355_3244359995">
            <w:r>
              <w:rPr>
                <w:webHidden/>
                <w:rStyle w:val="IndexLink"/>
                <w:rtl w:val="true"/>
              </w:rPr>
              <w:t>المسألة الاولی</w:t>
            </w:r>
            <w:r>
              <w:rPr>
                <w:rStyle w:val="IndexLink"/>
                <w:rtl w:val="true"/>
              </w:rPr>
              <w:t xml:space="preserve">: </w:t>
            </w:r>
            <w:r>
              <w:rPr>
                <w:rStyle w:val="IndexLink"/>
                <w:rtl w:val="true"/>
              </w:rPr>
              <w:t>فی وجوب الاحتیاط فی جمیع صور الاضطرار</w:t>
            </w:r>
            <w:r>
              <w:rPr>
                <w:rStyle w:val="IndexLink"/>
                <w:rtl w:val="true"/>
              </w:rPr>
              <w:tab/>
            </w:r>
            <w:r>
              <w:rPr>
                <w:rStyle w:val="IndexLink"/>
              </w:rPr>
              <w:t>489</w:t>
            </w:r>
          </w:hyperlink>
        </w:p>
        <w:p>
          <w:pPr>
            <w:pStyle w:val="Contents6"/>
            <w:tabs>
              <w:tab w:val="clear" w:pos="7609"/>
              <w:tab w:val="right" w:pos="9026" w:leader="dot"/>
            </w:tabs>
            <w:rPr/>
          </w:pPr>
          <w:hyperlink w:anchor="__RefHeading___Toc735357_3244359995">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735359_3244359995">
            <w:r>
              <w:rPr>
                <w:webHidden/>
                <w:rStyle w:val="IndexLink"/>
                <w:rtl w:val="true"/>
              </w:rPr>
              <w:t>تذنیب</w:t>
            </w:r>
            <w:r>
              <w:rPr>
                <w:rStyle w:val="IndexLink"/>
                <w:rtl w:val="true"/>
              </w:rPr>
              <w:t xml:space="preserve">: </w:t>
            </w:r>
            <w:r>
              <w:rPr>
                <w:rStyle w:val="IndexLink"/>
                <w:rtl w:val="true"/>
              </w:rPr>
              <w:t xml:space="preserve">حول مختار </w:t>
            </w:r>
            <w:r>
              <w:rPr>
                <w:rStyle w:val="IndexLink"/>
                <w:rtl w:val="true"/>
              </w:rPr>
              <w:t>«</w:t>
            </w:r>
            <w:r>
              <w:rPr>
                <w:rStyle w:val="IndexLink"/>
                <w:rtl w:val="true"/>
              </w:rPr>
              <w:t>الکفایة</w:t>
            </w:r>
            <w:r>
              <w:rPr>
                <w:rStyle w:val="IndexLink"/>
                <w:rtl w:val="true"/>
              </w:rPr>
              <w:t xml:space="preserve">» </w:t>
            </w:r>
            <w:r>
              <w:rPr>
                <w:rStyle w:val="IndexLink"/>
                <w:rtl w:val="true"/>
              </w:rPr>
              <w:t>من عدم التنجیز</w:t>
            </w:r>
            <w:r>
              <w:rPr>
                <w:rStyle w:val="IndexLink"/>
                <w:rtl w:val="true"/>
              </w:rPr>
              <w:tab/>
            </w:r>
            <w:r>
              <w:rPr>
                <w:rStyle w:val="IndexLink"/>
              </w:rPr>
              <w:t>493</w:t>
            </w:r>
          </w:hyperlink>
        </w:p>
        <w:p>
          <w:pPr>
            <w:pStyle w:val="Contents6"/>
            <w:tabs>
              <w:tab w:val="clear" w:pos="7609"/>
              <w:tab w:val="right" w:pos="9026" w:leader="dot"/>
            </w:tabs>
            <w:rPr/>
          </w:pPr>
          <w:hyperlink w:anchor="__RefHeading___Toc735361_3244359995">
            <w:r>
              <w:rPr>
                <w:webHidden/>
                <w:rStyle w:val="IndexLink"/>
                <w:rtl w:val="true"/>
              </w:rPr>
              <w:t>المسألة الثانیة</w:t>
            </w:r>
            <w:r>
              <w:rPr>
                <w:rStyle w:val="IndexLink"/>
                <w:rtl w:val="true"/>
              </w:rPr>
              <w:t xml:space="preserve">: </w:t>
            </w:r>
            <w:r>
              <w:rPr>
                <w:rStyle w:val="IndexLink"/>
                <w:rtl w:val="true"/>
              </w:rPr>
              <w:t>حول القول بالتفصیل فی المقام</w:t>
            </w:r>
            <w:r>
              <w:rPr>
                <w:rStyle w:val="IndexLink"/>
                <w:rtl w:val="true"/>
              </w:rPr>
              <w:tab/>
            </w:r>
            <w:r>
              <w:rPr>
                <w:rStyle w:val="IndexLink"/>
              </w:rPr>
              <w:t>494</w:t>
            </w:r>
          </w:hyperlink>
        </w:p>
        <w:p>
          <w:pPr>
            <w:pStyle w:val="Contents6"/>
            <w:tabs>
              <w:tab w:val="clear" w:pos="7609"/>
              <w:tab w:val="right" w:pos="9026" w:leader="dot"/>
            </w:tabs>
            <w:rPr/>
          </w:pPr>
          <w:hyperlink w:anchor="__RefHeading___Toc735363_3244359995">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735365_3244359995">
            <w:r>
              <w:rPr>
                <w:webHidden/>
                <w:rStyle w:val="IndexLink"/>
                <w:rtl w:val="true"/>
              </w:rPr>
              <w:t>بحث</w:t>
            </w:r>
            <w:r>
              <w:rPr>
                <w:rStyle w:val="IndexLink"/>
                <w:rtl w:val="true"/>
              </w:rPr>
              <w:t xml:space="preserve">: </w:t>
            </w:r>
            <w:r>
              <w:rPr>
                <w:rStyle w:val="IndexLink"/>
                <w:rtl w:val="true"/>
              </w:rPr>
              <w:t>حول صورتی تقدّم العلم علی الاضطرار</w:t>
            </w:r>
            <w:r>
              <w:rPr>
                <w:rStyle w:val="IndexLink"/>
                <w:rtl w:val="true"/>
              </w:rPr>
              <w:tab/>
            </w:r>
            <w:r>
              <w:rPr>
                <w:rStyle w:val="IndexLink"/>
              </w:rPr>
              <w:t>498</w:t>
            </w:r>
          </w:hyperlink>
        </w:p>
        <w:p>
          <w:pPr>
            <w:pStyle w:val="Contents6"/>
            <w:tabs>
              <w:tab w:val="clear" w:pos="7609"/>
              <w:tab w:val="right" w:pos="9026" w:leader="dot"/>
            </w:tabs>
            <w:rPr/>
          </w:pPr>
          <w:hyperlink w:anchor="__RefHeading___Toc735367_3244359995">
            <w:r>
              <w:rPr>
                <w:webHidden/>
                <w:rStyle w:val="IndexLink"/>
                <w:rtl w:val="true"/>
              </w:rPr>
              <w:t>بیان آخر للقول بالاحتیاط فی الطرف</w:t>
            </w:r>
            <w:r>
              <w:rPr>
                <w:rStyle w:val="IndexLink"/>
                <w:rtl w:val="true"/>
              </w:rPr>
              <w:t>:</w:t>
              <w:tab/>
            </w:r>
            <w:r>
              <w:rPr>
                <w:rStyle w:val="IndexLink"/>
              </w:rPr>
              <w:t>500</w:t>
            </w:r>
          </w:hyperlink>
        </w:p>
        <w:p>
          <w:pPr>
            <w:pStyle w:val="Contents6"/>
            <w:tabs>
              <w:tab w:val="clear" w:pos="7609"/>
              <w:tab w:val="right" w:pos="9026" w:leader="dot"/>
            </w:tabs>
            <w:rPr/>
          </w:pPr>
          <w:hyperlink w:anchor="__RefHeading___Toc735369_3244359995">
            <w:r>
              <w:rPr>
                <w:webHidden/>
                <w:rStyle w:val="IndexLink"/>
                <w:rtl w:val="true"/>
              </w:rPr>
              <w:t>تنبیهات</w:t>
            </w:r>
            <w:r>
              <w:rPr>
                <w:rStyle w:val="IndexLink"/>
                <w:rtl w:val="true"/>
              </w:rPr>
              <w:tab/>
            </w:r>
            <w:r>
              <w:rPr>
                <w:rStyle w:val="IndexLink"/>
              </w:rPr>
              <w:t>500</w:t>
            </w:r>
          </w:hyperlink>
        </w:p>
        <w:p>
          <w:pPr>
            <w:pStyle w:val="Contents6"/>
            <w:tabs>
              <w:tab w:val="clear" w:pos="7609"/>
              <w:tab w:val="right" w:pos="9026" w:leader="dot"/>
            </w:tabs>
            <w:rPr/>
          </w:pPr>
          <w:hyperlink w:anchor="__RefHeading___Toc735371_3244359995">
            <w:r>
              <w:rPr>
                <w:webHidden/>
                <w:rStyle w:val="IndexLink"/>
                <w:rtl w:val="true"/>
              </w:rPr>
              <w:t>الأوّل</w:t>
            </w:r>
            <w:r>
              <w:rPr>
                <w:rStyle w:val="IndexLink"/>
                <w:rtl w:val="true"/>
              </w:rPr>
              <w:t xml:space="preserve">: </w:t>
            </w:r>
            <w:r>
              <w:rPr>
                <w:rStyle w:val="IndexLink"/>
                <w:rtl w:val="true"/>
              </w:rPr>
              <w:t>حول جواز شرب الإناء الثانی عند احتمال انتفاء الاضطرار إلی الأوّل</w:t>
            </w:r>
            <w:r>
              <w:rPr>
                <w:rStyle w:val="IndexLink"/>
                <w:rtl w:val="true"/>
              </w:rPr>
              <w:tab/>
            </w:r>
            <w:r>
              <w:rPr>
                <w:rStyle w:val="IndexLink"/>
              </w:rPr>
              <w:t>500</w:t>
            </w:r>
          </w:hyperlink>
        </w:p>
        <w:p>
          <w:pPr>
            <w:pStyle w:val="Contents6"/>
            <w:tabs>
              <w:tab w:val="clear" w:pos="7609"/>
              <w:tab w:val="right" w:pos="9026" w:leader="dot"/>
            </w:tabs>
            <w:rPr/>
          </w:pPr>
          <w:hyperlink w:anchor="__RefHeading___Toc735373_3244359995">
            <w:r>
              <w:rPr>
                <w:webHidden/>
                <w:rStyle w:val="IndexLink"/>
                <w:rtl w:val="true"/>
              </w:rPr>
              <w:t>الثانی</w:t>
            </w:r>
            <w:r>
              <w:rPr>
                <w:rStyle w:val="IndexLink"/>
                <w:rtl w:val="true"/>
              </w:rPr>
              <w:t xml:space="preserve">: </w:t>
            </w:r>
            <w:r>
              <w:rPr>
                <w:rStyle w:val="IndexLink"/>
                <w:rtl w:val="true"/>
              </w:rPr>
              <w:t>فیما لو علم بطروّ الاضطرار</w:t>
            </w:r>
            <w:r>
              <w:rPr>
                <w:rStyle w:val="IndexLink"/>
                <w:rtl w:val="true"/>
              </w:rPr>
              <w:tab/>
            </w:r>
            <w:r>
              <w:rPr>
                <w:rStyle w:val="IndexLink"/>
              </w:rPr>
              <w:t>501</w:t>
            </w:r>
          </w:hyperlink>
        </w:p>
        <w:p>
          <w:pPr>
            <w:pStyle w:val="Contents6"/>
            <w:tabs>
              <w:tab w:val="clear" w:pos="7609"/>
              <w:tab w:val="right" w:pos="9026" w:leader="dot"/>
            </w:tabs>
            <w:rPr/>
          </w:pPr>
          <w:hyperlink w:anchor="__RefHeading___Toc735375_3244359995">
            <w:r>
              <w:rPr>
                <w:webHidden/>
                <w:rStyle w:val="IndexLink"/>
                <w:rtl w:val="true"/>
              </w:rPr>
              <w:t>الثالث</w:t>
            </w:r>
            <w:r>
              <w:rPr>
                <w:rStyle w:val="IndexLink"/>
                <w:rtl w:val="true"/>
              </w:rPr>
              <w:t xml:space="preserve">: </w:t>
            </w:r>
            <w:r>
              <w:rPr>
                <w:rStyle w:val="IndexLink"/>
                <w:rtl w:val="true"/>
              </w:rPr>
              <w:t>فی وجوب الفحص عن الفرد المحرّم لرفع الاضطرار بغیره</w:t>
            </w:r>
            <w:r>
              <w:rPr>
                <w:rStyle w:val="IndexLink"/>
                <w:rtl w:val="true"/>
              </w:rPr>
              <w:tab/>
            </w:r>
            <w:r>
              <w:rPr>
                <w:rStyle w:val="IndexLink"/>
              </w:rPr>
              <w:t>501</w:t>
            </w:r>
          </w:hyperlink>
        </w:p>
        <w:p>
          <w:pPr>
            <w:pStyle w:val="Contents6"/>
            <w:tabs>
              <w:tab w:val="clear" w:pos="7609"/>
              <w:tab w:val="right" w:pos="9026" w:leader="dot"/>
            </w:tabs>
            <w:rPr/>
          </w:pPr>
          <w:hyperlink w:anchor="__RefHeading___Toc735377_3244359995">
            <w:r>
              <w:rPr>
                <w:webHidden/>
                <w:rStyle w:val="IndexLink"/>
                <w:rtl w:val="true"/>
              </w:rPr>
              <w:t>الرابع</w:t>
            </w:r>
            <w:r>
              <w:rPr>
                <w:rStyle w:val="IndexLink"/>
                <w:rtl w:val="true"/>
              </w:rPr>
              <w:t xml:space="preserve">: </w:t>
            </w:r>
            <w:r>
              <w:rPr>
                <w:rStyle w:val="IndexLink"/>
                <w:rtl w:val="true"/>
              </w:rPr>
              <w:t>فی الاضطرار إلی ترک الواجب</w:t>
            </w:r>
            <w:r>
              <w:rPr>
                <w:rStyle w:val="IndexLink"/>
                <w:rtl w:val="true"/>
              </w:rPr>
              <w:tab/>
            </w:r>
            <w:r>
              <w:rPr>
                <w:rStyle w:val="IndexLink"/>
              </w:rPr>
              <w:t>502</w:t>
            </w:r>
          </w:hyperlink>
        </w:p>
        <w:p>
          <w:pPr>
            <w:pStyle w:val="Contents6"/>
            <w:tabs>
              <w:tab w:val="clear" w:pos="7609"/>
              <w:tab w:val="right" w:pos="9026" w:leader="dot"/>
            </w:tabs>
            <w:rPr/>
          </w:pPr>
          <w:hyperlink w:anchor="__RefHeading___Toc735379_3244359995">
            <w:r>
              <w:rPr>
                <w:webHidden/>
                <w:rStyle w:val="IndexLink"/>
                <w:rtl w:val="true"/>
              </w:rPr>
              <w:t>التنبیه العاشر فی ملاقی بعض أطراف العلم الإجمالی</w:t>
            </w:r>
            <w:r>
              <w:rPr>
                <w:rStyle w:val="IndexLink"/>
                <w:rtl w:val="true"/>
              </w:rPr>
              <w:tab/>
            </w:r>
            <w:r>
              <w:rPr>
                <w:rStyle w:val="IndexLink"/>
              </w:rPr>
              <w:t>503</w:t>
            </w:r>
          </w:hyperlink>
        </w:p>
        <w:p>
          <w:pPr>
            <w:pStyle w:val="Contents6"/>
            <w:tabs>
              <w:tab w:val="clear" w:pos="7609"/>
              <w:tab w:val="right" w:pos="9026" w:leader="dot"/>
            </w:tabs>
            <w:rPr/>
          </w:pPr>
          <w:hyperlink w:anchor="__RefHeading___Toc735381_3244359995">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735383_3244359995">
            <w:r>
              <w:rPr>
                <w:webHidden/>
                <w:rStyle w:val="IndexLink"/>
                <w:rtl w:val="true"/>
              </w:rPr>
              <w:t>الأمر الأوّل</w:t>
            </w:r>
            <w:r>
              <w:rPr>
                <w:rStyle w:val="IndexLink"/>
                <w:rtl w:val="true"/>
              </w:rPr>
              <w:t xml:space="preserve">: </w:t>
            </w:r>
            <w:r>
              <w:rPr>
                <w:rStyle w:val="IndexLink"/>
                <w:rtl w:val="true"/>
              </w:rPr>
              <w:t>فی أنّ ملاقی النجس نجس بعنوانه</w:t>
            </w:r>
            <w:r>
              <w:rPr>
                <w:rStyle w:val="IndexLink"/>
                <w:rtl w:val="true"/>
              </w:rPr>
              <w:tab/>
            </w:r>
            <w:r>
              <w:rPr>
                <w:rStyle w:val="IndexLink"/>
              </w:rPr>
              <w:t>504</w:t>
            </w:r>
          </w:hyperlink>
        </w:p>
        <w:p>
          <w:pPr>
            <w:pStyle w:val="Contents6"/>
            <w:tabs>
              <w:tab w:val="clear" w:pos="7609"/>
              <w:tab w:val="right" w:pos="9026" w:leader="dot"/>
            </w:tabs>
            <w:rPr/>
          </w:pPr>
          <w:hyperlink w:anchor="__RefHeading___Toc735385_3244359995">
            <w:r>
              <w:rPr>
                <w:webHidden/>
                <w:rStyle w:val="IndexLink"/>
                <w:rtl w:val="true"/>
              </w:rPr>
              <w:t>الأمر الثانی</w:t>
            </w:r>
            <w:r>
              <w:rPr>
                <w:rStyle w:val="IndexLink"/>
                <w:rtl w:val="true"/>
              </w:rPr>
              <w:t xml:space="preserve">: </w:t>
            </w:r>
            <w:r>
              <w:rPr>
                <w:rStyle w:val="IndexLink"/>
                <w:rtl w:val="true"/>
              </w:rPr>
              <w:t>حول جریان البحث علی المبانی المختلفة</w:t>
            </w:r>
            <w:r>
              <w:rPr>
                <w:rStyle w:val="IndexLink"/>
                <w:rtl w:val="true"/>
              </w:rPr>
              <w:tab/>
            </w:r>
            <w:r>
              <w:rPr>
                <w:rStyle w:val="IndexLink"/>
              </w:rPr>
              <w:t>505</w:t>
            </w:r>
          </w:hyperlink>
        </w:p>
        <w:p>
          <w:pPr>
            <w:pStyle w:val="Contents6"/>
            <w:tabs>
              <w:tab w:val="clear" w:pos="7609"/>
              <w:tab w:val="right" w:pos="9026" w:leader="dot"/>
            </w:tabs>
            <w:rPr/>
          </w:pPr>
          <w:hyperlink w:anchor="__RefHeading___Toc735387_3244359995">
            <w:r>
              <w:rPr>
                <w:webHidden/>
                <w:rStyle w:val="IndexLink"/>
                <w:rtl w:val="true"/>
              </w:rPr>
              <w:t>الأمر الثالث</w:t>
            </w:r>
            <w:r>
              <w:rPr>
                <w:rStyle w:val="IndexLink"/>
                <w:rtl w:val="true"/>
              </w:rPr>
              <w:t xml:space="preserve">: </w:t>
            </w:r>
            <w:r>
              <w:rPr>
                <w:rStyle w:val="IndexLink"/>
                <w:rtl w:val="true"/>
              </w:rPr>
              <w:t>فی صور الملاقاة</w:t>
            </w:r>
            <w:r>
              <w:rPr>
                <w:rStyle w:val="IndexLink"/>
                <w:rtl w:val="true"/>
              </w:rPr>
              <w:tab/>
            </w:r>
            <w:r>
              <w:rPr>
                <w:rStyle w:val="IndexLink"/>
              </w:rPr>
              <w:t>506</w:t>
            </w:r>
          </w:hyperlink>
        </w:p>
        <w:p>
          <w:pPr>
            <w:pStyle w:val="Contents6"/>
            <w:tabs>
              <w:tab w:val="clear" w:pos="7609"/>
              <w:tab w:val="right" w:pos="9026" w:leader="dot"/>
            </w:tabs>
            <w:rPr/>
          </w:pPr>
          <w:hyperlink w:anchor="__RefHeading___Toc735389_3244359995">
            <w:r>
              <w:rPr>
                <w:webHidden/>
                <w:rStyle w:val="IndexLink"/>
                <w:rtl w:val="true"/>
              </w:rPr>
              <w:t>اشارة</w:t>
            </w:r>
            <w:r>
              <w:rPr>
                <w:rStyle w:val="IndexLink"/>
                <w:rtl w:val="true"/>
              </w:rPr>
              <w:tab/>
            </w:r>
            <w:r>
              <w:rPr>
                <w:rStyle w:val="IndexLink"/>
              </w:rPr>
              <w:t>506</w:t>
            </w:r>
          </w:hyperlink>
        </w:p>
        <w:p>
          <w:pPr>
            <w:pStyle w:val="Contents6"/>
            <w:tabs>
              <w:tab w:val="clear" w:pos="7609"/>
              <w:tab w:val="right" w:pos="9026" w:leader="dot"/>
            </w:tabs>
            <w:rPr/>
          </w:pPr>
          <w:hyperlink w:anchor="__RefHeading___Toc735391_3244359995">
            <w:r>
              <w:rPr>
                <w:webHidden/>
                <w:rStyle w:val="IndexLink"/>
                <w:rtl w:val="true"/>
              </w:rPr>
              <w:t>المقام الأوّل</w:t>
            </w:r>
            <w:r>
              <w:rPr>
                <w:rStyle w:val="IndexLink"/>
                <w:rtl w:val="true"/>
              </w:rPr>
              <w:t xml:space="preserve">: </w:t>
            </w:r>
            <w:r>
              <w:rPr>
                <w:rStyle w:val="IndexLink"/>
                <w:rtl w:val="true"/>
              </w:rPr>
              <w:t>فی مقتضی العلم الإجمالیّ</w:t>
            </w:r>
            <w:r>
              <w:rPr>
                <w:rStyle w:val="IndexLink"/>
                <w:rtl w:val="true"/>
              </w:rPr>
              <w:tab/>
            </w:r>
            <w:r>
              <w:rPr>
                <w:rStyle w:val="IndexLink"/>
              </w:rPr>
              <w:t>507</w:t>
            </w:r>
          </w:hyperlink>
        </w:p>
        <w:p>
          <w:pPr>
            <w:pStyle w:val="Contents6"/>
            <w:tabs>
              <w:tab w:val="clear" w:pos="7609"/>
              <w:tab w:val="right" w:pos="9026" w:leader="dot"/>
            </w:tabs>
            <w:rPr/>
          </w:pPr>
          <w:hyperlink w:anchor="__RefHeading___Toc735393_3244359995">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735395_3244359995">
            <w:r>
              <w:rPr>
                <w:webHidden/>
                <w:rStyle w:val="IndexLink"/>
                <w:rtl w:val="true"/>
              </w:rPr>
              <w:t>فذلکة الکلام</w:t>
            </w:r>
            <w:r>
              <w:rPr>
                <w:rStyle w:val="IndexLink"/>
                <w:rtl w:val="true"/>
              </w:rPr>
              <w:tab/>
            </w:r>
            <w:r>
              <w:rPr>
                <w:rStyle w:val="IndexLink"/>
              </w:rPr>
              <w:t>511</w:t>
            </w:r>
          </w:hyperlink>
        </w:p>
        <w:p>
          <w:pPr>
            <w:pStyle w:val="Contents6"/>
            <w:tabs>
              <w:tab w:val="clear" w:pos="7609"/>
              <w:tab w:val="right" w:pos="9026" w:leader="dot"/>
            </w:tabs>
            <w:rPr/>
          </w:pPr>
          <w:hyperlink w:anchor="__RefHeading___Toc735397_3244359995">
            <w:r>
              <w:rPr>
                <w:webHidden/>
                <w:rStyle w:val="IndexLink"/>
                <w:rtl w:val="true"/>
              </w:rPr>
              <w:t>المقام الثانی</w:t>
            </w:r>
            <w:r>
              <w:rPr>
                <w:rStyle w:val="IndexLink"/>
                <w:rtl w:val="true"/>
              </w:rPr>
              <w:t xml:space="preserve">: </w:t>
            </w:r>
            <w:r>
              <w:rPr>
                <w:rStyle w:val="IndexLink"/>
                <w:rtl w:val="true"/>
              </w:rPr>
              <w:t>حول مقتضی الأصل</w:t>
            </w:r>
            <w:r>
              <w:rPr>
                <w:rStyle w:val="IndexLink"/>
                <w:rtl w:val="true"/>
              </w:rPr>
              <w:tab/>
            </w:r>
            <w:r>
              <w:rPr>
                <w:rStyle w:val="IndexLink"/>
              </w:rPr>
              <w:t>514</w:t>
            </w:r>
          </w:hyperlink>
        </w:p>
        <w:p>
          <w:pPr>
            <w:pStyle w:val="Contents6"/>
            <w:tabs>
              <w:tab w:val="clear" w:pos="7609"/>
              <w:tab w:val="right" w:pos="9026" w:leader="dot"/>
            </w:tabs>
            <w:rPr/>
          </w:pPr>
          <w:hyperlink w:anchor="__RefHeading___Toc735399_3244359995">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735401_3244359995">
            <w:r>
              <w:rPr>
                <w:webHidden/>
                <w:rStyle w:val="IndexLink"/>
                <w:rtl w:val="true"/>
              </w:rPr>
              <w:t>بقی ذکر فروض</w:t>
            </w:r>
            <w:r>
              <w:rPr>
                <w:rStyle w:val="IndexLink"/>
                <w:rtl w:val="true"/>
              </w:rPr>
              <w:tab/>
            </w:r>
            <w:r>
              <w:rPr>
                <w:rStyle w:val="IndexLink"/>
              </w:rPr>
              <w:t>518</w:t>
            </w:r>
          </w:hyperlink>
        </w:p>
        <w:p>
          <w:pPr>
            <w:pStyle w:val="Contents6"/>
            <w:tabs>
              <w:tab w:val="clear" w:pos="7609"/>
              <w:tab w:val="right" w:pos="9026" w:leader="dot"/>
            </w:tabs>
            <w:rPr/>
          </w:pPr>
          <w:hyperlink w:anchor="__RefHeading___Toc735403_3244359995">
            <w:r>
              <w:rPr>
                <w:webHidden/>
                <w:rStyle w:val="IndexLink"/>
                <w:rtl w:val="true"/>
              </w:rPr>
              <w:t>تذییل</w:t>
            </w:r>
            <w:r>
              <w:rPr>
                <w:rStyle w:val="IndexLink"/>
                <w:rtl w:val="true"/>
              </w:rPr>
              <w:t xml:space="preserve">: </w:t>
            </w:r>
            <w:r>
              <w:rPr>
                <w:rStyle w:val="IndexLink"/>
                <w:rtl w:val="true"/>
              </w:rPr>
              <w:t>حول الشبهة الحیدریة</w:t>
            </w:r>
            <w:r>
              <w:rPr>
                <w:rStyle w:val="IndexLink"/>
                <w:rtl w:val="true"/>
              </w:rPr>
              <w:tab/>
            </w:r>
            <w:r>
              <w:rPr>
                <w:rStyle w:val="IndexLink"/>
              </w:rPr>
              <w:t>521</w:t>
            </w:r>
          </w:hyperlink>
        </w:p>
        <w:p>
          <w:pPr>
            <w:pStyle w:val="Contents6"/>
            <w:tabs>
              <w:tab w:val="clear" w:pos="7609"/>
              <w:tab w:val="right" w:pos="9026" w:leader="dot"/>
            </w:tabs>
            <w:rPr/>
          </w:pPr>
          <w:hyperlink w:anchor="__RefHeading___Toc735405_3244359995">
            <w:r>
              <w:rPr>
                <w:webHidden/>
                <w:rStyle w:val="IndexLink"/>
                <w:rtl w:val="true"/>
              </w:rPr>
              <w:t>ذنابة</w:t>
            </w:r>
            <w:r>
              <w:rPr>
                <w:rStyle w:val="IndexLink"/>
                <w:rtl w:val="true"/>
              </w:rPr>
              <w:t xml:space="preserve">: </w:t>
            </w:r>
            <w:r>
              <w:rPr>
                <w:rStyle w:val="IndexLink"/>
                <w:rtl w:val="true"/>
              </w:rPr>
              <w:t>فی اشتباه أحد الأطراف بین إناءین آخرین</w:t>
            </w:r>
            <w:r>
              <w:rPr>
                <w:rStyle w:val="IndexLink"/>
                <w:rtl w:val="true"/>
              </w:rPr>
              <w:tab/>
            </w:r>
            <w:r>
              <w:rPr>
                <w:rStyle w:val="IndexLink"/>
              </w:rPr>
              <w:t>524</w:t>
            </w:r>
          </w:hyperlink>
        </w:p>
        <w:p>
          <w:pPr>
            <w:pStyle w:val="Contents2"/>
            <w:tabs>
              <w:tab w:val="clear" w:pos="8743"/>
              <w:tab w:val="right" w:pos="9026" w:leader="dot"/>
            </w:tabs>
            <w:rPr/>
          </w:pPr>
          <w:hyperlink w:anchor="__RefHeading___Toc735407_3244359995">
            <w:r>
              <w:rPr>
                <w:webHidden/>
                <w:rStyle w:val="IndexLink"/>
                <w:rtl w:val="true"/>
              </w:rPr>
              <w:t>فهرس المحتویات</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73_324659"/>
      <w:bookmarkStart w:id="1" w:name="pg13173_324659"/>
      <w:bookmarkEnd w:id="1"/>
    </w:p>
    <w:p>
      <w:pPr>
        <w:pStyle w:val="Heading2"/>
        <w:numPr>
          <w:ilvl w:val="1"/>
          <w:numId w:val="1"/>
        </w:numPr>
        <w:rPr/>
      </w:pPr>
      <w:bookmarkStart w:id="2" w:name="pg13173_324659"/>
      <w:bookmarkStart w:id="3" w:name="__RefHeading___Toc734653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655_3244359995"/>
      <w:bookmarkStart w:id="6" w:name="_Toc2"/>
      <w:bookmarkEnd w:id="5"/>
      <w:r>
        <w:rPr>
          <w:rtl w:val="true"/>
        </w:rPr>
        <w:t>اشارة</w:t>
      </w:r>
      <w:bookmarkStart w:id="7" w:name="pg13173_324660"/>
      <w:bookmarkEnd w:id="6"/>
    </w:p>
    <w:p>
      <w:pPr>
        <w:pStyle w:val="Heading2"/>
        <w:numPr>
          <w:ilvl w:val="1"/>
          <w:numId w:val="1"/>
        </w:numPr>
        <w:rPr/>
      </w:pPr>
      <w:bookmarkStart w:id="8" w:name="__RefHeading___Toc734657_3244359995"/>
      <w:bookmarkStart w:id="9" w:name="_Toc3"/>
      <w:bookmarkEnd w:id="7"/>
      <w:bookmarkEnd w:id="8"/>
      <w:r>
        <w:rPr>
          <w:rtl w:val="true"/>
        </w:rPr>
        <w:t>المقصد التاسع فی البراءة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34659_3244359995"/>
      <w:bookmarkStart w:id="11" w:name="_Toc4"/>
      <w:bookmarkEnd w:id="10"/>
      <w:r>
        <w:rPr>
          <w:rtl w:val="true"/>
        </w:rPr>
        <w:t>اشارة</w:t>
      </w:r>
      <w:bookmarkStart w:id="12" w:name="pg13173_324661"/>
      <w:bookmarkEnd w:id="11"/>
    </w:p>
    <w:p>
      <w:pPr>
        <w:pStyle w:val="Heading3"/>
        <w:numPr>
          <w:ilvl w:val="2"/>
          <w:numId w:val="1"/>
        </w:numPr>
        <w:rPr/>
      </w:pPr>
      <w:bookmarkStart w:id="13" w:name="__RefHeading___Toc734661_3244359995"/>
      <w:bookmarkStart w:id="14" w:name="_Toc5"/>
      <w:bookmarkEnd w:id="12"/>
      <w:bookmarkEnd w:id="13"/>
      <w:r>
        <w:rPr>
          <w:rtl w:val="true"/>
        </w:rPr>
        <w:t>مقدّمة</w:t>
      </w:r>
      <w:bookmarkEnd w:id="14"/>
    </w:p>
    <w:p>
      <w:pPr>
        <w:pStyle w:val="Heading4"/>
        <w:numPr>
          <w:ilvl w:val="3"/>
          <w:numId w:val="1"/>
        </w:numPr>
        <w:rPr/>
      </w:pPr>
      <w:bookmarkStart w:id="15" w:name="__RefHeading___Toc734663_3244359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 قبل الخوض فی بحوثها، لا بأس بالإشارة الإجمالیّة إلی امور</w:t>
      </w:r>
      <w:r>
        <w:rPr>
          <w:rFonts w:eastAsia="IRNazanin" w:cs="IRNazanin"/>
          <w:color w:val="111111"/>
          <w:sz w:val="28"/>
          <w:szCs w:val="28"/>
          <w:rtl w:val="true"/>
          <w:lang w:bidi="fa-IR"/>
        </w:rPr>
        <w:t>:</w:t>
      </w:r>
    </w:p>
    <w:p>
      <w:pPr>
        <w:pStyle w:val="Heading4"/>
        <w:numPr>
          <w:ilvl w:val="3"/>
          <w:numId w:val="1"/>
        </w:numPr>
        <w:rPr/>
      </w:pPr>
      <w:bookmarkStart w:id="17" w:name="__RefHeading___Toc734665_3244359995"/>
      <w:bookmarkStart w:id="18" w:name="_Toc7"/>
      <w:bookmarkEnd w:id="17"/>
      <w:r>
        <w:rPr>
          <w:rtl w:val="true"/>
        </w:rPr>
        <w:t>الأمر الأوّل</w:t>
      </w:r>
      <w:r>
        <w:rPr>
          <w:rtl w:val="true"/>
        </w:rPr>
        <w:t xml:space="preserve">: </w:t>
      </w:r>
      <w:r>
        <w:rPr>
          <w:rtl w:val="true"/>
        </w:rPr>
        <w:t>حول تقسیم أحوال المکلّف</w:t>
      </w:r>
      <w:bookmarkEnd w:id="18"/>
    </w:p>
    <w:p>
      <w:pPr>
        <w:pStyle w:val="BookText"/>
        <w:rPr/>
      </w:pPr>
      <w:r>
        <w:rPr>
          <w:rFonts w:ascii="IRNazanin" w:hAnsi="IRNazanin" w:eastAsia="IRNazanin"/>
          <w:color w:val="111111"/>
          <w:sz w:val="28"/>
          <w:sz w:val="28"/>
          <w:szCs w:val="28"/>
          <w:rtl w:val="true"/>
          <w:lang w:bidi="fa-IR"/>
        </w:rPr>
        <w:t>قد تعارف تقسیم أحوال المکلّف، فأوّل من قسّمها الشیخ ظاهرا،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المکلّف إذا التفت إلی حکم شرعیّ، فیحصل له إمّا الشکّ فیه، أو الظنّ، أو القطع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هو لا یخلو من مناقشات محرّرة</w:t>
      </w:r>
      <w:r>
        <w:rPr>
          <w:rStyle w:val="FootnoteAnchor"/>
          <w:rtl w:val="true"/>
        </w:rPr>
        <w:footnoteReference w:id="3"/>
      </w:r>
      <w:r>
        <w:rPr>
          <w:rFonts w:ascii="IRNazanin" w:hAnsi="IRNazanin" w:eastAsia="IRNazanin"/>
          <w:color w:val="111111"/>
          <w:sz w:val="28"/>
          <w:sz w:val="28"/>
          <w:szCs w:val="28"/>
          <w:rtl w:val="true"/>
          <w:lang w:bidi="fa-IR"/>
        </w:rPr>
        <w:t xml:space="preserve">، و أمتنها أنّ أخذ المکلّف بلا وجه، کما سیمرّ علیک، و أخذ الظنّ غیر جائز؛ لأنّه إمّا یلحق بالأوّل، أو الثانی، و لذا فربّما عدل لأجلها الشیخ إلی ما أفاده فی المقام </w:t>
      </w:r>
      <w:r>
        <w:rPr>
          <w:rStyle w:val="FootnoteAnchor"/>
          <w:rtl w:val="true"/>
        </w:rPr>
        <w:footnoteReference w:id="4"/>
      </w:r>
      <w:r>
        <w:rPr>
          <w:rFonts w:ascii="IRNazanin" w:hAnsi="IRNazanin" w:eastAsia="IRNazanin"/>
          <w:color w:val="111111"/>
          <w:sz w:val="28"/>
          <w:sz w:val="28"/>
          <w:szCs w:val="28"/>
          <w:rtl w:val="true"/>
          <w:lang w:bidi="fa-IR"/>
        </w:rPr>
        <w:t>، مع عدم تجنّبه عمّا اشیر إلیه آنفا، و إن خلا من بعض المشاکل، کأخذ الواقعة هنا، دون ما هناک؛ نظرا إلی وضوحه، و إلّا فلا بدّ منها؛ للزوم کون الحکم مورد التصدیق من غیر وجود الموضوع</w:t>
      </w:r>
    </w:p>
    <w:p>
      <w:pPr>
        <w:pStyle w:val="BookText"/>
        <w:rPr/>
      </w:pPr>
      <w:r>
        <w:rPr>
          <w:rFonts w:ascii="IRNazanin" w:hAnsi="IRNazanin" w:eastAsia="IRNazanin"/>
          <w:color w:val="111111"/>
          <w:sz w:val="28"/>
          <w:sz w:val="28"/>
          <w:szCs w:val="28"/>
          <w:rtl w:val="true"/>
          <w:lang w:bidi="fa-IR"/>
        </w:rPr>
        <w:t>له،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العلّامة الخراسانیّ قدّس سرّه التفت إلی بعض المناقشات، عدل عنه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البالغ الذی وضع علیه قلم التکلیف، إذا التفت إلی حکم فعلیّ واقعیّ، أو ظاهریّ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و هو أسوأ حالا ممّا مرّ؛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تصوّریّا فلا معنی للفعلیّة و الواقعیّة، و إن کان تصدیقیّا فلا معنی لعروض الحالات بعد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بلغت نوبة التألیف إلی شیخ مشایخنا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وضع علیه قلم التکلیف، إذا التفت إلی الحکم الشرعیّ فی الواقعة؛ إمّا أن یکون قاطعا،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طریق معتبر،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شاکّا، أو ظانّا بظنّ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الحالات منحصرة فی أربع؛ لأنّ الشکّ إمّا یلاحظ فیه الحالة السابقة، أم لا، فالأوّل مجری الاستصحاب، و الثانی إمّا أن یکون الشکّ فیه فی جنس التکلیف، أو لا، و الأوّل مجری أصالة البراءة، و الثانی إمّا أن یمکن فیه الاحتیاط، أو لا، فالأوّل مورد الاحتیاط و الثانی مجری التخییر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إنّه أیضا لا یخلو من المناقشات کمسألة تداخل العلم الإجمالیّ المبحوث عنه فی القطع مع المبحوث عنه فی الاشتغال، مع ما عرفت منّا من الإشکال المشترک، و یرد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بجنس التکلیف، ربّما لا یکون علی وفق الاصطلاح، کما لا یخفی، فیکون المراد أصل التکلیف، لا الجنس فی قبال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تفصیله فی أوائل الکتاب، إنّ من حالات المکلّف حالة الغفلة</w:t>
      </w:r>
      <w:r>
        <w:rPr>
          <w:rStyle w:val="FootnoteAnchor"/>
          <w:rtl w:val="true"/>
        </w:rPr>
        <w:footnoteReference w:id="7"/>
      </w:r>
      <w:r>
        <w:rPr>
          <w:rFonts w:ascii="IRNazanin" w:hAnsi="IRNazanin" w:eastAsia="IRNazanin"/>
          <w:color w:val="111111"/>
          <w:sz w:val="28"/>
          <w:sz w:val="28"/>
          <w:szCs w:val="28"/>
          <w:rtl w:val="true"/>
          <w:lang w:bidi="fa-IR"/>
        </w:rPr>
        <w:t xml:space="preserve">، فإنّ من المکلّفین الغافل بالضرورة، فلا یستوعب التقاسیم المذکورة الغافل عن الحکم،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لازم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إمّا أن یکون فی قبال الوظائف الإلهیّة، ذا حجّة عقلیّة، أو عقلائیّة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کذلک، و کان شاکّا، فلا یخلو إمّا یکون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التکلیف، أو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مسبوقا بالقطع،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الشکّ فی أصل التکلیف، أو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عن حجّیة العلم الإجمالیّ فی بحوث القطع، غیر البحث عن العلم المذکور فی مباحث الاشتغال؛ فإنّ هناک یدور الکلام حول تمامیّة الحجّة عقلا، و فی مباحث الاشتغال حول أنّ الاصول الشرعیّة و الأدلّة المبیحة الکلّیة، تستوعب جمیع الأطراف، أو بعضها، أم لا؟</w:t>
      </w:r>
    </w:p>
    <w:p>
      <w:pPr>
        <w:pStyle w:val="BookText"/>
        <w:rPr/>
      </w:pPr>
      <w:r>
        <w:rPr>
          <w:rFonts w:ascii="IRNazanin" w:hAnsi="IRNazanin" w:eastAsia="IRNazanin"/>
          <w:color w:val="111111"/>
          <w:sz w:val="28"/>
          <w:sz w:val="28"/>
          <w:szCs w:val="28"/>
          <w:rtl w:val="true"/>
          <w:lang w:bidi="fa-IR"/>
        </w:rPr>
        <w:t xml:space="preserve">هذا، و قد مرّ ما یتعلّق بهذا الأمر علی وجه أحسن فی أوّل بحوث القطع </w:t>
      </w:r>
      <w:r>
        <w:rPr>
          <w:rStyle w:val="FootnoteAnchor"/>
          <w:rtl w:val="true"/>
        </w:rPr>
        <w:footnoteReference w:id="8"/>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المهمّ منها أربعة، فإنّ مثل قاعدة الطهارة فیما اشتبه طهارته بالشبهة الحکمیّة، و إن کان ممّا ینتهی إلیها فیما لا حجّة علی طهارته، و لا علی نجاسته، إلّا أنّ البحث عنها لیس بمهمّ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ابتلی بهذه الشبهة بعض المحشّین، فأطال الکلام حولها بما لا معنی</w:t>
      </w:r>
      <w:bookmarkStart w:id="19" w:name="pg13173_324664"/>
    </w:p>
    <w:p>
      <w:pPr>
        <w:pStyle w:val="BookText"/>
        <w:rPr/>
      </w:pPr>
      <w:bookmarkEnd w:id="19"/>
      <w:r>
        <w:rPr>
          <w:rFonts w:ascii="IRNazanin" w:hAnsi="IRNazanin" w:eastAsia="IRNazanin"/>
          <w:color w:val="111111"/>
          <w:sz w:val="28"/>
          <w:sz w:val="28"/>
          <w:szCs w:val="28"/>
          <w:rtl w:val="true"/>
          <w:lang w:bidi="fa-IR"/>
        </w:rPr>
        <w:t xml:space="preserve">له </w:t>
      </w:r>
      <w:r>
        <w:rPr>
          <w:rStyle w:val="FootnoteAnchor"/>
          <w:rtl w:val="true"/>
        </w:rPr>
        <w:footnoteReference w:id="10"/>
      </w:r>
      <w:r>
        <w:rPr>
          <w:rFonts w:ascii="IRNazanin" w:hAnsi="IRNazanin" w:eastAsia="IRNazanin"/>
          <w:color w:val="111111"/>
          <w:sz w:val="28"/>
          <w:sz w:val="28"/>
          <w:szCs w:val="28"/>
          <w:rtl w:val="true"/>
          <w:lang w:bidi="fa-IR"/>
        </w:rPr>
        <w:t xml:space="preserve">، و أخذها بعض المعاصرین مذعنا بأنّ هذا إشکال علی مباحث الاصول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الغریب؛ ضرورة أنّ النجاسة و الطهارة إذا کانتا معلومتین، فحکمهما معلومان، و إذا کانتا مجهولتین، فالحلّیة و الحرمة مشکوکتان؛ لأنّ الشکّ فیهما من الشکّ فی جواز الأکل تکلیفا، و جواز الصلاة وضعا، فیتمسّک بقاعدة الحلّ، فعلیه یرجع الشکّ فیهما إلی الشکّ فی التکلیف، و إلّا فالنجاسة و الطهارة بما هما لا أثر لهما، أو یرجع الشکّ فیهما إلی المکلّف به، فلا یکون خارجا عن البحوث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الشکّ فی الطهارة و النجاسة، تکون قاعدة شرعیّة إلهیّة حاکمة علی أصالة الحلّ، من غیر احتیاج إلیها حتّی فی مورد؛ لأنّ فی جمیع موارد تلک القاعدة، تکون قاعدة البراءة دافعة و مرجعا، فاغتنم</w:t>
      </w:r>
      <w:r>
        <w:rPr>
          <w:rFonts w:eastAsia="IRNazanin" w:cs="IRNazanin"/>
          <w:color w:val="111111"/>
          <w:sz w:val="28"/>
          <w:szCs w:val="28"/>
          <w:rtl w:val="true"/>
          <w:lang w:bidi="fa-IR"/>
        </w:rPr>
        <w:t>.</w:t>
      </w:r>
    </w:p>
    <w:p>
      <w:pPr>
        <w:pStyle w:val="Heading4"/>
        <w:numPr>
          <w:ilvl w:val="3"/>
          <w:numId w:val="1"/>
        </w:numPr>
        <w:rPr/>
      </w:pPr>
      <w:bookmarkStart w:id="20" w:name="__RefHeading___Toc734667_3244359995"/>
      <w:bookmarkStart w:id="21" w:name="_Toc8"/>
      <w:bookmarkEnd w:id="20"/>
      <w:r>
        <w:rPr>
          <w:rtl w:val="true"/>
        </w:rPr>
        <w:t>الأمر الثانی</w:t>
      </w:r>
      <w:r>
        <w:rPr>
          <w:rtl w:val="true"/>
        </w:rPr>
        <w:t xml:space="preserve">: </w:t>
      </w:r>
      <w:r>
        <w:rPr>
          <w:rtl w:val="true"/>
        </w:rPr>
        <w:t>فی أنّه لا مناسبة لذکر الحکومة و أنحائها هنا</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سیمرّ علیک تحقیق حقیقة الحکومة و أقسامها فی بحوث التعادل و الترجیح </w:t>
      </w:r>
      <w:r>
        <w:rPr>
          <w:rStyle w:val="FootnoteAnchor"/>
          <w:rtl w:val="true"/>
        </w:rPr>
        <w:footnoteReference w:id="12"/>
      </w:r>
      <w:r>
        <w:rPr>
          <w:rFonts w:ascii="IRNazanin" w:hAnsi="IRNazanin" w:eastAsia="IRNazanin"/>
          <w:color w:val="111111"/>
          <w:sz w:val="28"/>
          <w:sz w:val="28"/>
          <w:szCs w:val="28"/>
          <w:rtl w:val="true"/>
          <w:lang w:bidi="fa-IR"/>
        </w:rPr>
        <w:t>، و البحث عن هذه المسألة هنا، أیضا من الخلط بین ما هو شأن الباحث الاصولیّ، و بین ما هو وظیفة المکلّفین، فإنّ وظیفة المکلّف عدم الرجوع إلی الاصول مع وجود الأمارة علی خلافها، و أمّا الباحث الاصولیّ فلا یلزم أن یلاحظ تقدّم الأمارات علی الاصول فی مبحث تنقیح مفاد الاصول و مجاریها؛ لأنّ البحث مجرّد فرض، و یکون نظره إلی تنقیح مفاد أدلّة الاصول و مصبّها و موضوعها، سواء کان هو متعبّدا معتقدا بأساس المذهب، أم لم یکن، و سواء کان شاکّا، أو غیر شاک</w:t>
      </w:r>
      <w:r>
        <w:rPr>
          <w:rFonts w:eastAsia="IRNazanin" w:cs="IRNazanin"/>
          <w:color w:val="111111"/>
          <w:sz w:val="28"/>
          <w:szCs w:val="28"/>
          <w:rtl w:val="true"/>
          <w:lang w:bidi="fa-IR"/>
        </w:rPr>
        <w:t>.</w:t>
      </w:r>
      <w:bookmarkStart w:id="22" w:name="pg13173_324665"/>
    </w:p>
    <w:p>
      <w:pPr>
        <w:pStyle w:val="BookText"/>
        <w:rPr/>
      </w:pPr>
      <w:bookmarkEnd w:id="22"/>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أصل تقدّم الأمارات علی الاصول بالضرورة، و إنّما الخلاف فی أنّ التقدیم بالحکومة مطلقا</w:t>
      </w:r>
      <w:r>
        <w:rPr>
          <w:rStyle w:val="FootnoteAnchor"/>
          <w:rtl w:val="true"/>
        </w:rPr>
        <w:footnoteReference w:id="13"/>
      </w:r>
      <w:r>
        <w:rPr>
          <w:rFonts w:ascii="IRNazanin" w:hAnsi="IRNazanin" w:eastAsia="IRNazanin"/>
          <w:color w:val="111111"/>
          <w:sz w:val="28"/>
          <w:sz w:val="28"/>
          <w:szCs w:val="28"/>
          <w:rtl w:val="true"/>
          <w:lang w:bidi="fa-IR"/>
        </w:rPr>
        <w:t>، أو الورود مطلقا</w:t>
      </w:r>
      <w:r>
        <w:rPr>
          <w:rStyle w:val="FootnoteAnchor"/>
          <w:rtl w:val="true"/>
        </w:rPr>
        <w:footnoteReference w:id="14"/>
      </w:r>
      <w:r>
        <w:rPr>
          <w:rFonts w:ascii="IRNazanin" w:hAnsi="IRNazanin" w:eastAsia="IRNazanin"/>
          <w:color w:val="111111"/>
          <w:sz w:val="28"/>
          <w:sz w:val="28"/>
          <w:szCs w:val="28"/>
          <w:rtl w:val="true"/>
          <w:lang w:bidi="fa-IR"/>
        </w:rPr>
        <w:t xml:space="preserve">، أو هناک تفصیل </w:t>
      </w:r>
      <w:r>
        <w:rPr>
          <w:rStyle w:val="FootnoteAnchor"/>
          <w:rtl w:val="true"/>
        </w:rPr>
        <w:footnoteReference w:id="15"/>
      </w:r>
      <w:r>
        <w:rPr>
          <w:rFonts w:ascii="IRNazanin" w:hAnsi="IRNazanin" w:eastAsia="IRNazanin"/>
          <w:color w:val="111111"/>
          <w:sz w:val="28"/>
          <w:sz w:val="28"/>
          <w:szCs w:val="28"/>
          <w:rtl w:val="true"/>
          <w:lang w:bidi="fa-IR"/>
        </w:rPr>
        <w:t>فمن الأمارات ما یکون حاکما، کقاعدة الید؛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من الأمارات ما یکون واردا، کالخبر الثقة، فإنّه حجّة، و لا موضوع واقعا لأدلّة الاصول فی مصبّ قامت فیه الحجّة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أدلّة الأمارات مخصّصة و مقیّدة، کما یحتمل أن تکون أدلّة الأدلّة، منصرفة عن موارد الأمارات و الحجج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المسألة تحتاج إلی التدبّر فی کلّ أمارة برأسها؛ لقیام ذلک علی النظر فی الأدلّة الخاصّة، فالإحالة إلی محالّها أولی و أحوط، و إن کان الأمر سهلا</w:t>
      </w:r>
      <w:r>
        <w:rPr>
          <w:rFonts w:eastAsia="IRNazanin" w:cs="IRNazanin"/>
          <w:color w:val="111111"/>
          <w:sz w:val="28"/>
          <w:szCs w:val="28"/>
          <w:rtl w:val="true"/>
          <w:lang w:bidi="fa-IR"/>
        </w:rPr>
        <w:t>.</w:t>
      </w:r>
    </w:p>
    <w:p>
      <w:pPr>
        <w:pStyle w:val="Heading4"/>
        <w:numPr>
          <w:ilvl w:val="3"/>
          <w:numId w:val="1"/>
        </w:numPr>
        <w:rPr/>
      </w:pPr>
      <w:bookmarkStart w:id="23" w:name="__RefHeading___Toc734669_3244359995"/>
      <w:bookmarkStart w:id="24" w:name="_Toc9"/>
      <w:bookmarkEnd w:id="23"/>
      <w:r>
        <w:rPr>
          <w:rtl w:val="true"/>
        </w:rPr>
        <w:t>الأمر الثالث</w:t>
      </w:r>
      <w:r>
        <w:rPr>
          <w:rtl w:val="true"/>
        </w:rPr>
        <w:t xml:space="preserve">: </w:t>
      </w:r>
      <w:r>
        <w:rPr>
          <w:rtl w:val="true"/>
        </w:rPr>
        <w:t>فی اصولیّة مسألة البراءة مطلقا</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عن البراءة فی الشبهات الحکمیّة 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تحریمیّة، أو إیجابیّة بأقسامها، و علی تفاوت مناشئها؛ من فقدان النصّ، أو إجماله، أو تعارض الأدلّة، بعد ما کانت ساقطة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البحث الاصولیّ، و تکون المسألة من المسائل الکلّیة الاصولیّة؛ لما یستنتج منها قانون کلّی یستنبط به الفروع، ضرورة أنّ البحث بین الأخباریّ و الاصولیّ، یرجع هنا إلی أنّ المشکوک وجوبه أو حرمته، و غیر المعلوم حکمه، المردّد بین الإلزامیّ و غیره، هل یکون مرفوعا و غیر مستتبع لشی‌ء، أو لا؟</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تنقّح هنا الکبری الکلّیة الواقعة کبری لقیاس الاستنتاج، و یحتجّ به الفقیه فی مورد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البحث عن خصوصیّات هذه الکبری، فهو لا یضرّ بصحّتها الإجمالیّة التی هی معنونة بین الأخباریّ </w:t>
      </w:r>
      <w:r>
        <w:rPr>
          <w:rStyle w:val="FootnoteAnchor"/>
          <w:rtl w:val="true"/>
        </w:rPr>
        <w:footnoteReference w:id="17"/>
      </w:r>
      <w:r>
        <w:rPr>
          <w:rFonts w:ascii="Amiri" w:hAnsi="Amiri" w:eastAsia="Amiri" w:cs="Amiri"/>
          <w:color w:val="111111"/>
          <w:sz w:val="28"/>
          <w:sz w:val="28"/>
          <w:szCs w:val="28"/>
          <w:rtl w:val="true"/>
          <w:lang w:bidi="ar-SA"/>
        </w:rPr>
        <w:t xml:space="preserve">و الاصولیّ </w:t>
      </w:r>
      <w:r>
        <w:rPr>
          <w:rStyle w:val="FootnoteAnchor"/>
          <w:rtl w:val="true"/>
        </w:rPr>
        <w:footnoteReference w:id="18"/>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فرائد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الشبهات التحریمیّة، و بین الاسترآبادیّ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الاصولیّ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الشبهات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صنعه الشیخ الأعظم الأنصاریّ من تخصیص الصور المذکورة بالبحث علی حدة؛ لاختصاص بعض الصور ببعض الأدلّة</w:t>
      </w:r>
      <w:r>
        <w:rPr>
          <w:rStyle w:val="FootnoteAnchor"/>
          <w:rtl w:val="true"/>
        </w:rPr>
        <w:footnoteReference w:id="19"/>
      </w:r>
      <w:r>
        <w:rPr>
          <w:rFonts w:ascii="IRNazanin" w:hAnsi="IRNazanin" w:eastAsia="IRNazanin"/>
          <w:color w:val="111111"/>
          <w:sz w:val="28"/>
          <w:sz w:val="28"/>
          <w:szCs w:val="28"/>
          <w:rtl w:val="true"/>
          <w:lang w:bidi="fa-IR"/>
        </w:rPr>
        <w:t>، غیر جائز،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هنا حول أنّ فی محلّ الشکّ فی الحرمة و غیر الوجوب، أو الوجوب و غیر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تکلیفیّة کانت، أو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المرجع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لیس بمرفوع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قاعدة اصولیّة یستدلّ علیها بالأدلّة الآتیة، و هی مورد الخلاف بین الأخباریّین و الاصولیّین؛ بحسب النفی و الإثبات، و بین الاصولیّین أنفسهم بحسب الإطلاق و الخصوصیّات، بعد معلومیّة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غیر الاستصحابیّ؛ بناء علی اعتبار الاستصحاب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فی مهمّ البحث؛ لعدم جریان استصحاب الأحکام الإیجابیّة، کالوجوب و الحرمة، و العدمیّة کعدم الوجوب و الحرمة، و کلّ لجهة خاصّة</w:t>
      </w:r>
    </w:p>
    <w:p>
      <w:pPr>
        <w:pStyle w:val="BookText"/>
        <w:rPr/>
      </w:pPr>
      <w:r>
        <w:rPr>
          <w:rFonts w:ascii="Amiri" w:hAnsi="Amiri" w:eastAsia="Amiri" w:cs="Amiri"/>
          <w:color w:val="111111"/>
          <w:sz w:val="28"/>
          <w:sz w:val="28"/>
          <w:szCs w:val="28"/>
          <w:rtl w:val="true"/>
          <w:lang w:bidi="ar-SA"/>
        </w:rPr>
        <w:t>محرّرة فی محلّها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یجری هو فی الأحکام الجزئیّة و الموضوعات الخارجیّة، علی إشکال فی الأخیر یأتی تفصیله فی محلّه </w:t>
      </w:r>
      <w:r>
        <w:rPr>
          <w:rStyle w:val="FootnoteAnchor"/>
          <w:rtl w:val="true"/>
        </w:rPr>
        <w:footnoteReference w:id="21"/>
      </w:r>
      <w:r>
        <w:rPr>
          <w:rFonts w:ascii="IRNazanin" w:hAnsi="IRNazanin" w:eastAsia="IRNazanin"/>
          <w:color w:val="111111"/>
          <w:sz w:val="28"/>
          <w:sz w:val="28"/>
          <w:szCs w:val="28"/>
          <w:rtl w:val="true"/>
          <w:lang w:bidi="fa-IR"/>
        </w:rPr>
        <w:t>، فانتظر حتّی حین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الامور، فلنشرع فیما هو المقصود الأصلیّ فی هذا المقصد التاسع من مقاصد الکتاب</w:t>
      </w:r>
      <w:r>
        <w:rPr>
          <w:rFonts w:eastAsia="IRNazanin" w:cs="IRNazanin"/>
          <w:color w:val="111111"/>
          <w:sz w:val="28"/>
          <w:szCs w:val="28"/>
          <w:rtl w:val="true"/>
          <w:lang w:bidi="fa-IR"/>
        </w:rPr>
        <w:t>.</w:t>
      </w:r>
      <w:bookmarkStart w:id="25" w:name="pg13173_324669"/>
    </w:p>
    <w:p>
      <w:pPr>
        <w:pStyle w:val="Heading3"/>
        <w:numPr>
          <w:ilvl w:val="2"/>
          <w:numId w:val="1"/>
        </w:numPr>
        <w:rPr/>
      </w:pPr>
      <w:bookmarkStart w:id="26" w:name="__RefHeading___Toc734671_3244359995"/>
      <w:bookmarkStart w:id="27" w:name="_Toc10"/>
      <w:bookmarkEnd w:id="25"/>
      <w:bookmarkEnd w:id="26"/>
      <w:r>
        <w:rPr>
          <w:rtl w:val="true"/>
        </w:rPr>
        <w:t>أدلّة الاصولیّین علی البراءة</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734673_3244359995"/>
      <w:bookmarkStart w:id="29" w:name="_Toc11"/>
      <w:bookmarkEnd w:id="28"/>
      <w:r>
        <w:rPr>
          <w:rtl w:val="true"/>
        </w:rPr>
        <w:t>اشارة</w:t>
      </w:r>
      <w:bookmarkStart w:id="30" w:name="pg13173_324671"/>
      <w:bookmarkEnd w:id="29"/>
    </w:p>
    <w:p>
      <w:pPr>
        <w:pStyle w:val="BookText"/>
        <w:rPr/>
      </w:pPr>
      <w:bookmarkEnd w:id="30"/>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الاصولیّین استدلّوا بالأدلّة العقلیّة و اللبّیة و النقلیّة علی البراءة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734675_3244359995"/>
      <w:bookmarkStart w:id="32" w:name="_Toc12"/>
      <w:bookmarkEnd w:id="31"/>
      <w:r>
        <w:rPr>
          <w:rtl w:val="true"/>
        </w:rPr>
        <w:t>الاستدلال بالکتاب الکریم</w:t>
      </w:r>
      <w:bookmarkEnd w:id="32"/>
    </w:p>
    <w:p>
      <w:pPr>
        <w:pStyle w:val="BookText"/>
        <w:rPr/>
      </w:pPr>
      <w:r>
        <w:rPr>
          <w:rFonts w:ascii="Amiri" w:hAnsi="Amiri" w:eastAsia="Amiri" w:cs="Amiri"/>
          <w:color w:val="111111"/>
          <w:sz w:val="28"/>
          <w:sz w:val="28"/>
          <w:szCs w:val="28"/>
          <w:rtl w:val="true"/>
          <w:lang w:bidi="ar-SA"/>
        </w:rPr>
        <w:t>فمن النقلیّة آیات، أظهرها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تکون الآیة ظاهرة فی العذاب الدنیویّ، و تکون راجعة إلی أنّ شأنه تعالی، لیس ذلک إلّا بعد إرسال الرسل و بعثهم؛ و دعوتهم إلی الاعتقادات الحقّة و التوحید و الرسالة، فلا ترتبط بمسألتنا الراجعة إلی فرع من الفروع الجزئیّة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الأولویّة</w:t>
      </w:r>
      <w:r>
        <w:rPr>
          <w:rStyle w:val="FootnoteAnchor"/>
          <w:rtl w:val="true"/>
        </w:rPr>
        <w:footnoteReference w:id="24"/>
      </w:r>
      <w:r>
        <w:rPr>
          <w:rFonts w:ascii="IRNazanin" w:hAnsi="IRNazanin" w:eastAsia="IRNazanin"/>
          <w:color w:val="111111"/>
          <w:sz w:val="28"/>
          <w:sz w:val="28"/>
          <w:szCs w:val="28"/>
          <w:rtl w:val="true"/>
          <w:lang w:bidi="fa-IR"/>
        </w:rPr>
        <w:t>، غیر نافع؛ لعدم قطعیّتها، ضرورة عدم ظهور الآیة فی نفی الشأن عنه تعالی بالنسبة إلی العذاب قبل البعث؛ لقوّة کونه إخبارا عمّا سلف؛</w:t>
      </w:r>
    </w:p>
    <w:p>
      <w:pPr>
        <w:pStyle w:val="BookText"/>
        <w:rPr/>
      </w:pPr>
      <w:r>
        <w:rPr>
          <w:rFonts w:ascii="IRNazanin" w:hAnsi="IRNazanin" w:eastAsia="IRNazanin"/>
          <w:color w:val="111111"/>
          <w:sz w:val="28"/>
          <w:sz w:val="28"/>
          <w:szCs w:val="28"/>
          <w:rtl w:val="true"/>
          <w:lang w:bidi="fa-IR"/>
        </w:rPr>
        <w:t>أی ما کنّا فی الأیّام السالفة کذا، فلا یقاس بالآیات الاخر</w:t>
      </w:r>
      <w:r>
        <w:rPr>
          <w:rStyle w:val="FootnoteAnchor"/>
          <w:rtl w:val="true"/>
        </w:rPr>
        <w:footnoteReference w:id="25"/>
      </w:r>
      <w:r>
        <w:rPr>
          <w:rFonts w:ascii="Amiri" w:hAnsi="Amiri" w:eastAsia="Amiri" w:cs="Amiri"/>
          <w:color w:val="111111"/>
          <w:sz w:val="28"/>
          <w:sz w:val="28"/>
          <w:szCs w:val="28"/>
          <w:rtl w:val="true"/>
          <w:lang w:bidi="ar-SA"/>
        </w:rPr>
        <w:t>،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w:t>
      </w:r>
      <w:r>
        <w:rPr>
          <w:rStyle w:val="FootnoteAnchor"/>
          <w:rtl w:val="true"/>
        </w:rPr>
        <w:footnoteReference w:id="26"/>
      </w:r>
      <w:r>
        <w:rPr>
          <w:rFonts w:ascii="IRNazanin" w:hAnsi="IRNazanin" w:eastAsia="IRNazanin"/>
          <w:color w:val="111111"/>
          <w:sz w:val="28"/>
          <w:sz w:val="28"/>
          <w:szCs w:val="28"/>
          <w:rtl w:val="true"/>
          <w:lang w:bidi="fa-IR"/>
        </w:rPr>
        <w:t xml:space="preserve">و غیره </w:t>
      </w:r>
      <w:r>
        <w:rPr>
          <w:rStyle w:val="FootnoteAnchor"/>
          <w:rtl w:val="true"/>
        </w:rPr>
        <w:footnoteReference w:id="27"/>
      </w:r>
      <w:r>
        <w:rPr>
          <w:rFonts w:ascii="IRNazanin" w:hAnsi="IRNazanin" w:eastAsia="IRNazanin"/>
          <w:color w:val="111111"/>
          <w:sz w:val="28"/>
          <w:sz w:val="28"/>
          <w:szCs w:val="28"/>
          <w:rtl w:val="true"/>
          <w:lang w:bidi="fa-IR"/>
        </w:rPr>
        <w:t>، فإنّه نفی عن الحال، و هذه الآیة نفی عن الماضی، فإذا لم تکن بصدد نفی الشأن عنه تعالی، لا یثبت بها ما هو المطلوب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إطالة البحث حولها بعد ذلک، ممّا لا معنی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بعض الآیات السابقة راجعة إلی مسائل القیامة</w:t>
      </w:r>
      <w:r>
        <w:rPr>
          <w:rStyle w:val="FootnoteAnchor"/>
          <w:rtl w:val="true"/>
        </w:rPr>
        <w:footnoteReference w:id="28"/>
      </w:r>
      <w:r>
        <w:rPr>
          <w:rFonts w:ascii="IRNazanin" w:hAnsi="IRNazanin" w:eastAsia="IRNazanin"/>
          <w:color w:val="111111"/>
          <w:sz w:val="28"/>
          <w:sz w:val="28"/>
          <w:szCs w:val="28"/>
          <w:rtl w:val="true"/>
          <w:lang w:bidi="fa-IR"/>
        </w:rPr>
        <w:t>، لا یضرّ بظهورها هنا فی العذاب الدنیویّ؛ لمناسبة أقوی فی ذیلها،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الإشکالات الاخر، فهی کلّها قابلة للدفع، من غیر أن یلزم کون الاصولیّ جدلیّا فی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آیات استدلّ بها علی البراءة إجمالا، و هی کلّها مذکورة فی المفصّلات </w:t>
      </w:r>
      <w:r>
        <w:rPr>
          <w:rStyle w:val="FootnoteAnchor"/>
          <w:rtl w:val="true"/>
        </w:rPr>
        <w:footnoteReference w:id="29"/>
      </w:r>
      <w:r>
        <w:rPr>
          <w:rFonts w:ascii="IRNazanin" w:hAnsi="IRNazanin" w:eastAsia="IRNazanin"/>
          <w:color w:val="111111"/>
          <w:sz w:val="28"/>
          <w:sz w:val="28"/>
          <w:szCs w:val="28"/>
          <w:rtl w:val="true"/>
          <w:lang w:bidi="fa-IR"/>
        </w:rPr>
        <w:t>، و قد عدلنا عنها؛ لما یشکل تتمیم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استدللنا سابقا علی المسألة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الآیات السابقة علیها و اللاحقة بها، غیر مربوطة بالعذاب الدنیویّ، فتکون هذه الآیة خالیة من الإشکال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المفروض فیها؛ أنّهم رسل مبشّرون و منذرون، و لا بشارة و لا إنذار إلّا بعد الوصول إلی المکلّفین، تکون الآیة أیضا من هذه الجهة، صالحة للاستدلال، من غیر الحاجة إلی أخذ الرسالة کنایة، کما أخذوها کنایة عنها</w:t>
      </w:r>
      <w:r>
        <w:rPr>
          <w:rStyle w:val="FootnoteAnchor"/>
          <w:rtl w:val="true"/>
        </w:rPr>
        <w:footnoteReference w:id="31"/>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إنّ البحث، حول تمامیّة الحجّة فی الشبهات الوجوبیّة و التحریمیّة و عدمها، و یظهر من الآیة الکریمة الشریفة عدم تمامیّة الحجّة للّه علی الناس إلّا بعد الرسل المبشّرین و المنذرین، فتکون شاهدة علی عدم تمامیّة حکم العقل بالاحتیاط کما یأتی؛ بتوهّم أنّ دفع الضرر المحتمل واجب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حیث إنّ هذه الآیة موضوعها لِلنَّاسِ و هو العموم الأفرادیّ إمّا وضعا، أو لتمامیّة مقدّمات الإطلاق، فلا قصور فی شمولها لجمیع المکلّفین فی سائر العصور و فی عصرنا، بخلاف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فإنّه کان یحتاج إلی التقریب الذی عرفت فساده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یستفاد من هذه الآیة انتفاء الاستحقاق، و لکنّه غیر منظور؛ ضرورة أنّ النظر إلی تمامیّة الحجّة الباطنیّة أو الظاهریّة، و لک أن تکشف بها انتفاء الاستحقاق عند انتفاء الحجّة، و إلّا فلو کان مستحقّا بدونها، لما کان وجه لکون الناس ذوی حجّة علیه تعالی، فکان الأمر دائرا بین کون العباد ذوی حجّة، أو خالقهم، و أنّ اللّه له الحجّة بعد الرسل، و العباد لهم الحجّة قبل تلک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بحسبما تعارف فی الکتاب من ذکر أحوال المرسلین، و ما صنع بأقوامهم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مرتبطة بالعذاب الدنیویّ، فهی مضافا إلی عدم وجود القرینة علیها،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التعلیل أعمّ، و أنّ الأمر یدور مدار البشارة و الإنذار؛ و تمامیّة الحجّة و عدمها، فمن التعلیل یستفاد العموم، فاغتنم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الإشکال من جهة أنّ الآیة لا إطلاق لها بالنسبة إلی الشبهات الوجوبیّة و التحریمیّة الفرعیّة و لا یکفی العموم الأفرادیّ لمرجعیّة هذا الشکّ، و لکنّه مندفع أیضا بظهورها فی الإطلاق، کما لا یخفی</w:t>
      </w:r>
      <w:r>
        <w:rPr>
          <w:rFonts w:eastAsia="IRNazanin" w:cs="IRNazanin"/>
          <w:color w:val="111111"/>
          <w:sz w:val="28"/>
          <w:szCs w:val="28"/>
          <w:rtl w:val="true"/>
          <w:lang w:bidi="fa-IR"/>
        </w:rPr>
        <w:t>.</w:t>
      </w:r>
      <w:bookmarkStart w:id="33" w:name="pg13173_324675"/>
    </w:p>
    <w:p>
      <w:pPr>
        <w:pStyle w:val="Heading4"/>
        <w:numPr>
          <w:ilvl w:val="3"/>
          <w:numId w:val="1"/>
        </w:numPr>
        <w:rPr/>
      </w:pPr>
      <w:bookmarkStart w:id="34" w:name="__RefHeading___Toc734677_3244359995"/>
      <w:bookmarkStart w:id="35" w:name="_Toc13"/>
      <w:bookmarkEnd w:id="33"/>
      <w:bookmarkEnd w:id="34"/>
      <w:r>
        <w:rPr>
          <w:rtl w:val="true"/>
        </w:rPr>
        <w:t>الاستدلال بالسنّة</w:t>
      </w:r>
      <w:bookmarkEnd w:id="35"/>
    </w:p>
    <w:p>
      <w:pPr>
        <w:pStyle w:val="Heading5"/>
        <w:numPr>
          <w:ilvl w:val="4"/>
          <w:numId w:val="1"/>
        </w:numPr>
        <w:rPr/>
      </w:pPr>
      <w:bookmarkStart w:id="36" w:name="__RefHeading___Toc734679_3244359995"/>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ثمّ إنّ الروایات المستدلّ بها علی البراءة طائفتان</w:t>
      </w:r>
      <w:r>
        <w:rPr>
          <w:rFonts w:eastAsia="IRNazanin" w:cs="IRNazanin"/>
          <w:color w:val="111111"/>
          <w:sz w:val="28"/>
          <w:szCs w:val="28"/>
          <w:rtl w:val="true"/>
          <w:lang w:bidi="fa-IR"/>
        </w:rPr>
        <w:t>:</w:t>
      </w:r>
    </w:p>
    <w:p>
      <w:pPr>
        <w:pStyle w:val="Heading5"/>
        <w:numPr>
          <w:ilvl w:val="4"/>
          <w:numId w:val="1"/>
        </w:numPr>
        <w:rPr/>
      </w:pPr>
      <w:bookmarkStart w:id="38" w:name="__RefHeading___Toc734681_3244359995"/>
      <w:bookmarkStart w:id="39" w:name="_Toc15"/>
      <w:bookmarkEnd w:id="38"/>
      <w:r>
        <w:rPr>
          <w:rtl w:val="true"/>
        </w:rPr>
        <w:t>الطائفة الاولی</w:t>
      </w:r>
      <w:r>
        <w:rPr>
          <w:rtl w:val="true"/>
        </w:rPr>
        <w:t xml:space="preserve">: </w:t>
      </w:r>
      <w:r>
        <w:rPr>
          <w:rtl w:val="true"/>
        </w:rPr>
        <w:t>الروایات ضعیفة السند</w:t>
      </w:r>
      <w:bookmarkEnd w:id="39"/>
    </w:p>
    <w:p>
      <w:pPr>
        <w:pStyle w:val="Heading6"/>
        <w:numPr>
          <w:ilvl w:val="5"/>
          <w:numId w:val="1"/>
        </w:numPr>
        <w:rPr/>
      </w:pPr>
      <w:bookmarkStart w:id="40" w:name="__RefHeading___Toc734683_3244359995"/>
      <w:bookmarkStart w:id="41" w:name="_Toc16"/>
      <w:bookmarkEnd w:id="40"/>
      <w:r>
        <w:rPr>
          <w:rtl w:val="true"/>
        </w:rPr>
        <w:t>منها</w:t>
      </w:r>
      <w:r>
        <w:rPr>
          <w:rtl w:val="true"/>
        </w:rPr>
        <w:t xml:space="preserve">: </w:t>
      </w:r>
      <w:r>
        <w:rPr>
          <w:rtl w:val="true"/>
        </w:rPr>
        <w:t>حدیث الحجب</w:t>
      </w:r>
      <w:bookmarkEnd w:id="41"/>
    </w:p>
    <w:p>
      <w:pPr>
        <w:pStyle w:val="Heading6"/>
        <w:numPr>
          <w:ilvl w:val="5"/>
          <w:numId w:val="1"/>
        </w:numPr>
        <w:rPr/>
      </w:pPr>
      <w:bookmarkStart w:id="42" w:name="__RefHeading___Toc734685_3244359995"/>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إلی زکریّا بن یحیی،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علی العباد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اشتراک ابن یحیی بین الموثّق و غیر الموثّق، کان الخبر معتبرا، و لا یبعد اعتباره لأجل الجهات الخارجیّة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إسناد الحجب إلیه تعالی، اختصاص الحدیث بموارد عدم التبلیغ؛ سواء کان لأجل عدم المقتضی، أو لأجل وجود المانع؛ لأنّه ممّا حجبه اللّه، و أمّا المحجوب عنّا بالعلل الخارجیّة الکونیّة، فهو لیس ممّا حجبه اللّه </w:t>
      </w:r>
      <w:r>
        <w:rPr>
          <w:rStyle w:val="FootnoteAnchor"/>
          <w:rtl w:val="true"/>
        </w:rPr>
        <w:footnoteReference w:id="36"/>
      </w:r>
      <w:r>
        <w:rPr>
          <w:rFonts w:ascii="IRNazanin" w:hAnsi="IRNazanin" w:eastAsia="IRNazanin"/>
          <w:color w:val="111111"/>
          <w:sz w:val="28"/>
          <w:sz w:val="28"/>
          <w:szCs w:val="28"/>
          <w:rtl w:val="true"/>
          <w:lang w:bidi="fa-IR"/>
        </w:rPr>
        <w:t>، و لا شبهة فی أنّ الفرضین الأوّلین مورد تسالم الأخباریّ و الاصولیّ، و ما هو مورد الخلاف خارج عن مصبّ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ناظر إلی الصورتین الاولیین، و فی موارد الشبهة لا یصلح للمرجعیّة؛ لأنّها من الشبهة الموضوعیّة بالقیاس إلیه، ضرورة أنّه فی کلّ مورد شکّ فی أنّه حرام أو واجب، یشکّ فی أنّه من الصورتین، أو من الثالثة، فلا یصلح حینئذ للمرجعیة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کلّ مورد لا بدّ و أن ورد من الشرع شی‌ء؛ لأنّه لا تخلو واقعة إلّا و هی ذات حکم، و قد ورد 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شی‌ء یقرّبکم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قد أمرتکم به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إلی آخره، فعلیه لا بدّ و أن ترجع الشبهة إلی الصورة الثالثة التی هی مصبّ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الحدیث المشار إلیه و من الأمر السابق علیه؛ أنّ شرب التتن مورد الحکم الإلهیّ، إلّا أنّه غیر معلومة خصوصیّته بعد معلومیّة عدم الوجوب، فیکون الحدیث مخصوصا بالصورة الثالثة و لو کان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منشأ الشکّ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إجمال النصّ،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 و فی هاتین الصورتین یکون الحجب مستندا إلیه تعالی، نعم فی صورة فقد النصّ بعد صدوره و عدم وصوله، لا یصحّ الانتساب، و هکذا فی الشبهة الخارجیّة،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لنا إنکار عدم جواز الاستناد إلیه تعالی فی مطلق الصور؛ لأنّ القول بالأمر بین أمرین، یقتضی نفوذ إرادته و قدرته فی کافّة الأشیاء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لمکان کون الحدیث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القول بحذف ضمیر العائد؛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یجوز أن یکون المحذوف مضافا إلیه تعالی، و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للمجهول،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حجب حکم اللّه فهو موضوع</w:t>
      </w:r>
      <w:r>
        <w:rPr>
          <w:rFonts w:eastAsia="IRNazanin" w:cs="IRNazanin"/>
          <w:color w:val="111111"/>
          <w:sz w:val="28"/>
          <w:szCs w:val="28"/>
          <w:rtl w:val="true"/>
          <w:lang w:bidi="fa-IR"/>
        </w:rPr>
        <w:t>»</w:t>
      </w:r>
      <w:bookmarkStart w:id="44" w:name="pg13173_324677"/>
    </w:p>
    <w:p>
      <w:pPr>
        <w:pStyle w:val="BookText"/>
        <w:rPr/>
      </w:pPr>
      <w:bookmarkEnd w:id="44"/>
      <w:r>
        <w:rPr>
          <w:rFonts w:ascii="IRNazanin" w:hAnsi="IRNazanin" w:eastAsia="IRNazanin"/>
          <w:color w:val="111111"/>
          <w:sz w:val="28"/>
          <w:sz w:val="28"/>
          <w:szCs w:val="28"/>
          <w:rtl w:val="true"/>
          <w:lang w:bidi="fa-IR"/>
        </w:rPr>
        <w:t>فلا نسبة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کان علی فرض انتساب الحجب إلیه تعالی، فلا معنی لاختصاص الحدیث بالصورتین الاولیین؛ لأنّ الوضع هناک واضح لا حاجة إلیه، و ضروریّ أنّه لا معنی له بعد کون الحدیث فی مقام الامتنان، فلا بدّ و أن یکون شاملا للصورة الثالثة، أو مختصّا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امتنان بالقیاس إلی حکم العقل بدفع الضرر المحتمل، غیر صحیح؛ لما لا احتمال فی الصورتین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الالتزام بالمجازیّة، 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أنّ الحدیث مربوط بالصورة الثالثة؛ لما لا معنی للوضع إلّا بعد الجعل و التبلیغ، فیکون ذیل الحدیث شاهدا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الأفعال إلیه تعالی مجازا، کثیرة الدور فی الکتاب و السنّة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و لو کان ممّا لا بأس به فی ذاته، إلّا أنّه یتوجّه إلیه حسب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الصدر قرینة علی الذیل، أو بالعکس، و لا نسلّم الکثرة المذکورة إلی حدّ صارت أصلا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ضمّ إلیه ما ذکرناه أخیرا یتمّ المطلوب، إلّا أنّه 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القرینة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القرینة اللفظیّة، فکون الوضع مستعملا مجازا، لیس مرجوحا بالنسبة إلی مجازیّة النسبة إلیه تعالی علی حدّ یتعیّن الثانی، فیدور الأمر بین المجازین، و لا ترجیح</w:t>
      </w:r>
      <w:r>
        <w:rPr>
          <w:rFonts w:eastAsia="IRNazanin" w:cs="IRNazanin"/>
          <w:color w:val="111111"/>
          <w:sz w:val="28"/>
          <w:szCs w:val="28"/>
          <w:rtl w:val="true"/>
          <w:lang w:bidi="fa-IR"/>
        </w:rPr>
        <w:t>.</w:t>
      </w:r>
    </w:p>
    <w:p>
      <w:pPr>
        <w:pStyle w:val="Heading6"/>
        <w:numPr>
          <w:ilvl w:val="5"/>
          <w:numId w:val="1"/>
        </w:numPr>
        <w:rPr/>
      </w:pPr>
      <w:bookmarkStart w:id="45" w:name="__RefHeading___Toc734687_3244359995"/>
      <w:bookmarkStart w:id="46" w:name="_Toc18"/>
      <w:bookmarkEnd w:id="45"/>
      <w:r>
        <w:rPr>
          <w:rtl w:val="true"/>
        </w:rPr>
        <w:t>بقی شی‌ء</w:t>
      </w:r>
      <w:r>
        <w:rPr>
          <w:rtl w:val="true"/>
        </w:rPr>
        <w:t xml:space="preserve">: </w:t>
      </w:r>
      <w:r>
        <w:rPr>
          <w:rtl w:val="true"/>
        </w:rPr>
        <w:t>حول شمول حدیث الحجب للشبهتین الموضوعیّة و الحکمیّة</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الموصول، لا یمکن أن یکون الشبهات الحکمیّة و الموضوعیّة،</w:t>
      </w:r>
      <w:bookmarkStart w:id="47" w:name="pg13173_324678"/>
    </w:p>
    <w:p>
      <w:pPr>
        <w:pStyle w:val="BookText"/>
        <w:rPr/>
      </w:pPr>
      <w:bookmarkEnd w:id="47"/>
      <w:r>
        <w:rPr>
          <w:rFonts w:ascii="IRNazanin" w:hAnsi="IRNazanin" w:eastAsia="IRNazanin"/>
          <w:color w:val="111111"/>
          <w:sz w:val="28"/>
          <w:sz w:val="28"/>
          <w:szCs w:val="28"/>
          <w:rtl w:val="true"/>
          <w:lang w:bidi="fa-IR"/>
        </w:rPr>
        <w:t>و لا معیّن لاختصاصه بالاولی، فلا یصلح للمرجعیّة فیما هو مهمّ بحث الاصولیّ و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ممکن؛ ضرورة أنّ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حدیث الرفع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موجب لانتقال المخاطب إلی العناوین الذاتیّة، و حکمها الکلّی، أو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توجب توهّم الاختصاص بالحکمیّة</w:t>
      </w:r>
      <w:r>
        <w:rPr>
          <w:rStyle w:val="FootnoteAnchor"/>
          <w:rtl w:val="true"/>
        </w:rPr>
        <w:footnoteReference w:id="40"/>
      </w:r>
      <w:r>
        <w:rPr>
          <w:rFonts w:ascii="IRNazanin" w:hAnsi="IRNazanin" w:eastAsia="IRNazanin"/>
          <w:color w:val="111111"/>
          <w:sz w:val="28"/>
          <w:sz w:val="28"/>
          <w:szCs w:val="28"/>
          <w:rtl w:val="true"/>
          <w:lang w:bidi="fa-IR"/>
        </w:rPr>
        <w:t xml:space="preserve">، و لکن قد عرفت أنّ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ذلک، فعلی الصورتین تکون المسألة مورد الحدیث، و حیث لا سیاق هنا لا وجه لصرفه إلی الشبهة الموضوعیّة، بل لو کانت نسخة الصدوق حدیثا آخر غیر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بعض الأصحاب </w:t>
      </w:r>
      <w:r>
        <w:rPr>
          <w:rStyle w:val="FootnoteAnchor"/>
          <w:rtl w:val="true"/>
        </w:rPr>
        <w:footnoteReference w:id="41"/>
      </w:r>
      <w:r>
        <w:rPr>
          <w:rFonts w:ascii="IRNazanin" w:hAnsi="IRNazanin" w:eastAsia="IRNazanin"/>
          <w:color w:val="111111"/>
          <w:sz w:val="28"/>
          <w:sz w:val="28"/>
          <w:szCs w:val="28"/>
          <w:rtl w:val="true"/>
          <w:lang w:bidi="fa-IR"/>
        </w:rPr>
        <w:t xml:space="preserve">، کانت نسخة الصدوق منحصرة بالشبهة الحکمیّة؛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الکلّیة،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الحدیث الشریف، مناف لإیجاب الاحتیاط فی موارد الجهل؛ لظهوره فی عدم ترتّب الأثر إذا تخلّف المکلّف عنه؛ لجهله و احتجابه</w:t>
      </w:r>
      <w:r>
        <w:rPr>
          <w:rFonts w:eastAsia="IRNazanin" w:cs="IRNazanin"/>
          <w:color w:val="111111"/>
          <w:sz w:val="28"/>
          <w:szCs w:val="28"/>
          <w:rtl w:val="true"/>
          <w:lang w:bidi="fa-IR"/>
        </w:rPr>
        <w:t>.</w:t>
      </w:r>
    </w:p>
    <w:p>
      <w:pPr>
        <w:pStyle w:val="Heading6"/>
        <w:numPr>
          <w:ilvl w:val="5"/>
          <w:numId w:val="1"/>
        </w:numPr>
        <w:rPr/>
      </w:pPr>
      <w:bookmarkStart w:id="48" w:name="__RefHeading___Toc734689_3244359995"/>
      <w:bookmarkStart w:id="49" w:name="_Toc19"/>
      <w:bookmarkEnd w:id="48"/>
      <w:r>
        <w:rPr>
          <w:rtl w:val="true"/>
        </w:rPr>
        <w:t>منها</w:t>
      </w:r>
      <w:r>
        <w:rPr>
          <w:rtl w:val="true"/>
        </w:rPr>
        <w:t xml:space="preserve">: </w:t>
      </w:r>
      <w:r>
        <w:rPr>
          <w:rtl w:val="true"/>
        </w:rPr>
        <w:t>حدیث السعة</w:t>
      </w:r>
      <w:bookmarkEnd w:id="49"/>
    </w:p>
    <w:p>
      <w:pPr>
        <w:pStyle w:val="BookText"/>
        <w:rPr/>
      </w:pPr>
      <w:r>
        <w:rPr>
          <w:rFonts w:ascii="IRNazanin" w:hAnsi="IRNazanin" w:eastAsia="IRNazanin"/>
          <w:color w:val="111111"/>
          <w:sz w:val="28"/>
          <w:sz w:val="28"/>
          <w:szCs w:val="28"/>
          <w:rtl w:val="true"/>
          <w:lang w:bidi="fa-IR"/>
        </w:rPr>
        <w:t>ثمّ إنّ من الأحادیث التی لا سند لها، و لا یبعد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فی الوقتیّة ممّا لا یکاد یخفی، و ما توهّموه من المعارضة</w:t>
      </w:r>
      <w:bookmarkStart w:id="50" w:name="pg13173_324679"/>
    </w:p>
    <w:p>
      <w:pPr>
        <w:pStyle w:val="BookText"/>
        <w:rPr/>
      </w:pPr>
      <w:bookmarkEnd w:id="50"/>
      <w:r>
        <w:rPr>
          <w:rFonts w:ascii="IRNazanin" w:hAnsi="IRNazanin" w:eastAsia="IRNazanin"/>
          <w:color w:val="111111"/>
          <w:sz w:val="28"/>
          <w:sz w:val="28"/>
          <w:szCs w:val="28"/>
          <w:rtl w:val="true"/>
          <w:lang w:bidi="fa-IR"/>
        </w:rPr>
        <w:t>بینه و بین أدلّة الاحتیاط</w:t>
      </w:r>
      <w:r>
        <w:rPr>
          <w:rStyle w:val="FootnoteAnchor"/>
          <w:rtl w:val="true"/>
        </w:rPr>
        <w:footnoteReference w:id="43"/>
      </w:r>
      <w:r>
        <w:rPr>
          <w:rFonts w:ascii="IRNazanin" w:hAnsi="IRNazanin" w:eastAsia="IRNazanin"/>
          <w:color w:val="111111"/>
          <w:sz w:val="28"/>
          <w:sz w:val="28"/>
          <w:szCs w:val="28"/>
          <w:rtl w:val="true"/>
          <w:lang w:bidi="fa-IR"/>
        </w:rPr>
        <w:t>لأجل نقل الحدیث علی خلاف ما فی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عندئذ 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دلالة الحدیث علی أصل التوسعة فی موارد عدم العلم واضحة، و القدر المتیقّن منه هی الشبهات الحکمیّة، إلّا أنّ الظاهر من عدم العلم عدم الحجّة، و أدلّة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التقدیرین وقتیّة، و إلّا یلزم أن یکون الجارّ و المجرور متعلّقین بالفعل المحذوف؛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یکونون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بعض الأخبار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هو أیضا یؤیّد ما ذکرناه،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کون المراد من الحجّة، هی الأمارة القائمة علی المجهول غیر المعلوم؛ و هو الحکم، و أنّ الحجّة منصرفة إلی الدلیل القائم علیه، لا یکفی، کما لا یخفی</w:t>
      </w:r>
      <w:r>
        <w:rPr>
          <w:rFonts w:eastAsia="IRNazanin" w:cs="IRNazanin"/>
          <w:color w:val="111111"/>
          <w:sz w:val="28"/>
          <w:szCs w:val="28"/>
          <w:rtl w:val="true"/>
          <w:lang w:bidi="fa-IR"/>
        </w:rPr>
        <w:t>.</w:t>
      </w:r>
    </w:p>
    <w:p>
      <w:pPr>
        <w:pStyle w:val="Heading6"/>
        <w:numPr>
          <w:ilvl w:val="5"/>
          <w:numId w:val="1"/>
        </w:numPr>
        <w:rPr/>
      </w:pPr>
      <w:bookmarkStart w:id="51" w:name="__RefHeading___Toc734691_3244359995"/>
      <w:bookmarkStart w:id="52" w:name="_Toc20"/>
      <w:bookmarkEnd w:id="51"/>
      <w:r>
        <w:rPr>
          <w:rtl w:val="true"/>
        </w:rPr>
        <w:t>منها</w:t>
      </w:r>
      <w:r>
        <w:rPr>
          <w:rtl w:val="true"/>
        </w:rPr>
        <w:t xml:space="preserve">: </w:t>
      </w:r>
      <w:r>
        <w:rPr>
          <w:rtl w:val="true"/>
        </w:rPr>
        <w:t>حدیث کلّ شی‌ء مطلق</w:t>
      </w:r>
      <w:bookmarkEnd w:id="52"/>
    </w:p>
    <w:p>
      <w:pPr>
        <w:pStyle w:val="Heading6"/>
        <w:numPr>
          <w:ilvl w:val="5"/>
          <w:numId w:val="1"/>
        </w:numPr>
        <w:rPr/>
      </w:pPr>
      <w:bookmarkStart w:id="53" w:name="__RefHeading___Toc734693_3244359995"/>
      <w:bookmarkStart w:id="54" w:name="_Toc21"/>
      <w:bookmarkEnd w:id="53"/>
      <w:r>
        <w:rPr>
          <w:rtl w:val="true"/>
        </w:rPr>
        <w:t>اشارة</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الطائفة؛ أی الأخبار التی لا سند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مثله، إلّا أنّ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الاستاذ رحمه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رحمه اللّه بسند غیر نقیّ،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الأشیاء مطلقة ما لم یرد علیک أمر و نهی، و کلّ شی‌ء یکون فیه حلال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لا اعتبار به، لا وجه لإطالة الکلام حوله، و نقد ما افید و أفادوه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من المراسیل الخاصّة؛ لقول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غیر تامّ صغرویّا؛ لما مرّ، و کبرویّا؛ لما تحرّر فی محلّه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مناقشة العلّامة الخراسانیّ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الورود أعمّ من الوصول</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ینافیه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فإنّه یؤیّد أنّ المراد من الورود هو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المناسب للامتنان المستفاد من نفس هذا الحدیث و أشباهه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المراد إفادة الإطلاق قبل بعثة الرسل و إنزال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 إن کان یؤیّدها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تورث خلافها، و الضرورة قاضیة بأنّ الحدیث إنشاء، لا إخبار عمّا لا أثر له، و من الواضح أنّ کثیرا من الموضوعات، کانت مورد الأحکام قبل الإسلام، فما عن العلّامة النائینیّ </w:t>
      </w:r>
      <w:r>
        <w:rPr>
          <w:rStyle w:val="FootnoteAnchor"/>
          <w:rtl w:val="true"/>
        </w:rPr>
        <w:footnoteReference w:id="53"/>
      </w:r>
      <w:r>
        <w:rPr>
          <w:rFonts w:ascii="IRNazanin" w:hAnsi="IRNazanin" w:eastAsia="IRNazanin"/>
          <w:color w:val="111111"/>
          <w:sz w:val="28"/>
          <w:sz w:val="28"/>
          <w:szCs w:val="28"/>
          <w:rtl w:val="true"/>
          <w:lang w:bidi="fa-IR"/>
        </w:rPr>
        <w:t>أبعد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کون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هذا الحدیث أحادیث الاحتیاط، و أمّا بناء علی النسختین الأخیرتین فلا، فصلاحیّة الحدیث سندا و دلالة، غیر واضحة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یتحمّل الحدیث الاحتمالات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کون المراد من الإطلاق، إفادة عدم المنع و القید الواقعیّ و الإباحة الواقعیّة، فی قبال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هو الحظر</w:t>
      </w:r>
      <w:r>
        <w:rPr>
          <w:rStyle w:val="FootnoteAnchor"/>
          <w:rtl w:val="true"/>
        </w:rPr>
        <w:footnoteReference w:id="54"/>
      </w:r>
      <w:r>
        <w:rPr>
          <w:rFonts w:ascii="IRNazanin" w:hAnsi="IRNazanin" w:eastAsia="IRNazanin"/>
          <w:color w:val="111111"/>
          <w:sz w:val="28"/>
          <w:sz w:val="28"/>
          <w:szCs w:val="28"/>
          <w:rtl w:val="true"/>
          <w:lang w:bidi="fa-IR"/>
        </w:rPr>
        <w:t xml:space="preserve">،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صدور الدلیل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إفادة الإطلاق؛ و عدم المنع عن ارتکاب کلّ شی‌ء، و الإباحة الواقعیّة الثانویّة، بعد کون الأصل الأوّلی المنع، إلّا أنّ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و أباح حتّی یرد النهی، 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صدوره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 الاحتمالین یجوز أن تکون الغایة صدور النهی الواقعیّ، أو وصوله و إن لم یصدر، أو صدوره المقیّد بالوصول، 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بمعناه الواقعیّ، أو النهی الأعمّ منه و ممّا یکون فی موارد الاحتیاط، فإنّه حینئذ یثبت النهی العقلیّ؛ لأجل إیجاب الاحتیاط الشرعیّ، و لو لا ذلک الإیجاب لا یکون نهی عقلیّ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المنع و عدم القید الظاهریّ، فتکون الإباحة الظاهریّة مجعولة لموارد الجهل بالواقع؛ سواء کان شرب التتن محرّما و منهیّا واقعا، أم کان مباحا، أو کان محظورا، فیکون دلیلا علی الترخیص فی قبال الأخباریّین، بشرط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الوصول،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معناه البدویّ؛ أی النهی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الصدور هنا،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المقصود جعل الإباحتین؛ الواقعیّة، و الظاهریّة، فیکون شرب التتن مباحا واقعا إلی أن یرد فیه النهی، و لو کان فی مورد الشکّ و الشبهة، فهو أیضا شی‌ء مطلق و لو کان ممنوعا بالنهی الواقعیّ، حتّی یرد و یصل النهی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امتناع الجمع فی الدلیل الواحد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 و الظاهریّ، قابلة للدفع بعد انحلال القضیّة إلی الأحکام انحلالا حکمیّا؛ ضرورة أنّ شرب التتن شی‌ء، فیکون مطلقا حتّی یرد فیه المنع و النهی، و إذا کان فی مورد مشکوکا و محلّا للشبهة، فهو أیضا شی‌ء بلا إشکال، فیکون مباحا؛ لأنّ بورود النهی الواقعیّ و إن خرج عن الإطلاق، و لکنّه لا یخرج عن الشیئیّة، فیکون منطبقا علیه مصداق من الخطاب المنحلّ، و حینئذ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الوصول؛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أعمّ من الصادر و الواصل؛ ضرورة أنّ النهی الصادر الواصل، من النهی الوارد، و هکذا الصادر غیر الواصل، فالوارد یشمل النهیین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إمکان الجمع بین الإباحتین، فیکون دلیلا علی الخصمین فی مسألة أصالة الإباحة، و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الاحتمالات الکثیرة، کیف یمکن الإذعان بأحدها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المنع الظاهریّ، فإنّه ینفع، أو أنّ إباحة الظاهر داخلة مع عدم أخذ الشکّ و الشبهة فی ناحیة الموضوع؟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غایة ما یستدعی ذلک؛ أنّ صدور مثله عن المعصوم علیه السّلام یشهد علی أنّه مربوط بالمسائل المبتلی بها، و الضرورة قائمة علی أنّ العناوین الأوّلیة، قد أوحی اللّه أحکامها إلی نبیّه صلّی اللّه علیه و آله و سلّم و لو کان شی‌ء نجسا و مودوعا مثله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مجعول له الطهارة فعلا، فلا یوجد مطلق بالمعنی الواقعیّ،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المشکوک و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جعل الإباحة الواقعیّة قلیل النفع جدّا، فیستظهر من الصدر أنّ الموضوع هو المشکوک و غیر المعلوم، فالشی‌ء المجهول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لا معنی لأن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الوصول؛ لأنّه لا حالة انتظاریّة لأن یرد من اللّه تعالی فیه شی‌ء، فإنّه قد ورد قبل ذلک النهی، أو الإباحة، أو غیر ذلک من الأحکام بالنسبة إلی الموضوعات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الإتیان بجملة الاستقبال، أیضا نوع شهادة علی أنّ المراد هو الوصول، و یویّده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النهی أعمّ </w:t>
      </w:r>
      <w:r>
        <w:rPr>
          <w:rStyle w:val="FootnoteAnchor"/>
          <w:rtl w:val="true"/>
        </w:rPr>
        <w:footnoteReference w:id="55"/>
      </w:r>
      <w:r>
        <w:rPr>
          <w:rFonts w:ascii="IRNazanin" w:hAnsi="IRNazanin" w:eastAsia="IRNazanin"/>
          <w:color w:val="111111"/>
          <w:sz w:val="28"/>
          <w:sz w:val="28"/>
          <w:szCs w:val="28"/>
          <w:rtl w:val="true"/>
          <w:lang w:bidi="fa-IR"/>
        </w:rPr>
        <w:t>، فهی غیر بعیدة؛ لعدم وجه لحمله علی النهی الشرعیّ المولویّ، و لا سیّما بعد کونه النکرة المفیدة عموما بدلیّا؛ لأجل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هو المتبادر البدویّ هو النهی الخاصّ، فتقع المعارضة بین هذه الروایة و أخبار الاحتیاط،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بلا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الغریب ما أفاده العلّامة الخراسانیّ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و لو کان الحدیث لجعل الإباحة الواقعیّة، و کان المراد من الورود هو الصدور، یجوز أن یرجع إلیه فی مسألتنا؛ لأنّ الشبهة المصداقیّة تنحلّ باستصحاب عدم الورود، فیکون المستثنی منه مرجعا فیما نحن فیه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النهی إذا کان أعمّ، لا یکفی؛ لورود ذلک فی ضمن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الورود من الأصل الموضوعیّ، و لا أثر له، و لا معنی له، بل هو یرجع إلی استصحاب عدم النهی، و هو غیر جار حسب التحقیق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حاجة إلیه بعد 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ترتفع الشبهة إلّا بالدلیل الاجتهادیّ الموجود، فتأمّل جیّدا</w:t>
      </w:r>
      <w:r>
        <w:rPr>
          <w:rFonts w:eastAsia="IRNazanin" w:cs="IRNazanin"/>
          <w:color w:val="111111"/>
          <w:sz w:val="28"/>
          <w:szCs w:val="28"/>
          <w:rtl w:val="true"/>
          <w:lang w:bidi="fa-IR"/>
        </w:rPr>
        <w:t>.</w:t>
      </w:r>
      <w:bookmarkStart w:id="55" w:name="pg13173_324684"/>
    </w:p>
    <w:p>
      <w:pPr>
        <w:pStyle w:val="Heading6"/>
        <w:numPr>
          <w:ilvl w:val="5"/>
          <w:numId w:val="1"/>
        </w:numPr>
        <w:rPr/>
      </w:pPr>
      <w:bookmarkStart w:id="56" w:name="__RefHeading___Toc734695_3244359995"/>
      <w:bookmarkStart w:id="57" w:name="_Toc22"/>
      <w:bookmarkEnd w:id="55"/>
      <w:bookmarkEnd w:id="56"/>
      <w:r>
        <w:rPr>
          <w:rtl w:val="true"/>
        </w:rPr>
        <w:t>إفادة</w:t>
      </w:r>
      <w:r>
        <w:rPr>
          <w:rtl w:val="true"/>
        </w:rPr>
        <w:t xml:space="preserve">: </w:t>
      </w:r>
      <w:r>
        <w:rPr>
          <w:rtl w:val="true"/>
        </w:rPr>
        <w:t>فیما یدل علی اختصاص حدیث الإطلاق بالحلّیة الظاهریّة</w:t>
      </w:r>
      <w:bookmarkEnd w:id="57"/>
    </w:p>
    <w:p>
      <w:pPr>
        <w:pStyle w:val="BookText"/>
        <w:rPr/>
      </w:pPr>
      <w:r>
        <w:rPr>
          <w:rFonts w:ascii="IRNazanin" w:hAnsi="IRNazanin" w:eastAsia="IRNazanin"/>
          <w:color w:val="111111"/>
          <w:sz w:val="28"/>
          <w:sz w:val="28"/>
          <w:szCs w:val="28"/>
          <w:rtl w:val="true"/>
          <w:lang w:bidi="fa-IR"/>
        </w:rPr>
        <w:t>ممّا یوجب صرف الحدیث المذکور إلی الحلّیة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الشرائع و القوانین الإلهیّة الموضوعة علی عناوینها، تکون داخلة فی النظام العالمیّ، و تکون الإرادة فیها من الإرادة الأزلیّة المتعلّقة بها فیما لا یزال، و لا یعقل دعوی حدوث الإرادة التشریعیّة بظهور الإسلام،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قبل الإسلام مثلا،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 بالشبهات التحریمیّة و بالحلّیة الواقعیّة،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 بالحلّیة الواقعیّة فی الشبهات التحریمیّة و الوجوبیّة، تکون الأشیاء مطلقة حتّی یرد علیک نهی أو أمر ظاهر فی الحلّیة الظاهریّة؛ لأنّ الغایة هی الوصول، کما لا یخفی</w:t>
      </w:r>
      <w:r>
        <w:rPr>
          <w:rFonts w:eastAsia="IRNazanin" w:cs="IRNazanin"/>
          <w:color w:val="111111"/>
          <w:sz w:val="28"/>
          <w:szCs w:val="28"/>
          <w:rtl w:val="true"/>
          <w:lang w:bidi="fa-IR"/>
        </w:rPr>
        <w:t>.</w:t>
      </w:r>
    </w:p>
    <w:p>
      <w:pPr>
        <w:pStyle w:val="Heading6"/>
        <w:numPr>
          <w:ilvl w:val="5"/>
          <w:numId w:val="1"/>
        </w:numPr>
        <w:rPr/>
      </w:pPr>
      <w:bookmarkStart w:id="58" w:name="__RefHeading___Toc734697_3244359995"/>
      <w:bookmarkStart w:id="59" w:name="_Toc23"/>
      <w:bookmarkEnd w:id="58"/>
      <w:r>
        <w:rPr>
          <w:rtl w:val="true"/>
        </w:rPr>
        <w:t>منها</w:t>
      </w:r>
      <w:r>
        <w:rPr>
          <w:rtl w:val="true"/>
        </w:rPr>
        <w:t xml:space="preserve">: </w:t>
      </w:r>
      <w:r>
        <w:rPr>
          <w:rtl w:val="true"/>
        </w:rPr>
        <w:t>حدیث الحلّ</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الطائفة؛ أی ما یشکل الاتکال علیها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و المملوک عندک لعلّه حرّ قد باع نفسه، أو خدع فبیع قهرا،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اشتهار توصیفها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فی غیر محلّه؛ لعدم نصّ علی و ثاقته فی الاصول الخمسة، و مجرّد کونه من مشایخ الصدوق، و تصحیح العلّامة رحمه اللّه السند الذی هو فیه </w:t>
      </w:r>
      <w:r>
        <w:rPr>
          <w:rStyle w:val="FootnoteAnchor"/>
          <w:rtl w:val="true"/>
        </w:rPr>
        <w:footnoteReference w:id="59"/>
      </w:r>
      <w:r>
        <w:rPr>
          <w:rFonts w:ascii="IRNazanin" w:hAnsi="IRNazanin" w:eastAsia="IRNazanin"/>
          <w:color w:val="111111"/>
          <w:sz w:val="28"/>
          <w:sz w:val="28"/>
          <w:szCs w:val="28"/>
          <w:rtl w:val="true"/>
          <w:lang w:bidi="fa-IR"/>
        </w:rPr>
        <w:t>بلا دلیل،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یجد المتتبّع من الأمارات الکلّیة و روایة بعض الأجلّاء عنه، حسن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قلیل الروایة، و تقل روایة الأجلّاء عنه، و قد أطال العلّامة النوریّ حول وثاقته </w:t>
      </w:r>
      <w:r>
        <w:rPr>
          <w:rStyle w:val="FootnoteAnchor"/>
          <w:rtl w:val="true"/>
        </w:rPr>
        <w:footnoteReference w:id="60"/>
      </w:r>
      <w:r>
        <w:rPr>
          <w:rFonts w:ascii="IRNazanin" w:hAnsi="IRNazanin" w:eastAsia="IRNazanin"/>
          <w:color w:val="111111"/>
          <w:sz w:val="28"/>
          <w:sz w:val="28"/>
          <w:szCs w:val="28"/>
          <w:rtl w:val="true"/>
          <w:lang w:bidi="fa-IR"/>
        </w:rPr>
        <w:t>، إلّا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وسع مشربی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راکن إلیه، إلّا علی ما أبدعناه فی بعض مسطوراتنا</w:t>
      </w:r>
      <w:r>
        <w:rPr>
          <w:rStyle w:val="FootnoteAnchor"/>
          <w:rtl w:val="true"/>
        </w:rPr>
        <w:footnoteReference w:id="61"/>
      </w:r>
      <w:r>
        <w:rPr>
          <w:rFonts w:ascii="IRNazanin" w:hAnsi="IRNazanin" w:eastAsia="IRNazanin"/>
          <w:color w:val="111111"/>
          <w:sz w:val="28"/>
          <w:sz w:val="28"/>
          <w:szCs w:val="28"/>
          <w:rtl w:val="true"/>
          <w:lang w:bidi="fa-IR"/>
        </w:rPr>
        <w:t>و هو أصالة العدالة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تمسّک الشیخ به فی الشبهة الموضوعیّة</w:t>
      </w:r>
      <w:r>
        <w:rPr>
          <w:rStyle w:val="FootnoteAnchor"/>
          <w:rtl w:val="true"/>
        </w:rPr>
        <w:footnoteReference w:id="62"/>
      </w:r>
      <w:r>
        <w:rPr>
          <w:rFonts w:ascii="IRNazanin" w:hAnsi="IRNazanin" w:eastAsia="IRNazanin"/>
          <w:color w:val="111111"/>
          <w:sz w:val="28"/>
          <w:sz w:val="28"/>
          <w:szCs w:val="28"/>
          <w:rtl w:val="true"/>
          <w:lang w:bidi="fa-IR"/>
        </w:rPr>
        <w:t>، و العلّامة الخراسانیّ رحمه اللّه فی الشبهة الحکمیّة</w:t>
      </w:r>
      <w:r>
        <w:rPr>
          <w:rStyle w:val="FootnoteAnchor"/>
          <w:rtl w:val="true"/>
        </w:rPr>
        <w:footnoteReference w:id="63"/>
      </w:r>
      <w:r>
        <w:rPr>
          <w:rFonts w:ascii="IRNazanin" w:hAnsi="IRNazanin" w:eastAsia="IRNazanin"/>
          <w:color w:val="111111"/>
          <w:sz w:val="28"/>
          <w:sz w:val="28"/>
          <w:szCs w:val="28"/>
          <w:rtl w:val="true"/>
          <w:lang w:bidi="fa-IR"/>
        </w:rPr>
        <w:t>، لا یلزم انقلاب الواقع؛ فإنّ فی هذا الحدیث عمومین لفظیّین،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القدر المتیقّن فی مقام الخطاب بهما، و لا سیّما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العموم اللفظیّ وضعا، و لا یحتاج إلی مقدّمات الحکمة فی السریان العمومیّ، فما أفاده العلّامة الأراکیّ </w:t>
      </w:r>
      <w:r>
        <w:rPr>
          <w:rStyle w:val="FootnoteAnchor"/>
          <w:rtl w:val="true"/>
        </w:rPr>
        <w:footnoteReference w:id="64"/>
      </w:r>
      <w:r>
        <w:rPr>
          <w:rFonts w:ascii="Amiri" w:hAnsi="Amiri" w:eastAsia="Amiri" w:cs="Amiri"/>
          <w:color w:val="111111"/>
          <w:sz w:val="28"/>
          <w:sz w:val="28"/>
          <w:szCs w:val="28"/>
          <w:rtl w:val="true"/>
          <w:lang w:bidi="ar-SA"/>
        </w:rPr>
        <w:t>، غیر مرضیّ جدّا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الأمثلة موجبة لصرف العموم المذکور فی الصدر أو الذیل إلی الشبهات الموضوعیّة،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فهو ممنوع؛ لأنّه کثیرا ما تتفق الأمثلة،</w:t>
      </w:r>
    </w:p>
    <w:p>
      <w:pPr>
        <w:pStyle w:val="BookText"/>
        <w:rPr/>
      </w:pPr>
      <w:r>
        <w:rPr>
          <w:rFonts w:ascii="IRNazanin" w:hAnsi="IRNazanin" w:eastAsia="IRNazanin"/>
          <w:color w:val="111111"/>
          <w:sz w:val="28"/>
          <w:sz w:val="28"/>
          <w:szCs w:val="28"/>
          <w:rtl w:val="true"/>
          <w:lang w:bidi="fa-IR"/>
        </w:rPr>
        <w:t xml:space="preserve">و لا معنی لکونها موجبة لاختصاص المطلق أو العموم بالخصوصیّات الموجودة فیها، و لا سیّما بعد عدم القول بالحاجة إلی مقدّمات الإطلاق فی مثل العمومین المذکورین؛ فإنّ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الذکریّ، مدفوع؛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غایة إلی صرف الأذهان عن تلک الأمثلة إلی مطلق الامور المشتبهة، و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و الذیل لا تحتمل الإباحة الأصلیّة، بل هی ظاهرة فی الإباحة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الأمثلة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المنظور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الحجّة،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ضرورة أنّ فی تلک الأمثلة تکون الغایة حاصلة، و هو العلم فی الصدر، و الإبانة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عدم کونها مثالا واقعیّا صناعیّا لقاعدة الحلّ الظاهریّ الذی موضوعه الشکّ، تبیّن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الأمر الأعمّ؛ و هو أنّ المدار علی تمامیّة الحجّة، سواء کانت من قبل الأمارات، أو الاصول، فإن تمّت الحجّة فهو، و إلّا فالأشیاء کلّها علی ذلک، و هی الحلّیة التی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و لا عویصة فی الحدیث؛ بعد کونه قانونا عامّا لفظیّا شاملا لجمیع موارد الجهالة؛ و عدم وجود الحجّة، سواء کان الجهل فی موردها، أو فی موضوعها، فإذا ثبت العموم و ما هو المدار، یثبت المطلوب؛ لأنّ من تلک الحجج قول الثقة بحرمة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یستظهر من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و من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 اختصاصها بالشبهات الموضوعیّة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الاستظهار المذکور بالقیاس إلی ملاحظة</w:t>
      </w:r>
    </w:p>
    <w:p>
      <w:pPr>
        <w:pStyle w:val="BookText"/>
        <w:rPr/>
      </w:pPr>
      <w:r>
        <w:rPr>
          <w:rFonts w:ascii="IRNazanin" w:hAnsi="IRNazanin" w:eastAsia="IRNazanin"/>
          <w:color w:val="111111"/>
          <w:sz w:val="28"/>
          <w:sz w:val="28"/>
          <w:szCs w:val="28"/>
          <w:rtl w:val="true"/>
          <w:lang w:bidi="fa-IR"/>
        </w:rPr>
        <w:t>شرب التتن و أکل لحم الأرنب، إذا کانا کلاهما مشتبهی الحکم، فإذا سأل الإمام علیه السّلام رجل عن أنّ شرب التتن حرام، أم لحم الأرنب، أو هما معا، أو کلاهما حلال، یصحّ أن یجیبه علیه السّلام بالقاعدة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لم یکن تردید فی البین و لو بالنحو المذکور، یوهم اختصاص القاعدة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کلّیة، ربّما اتی بها دفعا للتوهّم المذکور، و إلّا فهی تکرار، و قد عرفت أنّ فی تأکید العموم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إشعارا بإلغاء خصوصیّة الأمثلة؛ حتّی حدیث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البیّنة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العدلین إلّا اصطلاحا، و إلّا فما هو البیّنة هو الدلیل و الحجّة، فیتمّ العموم حینئذ بلا کلام و لو لم یتمّ العموم فی الصدر، و لأجل ذلک تنحصر الغایة فی الاستبانة الشخصیّة و الوثوق و الاطمئنان و العلم الشخصیّ، و فی الحجّة الشرعیّة، أو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بحوث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المذکور لیس رادعا عن العمل بخبر الثقة</w:t>
      </w:r>
      <w:r>
        <w:rPr>
          <w:rStyle w:val="FootnoteAnchor"/>
          <w:rtl w:val="true"/>
        </w:rPr>
        <w:footnoteReference w:id="67"/>
      </w:r>
      <w:r>
        <w:rPr>
          <w:rFonts w:ascii="IRNazanin" w:hAnsi="IRNazanin" w:eastAsia="IRNazanin"/>
          <w:color w:val="111111"/>
          <w:sz w:val="28"/>
          <w:sz w:val="28"/>
          <w:szCs w:val="28"/>
          <w:rtl w:val="true"/>
          <w:lang w:bidi="fa-IR"/>
        </w:rPr>
        <w:t xml:space="preserve">، و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الاصطلاحی للزم الردع عنه؛ لعدم إمکان إدراج خبر الثقة فی الاستبانة بالحکومة أو الورود؛ لأنّ البیّنة أیضا من مصادیقها، و هی مقابله، فاغتنم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المذکورة غایة للشبهتین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الحکمیّة، و الموضوعیّة؛ ضرورة أنّ مشکوک الحکم حلال إلی أن یحصل الوثوق الشخصیّ أو البیّنة، و الموضوع المشتبه أیضا کذلک، و لکن فی ناحیة الحکم اعتبر الشرع کفایة خبر الثقة أیضا توسعة بدلیل آخر، کما أنّه فی الموضوعات أیضا یجوز التوسعة، کما ذهب إلیه جماعة منهم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60" w:name="pg13173_324688"/>
    </w:p>
    <w:p>
      <w:pPr>
        <w:pStyle w:val="BookText"/>
        <w:rPr/>
      </w:pPr>
      <w:bookmarkEnd w:id="60"/>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ذهب إلیه جمع من المعاصرین </w:t>
      </w:r>
      <w:r>
        <w:rPr>
          <w:rStyle w:val="FootnoteAnchor"/>
          <w:rtl w:val="true"/>
        </w:rPr>
        <w:footnoteReference w:id="69"/>
      </w:r>
      <w:r>
        <w:rPr>
          <w:rFonts w:ascii="IRNazanin" w:hAnsi="IRNazanin" w:eastAsia="IRNazanin"/>
          <w:color w:val="111111"/>
          <w:sz w:val="28"/>
          <w:sz w:val="28"/>
          <w:szCs w:val="28"/>
          <w:rtl w:val="true"/>
          <w:lang w:bidi="fa-IR"/>
        </w:rPr>
        <w:t xml:space="preserve">، و أطال الکلام حوله بعضهم </w:t>
      </w:r>
      <w:r>
        <w:rPr>
          <w:rStyle w:val="FootnoteAnchor"/>
          <w:rtl w:val="true"/>
        </w:rPr>
        <w:footnoteReference w:id="70"/>
      </w:r>
      <w:r>
        <w:rPr>
          <w:rFonts w:ascii="IRNazanin" w:hAnsi="IRNazanin" w:eastAsia="IRNazanin"/>
          <w:color w:val="111111"/>
          <w:sz w:val="28"/>
          <w:sz w:val="28"/>
          <w:szCs w:val="28"/>
          <w:rtl w:val="true"/>
          <w:lang w:bidi="fa-IR"/>
        </w:rPr>
        <w:t xml:space="preserve">، کلّه ناشئ عن الغفلة عن العموم الثانی فی الذیل، و عن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بحکومة أو ورود أخبار الاحتیاط علیها، إلّا أن یقال بانصراف الغایتین إلی قیام الحجّة علی الحکم فی الواقعة، فتدبّر</w:t>
      </w:r>
      <w:r>
        <w:rPr>
          <w:rFonts w:eastAsia="IRNazanin" w:cs="IRNazanin"/>
          <w:color w:val="111111"/>
          <w:sz w:val="28"/>
          <w:szCs w:val="28"/>
          <w:rtl w:val="true"/>
          <w:lang w:bidi="fa-IR"/>
        </w:rPr>
        <w:t>.</w:t>
      </w:r>
    </w:p>
    <w:p>
      <w:pPr>
        <w:pStyle w:val="Heading5"/>
        <w:numPr>
          <w:ilvl w:val="4"/>
          <w:numId w:val="1"/>
        </w:numPr>
        <w:rPr/>
      </w:pPr>
      <w:bookmarkStart w:id="61" w:name="__RefHeading___Toc734699_3244359995"/>
      <w:bookmarkStart w:id="62" w:name="_Toc24"/>
      <w:bookmarkEnd w:id="61"/>
      <w:r>
        <w:rPr>
          <w:rtl w:val="true"/>
        </w:rPr>
        <w:t>الطائفة الثانیة</w:t>
      </w:r>
      <w:r>
        <w:rPr>
          <w:rtl w:val="true"/>
        </w:rPr>
        <w:t xml:space="preserve">: </w:t>
      </w:r>
      <w:r>
        <w:rPr>
          <w:rtl w:val="true"/>
        </w:rPr>
        <w:t>الروایات القابلة للاعتماد علیها سندا</w:t>
      </w:r>
      <w:bookmarkEnd w:id="62"/>
    </w:p>
    <w:p>
      <w:pPr>
        <w:pStyle w:val="Heading6"/>
        <w:numPr>
          <w:ilvl w:val="5"/>
          <w:numId w:val="1"/>
        </w:numPr>
        <w:rPr/>
      </w:pPr>
      <w:bookmarkStart w:id="63" w:name="__RefHeading___Toc734701_3244359995"/>
      <w:bookmarkStart w:id="64" w:name="_Toc25"/>
      <w:bookmarkEnd w:id="63"/>
      <w:r>
        <w:rPr>
          <w:rtl w:val="true"/>
        </w:rPr>
        <w:t>فمنها</w:t>
      </w:r>
      <w:r>
        <w:rPr>
          <w:rtl w:val="true"/>
        </w:rPr>
        <w:t xml:space="preserve">: </w:t>
      </w:r>
      <w:r>
        <w:rPr>
          <w:rtl w:val="true"/>
        </w:rPr>
        <w:t>معتبر عبد الأعلی بن أعین</w:t>
      </w:r>
      <w:bookmarkEnd w:id="6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من لم یعرف شیئا هل علیه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یتمّ الاستدلال بناء علی أنّ المنظور، لیس نفی العامّ المجموعیّ، أو یتمّ علیه أیضا لنفی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ینافیه أخبار الاحتیاط، کما هو الواضح، و ما فی تقریرات العلّامة الأراکیّ قدّس سرّه من المعارضة</w:t>
      </w:r>
      <w:r>
        <w:rPr>
          <w:rStyle w:val="FootnoteAnchor"/>
          <w:rtl w:val="true"/>
        </w:rPr>
        <w:footnoteReference w:id="72"/>
      </w:r>
      <w:r>
        <w:rPr>
          <w:rFonts w:ascii="IRNazanin" w:hAnsi="IRNazanin" w:eastAsia="IRNazanin"/>
          <w:color w:val="111111"/>
          <w:sz w:val="28"/>
          <w:sz w:val="28"/>
          <w:szCs w:val="28"/>
          <w:rtl w:val="true"/>
          <w:lang w:bidi="fa-IR"/>
        </w:rPr>
        <w:t>، فی غیر محلّه؛ لأنّ المنفیّ فی الجواب هو العقاب خاصّة، أو هو و غیره، و لکن فی مورد الاحتیاط هو یعرف شیئا؛ و هو لزوم الاحتیاط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موارد الشبهة لا یعرف الحکم، فلا شی‌ء علیه، فیقع التعارض</w:t>
      </w:r>
      <w:r>
        <w:rPr>
          <w:rFonts w:eastAsia="IRNazanin" w:cs="IRNazanin"/>
          <w:color w:val="111111"/>
          <w:sz w:val="28"/>
          <w:szCs w:val="28"/>
          <w:rtl w:val="true"/>
          <w:lang w:bidi="fa-IR"/>
        </w:rPr>
        <w:t>.</w:t>
      </w:r>
      <w:bookmarkStart w:id="65" w:name="pg13173_324689"/>
    </w:p>
    <w:p>
      <w:pPr>
        <w:pStyle w:val="BookText"/>
        <w:rPr/>
      </w:pPr>
      <w:bookmarkEnd w:id="65"/>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العرفان و عدمه هو الحجّة و عدمها، و أخبار الاحتیاط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الخبر لمکان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مخصوصا بالشبهات الموضوعیّة؛ لأنّ الکلّیات لا تقبل العرفان، فتدبّر</w:t>
      </w:r>
      <w:r>
        <w:rPr>
          <w:rFonts w:eastAsia="IRNazanin" w:cs="IRNazanin"/>
          <w:color w:val="111111"/>
          <w:sz w:val="28"/>
          <w:szCs w:val="28"/>
          <w:rtl w:val="true"/>
          <w:lang w:bidi="fa-IR"/>
        </w:rPr>
        <w:t>.</w:t>
      </w:r>
    </w:p>
    <w:p>
      <w:pPr>
        <w:pStyle w:val="Heading6"/>
        <w:numPr>
          <w:ilvl w:val="5"/>
          <w:numId w:val="1"/>
        </w:numPr>
        <w:rPr/>
      </w:pPr>
      <w:bookmarkStart w:id="66" w:name="__RefHeading___Toc734703_3244359995"/>
      <w:bookmarkStart w:id="67" w:name="_Toc26"/>
      <w:bookmarkEnd w:id="66"/>
      <w:r>
        <w:rPr>
          <w:rtl w:val="true"/>
        </w:rPr>
        <w:t>و منها</w:t>
      </w:r>
      <w:r>
        <w:rPr>
          <w:rtl w:val="true"/>
        </w:rPr>
        <w:t xml:space="preserve">: </w:t>
      </w:r>
      <w:r>
        <w:rPr>
          <w:rtl w:val="true"/>
        </w:rPr>
        <w:t>معتبر ابن الطیّار</w:t>
      </w:r>
      <w:bookmarkEnd w:id="67"/>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علی الناس بما آتاهم و عرّفهم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ذلک هو العقل و الفطرة و الرسول الباطنیّ فی الأبواب الاخر</w:t>
      </w:r>
      <w:r>
        <w:rPr>
          <w:rStyle w:val="FootnoteAnchor"/>
          <w:rtl w:val="true"/>
        </w:rPr>
        <w:footnoteReference w:id="74"/>
      </w:r>
      <w:r>
        <w:rPr>
          <w:rFonts w:ascii="IRNazanin" w:hAnsi="IRNazanin" w:eastAsia="IRNazanin"/>
          <w:color w:val="111111"/>
          <w:sz w:val="28"/>
          <w:sz w:val="28"/>
          <w:szCs w:val="28"/>
          <w:rtl w:val="true"/>
          <w:lang w:bidi="fa-IR"/>
        </w:rPr>
        <w:t>لأجل معتبر حمزة بن الطیّار الآخر</w:t>
      </w:r>
      <w:r>
        <w:rPr>
          <w:rStyle w:val="FootnoteAnchor"/>
          <w:rtl w:val="true"/>
        </w:rPr>
        <w:footnoteReference w:id="75"/>
      </w:r>
      <w:r>
        <w:rPr>
          <w:rFonts w:ascii="IRNazanin" w:hAnsi="IRNazanin" w:eastAsia="IRNazanin"/>
          <w:color w:val="111111"/>
          <w:sz w:val="28"/>
          <w:sz w:val="28"/>
          <w:szCs w:val="28"/>
          <w:rtl w:val="true"/>
          <w:lang w:bidi="fa-IR"/>
        </w:rPr>
        <w:t>، غیر تامّ؛ لأنّ ما فیه أیضا غیر شاهد علی شی‌ء یوجب قصور الإطلاق، إلّا أنّه لا یدلّ علی وجه ینافی أخبار الاحتیاط، و ما هو مهمّ الاصولیّ ذلک، و إلّا فالآیات و الأخبار المستفادة منها البراءة العقلیّة کثیرة، إلّا أنّه لا ینافیها وجوب الاحتیاط الشرعیّ، و لأجل ذلک انصرفنا عن تعدید الآیات الشریفة إلی ذکر الأحادیث النافیة</w:t>
      </w:r>
      <w:r>
        <w:rPr>
          <w:rFonts w:eastAsia="IRNazanin" w:cs="IRNazanin"/>
          <w:color w:val="111111"/>
          <w:sz w:val="28"/>
          <w:szCs w:val="28"/>
          <w:rtl w:val="true"/>
          <w:lang w:bidi="fa-IR"/>
        </w:rPr>
        <w:t>.</w:t>
      </w:r>
    </w:p>
    <w:p>
      <w:pPr>
        <w:pStyle w:val="Heading6"/>
        <w:numPr>
          <w:ilvl w:val="5"/>
          <w:numId w:val="1"/>
        </w:numPr>
        <w:rPr/>
      </w:pPr>
      <w:bookmarkStart w:id="68" w:name="__RefHeading___Toc734705_3244359995"/>
      <w:bookmarkStart w:id="69" w:name="_Toc27"/>
      <w:bookmarkEnd w:id="68"/>
      <w:r>
        <w:rPr>
          <w:rtl w:val="true"/>
        </w:rPr>
        <w:t>و منها</w:t>
      </w:r>
      <w:r>
        <w:rPr>
          <w:rtl w:val="true"/>
        </w:rPr>
        <w:t xml:space="preserve">: </w:t>
      </w:r>
      <w:r>
        <w:rPr>
          <w:rtl w:val="true"/>
        </w:rPr>
        <w:t>معتبر عبد الأعلی</w:t>
      </w:r>
      <w:bookmarkEnd w:id="69"/>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76"/>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ببرکة الاصول هنا یمکن کشف البراءة الشرعیة؛ ضرورة أنّ فی المقام لا</w:t>
      </w:r>
      <w:bookmarkStart w:id="70" w:name="pg13173_324690"/>
    </w:p>
    <w:p>
      <w:pPr>
        <w:pStyle w:val="BookText"/>
        <w:rPr/>
      </w:pPr>
      <w:bookmarkEnd w:id="70"/>
      <w:r>
        <w:rPr>
          <w:rFonts w:ascii="IRNazanin" w:hAnsi="IRNazanin" w:eastAsia="IRNazanin"/>
          <w:color w:val="111111"/>
          <w:sz w:val="28"/>
          <w:sz w:val="28"/>
          <w:szCs w:val="28"/>
          <w:rtl w:val="true"/>
          <w:lang w:bidi="fa-IR"/>
        </w:rPr>
        <w:t>یعرّفهم ذلک، فیعارضه أخبار الاحتیاط، و من إضافة العرفان إلیه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علیه مادام لم یحصل عرفانه بالحکم و الموضوع، فلا یرد علیه ما یرد علی ما سبق</w:t>
      </w:r>
      <w:r>
        <w:rPr>
          <w:rFonts w:eastAsia="IRNazanin" w:cs="IRNazanin"/>
          <w:color w:val="111111"/>
          <w:sz w:val="28"/>
          <w:szCs w:val="28"/>
          <w:rtl w:val="true"/>
          <w:lang w:bidi="fa-IR"/>
        </w:rPr>
        <w:t>.</w:t>
      </w:r>
    </w:p>
    <w:p>
      <w:pPr>
        <w:pStyle w:val="Heading6"/>
        <w:numPr>
          <w:ilvl w:val="5"/>
          <w:numId w:val="1"/>
        </w:numPr>
        <w:rPr/>
      </w:pPr>
      <w:bookmarkStart w:id="71" w:name="__RefHeading___Toc734707_3244359995"/>
      <w:bookmarkStart w:id="72" w:name="_Toc28"/>
      <w:bookmarkEnd w:id="71"/>
      <w:r>
        <w:rPr>
          <w:rtl w:val="true"/>
        </w:rPr>
        <w:t>و منها</w:t>
      </w:r>
      <w:r>
        <w:rPr>
          <w:rtl w:val="true"/>
        </w:rPr>
        <w:t xml:space="preserve">: </w:t>
      </w:r>
      <w:r>
        <w:rPr>
          <w:rtl w:val="true"/>
        </w:rPr>
        <w:t>معتبر عبد الرحمن بن الحجّاج</w:t>
      </w:r>
      <w:bookmarkEnd w:id="72"/>
    </w:p>
    <w:p>
      <w:pPr>
        <w:pStyle w:val="Heading6"/>
        <w:numPr>
          <w:ilvl w:val="5"/>
          <w:numId w:val="1"/>
        </w:numPr>
        <w:rPr/>
      </w:pPr>
      <w:bookmarkStart w:id="73" w:name="__RefHeading___Toc734709_3244359995"/>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یتزوّج المرأة فی عدّتها بجهالة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یعذر الناس فی الجهالة بما هو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یعذر؛ بجهالته أن یعلم أنّ ذلک محرّم علیه، أم بجهالته أنّها فی عدّة؟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الجهالتین أهون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بأنّ اللّه حرّم ذلک علیه؛ و ذلک بأنّه لا یقدر علی الاحتیاط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الاخری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انقضت عدّتها فهو معذور فی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 متعمّدا، و الآخر 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تعمّد لا یحلّ له أن یرجع إلی صاحبه أبدا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الجهالتین أعذر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الأهونیّة و نفس الروایة، تدلّ علی أنّ مورد الاعتذار هو المعنی التکلیفیّ، لا الوضعیّ؛ لإمکان کون المکلّف معذورا بالقیاس إلی مخالفته، و أعذر بالقیاس إلی آخر؛ لإمکان کون حجّته فی صورة قیام خبر الثقة، و فی صورة</w:t>
      </w:r>
    </w:p>
    <w:p>
      <w:pPr>
        <w:pStyle w:val="BookText"/>
        <w:rPr/>
      </w:pPr>
      <w:r>
        <w:rPr>
          <w:rFonts w:ascii="IRNazanin" w:hAnsi="IRNazanin" w:eastAsia="IRNazanin"/>
          <w:color w:val="111111"/>
          <w:sz w:val="28"/>
          <w:sz w:val="28"/>
          <w:szCs w:val="28"/>
          <w:rtl w:val="true"/>
          <w:lang w:bidi="fa-IR"/>
        </w:rPr>
        <w:t>قیام الخبر المتواتر، أو یکون فی صورة جاهلا مقرونا بالعجز، و فی اخری جاهلا محضا، یصحّ الاستناد إلی الخبر المذکور علی البراءة بنفس الجهالة بالحکم؛ سواء کانت جهالة مقرونة بالغفلة الموجبة للعجز عن الاحتیاط، أو الجهالة غیر المقرونة به، کما فی الجاهل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یدل علی أنّ المفروض فیه الجاهل الغافل لا الملتفت </w:t>
      </w:r>
      <w:r>
        <w:rPr>
          <w:rStyle w:val="FootnoteAnchor"/>
          <w:rtl w:val="true"/>
        </w:rPr>
        <w:footnoteReference w:id="80"/>
      </w:r>
      <w:r>
        <w:rPr>
          <w:rFonts w:ascii="IRNazanin" w:hAnsi="IRNazanin" w:eastAsia="IRNazanin"/>
          <w:color w:val="111111"/>
          <w:sz w:val="28"/>
          <w:sz w:val="28"/>
          <w:szCs w:val="28"/>
          <w:rtl w:val="true"/>
          <w:lang w:bidi="fa-IR"/>
        </w:rPr>
        <w:t>، غیر مسموعة بعد التعلیل الصریح فی أنّ إحدی الجهالتین أهون من الاخری، فإنّ الأهونیّة المذکورة فیه لا تمکن إلّا فی صورة الغفلة، و أمّا الهیّنیة التی فی مقابل أفعل التفضیل، فهی فی صورة عدم الغفلة، فالجهل فیه أعمّ بالضرورة، و تصیر النتیجة معذوریّة الجاهل بالحکم أو الموضوع و لو کان عن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المشکلة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الجهالة إن کانت بمعنی الغفلة، ففی الصورتین یعجز عن الاحتیاط، و إن کانت بمعنی الجهل المقرون مع الالتفات، ففیهما یتمکّن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الجهالة هی الأعمّ، فلا 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شئت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إشکالا علی التقادیر المختلفة؛ و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هی الغفلة فلا یتمّ التعلیل، و إن کانت هی الجهل فلا یعذر فیما إذا کان قبل الفحص، و لا تبقی الجهالة بعد الفحص؛ ضرورة أنّ الجهالة بالحکم، ترتفع قطعا بالفحص بالنسبة إلی ذلک الحکم الواضح، و بالموضوع أیضا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صورة الجهل بالموضوع، لا یستند العذر إلی الجهالة؛ لأنّه إن کان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لم تکن فی العدّة، فالاستصحاب محکّم، و إن کان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العدّة، فأیضا یجری الاستصحاب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لا یعلم الحکم الوضعیّ، فهو کالحکم التکلیفیّ فی عدم بقاء الجهالة بعد الفحص، و عدم عذریّتها قبله، و هکذا فیما إذا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مقدار العدّة أیّ مقدار؟</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الحدیث مضطرب، فالأولی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الشکّ فی العدّة إلّا بعد العلم بالزواج، فإن کان یشکّ فی بقائه لأجل الموت أو الطلاق، فاستصحابه محکّم، و إن کان عالما بزواله فاستصحاب بقائها فی العدّة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الروایة صادرة فی عصر و مصر لا تختصّ بهما حکما، بل هی قانون عامّ کلّی أبدیّ، یکون البحث و السؤال فرضیّا، لا واقعیّا و خارجیّا؛ فإنّ أمثال ابن الحجّاج یسأل عن الأحکام فی مسائل مفروضة، فالإشکال فی حمل الروایة علی فرض الجهل بالموضوع جهلا عن التفات، فی غیر محلّه،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إذا کان بحسب ذات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فلا یلزم فی ناحیة فرضها بالعدّة حمل علی النادر، و أمّا فی ناحیة الحکم فالغفلة أیضا 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و إن لم یکن من التفکیک؛ لإمکان الجامع و وجوده، إلّا أنّه أمر بعید فی ذاته جدّا، و لعلّ مراد المستشکل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التفکیک بحسب الإرادة الجدّیة، لا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الاستدلال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معذوریّته بالنسبة إلی الشبهة الحکمیّة، و أهونیّة هذا العذر من معذوریّته بالنسبة إلی الموضوعیّة، لا تکفی لنا؛ لأنّ ما هو المفضّل علیه هی الشبهة الموضوعیّة، و کلامنا فیما إذا کانت الشبهة الحکمیّة مورد جهالة الملتفت، فلا یعلم منها ما ینفعنا بعد اللتیّا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حدیث العذر ینقطع بأخبار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المفروضة حاصلة فی موارد أخبار الاحتیاط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أنّها اخذت عذرا، فلا تبقی علیه</w:t>
      </w:r>
      <w:r>
        <w:rPr>
          <w:rFonts w:eastAsia="IRNazanin" w:cs="IRNazanin"/>
          <w:color w:val="111111"/>
          <w:sz w:val="28"/>
          <w:szCs w:val="28"/>
          <w:rtl w:val="true"/>
          <w:lang w:bidi="fa-IR"/>
        </w:rPr>
        <w:t>.</w:t>
      </w:r>
      <w:bookmarkStart w:id="75" w:name="pg13173_324693"/>
    </w:p>
    <w:p>
      <w:pPr>
        <w:pStyle w:val="Heading6"/>
        <w:numPr>
          <w:ilvl w:val="5"/>
          <w:numId w:val="1"/>
        </w:numPr>
        <w:rPr/>
      </w:pPr>
      <w:bookmarkStart w:id="76" w:name="__RefHeading___Toc734711_3244359995"/>
      <w:bookmarkStart w:id="77" w:name="_Toc30"/>
      <w:bookmarkEnd w:id="75"/>
      <w:bookmarkEnd w:id="76"/>
      <w:r>
        <w:rPr>
          <w:rtl w:val="true"/>
        </w:rPr>
        <w:t>تذنیب</w:t>
      </w:r>
      <w:r>
        <w:rPr>
          <w:rtl w:val="true"/>
        </w:rPr>
        <w:t xml:space="preserve">: </w:t>
      </w:r>
      <w:r>
        <w:rPr>
          <w:rtl w:val="true"/>
        </w:rPr>
        <w:t>فی أنّ الغفلة عذر فی الأحکام دون الموضوعات</w:t>
      </w:r>
      <w:bookmarkEnd w:id="77"/>
    </w:p>
    <w:p>
      <w:pPr>
        <w:pStyle w:val="BookText"/>
        <w:rPr/>
      </w:pPr>
      <w:r>
        <w:rPr>
          <w:rFonts w:ascii="IRNazanin" w:hAnsi="IRNazanin" w:eastAsia="IRNazanin"/>
          <w:color w:val="111111"/>
          <w:sz w:val="28"/>
          <w:sz w:val="28"/>
          <w:szCs w:val="28"/>
          <w:rtl w:val="true"/>
          <w:lang w:bidi="fa-IR"/>
        </w:rPr>
        <w:t xml:space="preserve">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السفاهة، و أنّ السفیه من لا یهتمّ فی اموره، و لا یعتنی بعواقب أفعاله، فیصیر طبعا غافلا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الغفلة فی مصر الأخبار و عصر الروایات بالنسبة إلی الحکم المذکور، أهون من الغفلة بالنسبة إلی ما هو تحت اختیاره و قدرته، فإنّه بالنسبة إلی الحکم، تکون أسباب الجهالة فی تلک الأعصار أقوی و أکثر؛ أی عدم وجود المقتضی للاطلاع علیه، بعد تشتّت الأخبار و الأحکام، و قلّة من یعرفها، بخلاف الجهالة بالنسبة إلی الموضوع؛ بعد کونها بین یدیه، و یکون المتعارف السؤال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الجهل هنا و الجهالة واحد؛ و هو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علی عدم العلم، إلّا أنّ الجهالة بالنسبة إلی الحکم مقرونة بالغفلة التی لا یقدر معها علی الاحتیاط، و لا یکون التسامح فیه مضرّا بعذریّته، فلا یجب التحفّظ، بخلاف الغفلة فی الموضوع الناشئة عن قلّة المبالاة، فإنّه یقدر علی الاحتیاط؛ لعدم عجزه عن الاحتیاط إلّا لأجل عدم مبالاته بدینه و لو کان معذورا من جهة أصل الجهل، و بذلک تنحلّ المشاکل ظاهرا، و لا یلزم خلاف ظاهر فی ألفاظ الحدیث،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مع العلم بالإکراه، یمنع العقل عن دخول الدار، و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قادرا علی الاحتیاط بعدم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عاجزا عن ترک الشرب، کذلک الأمر هنا، فالغفلة هی المقصود هنا فی الروایة صدرا و ذیلا، إلّا أنّ الغفلة فی الحکم عذر، و فی الموضوع لیس بعذر، فیقدر علی الاحتیاط کما عرفت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مشکلة جریان استصحاب حیاة الزوج أو بقاء النکاح؛ إن کان الشکّ فی</w:t>
      </w:r>
      <w:bookmarkStart w:id="78" w:name="pg13173_324694"/>
    </w:p>
    <w:p>
      <w:pPr>
        <w:pStyle w:val="BookText"/>
        <w:rPr/>
      </w:pPr>
      <w:bookmarkEnd w:id="78"/>
      <w:r>
        <w:rPr>
          <w:rFonts w:ascii="IRNazanin" w:hAnsi="IRNazanin" w:eastAsia="IRNazanin"/>
          <w:color w:val="111111"/>
          <w:sz w:val="28"/>
          <w:sz w:val="28"/>
          <w:szCs w:val="28"/>
          <w:rtl w:val="true"/>
          <w:lang w:bidi="fa-IR"/>
        </w:rPr>
        <w:t>العدّة مصحوبا مع الشکّ فیهما</w:t>
      </w:r>
      <w:r>
        <w:rPr>
          <w:rStyle w:val="FootnoteAnchor"/>
          <w:rtl w:val="true"/>
        </w:rPr>
        <w:footnoteReference w:id="82"/>
      </w:r>
      <w:r>
        <w:rPr>
          <w:rFonts w:ascii="IRNazanin" w:hAnsi="IRNazanin" w:eastAsia="IRNazanin"/>
          <w:color w:val="111111"/>
          <w:sz w:val="28"/>
          <w:sz w:val="28"/>
          <w:szCs w:val="28"/>
          <w:rtl w:val="true"/>
          <w:lang w:bidi="fa-IR"/>
        </w:rPr>
        <w:t xml:space="preserve">، و هکذا مشکلة استصحاب بقائها فی العدّة فی صورة العلم بالموت أو الطلاق </w:t>
      </w:r>
      <w:r>
        <w:rPr>
          <w:rStyle w:val="FootnoteAnchor"/>
          <w:rtl w:val="true"/>
        </w:rPr>
        <w:footnoteReference w:id="83"/>
      </w:r>
      <w:r>
        <w:rPr>
          <w:rFonts w:ascii="IRNazanin" w:hAnsi="IRNazanin" w:eastAsia="IRNazanin"/>
          <w:color w:val="111111"/>
          <w:sz w:val="28"/>
          <w:sz w:val="28"/>
          <w:szCs w:val="28"/>
          <w:rtl w:val="true"/>
          <w:lang w:bidi="fa-IR"/>
        </w:rPr>
        <w:t>، مندفعة بغفلته عن تلک الحال، و هی لیست من الغفلة التی لیست عذرا؛ لأنّ المفروض هی الغفلة عن محرمّیة التزویج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یشکّ فی أنّها فی العدّة مع الشکّ فی أصل التزویج، فحینئذ و إن لم یکن الجهل عذرا صناعة، و لکنّه عذر أیضا فی ذاته، فلا تخلط</w:t>
      </w:r>
      <w:r>
        <w:rPr>
          <w:rFonts w:eastAsia="IRNazanin" w:cs="IRNazanin"/>
          <w:color w:val="111111"/>
          <w:sz w:val="28"/>
          <w:szCs w:val="28"/>
          <w:rtl w:val="true"/>
          <w:lang w:bidi="fa-IR"/>
        </w:rPr>
        <w:t>.</w:t>
      </w:r>
    </w:p>
    <w:p>
      <w:pPr>
        <w:pStyle w:val="Heading6"/>
        <w:numPr>
          <w:ilvl w:val="5"/>
          <w:numId w:val="1"/>
        </w:numPr>
        <w:rPr/>
      </w:pPr>
      <w:bookmarkStart w:id="79" w:name="__RefHeading___Toc734713_3244359995"/>
      <w:bookmarkStart w:id="80" w:name="_Toc31"/>
      <w:bookmarkEnd w:id="79"/>
      <w:r>
        <w:rPr>
          <w:rtl w:val="true"/>
        </w:rPr>
        <w:t>و منها</w:t>
      </w:r>
      <w:r>
        <w:rPr>
          <w:rtl w:val="true"/>
        </w:rPr>
        <w:t xml:space="preserve">: </w:t>
      </w:r>
      <w:r>
        <w:rPr>
          <w:rtl w:val="true"/>
        </w:rPr>
        <w:t>معتبر عبد الصمد بن بشیر</w:t>
      </w:r>
      <w:bookmarkEnd w:id="80"/>
    </w:p>
    <w:p>
      <w:pPr>
        <w:pStyle w:val="BookText"/>
        <w:rPr/>
      </w:pP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أعجمیّا دخل المسجد یلبّی، و علیه قمیصه، فقال لأبی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علیک الحجّ من قابل، أیّ رجل رکب أمرا بجهالة فلا شی‌ء علیه، طف بالبیت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اختصاص الحدیث بالشبهة الموضوعیّة، فاسد؛ لما عرفت من نفس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علّیّة الجهل للارتکاب </w:t>
      </w:r>
      <w:r>
        <w:rPr>
          <w:rStyle w:val="FootnoteAnchor"/>
          <w:rtl w:val="true"/>
        </w:rPr>
        <w:footnoteReference w:id="85"/>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بِکُفْرِهِمْ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الجهالة سواء کانت هی الغفلة، أو غیر المقرونة بها؛ و کانت عن التفات، لا یمکن أن تکون علّة؛ لأنّ العلّة هی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الملتفت أیضا</w:t>
      </w:r>
    </w:p>
    <w:p>
      <w:pPr>
        <w:pStyle w:val="BookText"/>
        <w:rPr/>
      </w:pPr>
      <w:r>
        <w:rPr>
          <w:rFonts w:ascii="IRNazanin" w:hAnsi="IRNazanin" w:eastAsia="IRNazanin"/>
          <w:color w:val="111111"/>
          <w:sz w:val="28"/>
          <w:sz w:val="28"/>
          <w:szCs w:val="28"/>
          <w:rtl w:val="true"/>
          <w:lang w:bidi="fa-IR"/>
        </w:rPr>
        <w:t xml:space="preserve">یرتکب عن جهالة، فیکفی 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مدخولها دخیلا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یتوجّه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اللغة، أقرب إلی 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الجهل ضدّ العلم </w:t>
      </w:r>
      <w:r>
        <w:rPr>
          <w:rStyle w:val="FootnoteAnchor"/>
          <w:rtl w:val="true"/>
        </w:rPr>
        <w:footnoteReference w:id="87"/>
      </w:r>
      <w:r>
        <w:rPr>
          <w:rFonts w:ascii="IRNazanin" w:hAnsi="IRNazanin" w:eastAsia="IRNazanin"/>
          <w:color w:val="111111"/>
          <w:sz w:val="28"/>
          <w:sz w:val="28"/>
          <w:szCs w:val="28"/>
          <w:rtl w:val="true"/>
          <w:lang w:bidi="fa-IR"/>
        </w:rPr>
        <w:t>، کما تحرّر فی ذیل آیة النبأ</w:t>
      </w:r>
      <w:r>
        <w:rPr>
          <w:rStyle w:val="FootnoteAnchor"/>
          <w:rtl w:val="true"/>
        </w:rPr>
        <w:footnoteReference w:id="88"/>
      </w:r>
      <w:r>
        <w:rPr>
          <w:rFonts w:ascii="IRNazanin" w:hAnsi="IRNazanin" w:eastAsia="IRNazanin"/>
          <w:color w:val="111111"/>
          <w:sz w:val="28"/>
          <w:sz w:val="28"/>
          <w:szCs w:val="28"/>
          <w:rtl w:val="true"/>
          <w:lang w:bidi="fa-IR"/>
        </w:rPr>
        <w:t>، إلّا أنّه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بمناسبة المورد لا یکون المراد هنا إلّا ضدّ العلم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الخبر هو الجهل بعد الفحص، و إلّا فهو لیس عذرا، و لا وجه لکونه منه لینحصر بالغفلة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قانون عامّ و لو کان مورده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المحرّر فیما سلف عدم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معناها اللغویّ </w:t>
      </w:r>
      <w:r>
        <w:rPr>
          <w:rStyle w:val="FootnoteAnchor"/>
          <w:rtl w:val="true"/>
        </w:rPr>
        <w:footnoteReference w:id="89"/>
      </w:r>
      <w:r>
        <w:rPr>
          <w:rFonts w:ascii="IRNazanin" w:hAnsi="IRNazanin" w:eastAsia="IRNazanin"/>
          <w:color w:val="111111"/>
          <w:sz w:val="28"/>
          <w:sz w:val="28"/>
          <w:szCs w:val="28"/>
          <w:rtl w:val="true"/>
          <w:lang w:bidi="fa-IR"/>
        </w:rPr>
        <w:t>لاشتراک موارد الأدلّة و غیر تلک الموارد فی الجهل بالواقع، فیلزم شمول الآیة لتلک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الشمول استعمالا، مع حکومة أو ورود أدلّة الأمارات علیها، غیر صحیح جدّا، بل الغایة لا تشمل موارد الأمارات و الحجج الشرعیة بذاتها، کما تحرّر فی محلّه </w:t>
      </w:r>
      <w:r>
        <w:rPr>
          <w:rStyle w:val="FootnoteAnchor"/>
          <w:rtl w:val="true"/>
        </w:rPr>
        <w:footnoteReference w:id="90"/>
      </w:r>
      <w:r>
        <w:rPr>
          <w:rFonts w:ascii="IRNazanin" w:hAnsi="IRNazanin" w:eastAsia="IRNazanin"/>
          <w:color w:val="111111"/>
          <w:sz w:val="28"/>
          <w:sz w:val="28"/>
          <w:szCs w:val="28"/>
          <w:rtl w:val="true"/>
          <w:lang w:bidi="fa-IR"/>
        </w:rPr>
        <w:t xml:space="preserve">،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المخصوص بغیر موارد قیام الدلیل، فلا تعارض أخبار الاحتیاط؛ لأنّها ضدّ الجهالة، فلا ینفع الاصولیّ أمثال هذه الروایات و تلک الآیات فیما هو مهمته، کما هو الظاهر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ضدّ الدلیل و الحجّة، أو بلا دلیل و بلا حجّة؛ أی یکون الارتکاب بدونه، و لکن المنصرف من الدلیل و الحجّة هی الأمارات القائمة علی الأحکام فی موارد الجهل، غیر ثابت بعد، کما لا یخفی</w:t>
      </w:r>
      <w:bookmarkStart w:id="81" w:name="pg13173_324696"/>
    </w:p>
    <w:p>
      <w:pPr>
        <w:pStyle w:val="Heading6"/>
        <w:numPr>
          <w:ilvl w:val="5"/>
          <w:numId w:val="1"/>
        </w:numPr>
        <w:rPr/>
      </w:pPr>
      <w:bookmarkStart w:id="82" w:name="__RefHeading___Toc734715_3244359995"/>
      <w:bookmarkStart w:id="83" w:name="_Toc32"/>
      <w:bookmarkEnd w:id="81"/>
      <w:bookmarkEnd w:id="82"/>
      <w:r>
        <w:rPr>
          <w:rtl w:val="true"/>
        </w:rPr>
        <w:t>و منها</w:t>
      </w:r>
      <w:r>
        <w:rPr>
          <w:rtl w:val="true"/>
        </w:rPr>
        <w:t xml:space="preserve">: </w:t>
      </w:r>
      <w:r>
        <w:rPr>
          <w:rtl w:val="true"/>
        </w:rPr>
        <w:t>معتبر عبد اللّه بن سنان</w:t>
      </w:r>
      <w:bookmarkEnd w:id="83"/>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أبدا حتّی تعرف الحرام منه بعینه فتدعه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الکلّیة و إن کثرت مع اختلاف ما فی روایات الأبواب الاخر</w:t>
      </w:r>
      <w:r>
        <w:rPr>
          <w:rStyle w:val="FootnoteAnchor"/>
          <w:rtl w:val="true"/>
        </w:rPr>
        <w:footnoteReference w:id="92"/>
      </w:r>
      <w:r>
        <w:rPr>
          <w:rFonts w:ascii="IRNazanin" w:hAnsi="IRNazanin" w:eastAsia="IRNazanin"/>
          <w:color w:val="111111"/>
          <w:sz w:val="28"/>
          <w:sz w:val="28"/>
          <w:szCs w:val="28"/>
          <w:rtl w:val="true"/>
          <w:lang w:bidi="fa-IR"/>
        </w:rPr>
        <w:t xml:space="preserve">، إلّا أنّ المعتبر منها ما هو فی الباب الرابع من أبواب من یکتسب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ظاهرها بما فی غیرها غیر صواب ظاهرا،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إشکالات موجبة لاختصاصه بالشبهات الموضوعیّة التی فیها الحلال و الحرام، کما فی مثل اللحم، دون مطلق الشبهات الموضوعیّة کشرب التتن،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فرضنا أنّها أعمّ فیتوجّه إلیه ما مرّ؛ ضرورة أنّ فی موارد قیام خبر الثقة، لا یکون معرفة بالحکم بالضرورة،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الحجّة، و الأخبار و الظواهر قائمة علی الحرمة، و منها أخبار الاحتیاط</w:t>
      </w:r>
      <w:r>
        <w:rPr>
          <w:rStyle w:val="FootnoteAnchor"/>
          <w:rtl w:val="true"/>
        </w:rPr>
        <w:footnoteReference w:id="93"/>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الحرام ممنوعة فی مورد أخبار الاحتیاط</w:t>
      </w:r>
      <w:r>
        <w:rPr>
          <w:rStyle w:val="FootnoteAnchor"/>
          <w:rtl w:val="true"/>
        </w:rPr>
        <w:footnoteReference w:id="94"/>
      </w:r>
      <w:r>
        <w:rPr>
          <w:rFonts w:ascii="Amiri" w:hAnsi="Amiri" w:eastAsia="Amiri" w:cs="Amiri"/>
          <w:color w:val="111111"/>
          <w:sz w:val="28"/>
          <w:sz w:val="28"/>
          <w:szCs w:val="28"/>
          <w:rtl w:val="true"/>
          <w:lang w:bidi="ar-SA"/>
        </w:rPr>
        <w:t>، فقد عرفت أنّها ممنوعة مطلقا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انصراف الغایة إلی قیام الحجّة علی الحرمة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الثقة، دون مثل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الأخبار، و قد استوفاها استاذنا السیّد البروجردیّ قدّس سرّه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فی ذیلها إلی الأماکن الکثیرة</w:t>
      </w:r>
      <w:r>
        <w:rPr>
          <w:rStyle w:val="FootnoteAnchor"/>
          <w:rtl w:val="true"/>
        </w:rPr>
        <w:footnoteReference w:id="95"/>
      </w:r>
      <w:r>
        <w:rPr>
          <w:rFonts w:ascii="IRNazanin" w:hAnsi="IRNazanin" w:eastAsia="IRNazanin"/>
          <w:color w:val="111111"/>
          <w:sz w:val="28"/>
          <w:sz w:val="28"/>
          <w:szCs w:val="28"/>
          <w:rtl w:val="true"/>
          <w:lang w:bidi="fa-IR"/>
        </w:rPr>
        <w:t xml:space="preserve">، و لا یحصل منها ما هو مهمّ الاصولیّ؛ و هو البراءة الشرعیّة علی وجه یعارض الاحتیاط الآتیة أخباره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84" w:name="pg13173_324698"/>
    </w:p>
    <w:p>
      <w:pPr>
        <w:pStyle w:val="Heading6"/>
        <w:numPr>
          <w:ilvl w:val="5"/>
          <w:numId w:val="1"/>
        </w:numPr>
        <w:rPr/>
      </w:pPr>
      <w:bookmarkStart w:id="85" w:name="__RefHeading___Toc734717_3244359995"/>
      <w:bookmarkStart w:id="86" w:name="_Toc33"/>
      <w:bookmarkEnd w:id="84"/>
      <w:bookmarkEnd w:id="85"/>
      <w:r>
        <w:rPr>
          <w:rtl w:val="true"/>
        </w:rPr>
        <w:t>حول الاستدلال بحدیث الرفع علی البراءة</w:t>
      </w:r>
      <w:bookmarkEnd w:id="86"/>
    </w:p>
    <w:p>
      <w:pPr>
        <w:pStyle w:val="Heading6"/>
        <w:numPr>
          <w:ilvl w:val="5"/>
          <w:numId w:val="1"/>
        </w:numPr>
        <w:rPr/>
      </w:pPr>
      <w:bookmarkStart w:id="87" w:name="__RefHeading___Toc734719_3244359995"/>
      <w:bookmarkStart w:id="88" w:name="_Toc34"/>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بقی فی المقام حدیث الرفع، و قد أخّرنا أمره لأنّه مرجع الاصولیّین فی المسائل الکثیرة الکلّیة،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الاحتجاج علی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بینهم علی المسائل الخلافیّة بینهم خصوصا، فإنّ البحث کان إلی هنا حول کشف دلیل فی الجملة علی المقصود فیما هو مورد الخلاف بینهم و بین الأخباریّین، و أمّا فی هذا الحدیث فیرجع البحث إلی إطلاق القاعدة الکلّیة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المشکوک مرفوع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من یخصّه بالتکلیفیّات دون الوضعیّات،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 فی هذا الحدیث الشریف یقع فی جهات</w:t>
      </w:r>
      <w:r>
        <w:rPr>
          <w:rFonts w:eastAsia="IRNazanin" w:cs="IRNazanin"/>
          <w:color w:val="111111"/>
          <w:sz w:val="28"/>
          <w:szCs w:val="28"/>
          <w:rtl w:val="true"/>
          <w:lang w:bidi="fa-IR"/>
        </w:rPr>
        <w:t>:</w:t>
      </w:r>
    </w:p>
    <w:p>
      <w:pPr>
        <w:pStyle w:val="Heading6"/>
        <w:numPr>
          <w:ilvl w:val="5"/>
          <w:numId w:val="1"/>
        </w:numPr>
        <w:rPr/>
      </w:pPr>
      <w:bookmarkStart w:id="89" w:name="__RefHeading___Toc734721_3244359995"/>
      <w:bookmarkStart w:id="90" w:name="_Toc35"/>
      <w:bookmarkEnd w:id="89"/>
      <w:r>
        <w:rPr>
          <w:rtl w:val="true"/>
        </w:rPr>
        <w:t>الجهة الاولی</w:t>
      </w:r>
      <w:r>
        <w:rPr>
          <w:rtl w:val="true"/>
        </w:rPr>
        <w:t xml:space="preserve">: </w:t>
      </w:r>
      <w:r>
        <w:rPr>
          <w:rtl w:val="true"/>
        </w:rPr>
        <w:t>فی السند</w:t>
      </w:r>
      <w:bookmarkEnd w:id="90"/>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عن امّتی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و الخطأ، و النسیان، و ما اکرهوا علیه، و ما لا یعلمون، و ما لا یطیقون، و الطیرة،</w:t>
      </w:r>
    </w:p>
    <w:p>
      <w:pPr>
        <w:pStyle w:val="BookText"/>
        <w:rPr/>
      </w:pPr>
      <w:r>
        <w:rPr>
          <w:rFonts w:ascii="IRNazanin" w:hAnsi="IRNazanin" w:eastAsia="IRNazanin"/>
          <w:color w:val="111111"/>
          <w:sz w:val="28"/>
          <w:sz w:val="28"/>
          <w:szCs w:val="28"/>
          <w:rtl w:val="true"/>
          <w:lang w:bidi="fa-IR"/>
        </w:rPr>
        <w:t>و الحسد، و التفکّر فی الوسوسة فی الخلق ما لم ینطق الإنسان بشفة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إلیه، و الحسد، و الطیرة، و التفکّر فی الوسوسة فی الخلق ما لم ینطق بشفة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الجعفیّ،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هذه الامّة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استکرهوا علیه، و ما لا یعلمون، و ما لا یطیقون، و ما اضطرّوا إلیه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ربعیّ،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 امّتی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الخطأ، و النسیان، و الاستکراه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لا یطیقون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عن امّتی الخطأ، و النسیان، و ما استکرهوا علیه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أبی الحسن علیه السّلام بعد السؤال عن الاستکراه علی الیمین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ما اکرهوا علیه، و ما لم یطیقوا، و ما أخطأوا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قویّ، عن أبی الحسن علیه السّلام مثله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عن هذه الامّة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یستطیعون، و ما استکرهوا علیه، و ما نسوا، و ما جهلوا حتّی یعلموا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 أمّتی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أخطأوا، و ما نسوا، و ما اکرهوا علیه، و ما لم یطیقوا، و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أروی أنّ اللّه تبارک و تعالی أسقط عن المؤمن ما لا یعلم، و ما لا یتعمّد، و النسیان، و السهو، و الغلط، و ما استکره علیه، و ما اتقی فیه، و ما لا یطیق</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أخبار حدیث الرفع غیر مسندة فی الکتب المعتبرة،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غیر حجّة عندنا، و تکون مسندة فی غیر الکتب المتواترة و غیر الثابتة؛ ضرورة أنّ مجرّد کون کتاب منسوبا فی الأسواق إلی الصدوق مثلا، غیر کاف؛ لأنّ من الکتب ما یسند إلی المؤلّفین الأعاظم اجتهادا</w:t>
      </w:r>
    </w:p>
    <w:p>
      <w:pPr>
        <w:pStyle w:val="BookText"/>
        <w:rPr/>
      </w:pPr>
      <w:r>
        <w:rPr>
          <w:rFonts w:ascii="IRNazanin" w:hAnsi="IRNazanin" w:eastAsia="IRNazanin"/>
          <w:color w:val="111111"/>
          <w:sz w:val="28"/>
          <w:sz w:val="28"/>
          <w:szCs w:val="28"/>
          <w:rtl w:val="true"/>
          <w:lang w:bidi="fa-IR"/>
        </w:rPr>
        <w:t>من غیر قیام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لابن عبّاس مثلا تفسیر مطبوع، مع أنّه لیس له، بل هو کتاب فیه روایاته، فربّما یکون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قیام الحجّة الشرعیّة علی أصل تألیف الصدوق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ثمّ قیام الحجّة علی أنّ ما بین أیدینا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ثمّ بعد ذلک یثبت أنّه لم یزد، و لم ینقص، و لذلک کانت المقابلة رائجة فی السلف بالنسبة إلی الکتب الأربعة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 أنّ فی صدر سند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العطّار،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ففیه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الأمر کما تحرّر، و لم تثبت الشهرة القائمة علی فقراته أو مجموعها؛ لأنّ کثیرا منها فی الأبواب المتفرّقة، متّحد المضمون مع الأخبار الاخر، و حیث إنّ بین تلک الأخبار، اضطرابا شدیدا من حیث النسبة إلیه صلّی اللّه علیه و آله و سلّم ففی بعضها التسع، و بعضها الستّ، و بعضها الأربع، و بعضها الثلاث، و حیث إنّ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المرویّ عن الرسول صلّی اللّه علیه و آله و سلّم هو الثلاث دونها، و حیث، یشکل الوثوق بالصدور، و لا سیّما و أنّ التفکّر ممّا لا یقبل التکلیف، و لا إیجاب التحفّظ، فإنّه أمر خارج عن الاختیار، و یقبح تحریمه فی جمیع الملل السالفة و غیرهم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اللتیّا و التی، و بعد کون الأخبار الحاکیة و المستدلّ بها فی کتاب الأیمان، أیضا فی غیر الکتب المعتبرة، لا بأس بالبحث حوله؛ لأنّه السند الوحید للاصولیّین حسبما یستظهر من بعضهم، و یصرّح به الآخر</w:t>
      </w:r>
      <w:r>
        <w:rPr>
          <w:rStyle w:val="FootnoteAnchor"/>
          <w:rtl w:val="true"/>
        </w:rPr>
        <w:footnoteReference w:id="109"/>
      </w:r>
      <w:r>
        <w:rPr>
          <w:rFonts w:ascii="Amiri" w:hAnsi="Amiri" w:eastAsia="Amiri" w:cs="Amiri"/>
          <w:color w:val="111111"/>
          <w:sz w:val="28"/>
          <w:sz w:val="28"/>
          <w:szCs w:val="28"/>
          <w:rtl w:val="true"/>
          <w:lang w:bidi="ar-SA"/>
        </w:rPr>
        <w:t>، و لَعَلَّ اللَّهَ یُحْدِثُ بَعْدَ ذلِکَ أَمْراً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91" w:name="pg13173_324702"/>
    </w:p>
    <w:p>
      <w:pPr>
        <w:pStyle w:val="Heading6"/>
        <w:numPr>
          <w:ilvl w:val="5"/>
          <w:numId w:val="1"/>
        </w:numPr>
        <w:rPr/>
      </w:pPr>
      <w:bookmarkStart w:id="92" w:name="__RefHeading___Toc734723_3244359995"/>
      <w:bookmarkStart w:id="93" w:name="_Toc36"/>
      <w:bookmarkEnd w:id="91"/>
      <w:bookmarkEnd w:id="92"/>
      <w:r>
        <w:rPr>
          <w:rtl w:val="true"/>
        </w:rPr>
        <w:t>الجهة الثانیة</w:t>
      </w:r>
      <w:r>
        <w:rPr>
          <w:rtl w:val="true"/>
        </w:rPr>
        <w:t xml:space="preserve">: </w:t>
      </w:r>
      <w:r>
        <w:rPr>
          <w:rtl w:val="true"/>
        </w:rPr>
        <w:t>فی الدلالة</w:t>
      </w:r>
      <w:bookmarkEnd w:id="93"/>
    </w:p>
    <w:p>
      <w:pPr>
        <w:pStyle w:val="Heading6"/>
        <w:numPr>
          <w:ilvl w:val="5"/>
          <w:numId w:val="1"/>
        </w:numPr>
        <w:rPr/>
      </w:pPr>
      <w:bookmarkStart w:id="94" w:name="__RefHeading___Toc734725_3244359995"/>
      <w:bookmarkStart w:id="95" w:name="_Toc37"/>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یظهر من الشیخ قدّس سرّه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بالشبهة الموضوعیّة</w:t>
      </w:r>
      <w:r>
        <w:rPr>
          <w:rStyle w:val="FootnoteAnchor"/>
          <w:rtl w:val="true"/>
        </w:rPr>
        <w:footnoteReference w:id="111"/>
      </w:r>
      <w:r>
        <w:rPr>
          <w:rFonts w:ascii="IRNazanin" w:hAnsi="IRNazanin" w:eastAsia="IRNazanin"/>
          <w:color w:val="111111"/>
          <w:sz w:val="28"/>
          <w:sz w:val="28"/>
          <w:szCs w:val="28"/>
          <w:rtl w:val="true"/>
          <w:lang w:bidi="fa-IR"/>
        </w:rPr>
        <w:t>، و یجوز توهّم اختصاصه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جملة من الأعلام رحمهم اللّه إلی الأعمّ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دعوی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مسالک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الموصول فی الفقرات المشتملة علیه، هو کنایة عن الشبهة الموضوعیّة بالضرورة، فالموصول فیما نحن فیه مثله؛ نظرا إلی 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کون الجمیع موضوعا،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المحذوف هی المؤاخذة، و هی تناسب کون المراد الشبهة الموضوعیّة، لا الحکمیّة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الرفع مجاز فی سائر الموصولات و الفقرات، فلیکن هنا کذلک، و إلّا یلزم أن یکون حقیقة بالنسبة إلی الشبهات الحکمیّة، فیلزم استعمال اللفظ فی الأکثر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الأخیر ما أیّد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مقالة شیخه رحمه اللّه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علیک تحقیق أنّ المحذوف هی المؤاخذة، أو لا محذوف رأسا،</w:t>
      </w:r>
    </w:p>
    <w:p>
      <w:pPr>
        <w:pStyle w:val="BookText"/>
        <w:rPr/>
      </w:pPr>
      <w:r>
        <w:rPr>
          <w:rFonts w:ascii="IRNazanin" w:hAnsi="IRNazanin" w:eastAsia="IRNazanin"/>
          <w:color w:val="111111"/>
          <w:sz w:val="28"/>
          <w:sz w:val="28"/>
          <w:szCs w:val="28"/>
          <w:rtl w:val="true"/>
          <w:lang w:bidi="fa-IR"/>
        </w:rPr>
        <w:t>و أنّ الإسناد مجازیّ، أم حقیقیّ، فالاستناد إلی الوجهین الأخیرین لتعیین الموصول فی الشبهة الموضوعیة، غیر تامّ، کما یأتی تمام تحقیقه فی الآتی، فانتظر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الأوّل، فقد أورد علیه بوجوه </w:t>
      </w:r>
      <w:r>
        <w:rPr>
          <w:rStyle w:val="FootnoteAnchor"/>
          <w:rtl w:val="true"/>
        </w:rPr>
        <w:footnoteReference w:id="115"/>
      </w:r>
      <w:r>
        <w:rPr>
          <w:rFonts w:ascii="IRNazanin" w:hAnsi="IRNazanin" w:eastAsia="IRNazanin"/>
          <w:color w:val="111111"/>
          <w:sz w:val="28"/>
          <w:sz w:val="28"/>
          <w:szCs w:val="28"/>
          <w:rtl w:val="true"/>
          <w:lang w:bidi="fa-IR"/>
        </w:rPr>
        <w:t xml:space="preserve">، أحسنها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قضیّة وحدة السیاق هو الأعمّ؛ لأنّ الموصول فی سائر الفقرات باق علی إطلاقه، فلیکن الأمر کذلک هنا، فیلزم شموله للأعمّ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الغریب ارتضاء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Style w:val="FootnoteAnchor"/>
          <w:rtl w:val="true"/>
        </w:rPr>
        <w:footnoteReference w:id="117"/>
      </w:r>
      <w:r>
        <w:rPr>
          <w:rFonts w:ascii="IRNazanin" w:hAnsi="IRNazanin" w:eastAsia="IRNazanin"/>
          <w:color w:val="111111"/>
          <w:sz w:val="28"/>
          <w:sz w:val="28"/>
          <w:szCs w:val="28"/>
          <w:rtl w:val="true"/>
          <w:lang w:bidi="fa-IR"/>
        </w:rPr>
        <w:t>، ضرورة فساده؛ فإنّ معنی 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الجملة المذکورة فی أثناء جمل، إذا کانت مورد النظر مستقلّة، فلها العموم، أو الإطلاق مثلا، و أمّا إذا قیست إلی ما وقع حولها، فلا بدّ و أن یکون مثلها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أطرافها ما تختصّ بالوضعیّات فهی مثلها، أو تختصّ بالتکالیف فکذلک، کما استدلّوا</w:t>
      </w:r>
      <w:r>
        <w:rPr>
          <w:rStyle w:val="FootnoteAnchor"/>
          <w:rtl w:val="true"/>
        </w:rPr>
        <w:footnoteReference w:id="118"/>
      </w:r>
      <w:r>
        <w:rPr>
          <w:rFonts w:ascii="IRNazanin" w:hAnsi="IRNazanin" w:eastAsia="IRNazanin"/>
          <w:color w:val="111111"/>
          <w:sz w:val="28"/>
          <w:sz w:val="28"/>
          <w:szCs w:val="28"/>
          <w:rtl w:val="true"/>
          <w:lang w:bidi="fa-IR"/>
        </w:rPr>
        <w:t>علی عدم کون الکذب علی اللّه مفطرا؛ لکون النهی عنه فی طیّ النهی عن الغیبة مثلا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السیاق تمنع عن انعقاد الإطلاق فیما نحن فیه؛ لجواز اتکال المتکلّم علی سائر الفقرات فی إفادة الاختصاص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السیاق و إن کانت قویّة فی ذاتها، إلّا أنّ مناسبة الحکم و الموضوع أقوی، فکون الإسناد حقیقة أو مجازا أو مختلفا، و إن کان یوجب</w:t>
      </w:r>
    </w:p>
    <w:p>
      <w:pPr>
        <w:pStyle w:val="BookText"/>
        <w:rPr/>
      </w:pPr>
      <w:r>
        <w:rPr>
          <w:rFonts w:ascii="IRNazanin" w:hAnsi="IRNazanin" w:eastAsia="IRNazanin"/>
          <w:color w:val="111111"/>
          <w:sz w:val="28"/>
          <w:sz w:val="28"/>
          <w:szCs w:val="28"/>
          <w:rtl w:val="true"/>
          <w:lang w:bidi="fa-IR"/>
        </w:rPr>
        <w:t>رفع الإبهام فی موارد الشکّ، إلّا أنّ هنا حدیث رفع المجهول إمّا حقیقة، أو ادعاء، أو مجازا لفظیّا، و هذا یناسب رفع الحکم المجهول الأعمّ؛ لأنّه أولی به عند العقلاء، فلا یخطر أوّلا و بالذات إلی الذهن إلّا الإطلاق، و العدول عنه یحتاج إلی ملاحظة وحدة السیاق المغفول عنها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المجاز علی خلاف الأصل، فیقتصر فیه علی القدر المتیقّن منه، ففیما نحن فیه یتعیّن کون المراد من الموصول هی الشبهة الحکمیّة؛ لأنّ الحکم یقبل الرفع حقیقة دون الموضوع، فلا وجه لحمله علی الأعمّ، حتّی یلزم استعمال اللفظ الواحد فی المعنیین، أو یلزم المجاز و الحقیقة فی الاستعمال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وحدة السیاق فی الاستعمال هی المجازیّة، فیکون فیما نحن فیه أیضا مجازا؛ لقیام القرینة علیه، فهو لا یرجع إلی محصّل؛ لأنّه سیمرّ علیک أنّ المجازیّة بحسب الإرادة الاستعمالیّة، ممنوعة هنا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المرفوع هو الحکم فی الشبهات الموضوعیّة و الحکمیّة، إلّا أنّ منشأ الشبهة مختلف، و هذا غیر سائر الفقرات، فإنّ فی مثل الاضطرار و نحوه، لا یتصوّر الاضطرار إلی الحکم، بخلاف الجهالة، فإنّها تتصوّر بالنسبة إلی الحکم الجزئیّ و الکلّی، فلا یلزم استعمال الواحد فی الکثیر، و لا الجمع بین الحقیقة و المجاز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منسوب بحسب الاستعمال أوّلا إلی النسیان أو السهو، فیکون الحرف العاطف موجبا لاستناده إلیه عرفا و توهّما، لا واقعا و حقیقة، کما لا یخفی، فلا نسبة بین الرفع و الموصول فیما نحن فیه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التکرار الحکمیّ لأجل حرف العطف، لا یتضمّن إلّا الاستعمال الحکمیّ، لا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p>
    <w:p>
      <w:pPr>
        <w:pStyle w:val="BookText"/>
        <w:rPr/>
      </w:pPr>
      <w:r>
        <w:rPr>
          <w:rFonts w:ascii="IRNazanin" w:hAnsi="IRNazanin" w:eastAsia="IRNazanin"/>
          <w:color w:val="111111"/>
          <w:sz w:val="28"/>
          <w:sz w:val="28"/>
          <w:szCs w:val="28"/>
          <w:rtl w:val="true"/>
          <w:lang w:bidi="fa-IR"/>
        </w:rPr>
        <w:t>العوامل؛ و أنّ العامل کذا و کذا، من أحادیث المدارس، دون الأعراب و جمهور الناس، فلا یصحّ الاستئناس بشی‌ء خاصّ من إسناد الرفع إلی الموصول فیما نحن فیه، و لا معنی لاستظهار شی‌ء منه؛ لأنّه کلّه مجرّد التخیّل و الأدب الخاصّ، دون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إذا أمکن الأعمّ یتعیّن ذلک؛ لفراغ المتکلّم من هذه الخصوصیّات فی مثل هذه المسائل، و تتعیّن المراجعة إلی فهم العرف و العقلاء مع قطع النظر عن ذلک کلّه، و إلی مناسبات الحکم و الموضوع،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الحدیث فیما نحن فیه مجملا؛ فذلک إمّا لأجل عدم إمکان ترجیح مقتضی وحدة السیاق علی أصالة الحقیقة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لأجل أنّ مفاد الموصول إن کان المعنی الاسمیّ، فیکون الموضوع له عامّا، فإنّه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المرفوع أعمّ، أو أخصّ</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مفاد الموصول علی وجه یکون الموضوع له خاصّا، فتکون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معنی الإشارة إلی العناوین الذاتیّة،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 الاستراحة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فلا یشمل الشبهات الموضوعیّة؛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 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مورد الإشارة، بعد کون المحمول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الذهن ینتقل من الإشارة إلی العناوین المبیّنة، فتکون الجهالة فی المحمول، مخصوصة بالحکم الکلّی؛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الذی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شرب التتن، فینحصر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الکلّی، و علی هذا حیث لا طریق إلی تعیین ما هو الموضوع له علی وجه مبیّن، یلزم الإجمال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أمکن أن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المشتبه موضوعا، و لکنّه غیر موافق لفهم العرف قطعا، فیسقط الحدیث عن إمکان الاستدلال به، کما لا یخفی، فتدبّر؛ فإنّه حقیق بالتدبّر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هی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به؛ لأنّه علی تقدیر کون المراد أعمّ، لا بدّ من الالتزام بتعدّد الاستعمال، فلا قدر متیقّن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کون لفظة موضوعة للمعنی المرکّب من المعنی الحرفیّ و الاسمیّ، محلّ المناقشة، کما حرّرناه فی محلّه </w:t>
      </w:r>
      <w:r>
        <w:rPr>
          <w:rStyle w:val="FootnoteAnchor"/>
          <w:rtl w:val="true"/>
        </w:rPr>
        <w:footnoteReference w:id="122"/>
      </w:r>
      <w:r>
        <w:rPr>
          <w:rFonts w:ascii="IRNazanin" w:hAnsi="IRNazanin" w:eastAsia="IRNazanin"/>
          <w:color w:val="111111"/>
          <w:sz w:val="28"/>
          <w:sz w:val="28"/>
          <w:szCs w:val="28"/>
          <w:rtl w:val="true"/>
          <w:lang w:bidi="fa-IR"/>
        </w:rPr>
        <w:t xml:space="preserve">، 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موضوعین للمعنی الاسمیّ مع إشراب الإشارة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عند أهله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الموصولتین، کلّی اسمیّ ینطبق علی الخارج،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المنوّنة بتنوین التنکیر، و لا ریب فی أنّه معنی اسمیّ مقیّد، فتلزم أعمّیة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العناوین الکلّیة مورد الإشارة، بل الخارج موردها؛ أی التتن الخارجیّ، فیکون المستفاد منه أنّ الذی لا یعلمون حکمه مرفوع، فیشمل المشتبه بین الماء و الخمر،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ممّا لا یعلم الامّة حکمه، فیکون مورد الرفع، و هکذا شرب التتن، فیکون الحدیث أعمّ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القول بالأعمّیة، لا یستلزم الاستعمال فی الکثیر</w:t>
      </w:r>
      <w:r>
        <w:rPr>
          <w:rStyle w:val="FootnoteAnchor"/>
          <w:rtl w:val="true"/>
        </w:rPr>
        <w:footnoteReference w:id="123"/>
      </w:r>
      <w:r>
        <w:rPr>
          <w:rFonts w:ascii="IRNazanin" w:hAnsi="IRNazanin" w:eastAsia="IRNazanin"/>
          <w:color w:val="111111"/>
          <w:sz w:val="28"/>
          <w:sz w:val="28"/>
          <w:szCs w:val="28"/>
          <w:rtl w:val="true"/>
          <w:lang w:bidi="fa-IR"/>
        </w:rPr>
        <w:t>، و سیمرّ علیک زیادة توضیح حوله فی الجهة الآتیة إن شاء اللّه تعالی</w:t>
      </w:r>
      <w:r>
        <w:rPr>
          <w:rFonts w:eastAsia="IRNazanin" w:cs="IRNazanin"/>
          <w:color w:val="111111"/>
          <w:sz w:val="28"/>
          <w:szCs w:val="28"/>
          <w:rtl w:val="true"/>
          <w:lang w:bidi="fa-IR"/>
        </w:rPr>
        <w:t>.</w:t>
      </w:r>
      <w:bookmarkStart w:id="96" w:name="pg13173_324707"/>
    </w:p>
    <w:p>
      <w:pPr>
        <w:pStyle w:val="Heading6"/>
        <w:numPr>
          <w:ilvl w:val="5"/>
          <w:numId w:val="1"/>
        </w:numPr>
        <w:rPr/>
      </w:pPr>
      <w:bookmarkStart w:id="97" w:name="__RefHeading___Toc734727_3244359995"/>
      <w:bookmarkStart w:id="98" w:name="_Toc38"/>
      <w:bookmarkEnd w:id="96"/>
      <w:bookmarkEnd w:id="97"/>
      <w:r>
        <w:rPr>
          <w:rtl w:val="true"/>
        </w:rPr>
        <w:t>تحصیل و تحقیق</w:t>
      </w:r>
      <w:bookmarkEnd w:id="98"/>
    </w:p>
    <w:p>
      <w:pPr>
        <w:pStyle w:val="BookText"/>
        <w:rPr/>
      </w:pPr>
      <w:r>
        <w:rPr>
          <w:rFonts w:ascii="IRNazanin" w:hAnsi="IRNazanin" w:eastAsia="IRNazanin"/>
          <w:color w:val="111111"/>
          <w:sz w:val="28"/>
          <w:sz w:val="28"/>
          <w:szCs w:val="28"/>
          <w:rtl w:val="true"/>
          <w:lang w:bidi="fa-IR"/>
        </w:rPr>
        <w:t xml:space="preserve">لا شبهة فی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تتعدّی إلی المفعولین، 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التصدیقیّ، لا التصوّری، فلا بدّ علی هذا من کون الجملة محذوفة؛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لما اشتهر من حذف ضمیر الصلة</w:t>
      </w:r>
      <w:r>
        <w:rPr>
          <w:rStyle w:val="FootnoteAnchor"/>
          <w:rtl w:val="true"/>
        </w:rPr>
        <w:footnoteReference w:id="124"/>
      </w:r>
      <w:r>
        <w:rPr>
          <w:rFonts w:ascii="IRNazanin" w:hAnsi="IRNazanin" w:eastAsia="IRNazanin"/>
          <w:color w:val="111111"/>
          <w:sz w:val="28"/>
          <w:sz w:val="28"/>
          <w:szCs w:val="28"/>
          <w:rtl w:val="true"/>
          <w:lang w:bidi="fa-IR"/>
        </w:rPr>
        <w:t>لأنّ التعدیة بالمفعول الواحد، توجب کون العلم تصوّریا، و هو غیر منظور هنا بالضرورة، و لذلک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الواقعة عقیب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تأوّل بالمصدر؛ للزوم نقض الغرض، و ما اشتهر من تأویل الجملة الواقعة عقیب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المصدر و المعنی غیر التصدیقیّ </w:t>
      </w:r>
      <w:r>
        <w:rPr>
          <w:rStyle w:val="FootnoteAnchor"/>
          <w:rtl w:val="true"/>
        </w:rPr>
        <w:footnoteReference w:id="125"/>
      </w:r>
      <w:r>
        <w:rPr>
          <w:rFonts w:ascii="IRNazanin" w:hAnsi="IRNazanin" w:eastAsia="IRNazanin"/>
          <w:color w:val="111111"/>
          <w:sz w:val="28"/>
          <w:sz w:val="28"/>
          <w:szCs w:val="28"/>
          <w:rtl w:val="true"/>
          <w:lang w:bidi="fa-IR"/>
        </w:rPr>
        <w:t>، غیر صحیح،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المکلف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المقصود العلم التصدیقیّ؛ و لو کان بناء العرب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إلّا أنّها فی الحقیقة جملة غیر قابلة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قولهم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المحذوف ضمیر عائد إلی الموصول، و هو رفع ما لا یعلمونه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بل المحذوف جملة، 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 أنّه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لم یذکر فإمّا یصیر مجملا، و هو غیر جائز؛ لأنّ المتکلّم لیس بصدد إفادة الإجمال، فعلیه یدلّ الحذف علی العموم، و 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الموضوع فی الشبهة الحکمیّة و الموضوعیّة، و یسقط نزاع القوم من أساسه، و یصیر الحدیث للأعمّ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فی مقابل المحمول، کما فی سائر الفقرات، فیجمع حینئذ بین جمیع الجهات الموجبة لتشتّت الأفکار و اختلاف</w:t>
      </w:r>
      <w:bookmarkStart w:id="99" w:name="pg13173_324708"/>
    </w:p>
    <w:p>
      <w:pPr>
        <w:pStyle w:val="BookText"/>
        <w:rPr/>
      </w:pPr>
      <w:bookmarkEnd w:id="99"/>
      <w:r>
        <w:rPr>
          <w:rFonts w:ascii="IRNazanin" w:hAnsi="IRNazanin" w:eastAsia="IRNazanin"/>
          <w:color w:val="111111"/>
          <w:sz w:val="28"/>
          <w:sz w:val="28"/>
          <w:szCs w:val="28"/>
          <w:rtl w:val="true"/>
          <w:lang w:bidi="fa-IR"/>
        </w:rPr>
        <w:t xml:space="preserve">الأعلام؛ لأنّ ما لا یعلمون أنّه خمر مرفوع، و ما لا یعلمون أنّه حرام مرفوع، فالرفع یستند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الموضوع مطلقا، و هو المفعول الأوّل، و لا یعقل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الحکم إلّا علی التخیّل المزبور الباطل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معنی لقولک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بمعنی أنّی أتصوّر الحرمة، کذلک لا معنی لقولک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 زید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یرجع إلی أنّه لا یعلم أنّ کذا شی‌ء حرام، و حیث إنّه لیس فی الکلام ما یدلّ علی خصوص مجهولیّة الحرمة، فیلزم القول بالأعمّیة، أو الإجمال، و لا سبیل إلی الثانی، فیتعیّن الأوّل</w:t>
      </w:r>
      <w:r>
        <w:rPr>
          <w:rFonts w:eastAsia="IRNazanin" w:cs="IRNazanin"/>
          <w:color w:val="111111"/>
          <w:sz w:val="28"/>
          <w:szCs w:val="28"/>
          <w:rtl w:val="true"/>
          <w:lang w:bidi="fa-IR"/>
        </w:rPr>
        <w:t>.</w:t>
      </w:r>
    </w:p>
    <w:p>
      <w:pPr>
        <w:pStyle w:val="Heading6"/>
        <w:numPr>
          <w:ilvl w:val="5"/>
          <w:numId w:val="1"/>
        </w:numPr>
        <w:rPr/>
      </w:pPr>
      <w:bookmarkStart w:id="100" w:name="__RefHeading___Toc734729_3244359995"/>
      <w:bookmarkStart w:id="101" w:name="_Toc39"/>
      <w:bookmarkEnd w:id="100"/>
      <w:r>
        <w:rPr>
          <w:rtl w:val="true"/>
        </w:rPr>
        <w:t>و هم و دفع</w:t>
      </w:r>
      <w:bookmarkEnd w:id="101"/>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المحذوف هو المفعولان؛ لأنّ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تتعدّی إلیهما، فیکون المعنی رفع ما لا یعلمون التتن حراما، و یکون التتن رافعا لإبهام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فالمفعول الأوّل مبیّن الموصول، فیختصّ الحدیث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تقدیر التتن و شربه بلا وجه؛ لجواز أن یکون الأمر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برهان علی لزوم رفع الإبهام بعد کون الإبهام موجبا للأعمّیة، و قد أتی به المتکلّم مبهما، فعلیه یکون الکلام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للعقاب 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الحذف دلیل العموم، و سیمرّ علیک احتمال لزوم الأخذ بالقدر المتیقّن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تتّضح لأهل البصیرة أبواب التحقیق و البحث، و تظهر مواضع الضعف فی کلمات القوم صدرا و ذیلا، فإنّ حدیث وحدة السیاق </w:t>
      </w:r>
      <w:r>
        <w:rPr>
          <w:rStyle w:val="FootnoteAnchor"/>
          <w:rtl w:val="true"/>
        </w:rPr>
        <w:footnoteReference w:id="126"/>
      </w:r>
      <w:r>
        <w:rPr>
          <w:rFonts w:ascii="IRNazanin" w:hAnsi="IRNazanin" w:eastAsia="IRNazanin"/>
          <w:color w:val="111111"/>
          <w:sz w:val="28"/>
          <w:sz w:val="28"/>
          <w:szCs w:val="28"/>
          <w:rtl w:val="true"/>
          <w:lang w:bidi="fa-IR"/>
        </w:rPr>
        <w:t>محفوظ؛ لأنّ المرفوع مطلقا هو الموضوع، إلّا أنّه فی مقابل المحمول، و یکون أمرا تکوینیّا</w:t>
      </w:r>
      <w:r>
        <w:rPr>
          <w:rFonts w:eastAsia="IRNazanin" w:cs="IRNazanin"/>
          <w:color w:val="111111"/>
          <w:sz w:val="28"/>
          <w:szCs w:val="28"/>
          <w:rtl w:val="true"/>
          <w:lang w:bidi="fa-IR"/>
        </w:rPr>
        <w:t>.</w:t>
      </w:r>
      <w:bookmarkStart w:id="102" w:name="pg13173_324709"/>
    </w:p>
    <w:p>
      <w:pPr>
        <w:pStyle w:val="BookText"/>
        <w:rPr/>
      </w:pPr>
      <w:bookmarkEnd w:id="102"/>
      <w:r>
        <w:rPr>
          <w:rFonts w:ascii="IRNazanin" w:hAnsi="IRNazanin" w:eastAsia="IRNazanin"/>
          <w:color w:val="111111"/>
          <w:sz w:val="28"/>
          <w:sz w:val="28"/>
          <w:szCs w:val="28"/>
          <w:rtl w:val="true"/>
          <w:lang w:bidi="fa-IR"/>
        </w:rPr>
        <w:t>و حدیث أصالة الحقیقة</w:t>
      </w:r>
      <w:r>
        <w:rPr>
          <w:rStyle w:val="FootnoteAnchor"/>
          <w:rtl w:val="true"/>
        </w:rPr>
        <w:footnoteReference w:id="127"/>
      </w:r>
      <w:r>
        <w:rPr>
          <w:rFonts w:ascii="IRNazanin" w:hAnsi="IRNazanin" w:eastAsia="IRNazanin"/>
          <w:color w:val="111111"/>
          <w:sz w:val="28"/>
          <w:sz w:val="28"/>
          <w:szCs w:val="28"/>
          <w:rtl w:val="true"/>
          <w:lang w:bidi="fa-IR"/>
        </w:rPr>
        <w:t>غیر تامّ؛ لأنّ المسند إلیه علی کلّ تقدیر أمر خارجیّ، کسائر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لزوم استعمال الواحد فی الکثیر، و لزوم الجمع بین الحقیقة و المجاز فی الاستعمال الواحد</w:t>
      </w:r>
      <w:r>
        <w:rPr>
          <w:rStyle w:val="FootnoteAnchor"/>
          <w:rtl w:val="true"/>
        </w:rPr>
        <w:footnoteReference w:id="128"/>
      </w:r>
      <w:r>
        <w:rPr>
          <w:rFonts w:ascii="IRNazanin" w:hAnsi="IRNazanin" w:eastAsia="IRNazanin"/>
          <w:color w:val="111111"/>
          <w:sz w:val="28"/>
          <w:sz w:val="28"/>
          <w:szCs w:val="28"/>
          <w:rtl w:val="true"/>
          <w:lang w:bidi="fa-IR"/>
        </w:rPr>
        <w:t>، أیضا قد ظهر فساده؛ لأنّ فی الشبهات الحکمیّة لیس المرفوع الحکم، بل المرفوع ما لا تصدّق الامّة الإسلامیّة أنّه حرام، کشرب التتن، أو أنّه خمر، کالمائع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هو حرام فی الفرضین؛ لأنّ المشتبهة خمریّته مشکوکة حرمته،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pStyle w:val="Heading6"/>
        <w:numPr>
          <w:ilvl w:val="5"/>
          <w:numId w:val="1"/>
        </w:numPr>
        <w:rPr/>
      </w:pPr>
      <w:bookmarkStart w:id="103" w:name="__RefHeading___Toc734731_3244359995"/>
      <w:bookmarkStart w:id="104" w:name="_Toc40"/>
      <w:bookmarkEnd w:id="103"/>
      <w:r>
        <w:rPr>
          <w:rtl w:val="true"/>
        </w:rPr>
        <w:t>دفع و توضیح</w:t>
      </w:r>
      <w:bookmarkEnd w:id="104"/>
    </w:p>
    <w:p>
      <w:p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مشتبه الخمریّة قابل للرفع، و إسناده إلیه إسناد یساعده الاعتبار و الذوق، بخلاف إسناده إلی شرب التتن، و لأجل ذلک اسند فیه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ما عرفت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کون المسند إلیه نفس الفعل و الموضوع إیجادا و ترکا، و کما أنّه فی مشتبه العنوان یکون الرفع باعتبار الآثار، أو بوجه آخر، کذلک الأمر فی معلوم العنوان و مشتبه الحکم، کشرب التتن، و لا یستند الرفع إلی الشرب خاصّة حتّی یتوهّم الاستبعاد، بل المسند إلیه عنوان ینطبق علیهما علی حدّ سواء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لأنّه من العلم</w:t>
      </w:r>
      <w:bookmarkStart w:id="105" w:name="pg13173_324710"/>
    </w:p>
    <w:p>
      <w:pPr>
        <w:pStyle w:val="BookText"/>
        <w:rPr/>
      </w:pPr>
      <w:bookmarkEnd w:id="105"/>
      <w:r>
        <w:rPr>
          <w:rFonts w:ascii="IRNazanin" w:hAnsi="IRNazanin" w:eastAsia="IRNazanin"/>
          <w:color w:val="111111"/>
          <w:sz w:val="28"/>
          <w:sz w:val="28"/>
          <w:szCs w:val="28"/>
          <w:rtl w:val="true"/>
          <w:lang w:bidi="fa-IR"/>
        </w:rPr>
        <w:t xml:space="preserve">التصوّری، بل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فالمرفوع دائما هو الموضوع؛ باعتبار حکمه الکلّی، أو الجزئیّ، و یکون المرفوع الموصول الذی هو المفعول الأوّل، و المجهول هو القضیّة، لا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ضعف ما أفاده العلّامة الأراکیّ من مقایسة الفقرات؛ و أنّ الثلاث الأخیرة تختلف مع الأربع المتوسّطة، فلا یمکن الأخذ بالوحدة السیاقیّة</w:t>
      </w:r>
      <w:r>
        <w:rPr>
          <w:rStyle w:val="FootnoteAnchor"/>
          <w:rtl w:val="true"/>
        </w:rPr>
        <w:footnoteReference w:id="129"/>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pStyle w:val="Heading6"/>
        <w:numPr>
          <w:ilvl w:val="5"/>
          <w:numId w:val="1"/>
        </w:numPr>
        <w:rPr/>
      </w:pPr>
      <w:bookmarkStart w:id="106" w:name="__RefHeading___Toc734733_3244359995"/>
      <w:bookmarkStart w:id="107" w:name="_Toc41"/>
      <w:bookmarkEnd w:id="106"/>
      <w:r>
        <w:rPr>
          <w:rtl w:val="true"/>
        </w:rPr>
        <w:t>الجهة الثالثة</w:t>
      </w:r>
      <w:r>
        <w:rPr>
          <w:rtl w:val="true"/>
        </w:rPr>
        <w:t xml:space="preserve">: </w:t>
      </w:r>
      <w:r>
        <w:rPr>
          <w:rtl w:val="true"/>
        </w:rPr>
        <w:t>فی اشتمال الحدیث علی المجاز و عدمه</w:t>
      </w:r>
      <w:bookmarkEnd w:id="107"/>
    </w:p>
    <w:p>
      <w:pPr>
        <w:pStyle w:val="Heading6"/>
        <w:numPr>
          <w:ilvl w:val="5"/>
          <w:numId w:val="1"/>
        </w:numPr>
        <w:rPr/>
      </w:pPr>
      <w:bookmarkStart w:id="108" w:name="__RefHeading___Toc734735_3244359995"/>
      <w:bookmarkStart w:id="109" w:name="_Toc42"/>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اختلفوا فی أنّ الحدیث الشریف، یشتمل علی المجاز مطلقا، أو لا یشتمل مطلقا، أو یکون هناک مجاز فی الکلمة دون الإسناد،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علی المجازیّة فی أنّها من المجاز المرسل؛ و من المجاز حسب الاصطلاح المشهور، أم یکون من المجاز حسب الاصطلاح الأخیر من أنّه من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بحسب الادعاء، فهل مصحّح الادعاء هو المؤاخذة، أم مطلق الآثار، أو الأثر الجلیّ؛ أو الأثر الظاهر بحسب کلّ مورد؟</w:t>
      </w:r>
    </w:p>
    <w:p>
      <w:pPr>
        <w:pStyle w:val="BookText"/>
        <w:rPr/>
      </w:pPr>
      <w:r>
        <w:rPr>
          <w:rFonts w:ascii="IRNazanin" w:hAnsi="IRNazanin" w:eastAsia="IRNazanin"/>
          <w:color w:val="111111"/>
          <w:sz w:val="28"/>
          <w:sz w:val="28"/>
          <w:szCs w:val="28"/>
          <w:rtl w:val="true"/>
          <w:lang w:bidi="fa-IR"/>
        </w:rPr>
        <w:t>و فی خلال هذه المسألة تنحلّ المشکلة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المرفوع بحسب اللبّ هل هو العقاب، أم هو التکلیف و الفعلیّة المطلقة، أو الفعلیّة التقدیریّة، أم المرفوع هو الحکم الظاهریّ؛ و هو إیجاب التحفّظ فی مثل رفع السهو و النسیان و الخطأ، و الحرمة الظاهریّة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الواقعیّة فی الفقرات الثلاث المتوسّطة، و الثلاث الأخیرة مثل الاولیات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حدود البحث فی هذه الجهة، فالکلام یقع فی مقامین</w:t>
      </w:r>
      <w:r>
        <w:rPr>
          <w:rFonts w:eastAsia="IRNazanin" w:cs="IRNazanin"/>
          <w:color w:val="111111"/>
          <w:sz w:val="28"/>
          <w:szCs w:val="28"/>
          <w:rtl w:val="true"/>
          <w:lang w:bidi="fa-IR"/>
        </w:rPr>
        <w:t>:</w:t>
      </w:r>
      <w:bookmarkStart w:id="110" w:name="pg13173_324711"/>
    </w:p>
    <w:p>
      <w:pPr>
        <w:pStyle w:val="Heading6"/>
        <w:numPr>
          <w:ilvl w:val="5"/>
          <w:numId w:val="1"/>
        </w:numPr>
        <w:rPr/>
      </w:pPr>
      <w:bookmarkStart w:id="111" w:name="__RefHeading___Toc734737_3244359995"/>
      <w:bookmarkStart w:id="112" w:name="_Toc43"/>
      <w:bookmarkEnd w:id="110"/>
      <w:bookmarkEnd w:id="111"/>
      <w:r>
        <w:rPr>
          <w:rtl w:val="true"/>
        </w:rPr>
        <w:t>المقام الأوّل</w:t>
      </w:r>
      <w:r>
        <w:rPr>
          <w:rtl w:val="true"/>
        </w:rPr>
        <w:t xml:space="preserve">: </w:t>
      </w:r>
      <w:r>
        <w:rPr>
          <w:rtl w:val="true"/>
        </w:rPr>
        <w:t>فی أصل اشتماله علی المجاز</w:t>
      </w:r>
      <w:bookmarkEnd w:id="112"/>
    </w:p>
    <w:p>
      <w:pPr>
        <w:pStyle w:val="Heading6"/>
        <w:numPr>
          <w:ilvl w:val="5"/>
          <w:numId w:val="1"/>
        </w:numPr>
        <w:rPr/>
      </w:pPr>
      <w:bookmarkStart w:id="113" w:name="__RefHeading___Toc734739_3244359995"/>
      <w:bookmarkStart w:id="114" w:name="_Toc44"/>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یشتمل علی المجاز فی الکلمة، و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لأن یتعلّق بالموجود،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تدفع البلاء</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معناه المنع عن حدوثها، و إذا کانت ترفع البلاء فهی تزیل البلاء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للزوم النسخ إذا کان التکلیف موجودا، و لا یعقل بالنسبة إلی العقاب، فیکون دافعا بالقیاس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بالقیاس إلی سائر الفقرات، یکون مستعملا فیما هو الموضوع له؛ لأنّ جمیع العناوین المذکورة قابلة للتحقّق، و یتعلّق بها الرفع بعد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الوجود لا معنی له، بل الوجود الباقی فی الحقیقة فیوضات 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کلام لو کان له وجه، فهو فی الافق الأعلی، لا فی هذه الآفاق، حتّی الحکیم الفیلسوف الإلهیّ لا یقول إلّا بالاستدامة، و کون الحرکة سکونات متعاقبة، کلام باطل فی محلّه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 الحجر تکوینا صحیح و حقیقة؛ لإمکانه، و لذلک ورد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ارفعهما عن صدرها؛ فإنّهما و اللّه أبکیا ملائکة السماء</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لأنّ هناک یرفع واقعا، و أمّا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رفع واقعا؛ لأنّ جمیع العناوین موجودة فی الخارج، فتلزم المجازیّة فی الإسناد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المرفوع نفس الحکم</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إلی ما یرتفع حقیقة، فلا مجاز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أیضا من المجاز، و إلّا یلزم النسخ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الرفع فی صورة تمامیّة الاقتضاء من الحقیقة، و أنّه لولاه لکان المرفوع باقیا،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باق علی فعلیّته الواقعیّة حتّی فی صورة الجهل، و المقصود مرفوعیّة الأمر الآخر، فإنّه لا بأس به، و تحقیقه یأتی من ذی قبل إن شاء اللّه تعالی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و لو ناقشنا فیه حسب النظر الابتدائی، و الاستعمالات البدویّة؛ و الفهم المبتدأ، و ربّما ینتهی إلی أنّ الأمر کذلک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مستعملا فیما هو الموضوع له؛ لأنّ الموصول فیه أیضا هو الموضوع، سواء فیه الشبهة الحکمیّة و الموضوعیّة، کسائر الفقرات، فلا مجاز فی الکلمة؛ بناء علی ما عرفت منّا فی الجهة السابقة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لنفی المجاز فی الکلمة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الحکم موجودا إمّا واقعا؛ لانحفاظ الحکم الفعلیّ فی مرحلة الجهل </w:t>
      </w:r>
      <w:r>
        <w:rPr>
          <w:rStyle w:val="FootnoteAnchor"/>
          <w:rtl w:val="true"/>
        </w:rPr>
        <w:footnoteReference w:id="135"/>
      </w:r>
      <w:r>
        <w:rPr>
          <w:rFonts w:ascii="IRNazanin" w:hAnsi="IRNazanin" w:eastAsia="IRNazanin"/>
          <w:color w:val="111111"/>
          <w:sz w:val="28"/>
          <w:sz w:val="28"/>
          <w:szCs w:val="28"/>
          <w:rtl w:val="true"/>
          <w:lang w:bidi="fa-IR"/>
        </w:rPr>
        <w:t xml:space="preserve">، أو لأنّ عند تمامیّة الاقتضاء یصحّ الرفع حقیقة، کما فی کلام بعضهم، کالعلّامة الأراکیّ رحمه اللّه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کلا الوجهین نظرا، و لا سیّما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الالتزام به؛ ضرورة أنّ المسند إلیه فی مقام الإرادة الاستعمالیّة، هی العناوین غیر القابلة للرفع، سواء کان الحدیث إخبارا عن الأحکام الإنشائیّة، أو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تقریر العلّامة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الرفع التکوینیّ مجاز هنا، و هو غیر مقصود، و الرفع التشریعیّ حقیقة، و هو المقصود؛ ضرورة أنّ المنظور رفع موضوعیّة هذه العناوین التسعة عن الأحکام الإلهیّة، و معنی رفع الفعل و الشی‌ء تشریعا؛ هو رفع کونه مورد الاعتبار المولویّ فعلا أو ترکا، نظیر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فی السفر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فی غایة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ظاهر الکلام، مسند إلی الأشیاء التکوینیّة، و کون المرفوع موضوعیّتها یحتاج إلی العنایة،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الحجر عن سطح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معناه إلّا إزالته عنه، و هنا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الکلّیة، لیس الموضوع مندرجا تحت الحکم القانونیّ العامّ حتّی یخرج بالرفع، و قد عرفت أنّ المسند إلیه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 الأخیرة لم یکن الأمر کذلک، و توهّم أنّ الإخراج باعتبار دخول الکلّ فی الشرائع السابقة</w:t>
      </w:r>
      <w:r>
        <w:rPr>
          <w:rStyle w:val="FootnoteAnchor"/>
          <w:rtl w:val="true"/>
        </w:rPr>
        <w:footnoteReference w:id="138"/>
      </w:r>
      <w:r>
        <w:rPr>
          <w:rFonts w:ascii="IRNazanin" w:hAnsi="IRNazanin" w:eastAsia="IRNazanin"/>
          <w:color w:val="111111"/>
          <w:sz w:val="28"/>
          <w:sz w:val="28"/>
          <w:szCs w:val="28"/>
          <w:rtl w:val="true"/>
          <w:lang w:bidi="fa-IR"/>
        </w:rPr>
        <w:t>، فاسد؛ لأنّه یلزم اللغز فی الکلام، فإنّ المتکلّم یرید عدم حرمة هذه الامور فی هذه الشریعة، فأفاد ذلک بأنّه أخرج عن موضوع الحرمة الثانیة فی الشرائع القدیمة، فإنّه غیر جائز، و لا سیّما فی مثل کلامه صلّی اللّه علیه و آله و سلّم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تخیّل الحقیقة فی الإسناد</w:t>
      </w:r>
      <w:r>
        <w:rPr>
          <w:rStyle w:val="FootnoteAnchor"/>
          <w:rtl w:val="true"/>
        </w:rPr>
        <w:footnoteReference w:id="139"/>
      </w:r>
      <w:r>
        <w:rPr>
          <w:rFonts w:ascii="IRNazanin" w:hAnsi="IRNazanin" w:eastAsia="IRNazanin"/>
          <w:color w:val="111111"/>
          <w:sz w:val="28"/>
          <w:sz w:val="28"/>
          <w:szCs w:val="28"/>
          <w:rtl w:val="true"/>
          <w:lang w:bidi="fa-IR"/>
        </w:rPr>
        <w:t>من التخیّل البارد، بعد وجود المجاز؛</w:t>
      </w:r>
      <w:bookmarkStart w:id="115" w:name="pg13173_324714"/>
    </w:p>
    <w:p>
      <w:pPr>
        <w:pStyle w:val="BookText"/>
        <w:rPr/>
      </w:pPr>
      <w:bookmarkEnd w:id="115"/>
      <w:r>
        <w:rPr>
          <w:rFonts w:ascii="IRNazanin" w:hAnsi="IRNazanin" w:eastAsia="IRNazanin"/>
          <w:color w:val="111111"/>
          <w:sz w:val="28"/>
          <w:sz w:val="28"/>
          <w:szCs w:val="28"/>
          <w:rtl w:val="true"/>
          <w:lang w:bidi="fa-IR"/>
        </w:rPr>
        <w:t>و أنّه من شعب البلاغة و الفصاحة، و ما فی تقریرات العلّامة الکاظمیّ هنا</w:t>
      </w:r>
      <w:r>
        <w:rPr>
          <w:rStyle w:val="FootnoteAnchor"/>
          <w:rtl w:val="true"/>
        </w:rPr>
        <w:footnoteReference w:id="140"/>
      </w:r>
      <w:r>
        <w:rPr>
          <w:rFonts w:ascii="IRNazanin" w:hAnsi="IRNazanin" w:eastAsia="IRNazanin"/>
          <w:color w:val="111111"/>
          <w:sz w:val="28"/>
          <w:sz w:val="28"/>
          <w:szCs w:val="28"/>
          <w:rtl w:val="true"/>
          <w:lang w:bidi="fa-IR"/>
        </w:rPr>
        <w:t xml:space="preserve">، لا یخلو من تأسّفات عدیدة، قد تعرّض لها بعضهم </w:t>
      </w:r>
      <w:r>
        <w:rPr>
          <w:rStyle w:val="FootnoteAnchor"/>
          <w:rtl w:val="true"/>
        </w:rPr>
        <w:footnoteReference w:id="141"/>
      </w:r>
      <w:r>
        <w:rPr>
          <w:rFonts w:ascii="IRNazanin" w:hAnsi="IRNazanin" w:eastAsia="IRNazanin"/>
          <w:color w:val="111111"/>
          <w:sz w:val="28"/>
          <w:sz w:val="28"/>
          <w:szCs w:val="28"/>
          <w:rtl w:val="true"/>
          <w:lang w:bidi="fa-IR"/>
        </w:rPr>
        <w:t>، و لا حاجة إلی إطالة الکلام بنقدها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المسند إلیه؛ هو النسیان و الخطأ و السهو المصدریّ، و حملها علی المفعول یحتاج إلی المؤونة، و لیس النسیان أیضا مورد الحکم حتّی یخرج، إلّا بتخیّل کونه مورد الحکم الاحتیاطیّ بإیجاب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إیجاب التحفّظ و إیجاب الاحتیاط بمعناه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تنجّز الواقع فی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الحکم الذی یخرج عنه هذه الموارد، فلا یکفی و لو کان بلحاظ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الثلاث المشتملة علی الموصول، داخلة فی الحکم القانونیّ، و قد اخرجت عنه و عن موضوعیّة ذلک الحکم العامّ</w:t>
      </w:r>
      <w:r>
        <w:rPr>
          <w:rFonts w:eastAsia="IRNazanin" w:cs="IRNazanin"/>
          <w:color w:val="111111"/>
          <w:sz w:val="28"/>
          <w:szCs w:val="28"/>
          <w:rtl w:val="true"/>
          <w:lang w:bidi="fa-IR"/>
        </w:rPr>
        <w:t>.</w:t>
      </w:r>
    </w:p>
    <w:p>
      <w:pPr>
        <w:pStyle w:val="Heading6"/>
        <w:numPr>
          <w:ilvl w:val="5"/>
          <w:numId w:val="1"/>
        </w:numPr>
        <w:rPr/>
      </w:pPr>
      <w:bookmarkStart w:id="116" w:name="__RefHeading___Toc734741_3244359995"/>
      <w:bookmarkStart w:id="117" w:name="_Toc45"/>
      <w:bookmarkEnd w:id="116"/>
      <w:r>
        <w:rPr>
          <w:rtl w:val="true"/>
        </w:rPr>
        <w:t>ذنابة</w:t>
      </w:r>
      <w:r>
        <w:rPr>
          <w:rtl w:val="true"/>
        </w:rPr>
        <w:t xml:space="preserve">: </w:t>
      </w:r>
      <w:r>
        <w:rPr>
          <w:rtl w:val="true"/>
        </w:rPr>
        <w:t>فی أنّ جعل الحکم علی الطبیعة لا ینافی المجاز فی الإسناد</w:t>
      </w:r>
      <w:bookmarkEnd w:id="117"/>
    </w:p>
    <w:p>
      <w:pPr>
        <w:pStyle w:val="BookText"/>
        <w:rPr/>
      </w:pPr>
      <w:r>
        <w:rPr>
          <w:rFonts w:ascii="IRNazanin" w:hAnsi="IRNazanin" w:eastAsia="IRNazanin"/>
          <w:color w:val="111111"/>
          <w:sz w:val="28"/>
          <w:sz w:val="28"/>
          <w:szCs w:val="28"/>
          <w:rtl w:val="true"/>
          <w:lang w:bidi="fa-IR"/>
        </w:rPr>
        <w:t>فی موارد جعل الحکم علی الطبیعة، لا تعتبر المصادیق موضوعا له حتّی یخرج موارد حدیث الرفع عن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الاضطرار مثلا و الاستکراه، یتعلّقان بالموضوعات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جعل الحکم علی الأفراد فی العمومات، لیس مشتملا علی اعتبار المصادیق موضوعا،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یوجب الإخراج عن الموضوعیّة، أو یکون إخبارا عن عدم جعله موردا للاعتبار المولویّ، فالضرورة قاضیة بأنّ هناک مجازا فی الإسناد قطعا</w:t>
      </w:r>
      <w:r>
        <w:rPr>
          <w:rFonts w:eastAsia="IRNazanin" w:cs="IRNazanin"/>
          <w:color w:val="111111"/>
          <w:sz w:val="28"/>
          <w:szCs w:val="28"/>
          <w:rtl w:val="true"/>
          <w:lang w:bidi="fa-IR"/>
        </w:rPr>
        <w:t>.</w:t>
      </w:r>
      <w:bookmarkStart w:id="118" w:name="pg13173_324715"/>
    </w:p>
    <w:p>
      <w:pPr>
        <w:pStyle w:val="Heading6"/>
        <w:numPr>
          <w:ilvl w:val="5"/>
          <w:numId w:val="1"/>
        </w:numPr>
        <w:rPr/>
      </w:pPr>
      <w:bookmarkStart w:id="119" w:name="__RefHeading___Toc734743_3244359995"/>
      <w:bookmarkStart w:id="120" w:name="_Toc46"/>
      <w:bookmarkEnd w:id="118"/>
      <w:bookmarkEnd w:id="119"/>
      <w:r>
        <w:rPr>
          <w:rtl w:val="true"/>
        </w:rPr>
        <w:t>بقی شی‌ء</w:t>
      </w:r>
      <w:r>
        <w:rPr>
          <w:rtl w:val="true"/>
        </w:rPr>
        <w:t xml:space="preserve">: </w:t>
      </w:r>
      <w:r>
        <w:rPr>
          <w:rtl w:val="true"/>
        </w:rPr>
        <w:t>فی انحصار المجاز بالفقرة الاولی</w:t>
      </w:r>
      <w:bookmarkEnd w:id="120"/>
    </w:p>
    <w:p>
      <w:pPr>
        <w:pStyle w:val="BookText"/>
        <w:rPr/>
      </w:pPr>
      <w:r>
        <w:rPr>
          <w:rFonts w:ascii="IRNazanin" w:hAnsi="IRNazanin" w:eastAsia="IRNazanin"/>
          <w:color w:val="111111"/>
          <w:sz w:val="28"/>
          <w:sz w:val="28"/>
          <w:szCs w:val="28"/>
          <w:rtl w:val="true"/>
          <w:lang w:bidi="fa-IR"/>
        </w:rPr>
        <w:t>البحث عن أنّ إسناد الرفع إلی التسع حقیقیّ أو مجازیّ صحیح، و أمّا إلی سائر الجمل فلا إسناد فی الحقیقة، و إنّ الحروف العاطفة لا توجب الإسناد الإنشائیّ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المعطوف فی حکم المعطوف علیه، لا یقتضی کون الرفع منتسبا إلی المعطوف فی الحقیقة، بل هو أمر بنائیّ و فی حکم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مجاز إلّا فی الفقرة الاولی، و تکون هی شاهدة علی ما هو المراد فی اللبّ و الواقع فی سائر الفقرات، فأصل الإسناد إلیها ممنوع حتّی یقع البحث فی أنّه مجاز، أو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بحسب الاستعمال احتیاج إلی المبرّر و المصحّح فی إسناد الرفع إلی النسیان، فهو متّحد المآل فی سائر الفقرات؛ لأنّه قرینة علی ما هو المرام فیها، و لا بدّ حینئذ من اتباع تلک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فلا یهمّنا، إلّا أنّه ممّا لا ینبغی الغفلة عنه؛ لإمکان اختلاف الأثر، مثلا علی الاحتمال المذکور ربّما یقوی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المبرّر رفع العقاب و انتفاء العذاب؛ لأنّ النسیان و الخطأ مورد السؤال فی الکتاب عن عدم العقاب و المؤاخذة علیهما،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الفهم المشهور یکون للتفصیل وجه؛ لأنّ فی موردهما یؤیّد الکتاب أنّ الرفع باعتبار العقاب، و فی مورد الاضطرار و الاستکراه و اللاطاقة، یناسب الکتاب رفع الحکم،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 کَما حَمَلْتَهُ عَلَی الَّذِینَ مِنْ قَبْلِنا رَبَّنا وَ لا تُحَمِّلْنا ما لا طاقَةَ لَنا بِهِ وَ اعْفُ عَنَّا وَ اغْفِرْ لَنا</w:t>
      </w:r>
      <w:r>
        <w:rPr>
          <w:rStyle w:val="FootnoteAnchor"/>
          <w:rtl w:val="true"/>
        </w:rPr>
        <w:footnoteReference w:id="143"/>
      </w:r>
      <w:bookmarkStart w:id="121" w:name="pg13173_324716"/>
    </w:p>
    <w:p>
      <w:pPr>
        <w:pStyle w:val="BookText"/>
        <w:rPr/>
      </w:pPr>
      <w:bookmarkEnd w:id="121"/>
      <w:r>
        <w:rPr>
          <w:rFonts w:ascii="Amiri" w:hAnsi="Amiri" w:eastAsia="Amiri" w:cs="Amiri"/>
          <w:color w:val="111111"/>
          <w:sz w:val="28"/>
          <w:sz w:val="28"/>
          <w:szCs w:val="28"/>
          <w:rtl w:val="true"/>
          <w:lang w:bidi="ar-SA"/>
        </w:rPr>
        <w:t>فلاحظ و تدبّر جیّدا</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34745_3244359995"/>
      <w:bookmarkStart w:id="123" w:name="_Toc47"/>
      <w:bookmarkEnd w:id="122"/>
      <w:r>
        <w:rPr>
          <w:rtl w:val="true"/>
        </w:rPr>
        <w:t>المقام الثانی</w:t>
      </w:r>
      <w:r>
        <w:rPr>
          <w:rtl w:val="true"/>
        </w:rPr>
        <w:t xml:space="preserve">: </w:t>
      </w:r>
      <w:r>
        <w:rPr>
          <w:rtl w:val="true"/>
        </w:rPr>
        <w:t>فی بیان المصحّح لإسناد الرفع</w:t>
      </w:r>
      <w:bookmarkEnd w:id="123"/>
    </w:p>
    <w:p>
      <w:pPr>
        <w:pStyle w:val="Heading6"/>
        <w:numPr>
          <w:ilvl w:val="5"/>
          <w:numId w:val="1"/>
        </w:numPr>
        <w:rPr/>
      </w:pPr>
      <w:bookmarkStart w:id="124" w:name="__RefHeading___Toc734747_3244359995"/>
      <w:bookmarkStart w:id="125" w:name="_Toc48"/>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بعد الفراغ من المجازیّة فی الإسناد، و بعد الفراغ من بطلان المجازیّة العوامّیة السوقیّة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حذف المضاف فی مثل المقام، و إن کان هو واقعا فی کلام العرف الساذج و العوامّ البسطاء، و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حذف المضاف غیر صحیح علی إطلاقه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أیضا من الأغلاط و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هناک کما اشیر إلیه من الجهة المبرّرة؛ و الغرض المصحّح للإسناد المذکور، و الادعاء المزبور، و هو بحسب الاحتمال کثیر</w:t>
      </w:r>
      <w:r>
        <w:rPr>
          <w:rFonts w:eastAsia="IRNazanin" w:cs="IRNazanin"/>
          <w:color w:val="111111"/>
          <w:sz w:val="28"/>
          <w:szCs w:val="28"/>
          <w:rtl w:val="true"/>
          <w:lang w:bidi="fa-IR"/>
        </w:rPr>
        <w:t>:</w:t>
      </w:r>
    </w:p>
    <w:p>
      <w:pPr>
        <w:pStyle w:val="Heading6"/>
        <w:numPr>
          <w:ilvl w:val="5"/>
          <w:numId w:val="1"/>
        </w:numPr>
        <w:rPr/>
      </w:pPr>
      <w:bookmarkStart w:id="126" w:name="__RefHeading___Toc734749_3244359995"/>
      <w:bookmarkStart w:id="127" w:name="_Toc49"/>
      <w:bookmarkEnd w:id="126"/>
      <w:r>
        <w:rPr>
          <w:rtl w:val="true"/>
        </w:rPr>
        <w:t>المسلک الأوّل</w:t>
      </w:r>
      <w:r>
        <w:rPr>
          <w:rtl w:val="true"/>
        </w:rPr>
        <w:t>:</w:t>
      </w:r>
      <w:bookmarkEnd w:id="127"/>
    </w:p>
    <w:p>
      <w:pPr>
        <w:pStyle w:val="BookText"/>
        <w:rPr/>
      </w:pPr>
      <w:r>
        <w:rPr>
          <w:rFonts w:ascii="IRNazanin" w:hAnsi="IRNazanin" w:eastAsia="IRNazanin"/>
          <w:color w:val="111111"/>
          <w:sz w:val="28"/>
          <w:sz w:val="28"/>
          <w:szCs w:val="28"/>
          <w:rtl w:val="true"/>
          <w:lang w:bidi="fa-IR"/>
        </w:rPr>
        <w:t xml:space="preserve">ما ذهب إلیه جمع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طلیعتهم الشیخ الأنصاریّ قدّس سرّه </w:t>
      </w:r>
      <w:r>
        <w:rPr>
          <w:rStyle w:val="FootnoteAnchor"/>
          <w:rtl w:val="true"/>
        </w:rPr>
        <w:footnoteReference w:id="146"/>
      </w:r>
      <w:r>
        <w:rPr>
          <w:rFonts w:ascii="Amiri" w:hAnsi="Amiri" w:eastAsia="Amiri" w:cs="Amiri"/>
          <w:color w:val="111111"/>
          <w:sz w:val="28"/>
          <w:sz w:val="28"/>
          <w:szCs w:val="28"/>
          <w:rtl w:val="true"/>
          <w:lang w:bidi="ar-SA"/>
        </w:rPr>
        <w:t>و قد أیّده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وجیزته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ذلک هو العقاب و المؤاخذة؛ و ذلک نظرا إلی الآیات السابقة، غفلة عن الآیات اللاحقة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یؤیّد هذه المقالة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عَلَیْکُمْ جُناحٌ فِیما أَخْطَأْتُمْ بِهِ وَ لکِنْ ما تَعَمَّدَتْ قُلُوبُکُمْ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النسیان، یستلزم رفع الأحکام الثانویّة للنسیان و الخطأ، مع أنّ الضرورة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نسبة الرفع، لا تتمّ إلّا فی مورد توهّم الحکم لو لا الرفع، کما فی الفقرات المشتملة علی الموصول، و أمّا فی الأخیرات فلا توهّم؛ لعدم جعل فعلیّ، و لا إنشائیّ، فکلّ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فهم العرف، و انس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ما سلکوه، و هو مختار شیخ مشایخنا جدّ أولادی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الحلف علی الطلاق استکراها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بحدیث رفع الاستکراه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شی‌ء ممّا زعموه </w:t>
      </w:r>
      <w:r>
        <w:rPr>
          <w:rStyle w:val="FootnoteAnchor"/>
          <w:rtl w:val="true"/>
        </w:rPr>
        <w:footnoteReference w:id="151"/>
      </w:r>
      <w:r>
        <w:rPr>
          <w:rFonts w:ascii="IRNazanin" w:hAnsi="IRNazanin" w:eastAsia="IRNazanin"/>
          <w:color w:val="111111"/>
          <w:sz w:val="28"/>
          <w:sz w:val="28"/>
          <w:szCs w:val="28"/>
          <w:rtl w:val="true"/>
          <w:lang w:bidi="fa-IR"/>
        </w:rPr>
        <w:t>ضرورة أنّ أمثال هذه الاستدلالات بالنبویّات و الآیات، رغم لأنف العامّة کثیر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صورة إمکان رفع العقاب؛ ضرورة أنّ العقاب إن کان علی ما یظهر من آیات من الکتاب، و براهین محرّرة فی محلّها</w:t>
      </w:r>
      <w:r>
        <w:rPr>
          <w:rStyle w:val="FootnoteAnchor"/>
          <w:rtl w:val="true"/>
        </w:rPr>
        <w:footnoteReference w:id="152"/>
      </w:r>
      <w:r>
        <w:rPr>
          <w:rFonts w:ascii="IRNazanin" w:hAnsi="IRNazanin" w:eastAsia="IRNazanin"/>
          <w:color w:val="111111"/>
          <w:sz w:val="28"/>
          <w:sz w:val="28"/>
          <w:szCs w:val="28"/>
          <w:rtl w:val="true"/>
          <w:lang w:bidi="fa-IR"/>
        </w:rPr>
        <w:t>، فهو غیر قابل للرفع مستقلّا؛ للزوم التفکیک بین الملزوم و اللازم التکوینیّین، و هکذا رفع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رفعه لا یتصوّر مطلقا و إن کان من قبیل الجعل، کما فی المؤاخذات العرفیّة، و الجزائیّات العقلائیّة، و الإسلامیّة فی هذه النشأة، فلا یعقل رفعها مع التزام المولی بالتکلیف و بقاء الإرادة الإلزامیّة؛ لأنّه لا معنی معقول لأن یکون فی مورد الاضطرار، إرادة فعلیّة و رفع للعقاب، لأنّ تلک الإرادة لا تفید شیئا، و لا یمکن رادعیّتها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العقاب و لو کان فی بدو الأمر منصرفة إلیه الأذهان، إلّا أنّه یکشف عن</w:t>
      </w:r>
    </w:p>
    <w:p>
      <w:pPr>
        <w:pStyle w:val="BookText"/>
        <w:rPr/>
      </w:pPr>
      <w:r>
        <w:rPr>
          <w:rFonts w:ascii="IRNazanin" w:hAnsi="IRNazanin" w:eastAsia="IRNazanin"/>
          <w:color w:val="111111"/>
          <w:sz w:val="28"/>
          <w:sz w:val="28"/>
          <w:szCs w:val="28"/>
          <w:rtl w:val="true"/>
          <w:lang w:bidi="fa-IR"/>
        </w:rPr>
        <w:t>عدم وجود الإرادة و التحریم بالقیاس إلی موارد الاستکراه، و الاضطرار، و ما لا یطیقون، فإذا کانت الإرادة منتفیة فی هذه المواقع، فلا منّة فی رفع العقاب بعد ذلک، و لا مبرّریة فیه للإسناد، و هکذا فی موارد نسیان التکالیف، کحرمة الخمر، أو خمریّة شی‌ء، و فی موارد الثلاث الأخیرة،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المبرّر و المصحّح هی المؤاخذة المرفوعة فی الحدیث، غیر جیّد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حدیث العقاب و الثواب، فاستظهار رفع المؤاخذة أیضا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التأییدات فهی غیر نافعة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و الحدیث الجائی لسیاسة الامّة و الملک علی هذا النطاق العریض، لا یقاس بالأدعیة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إلیه برفع العقاب عنه مع کونه مورد الإرادة التحریمیّة، غیر معقول و مع انتفائها غیر صحیح؛ لعدم مبرّریته و مصحّحیته له، 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القوانین الأوّلیة و حدیث الرفع، عموم من وجه، فعلی مسلک الخطابات القانونیّة</w:t>
      </w:r>
      <w:r>
        <w:rPr>
          <w:rStyle w:val="FootnoteAnchor"/>
          <w:rtl w:val="true"/>
        </w:rPr>
        <w:footnoteReference w:id="153"/>
      </w:r>
      <w:r>
        <w:rPr>
          <w:rFonts w:ascii="IRNazanin" w:hAnsi="IRNazanin" w:eastAsia="IRNazanin"/>
          <w:color w:val="111111"/>
          <w:sz w:val="28"/>
          <w:sz w:val="28"/>
          <w:szCs w:val="28"/>
          <w:rtl w:val="true"/>
          <w:lang w:bidi="fa-IR"/>
        </w:rPr>
        <w:t>، یصحّ الالتزام بفعلیّة التکالیف الأوّلیة فی موارد الحدیث، فیکون المرفوع العقاب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النسبة بین رفع النسیان أو الاضطرار، و بین واحد من الخطابات الأوّلیة، عموم من وجه، إلّا انّ اللازم ملاحظة نسبة الحدیث مع جمیع الخطابات و التکالیف الأوّلیة عرضا؛ لأنّه ناظر إلیها بنظر واحد، و علیه تکون النسبة عموما مطلقا، و قد تحرّر عدم إمکان الفعلیّة فی هذه الصورة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128" w:name="pg13173_324719"/>
    </w:p>
    <w:p>
      <w:pPr>
        <w:pStyle w:val="BookText"/>
        <w:rPr/>
      </w:pPr>
      <w:bookmarkEnd w:id="128"/>
      <w:r>
        <w:rPr>
          <w:rFonts w:ascii="IRNazanin" w:hAnsi="IRNazanin" w:eastAsia="IRNazanin"/>
          <w:color w:val="111111"/>
          <w:sz w:val="28"/>
          <w:sz w:val="28"/>
          <w:szCs w:val="28"/>
          <w:rtl w:val="true"/>
          <w:lang w:bidi="fa-IR"/>
        </w:rPr>
        <w:t>هذا مع أنّ فی الثلاثة الأخیرة، یستند رفع العقاب إلی عدم الجعل، دون الرفع، فتأمّل</w:t>
      </w:r>
      <w:r>
        <w:rPr>
          <w:rFonts w:eastAsia="IRNazanin" w:cs="IRNazanin"/>
          <w:color w:val="111111"/>
          <w:sz w:val="28"/>
          <w:szCs w:val="28"/>
          <w:rtl w:val="true"/>
          <w:lang w:bidi="fa-IR"/>
        </w:rPr>
        <w:t>.</w:t>
      </w:r>
    </w:p>
    <w:p>
      <w:pPr>
        <w:pStyle w:val="Heading6"/>
        <w:numPr>
          <w:ilvl w:val="5"/>
          <w:numId w:val="1"/>
        </w:numPr>
        <w:rPr/>
      </w:pPr>
      <w:bookmarkStart w:id="129" w:name="__RefHeading___Toc734751_3244359995"/>
      <w:bookmarkStart w:id="130" w:name="_Toc50"/>
      <w:bookmarkEnd w:id="129"/>
      <w:r>
        <w:rPr>
          <w:rtl w:val="true"/>
        </w:rPr>
        <w:t>المسلک الثانی</w:t>
      </w:r>
      <w:r>
        <w:rPr>
          <w:rtl w:val="true"/>
        </w:rPr>
        <w:t>:</w:t>
      </w:r>
      <w:bookmarkEnd w:id="130"/>
    </w:p>
    <w:p>
      <w:pPr>
        <w:pStyle w:val="Heading6"/>
        <w:numPr>
          <w:ilvl w:val="5"/>
          <w:numId w:val="1"/>
        </w:numPr>
        <w:rPr/>
      </w:pPr>
      <w:bookmarkStart w:id="131" w:name="__RefHeading___Toc734753_3244359995"/>
      <w:bookmarkStart w:id="132" w:name="_Toc51"/>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و هو أنّ الرفع مختلف باعتبار الفقرات، فإذا قیس إلی السهو و النسیان و الخطأ فهو باعتبار إیجاب التحفّظ فی تلک الموارد، و یعلم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الامم السالفة کان فی مواردها إیجاب التحفّظ، فالثقل الذی نحتاج إلیه فی الرفع، یکون بالنسبة إلی هذا الإیجاب و المنّة التی باعتبارها اضیف الرفع إلی الامّة، تکون باعتبار إیجاب التحفّظ فی هذه الموارد؛ و أنّ النسیان لیس عذرا، و إلیه اشیر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تؤاخذ إن نسینا شد گواه‌که بود نسیان بوجهی هم گناه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ضرورة أنّ النسیان و إخواته الناشئة عن عدم الاهتمام بأمر المولی، لا تعدّ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الرفع لأجل ذلک، و یکون المرفوع ذات النسیان و عنوانه ادعاء بلحاظ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قیس إلی الثلاث الاخر المشتملة علی الموصول، فالرفع باعتبار ثقل التکلیف فی هذه الموارد، مع قطع النظر عنه، و المرفوع هو الموضوع باعتبار الآثار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قیس إلی السابقة،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کذلک، و لا سیّما فی الشبهة الحکمیّة؛ فإنّ نفی التکلیف لا یحتاج إلی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الشبهات الموضوعیّة، فالمرفوع أیضا نفس الموضوع؛ بلحاظ الأثر أو حکمها، فلا یحتاج إلی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الرفع، فبلحاظ ثقل إیجاب الاحتیاط فی الامم السابقة؛ ضرورة أنّه مع إیجاب الاحتیاط، لا یعدّ الجهل عذرا، و یکون الحکم الواقعیّ منجّزا، بخلاف الأمر فی هذه الامّة، فإذا لم یکن إیجاب الاحتیاط فی هذه الامّة، یکون المرفوع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بالقیاس إلی الثلاث الأخیرة، فالمرفوع هی العناوین باعتبار عدم تعلّق التکلیف الإلزامیّ بها، و الرفع باعتبار ثقل هذه التکالیف التی کانت مثلا فی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الرفع عن الامّة، هو وجود الکلفة و الثقل مع قطع النظر عن الرفع بینهم؛ إمّا لأجل درک العقل، أو لأجل وجود حکم الشرع، أو لأجل إمکان إیجاد الشرع حکما فی تلک الموارد، و هذا المقدار یکفی لجواز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استعماله، فلا تخلط</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افید هو الظاهر، و أمّا کون المرفوع إیجاب التحفّظ؛ و إیجاب الاحتیاط، أو کون المرفوع الحرمة الظاهریّة فی موارد الجهالة، کما ذهب إلیه کثیر من الأعلام حسب اختلاف الأفهام </w:t>
      </w:r>
      <w:r>
        <w:rPr>
          <w:rStyle w:val="FootnoteAnchor"/>
          <w:rtl w:val="true"/>
        </w:rPr>
        <w:footnoteReference w:id="156"/>
      </w:r>
      <w:r>
        <w:rPr>
          <w:rFonts w:ascii="IRNazanin" w:hAnsi="IRNazanin" w:eastAsia="IRNazanin"/>
          <w:color w:val="111111"/>
          <w:sz w:val="28"/>
          <w:sz w:val="28"/>
          <w:szCs w:val="28"/>
          <w:rtl w:val="true"/>
          <w:lang w:bidi="fa-IR"/>
        </w:rPr>
        <w:t xml:space="preserve">، فهو غیر جائز تخیّله، فکما أنّ فی الثلاث الثوانی یکون الموصول مرفوعا بلحاظ الحکم مع قطع النظر عن الرفع، و إذا نسب إلیه الرفع یتبیّن أنّ الحرمة لیست ثابتة فی مورد الاضطرار و الاستکراه؛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اضطرّ إلیه ابن آدم فقد أحلّه اللّه تعالی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کذلک الأمر فی غیرها، فشرب التتن مجهول، و هو ممّا لا تعلمه الامّة، فهو مرفوع لجهة جهله، کما أنّ تلک الثلاث مرفوع فیها الحکم بحسب اللبّ؛ للجهة المذکورة فی الحدیث، فالعدول عمّا افید عدول عن ظاهر الحدیث</w:t>
      </w:r>
      <w:r>
        <w:rPr>
          <w:rFonts w:eastAsia="IRNazanin" w:cs="IRNazanin"/>
          <w:color w:val="111111"/>
          <w:sz w:val="28"/>
          <w:szCs w:val="28"/>
          <w:rtl w:val="true"/>
          <w:lang w:bidi="fa-IR"/>
        </w:rPr>
        <w:t>.</w:t>
      </w:r>
      <w:bookmarkStart w:id="133" w:name="pg13173_324721"/>
    </w:p>
    <w:p>
      <w:pPr>
        <w:pStyle w:val="Heading6"/>
        <w:numPr>
          <w:ilvl w:val="5"/>
          <w:numId w:val="1"/>
        </w:numPr>
        <w:rPr/>
      </w:pPr>
      <w:bookmarkStart w:id="134" w:name="__RefHeading___Toc734755_3244359995"/>
      <w:bookmarkStart w:id="135" w:name="_Toc52"/>
      <w:bookmarkEnd w:id="133"/>
      <w:bookmarkEnd w:id="134"/>
      <w:r>
        <w:rPr>
          <w:rtl w:val="true"/>
        </w:rPr>
        <w:t>و هنا عویصات</w:t>
      </w:r>
      <w:r>
        <w:rPr>
          <w:rtl w:val="true"/>
        </w:rPr>
        <w:t>:</w:t>
      </w:r>
      <w:bookmarkEnd w:id="13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 رفع النسیان للشبهات الحکمیّة، یلزم عدم التکلیف فی مورد النسیان؛ و انتفاء الحکم الواقعیّ بالقیاس إلیه، فیلزم الدور؛ للزوم کون التکلیف الواقعیّ منوطا بذکره، مع أنّه بدون الذکر لا یکون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إیجاب التحفّظ بالنسبة إلی الناسی، حتّی یکون الرفع بلحاظه؛ و أنّ ثقله موجب لرفع النسیان بلحاظ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خطاب الناسی مستحیل، فإذا کان إیجابه مستحیلا فالرفع لا معنی له؛ لما لا یمکن توجیه التکلیف و الإیجاب الطریقیّ بالقیاس إلیه، کما هو مسلک الشیخ </w:t>
      </w:r>
      <w:r>
        <w:rPr>
          <w:rStyle w:val="FootnoteAnchor"/>
          <w:rtl w:val="true"/>
        </w:rPr>
        <w:footnoteReference w:id="158"/>
      </w:r>
      <w:r>
        <w:rPr>
          <w:rFonts w:ascii="IRNazanin" w:hAnsi="IRNazanin" w:eastAsia="IRNazanin"/>
          <w:color w:val="111111"/>
          <w:sz w:val="28"/>
          <w:sz w:val="28"/>
          <w:szCs w:val="28"/>
          <w:rtl w:val="true"/>
          <w:lang w:bidi="fa-IR"/>
        </w:rPr>
        <w:t>و جمع آخر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یمکن إیجاب الاحتیاط بالنسبة إلی الجاهل بنفس هذا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الرفع بلحاظ الآثار، فیلزم رفع آثار النسیان بعنوانه الأوّلی، بل هو أولی بذلک من رفع المعنی بلحاظ النسیان، کما لا یخفی، و لذلک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لمن أقرّ علی نفسه بسهو</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ترتفع أحکام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یلزم اختصاص التکلیف و الأحکام بالعالمین، و هو مضافا إلی امتناعه، مجمع علی بطلانه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امتنان فی رفع التکلیف الواقعیّ غیر الواصل؛ فإنّ الضرورة قاضیة بعدم جواز العقاب علیه عند الأخباریّ و الاصولیّ، فرفعه فی مورد نسیان</w:t>
      </w:r>
    </w:p>
    <w:p>
      <w:pPr>
        <w:pStyle w:val="BookText"/>
        <w:rPr/>
      </w:pPr>
      <w:r>
        <w:rPr>
          <w:rFonts w:ascii="IRNazanin" w:hAnsi="IRNazanin" w:eastAsia="IRNazanin"/>
          <w:color w:val="111111"/>
          <w:sz w:val="28"/>
          <w:sz w:val="28"/>
          <w:szCs w:val="28"/>
          <w:rtl w:val="true"/>
          <w:lang w:bidi="fa-IR"/>
        </w:rPr>
        <w:t>التکلیف و جهله غیر ذی منّة؛ لأنّ النسیان أیضا فی حدّ الجهالة فی کونه عذرا عقلیّا فی الجملة، کما أنّ الجهل أیضا عذر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کما تحرّر، یلزم جواز التمسّک بالبراءة فی موارد الشکّ فی الطاقة و القدرة، و هم غیر ملتزمین به </w:t>
      </w:r>
      <w:r>
        <w:rPr>
          <w:rStyle w:val="FootnoteAnchor"/>
          <w:rtl w:val="true"/>
        </w:rPr>
        <w:footnoteReference w:id="162"/>
      </w:r>
      <w:r>
        <w:rPr>
          <w:rFonts w:ascii="IRNazanin" w:hAnsi="IRNazanin" w:eastAsia="IRNazanin"/>
          <w:color w:val="111111"/>
          <w:sz w:val="28"/>
          <w:sz w:val="28"/>
          <w:szCs w:val="28"/>
          <w:rtl w:val="true"/>
          <w:lang w:bidi="fa-IR"/>
        </w:rPr>
        <w:t>ضرورة أنّ منشأ الاحتیاط فیها هو أنّ المخصّص و المقیّد لبّی، فإذا کان لفظیّا فلازمه البراءة، کما فی غیر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لتوهّم اختصاص الرفع بموارد لا تتحمّل عادة</w:t>
      </w:r>
      <w:r>
        <w:rPr>
          <w:rStyle w:val="FootnoteAnchor"/>
          <w:rtl w:val="true"/>
        </w:rPr>
        <w:footnoteReference w:id="163"/>
      </w:r>
      <w:r>
        <w:rPr>
          <w:rFonts w:ascii="IRNazanin" w:hAnsi="IRNazanin" w:eastAsia="IRNazanin"/>
          <w:color w:val="111111"/>
          <w:sz w:val="28"/>
          <w:sz w:val="28"/>
          <w:szCs w:val="28"/>
          <w:rtl w:val="true"/>
          <w:lang w:bidi="fa-IR"/>
        </w:rPr>
        <w:t>، بل هو مطلق، و إن کان إطلاق الرفع لأجل رفع التکلیف بالقیاس إلی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هذا المسلک، هو تقیید الأدلّة الأوّلیة بالنسبة إلی موارد الخطأ و النسیان و سائر الفقرات، إلّا تلک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بنحو الحکومة فنتیجة الحکومة هی التقیید اللبّی؛ و کشف الاختصاص ثبوتا بغیر تلک الموارد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العویصات المشار إلیها و إن کانت قابلة للدفع، کما تحرّر فی محلّه </w:t>
      </w:r>
      <w:r>
        <w:rPr>
          <w:rStyle w:val="FootnoteAnchor"/>
          <w:rtl w:val="true"/>
        </w:rPr>
        <w:footnoteReference w:id="164"/>
      </w:r>
      <w:r>
        <w:rPr>
          <w:rFonts w:ascii="IRNazanin" w:hAnsi="IRNazanin" w:eastAsia="IRNazanin"/>
          <w:color w:val="111111"/>
          <w:sz w:val="28"/>
          <w:sz w:val="28"/>
          <w:szCs w:val="28"/>
          <w:rtl w:val="true"/>
          <w:lang w:bidi="fa-IR"/>
        </w:rPr>
        <w:t xml:space="preserve">، و تبیّن إمکان شمول الخطابات للناسی، و الغافل، و الساهی، و الجاهل، و العاجز، و أنّ الدور فی الموردین منتف؛ لأنّ شرط فعلیّة التکلیف هو العلم بالخطاب الإنشائیّ، و أنّ المنصرف من رفع النسیان؛ هو أنّه فی موارد العذر العقلیّ مرفوع؛ لفهم العرف من ذلک، مع أنّه یستلزم لغویّة جعل الأحکام الخاصّة علی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ممکن، أو إجمال الحدیث، و هو مرفوع بمقایسة سائر الفقرات، و أنّ رفع التکلیف الواقعیّ فیه المنّة؛ لأنّه بدونه لا یمکن أن یکون إیجاب الاحتیاط، منتهیا إلی تنجیزه و لو لم یکن فیه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بقاء فعلیّته النفس الأمریّة لا أثر له؛ لأنّه إذا لم یصحّ العقاب علی المخالفة، فلا معنی للتحریم و الإیجاب، و لا یکون إلّا لغوا فی مثل حرمة شرب التتن و الخمر المشتبه، و أمّا فی مثل الامور التی لها الأثر کالقضاء و الإعادة، فهو و إن کان غیر لغو، إلّا أنّه لا یمکن إثبات القضاء و الإعادة بالإطلاقات؛ لاحتمال انتفاء التکلیف الواقعیّ فی مورد الجهل مثلا، لعدم القضاء له، فیشبه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لا یرفع بحسب الدلالة الحکم الواقعیّ؛ لما لامنّة فی رفعه، و إذا کان مقتضی الإطلاق الإعادة و القضاء، فلا لغویّة حتّی یعلم انتفاؤه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القضاء و الإعادة، من المنن علی الجاهل، أو إنّ انتفاء العقوبة علی ترک الإعادة و القضاء، لازم ترک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الاستحقاق علی ترک القضاء و الإعادة، عین الاستحقاق علی ترک المجهول؛ لأنّ الأمر بالإعادة و القضاء، لیس تأسیسا جدیدا، بل کاشف عن بقاء الأمر الأوّل، و قد انتفی الأمر الأوّل للجهالة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الأساس و عرقه، فلا فوت حتّی یستتبع القضاء، و لا جزئیّة مثلا حتّی تقتضی الإعادة، أو انتفت العقوبة علی ترکه، الملازم لانتفاء العقوبة علی ترک قضائه و إعادته،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ما أفاده العلّامة الخراسانیّ فی الحاشیة من الأعمیّة</w:t>
      </w:r>
      <w:r>
        <w:rPr>
          <w:rStyle w:val="FootnoteAnchor"/>
          <w:rtl w:val="true"/>
        </w:rPr>
        <w:footnoteReference w:id="165"/>
      </w:r>
      <w:r>
        <w:rPr>
          <w:rFonts w:ascii="IRNazanin" w:hAnsi="IRNazanin" w:eastAsia="IRNazanin"/>
          <w:color w:val="111111"/>
          <w:sz w:val="28"/>
          <w:sz w:val="28"/>
          <w:szCs w:val="28"/>
          <w:rtl w:val="true"/>
          <w:lang w:bidi="fa-IR"/>
        </w:rPr>
        <w:t>،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عدم رفع المؤاخذة إلّا بلا واسطة،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حاشیة العلّامة الأصفهانیّ قدّس سرّهما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البراءة فی الشکّ فی القدرة، فممّا لا بأس بالالتزام به، لأنّ استصحاب عدم الطاقة وارد علی الاحتیاط، و استصحاب الطاقة منقّح الموضوع، و قلّما یتّفق أن لا تعلم الحالة السابقة</w:t>
      </w:r>
      <w:r>
        <w:rPr>
          <w:rFonts w:eastAsia="IRNazanin" w:cs="IRNazanin"/>
          <w:color w:val="111111"/>
          <w:sz w:val="28"/>
          <w:szCs w:val="28"/>
          <w:rtl w:val="true"/>
          <w:lang w:bidi="fa-IR"/>
        </w:rPr>
        <w:t>.</w:t>
      </w:r>
      <w:bookmarkStart w:id="136" w:name="pg13173_324724"/>
    </w:p>
    <w:p>
      <w:pPr>
        <w:pStyle w:val="Heading6"/>
        <w:numPr>
          <w:ilvl w:val="5"/>
          <w:numId w:val="1"/>
        </w:numPr>
        <w:rPr/>
      </w:pPr>
      <w:bookmarkStart w:id="137" w:name="__RefHeading___Toc734757_3244359995"/>
      <w:bookmarkStart w:id="138" w:name="_Toc53"/>
      <w:bookmarkEnd w:id="136"/>
      <w:bookmarkEnd w:id="137"/>
      <w:r>
        <w:rPr>
          <w:rtl w:val="true"/>
        </w:rPr>
        <w:t>فذلکة الکلام</w:t>
      </w:r>
      <w:bookmarkEnd w:id="138"/>
    </w:p>
    <w:p>
      <w:pPr>
        <w:pStyle w:val="BookText"/>
        <w:rPr/>
      </w:pPr>
      <w:r>
        <w:rPr>
          <w:rFonts w:ascii="IRNazanin" w:hAnsi="IRNazanin" w:eastAsia="IRNazanin"/>
          <w:color w:val="111111"/>
          <w:sz w:val="28"/>
          <w:sz w:val="28"/>
          <w:szCs w:val="28"/>
          <w:rtl w:val="true"/>
          <w:lang w:bidi="fa-IR"/>
        </w:rPr>
        <w:t>إنّ فی موارد حدیث الرفع، لیس المرفوع وجوب التحفّظ، أو الاحتیاط، أو العقاب، أو التکلیف فی ناحیة الموضوعات و الصغریات، بل یصحّ نفی التکالیف الواقعیة من غیر لزوم المحذور، کما هی منتفیة فی الثلاث الأخیرة، فالمبرّر و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أحکام الموضوعات المدّعی رفعها کلّها علی نهج واحد؛ لانتسابه إلی التسع فی استعمال واحد،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حتّی فی الشبهات الحکمیّة؛ هو الموضوع ادعاء</w:t>
      </w:r>
      <w:r>
        <w:rPr>
          <w:rFonts w:eastAsia="IRNazanin" w:cs="IRNazanin"/>
          <w:color w:val="111111"/>
          <w:sz w:val="28"/>
          <w:szCs w:val="28"/>
          <w:rtl w:val="true"/>
          <w:lang w:bidi="fa-IR"/>
        </w:rPr>
        <w:t>.</w:t>
      </w:r>
    </w:p>
    <w:p>
      <w:pPr>
        <w:pStyle w:val="Heading6"/>
        <w:numPr>
          <w:ilvl w:val="5"/>
          <w:numId w:val="1"/>
        </w:numPr>
        <w:rPr/>
      </w:pPr>
      <w:bookmarkStart w:id="139" w:name="__RefHeading___Toc734759_3244359995"/>
      <w:bookmarkStart w:id="140" w:name="_Toc54"/>
      <w:bookmarkEnd w:id="139"/>
      <w:r>
        <w:rPr>
          <w:rtl w:val="true"/>
        </w:rPr>
        <w:t>بقی إشکال</w:t>
      </w:r>
      <w:bookmarkEnd w:id="140"/>
    </w:p>
    <w:p>
      <w:pPr>
        <w:pStyle w:val="BookText"/>
        <w:rPr/>
      </w:pPr>
      <w:r>
        <w:rPr>
          <w:rFonts w:ascii="IRNazanin" w:hAnsi="IRNazanin" w:eastAsia="IRNazanin"/>
          <w:color w:val="111111"/>
          <w:sz w:val="28"/>
          <w:sz w:val="28"/>
          <w:szCs w:val="28"/>
          <w:rtl w:val="true"/>
          <w:lang w:bidi="fa-IR"/>
        </w:rPr>
        <w:t>و هو أنّ الحاجة فی تصحیح هذه النسبة الادعائیّة المجازیّة، لا یلزم أن تکون عموم الآثار؛ لکفایة الأثر الواحد فی ذلک بالضرورة، کما نشاهد فی استعمالاتنا العرفیّة، فالمرفوع لبّا لیس العقاب، و لا الاستحقاق، و لا المؤاخذة علی الإطلاق مع الواسطة، و بلا وسط، بل هو الأثر الواحد، و بلحاظه یستند مجازا الرفع إلی تلک الموضوعات، فانتفاء الأحکام الوضعیّة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الإطلاق، و لا یمکن نفی أو طرد الإطلاق إلّا فی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أحد الآثار واضحا فی الأثریّة للمرفوع المدّعی رفعه، أو ینضمّ إلیه الادعاء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الأثر الکذائیّ تمام الأثر، أو هو الأثر البارز، و حیث إنّ الکلّ منتف فیما نحن فیه، فالإطلاق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الالتزام بهذا المسلک خلاف ما هو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الجاهل و الناسی مورد التکلیف الفعلیّ، کغیرهما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العویصات التی أشرنا إلیها، تتوجّه إلی المسلک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الرفع حقیقیّ، و الموضوع مرفوع عن الموضوعیّة للأدلّة الأوّلیة</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تتوجّه إلی أنّ مطلق الآثار لیس مرفوعا، بل المرفوع هو التکالیف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القول برفع العقاب سلیم ثبوتا و إثباتا، و لا القول برفع الآثار</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ببعض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من المناقشة، و لا سیّما إثباتا و التزاما، و لا القول برفع الموضوعیّة، و لا القول برفع العقاب المستتبع لرفع التکلیف طبعا</w:t>
      </w:r>
      <w:r>
        <w:rPr>
          <w:rStyle w:val="FootnoteAnchor"/>
          <w:rtl w:val="true"/>
        </w:rPr>
        <w:footnoteReference w:id="170"/>
      </w:r>
      <w:r>
        <w:rPr>
          <w:rFonts w:ascii="IRNazanin" w:hAnsi="IRNazanin" w:eastAsia="IRNazanin"/>
          <w:color w:val="111111"/>
          <w:sz w:val="28"/>
          <w:sz w:val="28"/>
          <w:szCs w:val="28"/>
          <w:rtl w:val="true"/>
          <w:lang w:bidi="fa-IR"/>
        </w:rPr>
        <w:t>، بل هو مجمع المناقشات الثبوتیّة و الإثباتیّة، و لا القول برفع المؤاخذة المطلقة، الأعمّ من ذات الواسطة، و غیر ذات الواسطة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هذه الأقوال مورد الإشکال؛ سواء کان المرفوع وجوب التحفّظ و الاحتیاط، أو کان المرفوع نفس التکالیف، أو کان المرفوع الموضوعات الادعائیّة</w:t>
      </w:r>
      <w:r>
        <w:rPr>
          <w:rStyle w:val="FootnoteAnchor"/>
          <w:rtl w:val="true"/>
        </w:rPr>
        <w:footnoteReference w:id="172"/>
      </w:r>
      <w:r>
        <w:rPr>
          <w:rFonts w:ascii="IRNazanin" w:hAnsi="IRNazanin" w:eastAsia="IRNazanin"/>
          <w:color w:val="111111"/>
          <w:sz w:val="28"/>
          <w:sz w:val="28"/>
          <w:szCs w:val="28"/>
          <w:rtl w:val="true"/>
          <w:lang w:bidi="fa-IR"/>
        </w:rPr>
        <w:t>، أو کان المرفوع الحرمة الظاهریّة</w:t>
      </w:r>
      <w:r>
        <w:rPr>
          <w:rStyle w:val="FootnoteAnchor"/>
          <w:rtl w:val="true"/>
        </w:rPr>
        <w:footnoteReference w:id="173"/>
      </w:r>
      <w:r>
        <w:rPr>
          <w:rFonts w:ascii="IRNazanin" w:hAnsi="IRNazanin" w:eastAsia="IRNazanin"/>
          <w:color w:val="111111"/>
          <w:sz w:val="28"/>
          <w:sz w:val="28"/>
          <w:szCs w:val="28"/>
          <w:rtl w:val="true"/>
          <w:lang w:bidi="fa-IR"/>
        </w:rPr>
        <w:t xml:space="preserve">، أو کان المرفوع العقاب و المؤاخذة فی عرض رفع المناشئ له، و هی التکالیف </w:t>
      </w:r>
      <w:r>
        <w:rPr>
          <w:rStyle w:val="FootnoteAnchor"/>
          <w:rtl w:val="true"/>
        </w:rPr>
        <w:footnoteReference w:id="174"/>
      </w:r>
      <w:r>
        <w:rPr>
          <w:rFonts w:ascii="IRNazanin" w:hAnsi="IRNazanin" w:eastAsia="IRNazanin"/>
          <w:color w:val="111111"/>
          <w:sz w:val="28"/>
          <w:sz w:val="28"/>
          <w:szCs w:val="28"/>
          <w:rtl w:val="true"/>
          <w:lang w:bidi="fa-IR"/>
        </w:rPr>
        <w:t>، أو یقال بالتفصیل بین الفقرات؛ فیکون المرفوع فی بعضها بعضا منها، و فی بعضها الآخر بعضا آخر منها</w:t>
      </w:r>
      <w:r>
        <w:rPr>
          <w:rStyle w:val="FootnoteAnchor"/>
          <w:rtl w:val="true"/>
        </w:rPr>
        <w:footnoteReference w:id="175"/>
      </w:r>
      <w:r>
        <w:rPr>
          <w:rFonts w:ascii="IRNazanin" w:hAnsi="IRNazanin" w:eastAsia="IRNazanin"/>
          <w:color w:val="111111"/>
          <w:sz w:val="28"/>
          <w:sz w:val="28"/>
          <w:szCs w:val="28"/>
          <w:rtl w:val="true"/>
          <w:lang w:bidi="fa-IR"/>
        </w:rPr>
        <w:t>، فإنّ الکلّ محطّ المناقشات الثبوتیّة و الإثباتیّة، فهل یردّ علم الحدیث إلی أهله، أم هناک مسلک آخر</w:t>
      </w:r>
      <w:bookmarkStart w:id="141" w:name="pg13173_324726"/>
    </w:p>
    <w:p>
      <w:pPr>
        <w:pStyle w:val="BookText"/>
        <w:rPr/>
      </w:pPr>
      <w:bookmarkEnd w:id="141"/>
      <w:r>
        <w:rPr>
          <w:rFonts w:ascii="IRNazanin" w:hAnsi="IRNazanin" w:eastAsia="IRNazanin"/>
          <w:color w:val="111111"/>
          <w:sz w:val="28"/>
          <w:sz w:val="28"/>
          <w:szCs w:val="28"/>
          <w:rtl w:val="true"/>
          <w:lang w:bidi="fa-IR"/>
        </w:rPr>
        <w:t xml:space="preserve">یأتی من ذی قبل إن شاء اللّه تعالی </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المرفوع وجوب التحفّظ و الاحتیاط، أو الحرمة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بعض الإشکالات، بل الإشکالات الثبوتیّة مندفعة کلّها؛ لانحفاظ الحکم التکلیفی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طیّ المسلک الأوّل، لغویّة الالتزام بالتکلیف الواقعیّ غیر المستتبع للأثر، فلا معنی لتحریم الخمر و أشباهها ثبوتا، مع عدم ترتّب أثر علیه؛ لا فی الدنیا، و لا فی العقبی، فیلزم انتفاء الفعلیّة، و الإلزام الواقعیّ أیضا</w:t>
      </w:r>
      <w:r>
        <w:rPr>
          <w:rFonts w:eastAsia="IRNazanin" w:cs="IRNazanin"/>
          <w:color w:val="111111"/>
          <w:sz w:val="28"/>
          <w:szCs w:val="28"/>
          <w:rtl w:val="true"/>
          <w:lang w:bidi="fa-IR"/>
        </w:rPr>
        <w:t>.</w:t>
      </w:r>
    </w:p>
    <w:p>
      <w:pPr>
        <w:pStyle w:val="Heading6"/>
        <w:numPr>
          <w:ilvl w:val="5"/>
          <w:numId w:val="1"/>
        </w:numPr>
        <w:rPr/>
      </w:pPr>
      <w:bookmarkStart w:id="142" w:name="__RefHeading___Toc734761_3244359995"/>
      <w:bookmarkStart w:id="143" w:name="_Toc55"/>
      <w:bookmarkEnd w:id="142"/>
      <w:r>
        <w:rPr>
          <w:rtl w:val="true"/>
        </w:rPr>
        <w:t>تکمیل</w:t>
      </w:r>
      <w:r>
        <w:rPr>
          <w:rtl w:val="true"/>
        </w:rPr>
        <w:t xml:space="preserve">: </w:t>
      </w:r>
      <w:r>
        <w:rPr>
          <w:rtl w:val="true"/>
        </w:rPr>
        <w:t>حول النسبة بین الحدیث و الأدلّة الأوّلیّة</w:t>
      </w:r>
      <w:bookmarkEnd w:id="143"/>
    </w:p>
    <w:p>
      <w:pPr>
        <w:pStyle w:val="BookText"/>
        <w:rPr/>
      </w:pPr>
      <w:r>
        <w:rPr>
          <w:rFonts w:ascii="IRNazanin" w:hAnsi="IRNazanin" w:eastAsia="IRNazanin"/>
          <w:color w:val="111111"/>
          <w:sz w:val="28"/>
          <w:sz w:val="28"/>
          <w:szCs w:val="28"/>
          <w:rtl w:val="true"/>
          <w:lang w:bidi="fa-IR"/>
        </w:rPr>
        <w:t>قد أشرنا فی ذیل المسلک الأوّل إلی أنّ من الممکن الالتزام بأنّ النسبة بین الحدیث الشریف و الأدلّة، عموم من وجه؛ و ذلک لأنّه یقاس کلّ واحد من الأدلّة الأوّلیة إلی رفع النسیان و الخطأ و هکذا، فإذن یلزم العموم من وجه؛ لأنّ الحدیث الشریف أعمّ من نسیان حکم الخمر و الخنزیر، و حکم الخمر أعمّ من مورد النسیان و غیره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الخطابات القانونیّة، یجوز الالتزام بفعلیّة التکالیف فی جمیع هذه الموارد فعلیّة تامّة کاملة مشترکة بین موارد الحدیث و غیرها، فلا یلزم التقیید المستلزم لکثیر من تلک الإشکالات و العویصات العقلیّة، و یندفع بعضها بما اشیر إلیه </w:t>
      </w:r>
      <w:r>
        <w:rPr>
          <w:rStyle w:val="FootnoteAnchor"/>
          <w:rtl w:val="true"/>
        </w:rPr>
        <w:footnoteReference w:id="178"/>
      </w:r>
      <w:r>
        <w:rPr>
          <w:rFonts w:ascii="IRNazanin" w:hAnsi="IRNazanin" w:eastAsia="IRNazanin"/>
          <w:color w:val="111111"/>
          <w:sz w:val="28"/>
          <w:sz w:val="28"/>
          <w:szCs w:val="28"/>
          <w:rtl w:val="true"/>
          <w:lang w:bidi="fa-IR"/>
        </w:rPr>
        <w:t>، فیکون القول بارتفاع جمیع الآثار، سلیما من تلک المشاکل و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ما فهمه الجمهور من نظارة حدیث الرفع إلی الاحکام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ناظر إلی نسخ الحرمة بالنسبة إلی الثلاث الأخیرة فی الامّة السابقة، و لذلک عدّت الثلاث من التسع علی نهج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سائر الأحکام الأوّلیة فی عرض واحد مورد النظر، لا متبادلة، فکأنّ الکلّ فی صفّ واحد، و هذا ناظر بنظر واحد إلیه، فلا تلاحظ النسبة بینه و بین کلّ واحد مع قطع النظر عن الآخر، فالنسبة عموم مطلق لبّا، و یکون الحدیث حاکما علیها لسانا و 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الستّ الاول، تکون حاکمة علی کلّ واحد من الأدلّة الأوّلیة فی عرض واحد، و لا ترتّب بینها،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النسبة عموما من وجه لبّا و ثبوتا، إلّا أنّ الفهم العقلائیّ علی أنّ الظاهر من الحدیث الشریف مثلا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تکلیف فی صورة الجهل، و هکذا فی سائر الصور، فالالتزام بفعلیّة التکلیف مع کون الحدیث ناظرا إلی الأدلّة الأوّلیة، غیر جائز فی محیط العرف إنصافا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الالتزام بأنّه فی مقام رفع الآثار و لو کانت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المتیقّن منها هی التکلیفیّة، لا الوضعیّة، و القدر المتیقّن اشتراک العالم و الجاهل فی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 أنّ النسبة عموم من وجه، و لکن لمکان احتیاج الإسناد المجازیّ إلی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الالتزام بفعلیّة الآثار و بقائها، فلا یقاس ما نحن فیه بشکل سائر الموارد، فإنّ دلیل حرمة الغصب و وجوب الصلاة، غیر متوقّف کلّ علی الآخر، و غیر ناظر کلّ إلی الآخر،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من الالتزام بارتفاع الأحکام فی موارد نسیان الحکم واقعیّة به؛ لأنّه الظاهر، و لا سیّما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الأحکام مورد الرفع، کما لا یخفی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الالتزام بانتفاء جمیع الآثار، و الالتزام بعدم التکلیف ثبوتا فی حقّ ناسی التکالیف و الجاهلین، لیس کثیر محذور إلّا الإجماع،</w:t>
      </w:r>
      <w:bookmarkStart w:id="144" w:name="pg13173_324728"/>
    </w:p>
    <w:p>
      <w:pPr>
        <w:pStyle w:val="BookText"/>
        <w:rPr/>
      </w:pPr>
      <w:bookmarkEnd w:id="144"/>
      <w:r>
        <w:rPr>
          <w:rFonts w:ascii="IRNazanin" w:hAnsi="IRNazanin" w:eastAsia="IRNazanin"/>
          <w:color w:val="111111"/>
          <w:sz w:val="28"/>
          <w:sz w:val="28"/>
          <w:szCs w:val="28"/>
          <w:rtl w:val="true"/>
          <w:lang w:bidi="fa-IR"/>
        </w:rPr>
        <w:t xml:space="preserve">و قد تحرّر فی خصوص کتاب الحجّ اختصاص کثیر من التکالیف بالعالمین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أمکن الجمع بین ظاهر أحادیث الرفع و الوضع فیما نحن فیه بوجه آخر، و الأدلّة الأوّلیة؛ بحیث لا یلزم شی‌ء من الإشکالات یتعیّن، و إلّا فما هو المتعیّن هو المسلک الثانی؛ علی الوجه الذی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لک عدم بلوغ القوم إلی مغزی المسألة، و لم ینقّح البحث حولها، و الحمد للّه أوّلا و آخرا، و ظاهرا و باطنا</w:t>
      </w:r>
      <w:r>
        <w:rPr>
          <w:rFonts w:eastAsia="IRNazanin" w:cs="IRNazanin"/>
          <w:color w:val="111111"/>
          <w:sz w:val="28"/>
          <w:szCs w:val="28"/>
          <w:rtl w:val="true"/>
          <w:lang w:bidi="fa-IR"/>
        </w:rPr>
        <w:t>.</w:t>
      </w:r>
    </w:p>
    <w:p>
      <w:pPr>
        <w:pStyle w:val="Heading6"/>
        <w:numPr>
          <w:ilvl w:val="5"/>
          <w:numId w:val="1"/>
        </w:numPr>
        <w:rPr/>
      </w:pPr>
      <w:bookmarkStart w:id="145" w:name="__RefHeading___Toc734763_3244359995"/>
      <w:bookmarkStart w:id="146" w:name="_Toc56"/>
      <w:bookmarkEnd w:id="145"/>
      <w:r>
        <w:rPr>
          <w:rtl w:val="true"/>
        </w:rPr>
        <w:t>توضیح</w:t>
      </w:r>
      <w:r>
        <w:rPr>
          <w:rtl w:val="true"/>
        </w:rPr>
        <w:t xml:space="preserve">: </w:t>
      </w:r>
      <w:r>
        <w:rPr>
          <w:rtl w:val="true"/>
        </w:rPr>
        <w:t>حول محتملات الحدیث الشریف</w:t>
      </w:r>
      <w:bookmarkEnd w:id="146"/>
    </w:p>
    <w:p>
      <w:pPr>
        <w:pStyle w:val="BookText"/>
        <w:rPr/>
      </w:pPr>
      <w:r>
        <w:rPr>
          <w:rFonts w:ascii="IRNazanin" w:hAnsi="IRNazanin" w:eastAsia="IRNazanin"/>
          <w:color w:val="111111"/>
          <w:sz w:val="28"/>
          <w:sz w:val="28"/>
          <w:szCs w:val="28"/>
          <w:rtl w:val="true"/>
          <w:lang w:bidi="fa-IR"/>
        </w:rPr>
        <w:t>إلی هنا تحرّر المحتملات 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رافعا لموضوعیّة المرفوعات عن الأدلّة الأوّلیة بالرفع التشریعیّ، و یکون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أنّه مجاز فی الحذف؛ بتقدیر العقاب و المؤاخذة، أو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کونه مجازا ادعائیّا فی الإسناد، و المبرّر رفع العقاب بلا واسطة،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 المبرّر الآثار المهملة أو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کونه مقیّدا، و تکون النسبة إطلاقا و تقییدا ثبوتا، و حکومة إثباتا، أو النسبة عموما من وجه، و تکون تقییدا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 الآثار أعمّ من التکلیف و المؤاخذة فی عرض واحد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کون المرفوع وجوب التحفّظ أو الاحتیاط، أو الحرمة الظاهریّة فی خصوص ما نحن فیه</w:t>
      </w:r>
      <w:r>
        <w:rPr>
          <w:rFonts w:eastAsia="IRNazanin" w:cs="IRNazanin"/>
          <w:color w:val="111111"/>
          <w:sz w:val="28"/>
          <w:szCs w:val="28"/>
          <w:rtl w:val="true"/>
          <w:lang w:bidi="fa-IR"/>
        </w:rPr>
        <w:t>.</w:t>
      </w:r>
      <w:bookmarkStart w:id="147" w:name="pg13173_324729"/>
    </w:p>
    <w:p>
      <w:pPr>
        <w:pStyle w:val="BookText"/>
        <w:rPr/>
      </w:pPr>
      <w:bookmarkEnd w:id="147"/>
      <w:r>
        <w:rPr>
          <w:rFonts w:ascii="IRNazanin" w:hAnsi="IRNazanin" w:eastAsia="IRNazanin"/>
          <w:color w:val="111111"/>
          <w:sz w:val="28"/>
          <w:sz w:val="28"/>
          <w:szCs w:val="28"/>
          <w:rtl w:val="true"/>
          <w:lang w:bidi="fa-IR"/>
        </w:rPr>
        <w:t xml:space="preserve">و قد عرفت مفاسد الاحتمالات التی لا یمکن الالتزام بها ثبوتا، أو هو و إثباتا، و أنّ الأقرب رفع الموضوع فی جمیع الفقرات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ادعاء و مجازا، و المبرّر جمیع الآثار؛ حسب الإطلاق القطعیّ الثابت للحدیث المضروب قانونا عامّا کلّیا؛ رئیسیّا جامعا</w:t>
      </w:r>
      <w:r>
        <w:rPr>
          <w:rFonts w:eastAsia="IRNazanin" w:cs="IRNazanin"/>
          <w:color w:val="111111"/>
          <w:sz w:val="28"/>
          <w:szCs w:val="28"/>
          <w:rtl w:val="true"/>
          <w:lang w:bidi="fa-IR"/>
        </w:rPr>
        <w:t>.</w:t>
      </w:r>
    </w:p>
    <w:p>
      <w:pPr>
        <w:pStyle w:val="Heading6"/>
        <w:numPr>
          <w:ilvl w:val="5"/>
          <w:numId w:val="1"/>
        </w:numPr>
        <w:rPr/>
      </w:pPr>
      <w:bookmarkStart w:id="148" w:name="__RefHeading___Toc734765_3244359995"/>
      <w:bookmarkStart w:id="149" w:name="_Toc57"/>
      <w:bookmarkEnd w:id="148"/>
      <w:r>
        <w:rPr>
          <w:rtl w:val="true"/>
        </w:rPr>
        <w:t>بقی شی‌ء</w:t>
      </w:r>
      <w:r>
        <w:rPr>
          <w:rtl w:val="true"/>
        </w:rPr>
        <w:t xml:space="preserve">: </w:t>
      </w:r>
      <w:r>
        <w:rPr>
          <w:rtl w:val="true"/>
        </w:rPr>
        <w:t>حول مختار الوالد المحقّق مدّ ظلّه</w:t>
      </w:r>
      <w:bookmarkEnd w:id="149"/>
    </w:p>
    <w:p>
      <w:pPr>
        <w:pStyle w:val="BookText"/>
        <w:rPr/>
      </w:pPr>
      <w:r>
        <w:rPr>
          <w:rFonts w:ascii="IRNazanin" w:hAnsi="IRNazanin" w:eastAsia="IRNazanin"/>
          <w:color w:val="111111"/>
          <w:sz w:val="28"/>
          <w:sz w:val="28"/>
          <w:szCs w:val="28"/>
          <w:rtl w:val="true"/>
          <w:lang w:bidi="fa-IR"/>
        </w:rPr>
        <w:t>و هو أنّ من الممکن أن یکون نظر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من نفی الآثار ادعاء فی الشبهات الحکمیّة، و فی نسیان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 الاتفاق علی اشتراک الذاکر و الناسی و الجاهل و العالم فی الحکم بمرتبیته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النفی الادعائیّ فیها أیضا، و یکون مصحّح الادعاء نفی آثار الأحکام الفعلیّة؛ من الاستحقاق و العقوبة، أو غیرهما من الآثار التی تقتضیها الإطلاقات، کالقضاء و الإعادة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قد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المرفوع فی الشبهات الحکمیّة و فی نسیان الأحکام الکلّیة، هو الموضوع أیضا</w:t>
      </w:r>
      <w:r>
        <w:rPr>
          <w:rStyle w:val="FootnoteAnchor"/>
          <w:rtl w:val="true"/>
        </w:rPr>
        <w:footnoteReference w:id="181"/>
      </w:r>
      <w:r>
        <w:rPr>
          <w:rFonts w:ascii="IRNazanin" w:hAnsi="IRNazanin" w:eastAsia="IRNazanin"/>
          <w:color w:val="111111"/>
          <w:sz w:val="28"/>
          <w:sz w:val="28"/>
          <w:szCs w:val="28"/>
          <w:rtl w:val="true"/>
          <w:lang w:bidi="fa-IR"/>
        </w:rPr>
        <w:t>، و رفعه الادعائیّ یستلزم الرفع اللبّی الواقعیّ، لا الادعائیّ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لغویّة الفعلیّة؛ لأنّه ابتکر حدیث الخطابات القانونیّة، المستتبعة لفعلیّة الأحکام الدائمة بالنسبة إلی جمیع طبقات الناس؛ من العاجزین و غیرهم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ما ذکرناه لا ینفع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w:t>
      </w:r>
      <w:bookmarkStart w:id="150" w:name="pg13173_324730"/>
    </w:p>
    <w:p>
      <w:pPr>
        <w:pStyle w:val="BookText"/>
        <w:rPr/>
      </w:pPr>
      <w:bookmarkEnd w:id="150"/>
      <w:r>
        <w:rPr>
          <w:rFonts w:ascii="IRNazanin" w:hAnsi="IRNazanin" w:eastAsia="IRNazanin"/>
          <w:color w:val="111111"/>
          <w:sz w:val="28"/>
          <w:sz w:val="28"/>
          <w:szCs w:val="28"/>
          <w:rtl w:val="true"/>
          <w:lang w:bidi="fa-IR"/>
        </w:rPr>
        <w:t>فعلیّة الأحکام؛ لأنّ المرفوع هنا هو الموضوع بالضرورة، و لازمه ارتفاع الحکم لبّا فی مورد عدم الطاقة، فیلزم الالتزام بالبراءة فی صورة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عدم المنّة فی رفع التکلیف فی صورة العجز</w:t>
      </w:r>
      <w:r>
        <w:rPr>
          <w:rStyle w:val="FootnoteAnchor"/>
          <w:rtl w:val="true"/>
        </w:rPr>
        <w:footnoteReference w:id="183"/>
      </w:r>
      <w:r>
        <w:rPr>
          <w:rFonts w:ascii="IRNazanin" w:hAnsi="IRNazanin" w:eastAsia="IRNazanin"/>
          <w:color w:val="111111"/>
          <w:sz w:val="28"/>
          <w:sz w:val="28"/>
          <w:szCs w:val="28"/>
          <w:rtl w:val="true"/>
          <w:lang w:bidi="fa-IR"/>
        </w:rPr>
        <w:t>،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الحاجة إلی کون إطلاق الرفع فیه المنّة، بل إذا لم یکن فی الإطلاق منّة، و کان فی نوع موارد الإطلاق منّة، یکفی الرفع علی الإطلاق، إلّا إذا کان فی عدم الرفع منّة، کما فی موارد الاضطرار إلی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القسم الأوّل الرفع علی الإطلاق فی مورد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للشرع إیجاب التحفّظ علی القدرة، کما فی موارد النسیان و الخطأ، فبلحاظه یرتفع التکلیف فی مورد العجز، فلا فرق بین رفع النسیان و السهو،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p>
    <w:p>
      <w:pPr>
        <w:pStyle w:val="Heading6"/>
        <w:numPr>
          <w:ilvl w:val="5"/>
          <w:numId w:val="1"/>
        </w:numPr>
        <w:rPr/>
      </w:pPr>
      <w:bookmarkStart w:id="151" w:name="__RefHeading___Toc734767_3244359995"/>
      <w:bookmarkStart w:id="152" w:name="_Toc58"/>
      <w:bookmarkEnd w:id="151"/>
      <w:r>
        <w:rPr>
          <w:rtl w:val="true"/>
        </w:rPr>
        <w:t>المسلک الثالث</w:t>
      </w:r>
      <w:r>
        <w:rPr>
          <w:rtl w:val="true"/>
        </w:rPr>
        <w:t>:</w:t>
      </w:r>
      <w:bookmarkEnd w:id="152"/>
    </w:p>
    <w:p>
      <w:pPr>
        <w:pStyle w:val="BookText"/>
        <w:rPr/>
      </w:pPr>
      <w:r>
        <w:rPr>
          <w:rFonts w:ascii="IRNazanin" w:hAnsi="IRNazanin" w:eastAsia="IRNazanin"/>
          <w:color w:val="111111"/>
          <w:sz w:val="28"/>
          <w:sz w:val="28"/>
          <w:szCs w:val="28"/>
          <w:rtl w:val="true"/>
          <w:lang w:bidi="fa-IR"/>
        </w:rPr>
        <w:t>و هو الذی أبدعناه، و لعلّه یصدّقه من یأتی بعد ذلک، و یتدبّر فیه بنظر التدبّر، و قبل الإشارة إلیه نشیر إلی مقدّمة و جیزة تحتوی علی التذکیر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الامور الاعتباریّة و فی مواقف المسائل الإنشائیّة، نحتاج فی اعتبار تلک المواضیع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 البیع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المعانی الآلیّة و الامور الأدویّة، و هی مفاد الهیئات مثلا؛ حتّی یتوصّل بها إلی تحقّق تلک الطبائع فی الخارج،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بتلک الهیئة یعتبر المادّة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و تقع موضوعا للاعتبارات العقلائیّة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الإنشائیّات التکلیفیّة، لا بدّ من هیئة الأمر و النهی، حتّی یعتبر مثلا</w:t>
      </w:r>
    </w:p>
    <w:p>
      <w:pPr>
        <w:pStyle w:val="BookText"/>
        <w:rPr/>
      </w:pPr>
      <w:r>
        <w:rPr>
          <w:rFonts w:ascii="IRNazanin" w:hAnsi="IRNazanin" w:eastAsia="IRNazanin"/>
          <w:color w:val="111111"/>
          <w:sz w:val="28"/>
          <w:sz w:val="28"/>
          <w:szCs w:val="28"/>
          <w:rtl w:val="true"/>
          <w:lang w:bidi="fa-IR"/>
        </w:rPr>
        <w:t>الوجوب و الحرمة للمادّة، و هی الصلاة و الخمر، و هذا ممّا لا ریب فیه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 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کانت تلک المادّة التی دخلت علیها الهیئة المذکورة، من الامور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 تشریعا ممنوعیّة المعاشرة مع الکفّار، فورد فی الحدیث و الکتاب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تمنع العشرة مع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فبتوسّط الهیئة یعتبر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مجعولا علی المعاشرة،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العشرة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هناک اعتبار الآثار قبل هذا المنع،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المنع باعتبار تلک الآثار؛ و هی الحشر مع الکفّار فی البیع و الشراء، أو فی غیر ذلک من الأحکام العقلائیّة؛ و المعاشرات العرفیّة، بل یعتبر المعاشرة خارجا ممنوعة، و تصیر النتیجة ممنوعیّة مطلق ما یناقض الحکم المذکور، من غیر کونه مورد المنع، أو یکون المنع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الأمر الآخر فی مثل ما إذا ورد فی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لو کان بصورة الإخبار، إلّا أنّه إنشاء، أو إخبار عن الإنشاء السابق، و عند ذلک لا تکون القضیّة سالبة محصّلة؛ لما لا یعقل إنشاء السلب المحصّل، بل یعتبر عدم الوجوب للصلاة، و تکون من الموجبة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اتفقوا علی جریان استصحاب عدم الوجوب و الحرمة، و ما هو إلّا لأنّه اعتبار شرعیّ، و لأجل هذا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المستصحب إمّا حکم شرعیّ، أو موضوع ذو حکم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فإنّ عدم الوجوب و إن لم یکن حکما تکلیفیّا، إلّا أنّه اعتبار وضعیّ علی صلاة الجمعة، و قد اعتبر هذا المعنی بتوسّط المعانی الأدویّة، کهیئة الجملة المذکورة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تدبّرت فیما تلوناه علیک من المذکّرات الإجمالیّة، یتبیّن لک ما هو المقصود فی المقام؛ و هو أنّ فی قوله صلّی اللّه علیه و آله و سلّم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حرفیّا</w:t>
      </w:r>
    </w:p>
    <w:p>
      <w:pPr>
        <w:pStyle w:val="BookText"/>
        <w:rPr/>
      </w:pPr>
      <w:r>
        <w:rPr>
          <w:rFonts w:ascii="IRNazanin" w:hAnsi="IRNazanin" w:eastAsia="IRNazanin"/>
          <w:color w:val="111111"/>
          <w:sz w:val="28"/>
          <w:sz w:val="28"/>
          <w:szCs w:val="28"/>
          <w:rtl w:val="true"/>
          <w:lang w:bidi="fa-IR"/>
        </w:rPr>
        <w:t>آلیّا، و معنی عدمیّا اسمیّا، و اعتبارا خارجیّا، و تکون النتیجة أنّ التسعة موضوع لاعتبار الرفع علیها، فتکون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النسیان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اعتبر النسیان موضوعا للرفع الإنشائیّ، و یکون هو مورد الرفع،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الکفّار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طعام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المنع لیس باعتبار رفع حلّیة الأکل أو البیع، بل هو اعتبار مستقلّ ینتج نتیجة المنع عن الأکل و البیع؛ و إن کان جواز الأکل و البیع، مجعولا متأخّرا عن المنع المذکور زمانا، فنفس المنع عن الطعام اعتبر خارجا، و نفس رفع النسیان اعتبر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فالشرع لا یرفع الآثار المجعولة بتوسّط طروّ هذه الحالات، بل الشرع یعتبر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للرفع بنفسه، و تکون النتیجة فی الموارد الخاصّة، الترخیص علی خلاف الأدلّة الأوّلیة، و تصبح النسبة بین ما نحن فیه و بین الأدلّة الأوّلیة، عموما من وجه؛ لانتفاء کون النظر إلی الأدلّة الأوّلیة هنا، و لارتفاع حدیث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بعد ما عرفت امتناع إنشاء المعنی السلبیّ المطلق، فلا بدّ أن یکون المنشأ هنا معنی عدمیّا اعتباریّا وضعیّا، فتکون هیئة الماضی آلة لاعتبار الرفع علی النسیان، و یصبح الرفع موضوعا علیه، فحدیث الرفع فی الحقیقة حدیث الوضع بالحمل الشائع، و إن کان رفعا بالحمل الأوّلی، فکما 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طعام 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المنع علی الطعام وضعا، کذلک الأمر هنا، فالنسیان و إخوانه امور تکوینیّة، کالطعام، و الرفع و المنع معنیان سلبیّان، کالطلاق، و یعتبر الکلّ فی الخارج و یوجد، فرفع التسعة أی إنشاء رفع التسعة، فالنسبة إیقاعیّة إیجادیّة، لا إخباریّة حکائیّة؛ لأنّها لا تعقل هنا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بکون المسند إلیه مجازا، التسعة باعتبار السلب التحصیلیّ، إلّا</w:t>
      </w:r>
    </w:p>
    <w:p>
      <w:pPr>
        <w:pStyle w:val="BookText"/>
        <w:rPr/>
      </w:pPr>
      <w:r>
        <w:rPr>
          <w:rFonts w:ascii="IRNazanin" w:hAnsi="IRNazanin" w:eastAsia="IRNazanin"/>
          <w:color w:val="111111"/>
          <w:sz w:val="28"/>
          <w:sz w:val="28"/>
          <w:szCs w:val="28"/>
          <w:rtl w:val="true"/>
          <w:lang w:bidi="fa-IR"/>
        </w:rPr>
        <w:t>أنّ ما هو فی الحقیقة مورد الإنشاء لبّا هو المعنی السلبیّ، و هو فی الحقیقة غیر معقول إلّا إذا کان إسنادا مجازیّا؛ و إخبارا عن حدود المرادات التشریعیّة، فلا یکون إنشاء فی البین، و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الاحتمال البدیع، یلزم إنکار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کون التسع موضوعا للأحکام الواقعیّة، کسائر العناوین التی بینها العموم من وجه، و تکون فی موارد الجهالة و النسیان، الأحکام فعلیّة بحسب الواقع؛ لما تحرّر من إمکانه حسب القوانین العامّة؛ و الخطابات القانونیّة</w:t>
      </w:r>
      <w:r>
        <w:rPr>
          <w:rStyle w:val="FootnoteAnchor"/>
          <w:rtl w:val="true"/>
        </w:rPr>
        <w:footnoteReference w:id="185"/>
      </w:r>
      <w:r>
        <w:rPr>
          <w:rFonts w:ascii="IRNazanin" w:hAnsi="IRNazanin" w:eastAsia="IRNazanin"/>
          <w:color w:val="111111"/>
          <w:sz w:val="28"/>
          <w:sz w:val="28"/>
          <w:szCs w:val="28"/>
          <w:rtl w:val="true"/>
          <w:lang w:bidi="fa-IR"/>
        </w:rPr>
        <w:t>، و یکون النسیان و الجهالة مرفوعین؛ أی موضوعین للرفع باعتبار إیجاد السعة، من غیر النظر إلی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تقدیم هذا الحدیث فی موارد المعارضة علی الأدلّة الأوّلیة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العقاب و مناشئه، کما فی سائر موارد معارضة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مباحث القطع، و فی مباحث الجمع بین الأحکام الظاهریّة و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هذا المسلک إنکار الأحکام الظاهریّة، و عدم الابتلاء بمشکلة الجمع بینهما، کما هو کذلک فی حدیث جعل الحلّیة علی المشکوک فإنّ المجعول فی القاعدة هی الحلّیة علی المشکوک بما هو مشکوک، فتکون النسبة بینها و بین الأدلّة الأوّلیة أیضا عموما من وجه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موارد اهتمام الشرع بالتکلیف الواقعیّ فی موارد الشبهة، لا بدّ من الاحتیاط، کما فی موارد الشبهات الثلاث المهتمّ بها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الالتزام بأنّ نسبة العامّین من وجه، مع أنّ فی موارد</w:t>
      </w:r>
      <w:bookmarkStart w:id="153" w:name="pg13173_324734"/>
    </w:p>
    <w:p>
      <w:pPr>
        <w:pStyle w:val="BookText"/>
        <w:rPr/>
      </w:pPr>
      <w:bookmarkEnd w:id="153"/>
      <w:r>
        <w:rPr>
          <w:rFonts w:ascii="IRNazanin" w:hAnsi="IRNazanin" w:eastAsia="IRNazanin"/>
          <w:color w:val="111111"/>
          <w:sz w:val="28"/>
          <w:sz w:val="28"/>
          <w:szCs w:val="28"/>
          <w:rtl w:val="true"/>
          <w:lang w:bidi="fa-IR"/>
        </w:rPr>
        <w:t>المعارضة یقدّم دائما هذا الحدیث بحسب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أنّه مقیّد الأدلّة الأوّلیة، فیلزم التقیید فی جمیع الفقرات، فتعود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موارد النسیان و الجهالة و السهو و الخطأ، فالتقدیم لا یکون بالنسبة إلی مجموع التکالیف رأسا؛ لبقاء التکلیف الواقعیّ، و تظهر الثمرة فی الإعادة و القضاء و الکفّارة، و ربّما یکون اللازم الاحتیاط فی الشبهات المهتمّ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الثلاث الأخیرة، فهکذا فیما إذا کان مهتمّا به، فلا یصحّ التمسّک بدلیل رفع الإکراه مثلا لهدم الکعبة و أمثال ذلک؛ لاهتمام الشرع بحرمة الهدم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الثلاث الأخیرة، فالالتزام به غیر ممنوع؛ لأنّ الحدیث الشریف اعتبر الرفع بالنسبة إلی التسع، و إذا قیس التسع إلی المجموع یکون الأمر کما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اللتیّا و التی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برفع التسع یعتبر وضع المرفوعیّة علی التسع، و تکون النتیجة التوسعة علی العباد من ناحیة التسع بالقیاس إلی الضیق فی موارد طروّها، سواء کان الضیق المذکور سابقا علی هذه السعة، أو لاحقا</w:t>
      </w:r>
      <w:r>
        <w:rPr>
          <w:rFonts w:eastAsia="IRNazanin" w:cs="IRNazanin"/>
          <w:color w:val="111111"/>
          <w:sz w:val="28"/>
          <w:szCs w:val="28"/>
          <w:rtl w:val="true"/>
          <w:lang w:bidi="fa-IR"/>
        </w:rPr>
        <w:t>.</w:t>
      </w:r>
    </w:p>
    <w:p>
      <w:pPr>
        <w:pStyle w:val="Heading6"/>
        <w:numPr>
          <w:ilvl w:val="5"/>
          <w:numId w:val="1"/>
        </w:numPr>
        <w:rPr/>
      </w:pPr>
      <w:bookmarkStart w:id="154" w:name="__RefHeading___Toc734769_3244359995"/>
      <w:bookmarkStart w:id="155" w:name="_Toc59"/>
      <w:bookmarkEnd w:id="154"/>
      <w:r>
        <w:rPr>
          <w:rtl w:val="true"/>
        </w:rPr>
        <w:t>خاتمة الکلام</w:t>
      </w:r>
      <w:r>
        <w:rPr>
          <w:rtl w:val="true"/>
        </w:rPr>
        <w:t xml:space="preserve">: </w:t>
      </w:r>
      <w:r>
        <w:rPr>
          <w:rtl w:val="true"/>
        </w:rPr>
        <w:t>بیان نسبة بین حدیث الرفع و أخبار الاحتیاط</w:t>
      </w:r>
      <w:bookmarkEnd w:id="155"/>
    </w:p>
    <w:p>
      <w:pPr>
        <w:pStyle w:val="BookText"/>
        <w:rPr/>
      </w:pPr>
      <w:r>
        <w:rPr>
          <w:rFonts w:ascii="IRNazanin" w:hAnsi="IRNazanin" w:eastAsia="IRNazanin"/>
          <w:color w:val="111111"/>
          <w:sz w:val="28"/>
          <w:sz w:val="28"/>
          <w:szCs w:val="28"/>
          <w:rtl w:val="true"/>
          <w:lang w:bidi="fa-IR"/>
        </w:rPr>
        <w:t>هل هذا الحدیث الشریف یصلح لمعارضة أخبار الاحتیاط بعد تلک الإطالة، أم لا؟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رفع التکلیف فی مورد الجهالة، یقتضی انتفاء موضوع الاحتیاط؛ لأنّ الاحتیاط فی موارد احتمال التکلیف، فإذا لم یکن التکلیف واقعا أو ادعاء، فلا معنی لاعتبار الاحتیاط فی موارد الشبهة، فیکون الحدیث الشریف واردا علی أدلّة الاحتیاط فی الفرض الأوّل، و حاکما علیها فی الفرض الثانی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أنّه یلزم بناء علیه، لغویّة أدلّة الاحتیاط و الأوامر الاحتیاطیّة، فلا بدّ من الالتزام بها، و لا یکفی حملها علی الاستحباب بعد انتفاء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بوجوده و ارتفاع العقاب مثلا، یمکن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ذلک علی ما أبدعناه من العموم من وجه، و استحباب الاحتیاط فی موارد الشبهة؛ لوجود التکلیف الفعلیّ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ذلک علی القول برفعه الادعائیّ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تحمل أخبار الاحتیاط علی الشبهات الموضوعیّة؛ لأنّ الرفع ادعائیّ، بخلاف الحکمیّة، فإنّه واقعیّ، عکس ما هو الأولی و الأحسن فی باب الاحتیاط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محتملات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ما تحرّر منّا فیما سلف؛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الحجّة و اللاحجّة، کما عرفت من روایة مسعدة بن صدقة، و أنّ موارد العلم المنطقیّ بالأحکام، ممّا لا یتمکّن منها أحد من المکلّفین إلّا شاذّا، فما یعلمه المکلّف من الأحکام، لیس إلّا ما قامت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حدیث الرفع شاملا لموارد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جهلا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الالتزام بمسألة حکومة أدلّة الطرق و الأمارات علی أمثال ما نحن فیه، کما قالوا به فی الجمع بین تلک الأدلّة و أدلّة المنع عن القول بغیر العلم </w:t>
      </w:r>
      <w:r>
        <w:rPr>
          <w:rStyle w:val="FootnoteAnchor"/>
          <w:rtl w:val="true"/>
        </w:rPr>
        <w:footnoteReference w:id="187"/>
      </w:r>
      <w:r>
        <w:rPr>
          <w:rFonts w:ascii="IRNazanin" w:hAnsi="IRNazanin" w:eastAsia="IRNazanin"/>
          <w:color w:val="111111"/>
          <w:sz w:val="28"/>
          <w:sz w:val="28"/>
          <w:szCs w:val="28"/>
          <w:rtl w:val="true"/>
          <w:lang w:bidi="fa-IR"/>
        </w:rPr>
        <w:t xml:space="preserve">، و قد عرفت فساد الحکومة و الورود بما لا مزید علیه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لا یستفاد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رفع ما لا حجّة علیه، و أخبار الاحتیاط حجّة، فلا فائدة للاصولیّ فیما أطاله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بعضا من الوجوه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تقدیم حدیث الرفع علی</w:t>
      </w:r>
    </w:p>
    <w:p>
      <w:pPr>
        <w:pStyle w:val="BookText"/>
        <w:rPr/>
      </w:pPr>
      <w:r>
        <w:rPr>
          <w:rFonts w:ascii="IRNazanin" w:hAnsi="IRNazanin" w:eastAsia="IRNazanin"/>
          <w:color w:val="111111"/>
          <w:sz w:val="28"/>
          <w:sz w:val="28"/>
          <w:szCs w:val="28"/>
          <w:rtl w:val="true"/>
          <w:lang w:bidi="fa-IR"/>
        </w:rPr>
        <w:t>أخبار الاحتیاط ورودا أو حکومة، و بعضا منها ینتهی إلی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رفع إیجاب الاحتیاط بحمل أخبار الاحتیاط علی استحبابه </w:t>
      </w:r>
      <w:r>
        <w:rPr>
          <w:rStyle w:val="FootnoteAnchor"/>
          <w:rtl w:val="true"/>
        </w:rPr>
        <w:footnoteReference w:id="189"/>
      </w:r>
      <w:r>
        <w:rPr>
          <w:rFonts w:ascii="IRNazanin" w:hAnsi="IRNazanin" w:eastAsia="IRNazanin"/>
          <w:color w:val="111111"/>
          <w:sz w:val="28"/>
          <w:sz w:val="28"/>
          <w:szCs w:val="28"/>
          <w:rtl w:val="true"/>
          <w:lang w:bidi="fa-IR"/>
        </w:rPr>
        <w:t>، غیر صحیح؛ لما سیمرّ علیک من أنّ الاحتیاط لا یتحمّل الإیجاب النفسیّ، و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حمل أخبار الاحتیاط علی الإرشاد العقلیّ المساوق للأولویّة و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بعضا منها ینتهی إلی تقدیم أخبار الاحتیاط، و هو الأقرب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یظهر لک أنّ فی نفس أخبار الاحتیاط، ما یشهد علی الأولویّة فی موارد الشبهة</w:t>
      </w:r>
      <w:r>
        <w:rPr>
          <w:rStyle w:val="FootnoteAnchor"/>
          <w:rtl w:val="true"/>
        </w:rPr>
        <w:footnoteReference w:id="190"/>
      </w:r>
      <w:r>
        <w:rPr>
          <w:rFonts w:ascii="IRNazanin" w:hAnsi="IRNazanin" w:eastAsia="IRNazanin"/>
          <w:color w:val="111111"/>
          <w:sz w:val="28"/>
          <w:sz w:val="28"/>
          <w:szCs w:val="28"/>
          <w:rtl w:val="true"/>
          <w:lang w:bidi="fa-IR"/>
        </w:rPr>
        <w:t>، فلا بدّ من اختیار المسلک المنتهی إلی عدم تقیید الأدلّة الأوّلیة بالحدیث الشریف، و إلّا فلا معنی، للأولویّة عند انتفاء الأدلّة الأوّلیة واقعا فی موارد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المسلک هو المسلک الذی أبدعناه؛ من ادعاء بقاء التکالیف فی موارد الستّ، و لذلک یستحسن ترک أکل المیتة و غیرها فی موارد الاضطرار العرفیّ مثلا، و هذا الاستحسان لا یتصوّر إلّا مع بقاء الملاک الموجب لبقاء التکلیف القانونیّ، لا الشخصیّ،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تمام البحث فی طیّ أخبار الاحتیاط إن شاء اللّه تعالی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إیجاب الاحتیاط أو الحرمة الظاهریّة، یستلزم التعارض بینه و بین أخبار الاحتیاط؛ لأنّ رفع 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تقم الحجّة الظاهریّة علی أصل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أمّا رفعه بالنسبة إلی مورده، فیستلزم أن یکون معنی</w:t>
      </w:r>
      <w:bookmarkStart w:id="156" w:name="pg13173_324737"/>
    </w:p>
    <w:p>
      <w:pPr>
        <w:pStyle w:val="BookText"/>
        <w:rPr/>
      </w:pPr>
      <w:bookmarkEnd w:id="156"/>
      <w:r>
        <w:rPr>
          <w:rFonts w:ascii="IRNazanin" w:hAnsi="IRNazanin" w:eastAsia="IRNazanin"/>
          <w:color w:val="111111"/>
          <w:sz w:val="28"/>
          <w:sz w:val="28"/>
          <w:szCs w:val="28"/>
          <w:rtl w:val="true"/>
          <w:lang w:bidi="fa-IR"/>
        </w:rPr>
        <w:t>الحدیث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وجوب الحجّة علی الحکم الواقعیّ ما دام لم تقم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مستحیل کما لا یخفی</w:t>
      </w:r>
      <w:r>
        <w:rPr>
          <w:rFonts w:eastAsia="IRNazanin" w:cs="IRNazanin"/>
          <w:color w:val="111111"/>
          <w:sz w:val="28"/>
          <w:szCs w:val="28"/>
          <w:rtl w:val="true"/>
          <w:lang w:bidi="fa-IR"/>
        </w:rPr>
        <w:t>.</w:t>
      </w:r>
    </w:p>
    <w:p>
      <w:pPr>
        <w:pStyle w:val="Heading6"/>
        <w:numPr>
          <w:ilvl w:val="5"/>
          <w:numId w:val="1"/>
        </w:numPr>
        <w:rPr/>
      </w:pPr>
      <w:bookmarkStart w:id="157" w:name="__RefHeading___Toc734771_3244359995"/>
      <w:bookmarkStart w:id="158" w:name="_Toc60"/>
      <w:bookmarkEnd w:id="157"/>
      <w:r>
        <w:rPr>
          <w:rtl w:val="true"/>
        </w:rPr>
        <w:t>الجهة الرابعة</w:t>
      </w:r>
      <w:r>
        <w:rPr>
          <w:rtl w:val="true"/>
        </w:rPr>
        <w:t xml:space="preserve">: </w:t>
      </w:r>
      <w:r>
        <w:rPr>
          <w:rtl w:val="true"/>
        </w:rPr>
        <w:t>و فیها مسائل ثلاث حول اختصاص الحدیث بمورد الامتنان</w:t>
      </w:r>
      <w:bookmarkEnd w:id="158"/>
    </w:p>
    <w:p>
      <w:pPr>
        <w:pStyle w:val="Heading6"/>
        <w:numPr>
          <w:ilvl w:val="5"/>
          <w:numId w:val="1"/>
        </w:numPr>
        <w:rPr/>
      </w:pPr>
      <w:bookmarkStart w:id="159" w:name="__RefHeading___Toc734773_3244359995"/>
      <w:bookmarkStart w:id="160" w:name="_Toc61"/>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قد اشتهر بین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الشریف مخصوص بموارد فیها المنّة؛ لظهور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المنّة علی الامّة اقتضت ذلک، فیدور الأمر مدار المنّة، و إلّا فلو کان فی الرفع ضیق لا سعة، فلا رفع بالضرورة، مثلا فی مورد الاضطرار إلی البیع إذا کان البیع باطلا، یلزم الضیق و هکذا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الکلام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الأمر دائر مدار المنّة سعة و ضیقا، عموما و إطلاقا، أم یکفی المنّة الإجمالیّة فی الرفع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المدار علی المنّة بالنسبة إلی المعنونین بالعناوین المذکورة فی الحدیث، أم لا بدّ و أن یکون فیه المنّة علیهم؛ علی وجه لا یستلزم الضیق علی سائر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الاضطرار إلی أکل مال الغیر، أو فی موارد الخطأ و النسیان فی الإتلاف، یرتفع الضمان الثابت حسب الإطلاقات، أم لا؛ لأنّ فی رفع ذلک ضیقا علی الآخرین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الرفع یدور مدار المنّة علی أنّها علّة تامّة، أم هی نکتة و حکمة التشریع، فلو لم یکن فی مورد رفع الجزئیة منّة علی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مرتبک من ذلک الرفع و یحزن؛ ضرورة أنّ فی الصلاة الناقصة الجزء، نقصان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یرفع الجزئیّة علی الإطلاق، أم یختصّ بغیر تلک الصورة؟</w:t>
      </w:r>
    </w:p>
    <w:p>
      <w:pPr>
        <w:pStyle w:val="BookText"/>
        <w:rPr/>
      </w:pPr>
      <w:r>
        <w:rPr>
          <w:rFonts w:ascii="IRNazanin" w:hAnsi="IRNazanin" w:eastAsia="IRNazanin"/>
          <w:color w:val="111111"/>
          <w:sz w:val="28"/>
          <w:sz w:val="28"/>
          <w:szCs w:val="28"/>
          <w:rtl w:val="true"/>
          <w:lang w:bidi="fa-IR"/>
        </w:rPr>
        <w:t xml:space="preserve">و هکذا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رفع التکلیف فی شهر رمضان منّة؛ لأنّ الابتلاء بالقضاء فی غیره یکون أصعب علیه، و لو کان تحمّل الصوم فی رمضان أیضا فیه المشقّة، و یکون وجوب الصوم ممّا لا یطیق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ثلاث مسائل، و قد اشتهر بین الأصحاب اعتبار المنّة، و یظهر منهم أنّها العلّة التامّة</w:t>
      </w:r>
      <w:r>
        <w:rPr>
          <w:rStyle w:val="FootnoteAnchor"/>
          <w:rtl w:val="true"/>
        </w:rPr>
        <w:footnoteReference w:id="193"/>
      </w:r>
      <w:r>
        <w:rPr>
          <w:rFonts w:ascii="IRNazanin" w:hAnsi="IRNazanin" w:eastAsia="IRNazanin"/>
          <w:color w:val="111111"/>
          <w:sz w:val="28"/>
          <w:sz w:val="28"/>
          <w:szCs w:val="28"/>
          <w:rtl w:val="true"/>
          <w:lang w:bidi="fa-IR"/>
        </w:rPr>
        <w:t xml:space="preserve">، و أیضا یظهر منهم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جمع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لا بدّ و أن یکون منّة علی الامّة، و لا یختصّ بالمعنونین بتلک العناوین فی الحدیث الشریف، و قد صرّح بعضهم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رفع المرتبة الاولی من التکلیف لامنّة فیه، فلا یرتفع</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کما مرّ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فی المسألة نفعا کثیرا، لا بأس بالإشارة الإجمالیّة إلی تلک المسائل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کون المنّة علّة تامّة؛ بمعنی أن یکون الرفع فی مورد انطباق العنوان، دائرا مدار کونه منّة علی الوجه المذکور، بل یکفی کونه منّة علی نوع المعنونین، مثلا فی رفع التکلیف فی شهر رمضان، أو رفع الجزئیّة و أمثالها، لا یعتبر کونه منّة فی کلّ مصداق، بل یکفی کونه منّة بحسب الطبع؛ لأنّ فیه التوسعة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یکفی أصل کونه توسعة علی العباد؛ و إن کان کثیر من الناس یقعون فی الضیق من هذه التوسعة، مثلا بناء علی جریان حدیث الرفع فی الشکّ فی المانعیّة فی المعاملات </w:t>
      </w:r>
      <w:r>
        <w:rPr>
          <w:rStyle w:val="FootnoteAnchor"/>
          <w:rtl w:val="true"/>
        </w:rPr>
        <w:footnoteReference w:id="198"/>
      </w:r>
      <w:r>
        <w:rPr>
          <w:rFonts w:ascii="IRNazanin" w:hAnsi="IRNazanin" w:eastAsia="IRNazanin"/>
          <w:color w:val="111111"/>
          <w:sz w:val="28"/>
          <w:sz w:val="28"/>
          <w:szCs w:val="28"/>
          <w:rtl w:val="true"/>
          <w:lang w:bidi="fa-IR"/>
        </w:rPr>
        <w:t>، تکون فیه التوسعة؛ لأنّ اعتبار مانعیّة شی‌ء یضرّ بصحّة</w:t>
      </w:r>
    </w:p>
    <w:p>
      <w:pPr>
        <w:pStyle w:val="BookText"/>
        <w:rPr/>
      </w:pPr>
      <w:r>
        <w:rPr>
          <w:rFonts w:ascii="IRNazanin" w:hAnsi="IRNazanin" w:eastAsia="IRNazanin"/>
          <w:color w:val="111111"/>
          <w:sz w:val="28"/>
          <w:sz w:val="28"/>
          <w:szCs w:val="28"/>
          <w:rtl w:val="true"/>
          <w:lang w:bidi="fa-IR"/>
        </w:rPr>
        <w:t>المعاملة، و فیه أحیانا أو کثیرا مشقّة و ضیق علی جماعة فی شخص تلک المعاملة التی فیها التوسعة علی الآخرین، فلا تعتبر المنّة، بل و لو لم تکن منّة، أو کان تضییق فی مثل المقام، یکفی لجریان حدیث الرفع أصل التوسعة علیهم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بعدم جریانه فی المانعیّة، أو فی أصل تصویر المانعیّة فی المرکّبات، أو فی عدم أثر فی جریانه فیها؛ للمثبتیّة، کلّه مختلف فیه، و خارج عن الجهة المبحوث عنها؛ لأنّه لو کان سبیل لحلّ الإشکالات المشار إلیها یلزم علی القول بأنّ الامتنان علّة دائر مدارها الرفع و عدمه التفصیل، فیکون التکلیف أو الجزئیّة مرفوعا فی مورد، و غیر مرفوع فی مورد آخر، و الالتزام به غیر بعید فی ذاته، إلّا أنّه غیر صحیح إنصافا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لا تکون فی رفع المانعیّة فی الصلاة منّة؛ إذا کان لا یجزئ المأتیّ به عن المأمور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موارد الرفع، یکون المرفوع نفس الإلزام المجهول؛ لأنّ فی رفع أصل التکلیف لیس منّة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یرفع إلّا إیجاب الاحتیاط؛ لأنّ رفع التکلیف الفعلیّ لیس مورد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الجهة الثالثة بما لا مزید علیه،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یتجزّأ التکلیف حسب الامتنان، فیکون بمقدار المنّة التکلیف مرفوعا، فاللزوم مرفوع، دون أصل الحکم؟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وجود الأمر الندبیّ و الطلب الاستحبابیّ فی موارد الرفع، فإذا کان صوم رمضان ممّا لا یطیقه، أو القیام للصلاة أو الوضوء فی الشتاء ممّا لا یطیقه المکلّف، یکون المرفوع المرتبة العلیا من الإرادة الشدیدة، أو الإلزام الحاصل من</w:t>
      </w:r>
    </w:p>
    <w:p>
      <w:pPr>
        <w:pStyle w:val="BookText"/>
        <w:rPr/>
      </w:pPr>
      <w:r>
        <w:rPr>
          <w:rFonts w:ascii="IRNazanin" w:hAnsi="IRNazanin" w:eastAsia="IRNazanin"/>
          <w:color w:val="111111"/>
          <w:sz w:val="28"/>
          <w:sz w:val="28"/>
          <w:szCs w:val="28"/>
          <w:rtl w:val="true"/>
          <w:lang w:bidi="fa-IR"/>
        </w:rPr>
        <w:t>البعث و الزجر، دون أصل البعث و الزجر و الطلب،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المرفوع تمام التکلیف و الإرادة؛ لکفایة الامتنان المستند إلی الوجوب و الحرمة لرفع التکلیف؟</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موارد الشکّ فی الاستحباب و الکراهة، لا موجب للتمسّک به؛ لما لا منّة، کذلک فیما نحن فیه لامنّة فی رفع تمام مراتب الکلفة، بل یکفی رفع الإلزام النفسیّ أو الغیریّ و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مقتضی العقل امتناع التجزئة؛ من غیر فرق بین کون المتجزّئ نفس الإرادة، أو البعث، فإنّ الثانی بسیط واضح المنع، و الاولی جزئیّة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الإرادة الشدیدة قابلة لرفع شدّتها، لما کان وجه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الأحکام متضادّة بالأسر</w:t>
      </w:r>
      <w:r>
        <w:rPr>
          <w:rStyle w:val="FootnoteAnchor"/>
          <w:rtl w:val="true"/>
        </w:rPr>
        <w:footnoteReference w:id="200"/>
      </w:r>
      <w:r>
        <w:rPr>
          <w:rFonts w:ascii="IRNazanin" w:hAnsi="IRNazanin" w:eastAsia="IRNazanin"/>
          <w:color w:val="111111"/>
          <w:sz w:val="28"/>
          <w:sz w:val="28"/>
          <w:szCs w:val="28"/>
          <w:rtl w:val="true"/>
          <w:lang w:bidi="fa-IR"/>
        </w:rPr>
        <w:t>إمّا بالذات، أو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یعلم امتناع کون المرفوع شدّة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قلنا فی حدیث رفع القلم ببطلان عبادة الصبیّ </w:t>
      </w:r>
      <w:r>
        <w:rPr>
          <w:rStyle w:val="FootnoteAnchor"/>
          <w:rtl w:val="true"/>
        </w:rPr>
        <w:footnoteReference w:id="201"/>
      </w:r>
      <w:r>
        <w:rPr>
          <w:rFonts w:ascii="IRNazanin" w:hAnsi="IRNazanin" w:eastAsia="IRNazanin"/>
          <w:color w:val="111111"/>
          <w:sz w:val="28"/>
          <w:sz w:val="28"/>
          <w:szCs w:val="28"/>
          <w:rtl w:val="true"/>
          <w:lang w:bidi="fa-IR"/>
        </w:rPr>
        <w:t>، و إنّها لو کانت صحیحة فهی لأجل الجهة الاخری المحرّرة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الأمر بالأمر بالشی‌ء، أمر بذلک الشی‌ء، أو یکفی أصل المطلوبیّة الذاتیّة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یقتضیه فهم العرف و العقلاء؛ هو أنّ المرفوع یختصّ بما فیه الامتنان، و لا معنی لرفع التکلیف علی وجه لو أتی المکلّف بالمکلّف به، یکون مستحقّا للعقوبة؛ لأجل التشریع، کما فی الأمثلة المذکورة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التخلّص من هذه العویصة؛ و ذلک یمکن لأجل ما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و الاستحباب الاعتباریّین، یعتبران من البعث بلا قرینة علی</w:t>
      </w:r>
    </w:p>
    <w:p>
      <w:pPr>
        <w:pStyle w:val="BookText"/>
        <w:rPr/>
      </w:pPr>
      <w:r>
        <w:rPr>
          <w:rFonts w:ascii="IRNazanin" w:hAnsi="IRNazanin" w:eastAsia="IRNazanin"/>
          <w:color w:val="111111"/>
          <w:sz w:val="28"/>
          <w:sz w:val="28"/>
          <w:szCs w:val="28"/>
          <w:rtl w:val="true"/>
          <w:lang w:bidi="fa-IR"/>
        </w:rPr>
        <w:t xml:space="preserve">الترخیص، و من البعث المقرون بالترخیص </w:t>
      </w:r>
      <w:r>
        <w:rPr>
          <w:rStyle w:val="FootnoteAnchor"/>
          <w:rtl w:val="true"/>
        </w:rPr>
        <w:footnoteReference w:id="203"/>
      </w:r>
      <w:r>
        <w:rPr>
          <w:rFonts w:ascii="IRNazanin" w:hAnsi="IRNazanin" w:eastAsia="IRNazanin"/>
          <w:color w:val="111111"/>
          <w:sz w:val="28"/>
          <w:sz w:val="28"/>
          <w:szCs w:val="28"/>
          <w:rtl w:val="true"/>
          <w:lang w:bidi="fa-IR"/>
        </w:rPr>
        <w:t>، و أمّا إرادة البعث إلی شی‌ء أو الزجر عن الشی‌ء، فهی و إن کانت تختلف شدّة و ضعفا حسب مراتب المبادئ و المحبوبیّة و المبغوضیّة، إلّا أنّ فی ناحیته تعالی و تقدّس، لا یکون الرفع إلّا قرینة علی عدم وجود الشدیدة منها فی مورد حدیث الرفع، و فی مواضع انطباق عناوینه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الذی لا محیص عنه 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الأدلّة الخاصّة الناهضة فی الفقه فی موارد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حدیث الرفع قرینة علی أنّ فی موارد عدم الطاقة، لا یکون الفعل فیها تشریعا، و فی موارد الاستکراه لا یکون البیع الإنشائیّ ساقطا عن القابلیّة للحوق الإجازة، و فی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محلّ للإتیان الرجائیّ؛ فإنّ المرفوع هو الإلزام، دون أصل المطلوبیّة 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الرفع المستند إلی الموصولات مثلا، یقتضی ارتفاع الکلّ بعد کون الامتنان حکمة التشریع، مندفع؛ بأنّ الحکمة تصلح لصرفه إلی ما ذکرناه بعد شهادة العرف القطعیّة بذلک،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الرفع لو کان قرینة علی عدم الوضع من الأوّل علی وجه الکلفة، فلا رفع، فقد مرّ ما فیه؛ فإنّ إمکان الالتزام بالتکلیف الواقعیّ فی موارده، کاف لذلک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حدیث الرفع فی مقام الامتنان ممنوع؛ لما لا دلیل علیه لفظا، فاستظهار شی‌ء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الرفع، غیر جائز، و الذی هو القدر المسلّم أنّ حدیث الرفع جی‌ء به للتوسعة علی هذه الطوائف، سواء کان فی تلک السعة امتنان و منّة عرفا و صدقا،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الضیق الممکن اعتباره بالأدلّة الأوّلیة أو بالجعل الثانویّ بالنسبة إلی سائر الامم، مرتفع عن هذه الامّة، فلا ضیق من ناحیة النسیان و سائر الجمل، فطبعا تکون الامّة الإسلامیّة فی السعة؛ برفع هذا الضیق الممکن إحداثه، فما اشتهر من حدیث الامتنان؛ و لحاظ المنّة فی موارد الرفع </w:t>
      </w:r>
      <w:r>
        <w:rPr>
          <w:rStyle w:val="FootnoteAnchor"/>
          <w:rtl w:val="true"/>
        </w:rPr>
        <w:footnoteReference w:id="205"/>
      </w:r>
      <w:r>
        <w:rPr>
          <w:rFonts w:ascii="IRNazanin" w:hAnsi="IRNazanin" w:eastAsia="IRNazanin"/>
          <w:color w:val="111111"/>
          <w:sz w:val="28"/>
          <w:sz w:val="28"/>
          <w:szCs w:val="28"/>
          <w:rtl w:val="true"/>
          <w:lang w:bidi="fa-IR"/>
        </w:rPr>
        <w:t>، غیر قابل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ذکرناه یکون الحکم الإیجابیّ مرفوعا إیجابه، دون أصل الحکم فی الاعتبار؛ لما لا سعة فی رفعه، بخلاف الحکم التحریمیّ، فإنّ المرفوع فیه نفس الحکم؛ لما فی رفع المرتبة الناقصة أیضا سعة، و لذلک لا بأس بجریان حدیث الرفع فی مشتبه الکراهة، دون مشتبه الندب؛ ضرورة أنّ رفع الکراهة یلازم عدم تلوّث العبد بمنقصة الکراهة، فهو منّة و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المنقصة لا تتبع النهی، غیر مساعد مع المذهب الذی علیه العدلیّة و المتشرّعة،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الإلزام حتّی فی الشبهة التحریمیّة</w:t>
      </w:r>
      <w:r>
        <w:rPr>
          <w:rStyle w:val="FootnoteAnchor"/>
          <w:rtl w:val="true"/>
        </w:rPr>
        <w:footnoteReference w:id="206"/>
      </w:r>
      <w:r>
        <w:rPr>
          <w:rFonts w:ascii="Amiri" w:hAnsi="Amiri" w:eastAsia="Amiri" w:cs="Amiri"/>
          <w:color w:val="111111"/>
          <w:sz w:val="28"/>
          <w:sz w:val="28"/>
          <w:szCs w:val="28"/>
          <w:rtl w:val="true"/>
          <w:lang w:bidi="ar-SA"/>
        </w:rPr>
        <w:t>، غیر تامّ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منعوا جریان حدیث الرفع إذا کان فی جریانه الضیق علی الامّة</w:t>
      </w:r>
      <w:r>
        <w:rPr>
          <w:rStyle w:val="FootnoteAnchor"/>
          <w:rtl w:val="true"/>
        </w:rPr>
        <w:footnoteReference w:id="207"/>
      </w:r>
      <w:r>
        <w:rPr>
          <w:rFonts w:ascii="IRNazanin" w:hAnsi="IRNazanin" w:eastAsia="IRNazanin"/>
          <w:color w:val="111111"/>
          <w:sz w:val="28"/>
          <w:sz w:val="28"/>
          <w:szCs w:val="28"/>
          <w:rtl w:val="true"/>
          <w:lang w:bidi="fa-IR"/>
        </w:rPr>
        <w:t xml:space="preserve">، و هذا فی الجملة ممّا لا إشکال فیه، کما إذا قلنا بجریانه فی الأحکام الوضعیّة، و أنّ المرفوع مطلق الآثار، و أنّ النتیجة هی التقیید مطلقا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نسوا بالنسبة إلی الأحکام الکلّیة و الجزئیّة، فإنّه لا یرفع صحّة البیع الاضطراریّ؛ لما فیه من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منعهم جریانه بالقیاس إلی سائر الاصناف غیر المبتلین بهذه العناوین و الذین هم غیر معنونین بعناوینه، کما إذا اکره علی إتلاف ما الغیر فأتلف، أو اضطرّ إلی إصلاح بیته المنتهی إلی تلف مال الغیر، فهو أیضا لأجل توهّمهم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الشریف فیه الامتنان علی الامّة، و لا امتنان فی هذا الرفع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التعلیل فاسد بالضرورة؛ فإنّ الامتنان مراعی بالقیاس إلی المعنونین بتلک العناوین، فمن اضطرّ إلی إصلاح داره، یکون فی رفع التصرّف المنتهی إلی فساد دار جاره، امتنان علیه، و أمّا جاره فهو لیس مندرجا فی هذه العناوین، فالمنّة و لو کانت معتبرة فهی بالقیاس إلیهم،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جاریا للزم ممنوعیّته من التصرّف مطلقا، و یکون هو حراما علیه، مع أنّ الضرورة تقضی بجوازه تکلیفا؛ و لو کان یجب علیه جبران خساره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المناط رفع الأشیاء المذکورة بالنظر إلی الضیق، لا بالنظر إلی الامتنان، و کانت تکفی السعة لجریانه، و هذا بلا إشکال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مع الجبران سعة علی المضطرّ، و لیس ضیقا علی الجار و إن لم یکن منّة علیه أیضا، فإنّه لا تعتبر المنّة، کما عرفت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إنکار جریانه بالنسبة إلی الأحکام الوضعیّة، و لو کان ممکنا بالنسبة لما یمکن الالتزام بتبعاته، و لکن مجرّد الإمکان غیر کاف بعد الإطلاق المزبور، و لا سیّما بالنسبة إلی الکفّارات، و خصوصا بعد تمسّکه علیه السّلام فی الروایة التی مرّت فی مسألة الحلف علی الطلاق استکراها، بناء علی کونها تامّة سندا و دلالة، و قد مرّ</w:t>
      </w:r>
      <w:bookmarkStart w:id="161" w:name="pg13173_324744"/>
    </w:p>
    <w:p>
      <w:pPr>
        <w:pStyle w:val="BookText"/>
        <w:rPr/>
      </w:pPr>
      <w:bookmarkEnd w:id="161"/>
      <w:r>
        <w:rPr>
          <w:rFonts w:ascii="IRNazanin" w:hAnsi="IRNazanin" w:eastAsia="IRNazanin"/>
          <w:color w:val="111111"/>
          <w:sz w:val="28"/>
          <w:sz w:val="28"/>
          <w:szCs w:val="28"/>
          <w:rtl w:val="true"/>
          <w:lang w:bidi="fa-IR"/>
        </w:rPr>
        <w:t>ما فیها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یمکن حلّ هذه المشکلة؛ بدعوی الالتزام بعدم ضمانه فی إتلاف مال الغیر؟</w:t>
      </w:r>
    </w:p>
    <w:p>
      <w:pPr>
        <w:pStyle w:val="BookText"/>
        <w:rPr/>
      </w:pPr>
      <w:r>
        <w:rPr>
          <w:rFonts w:ascii="IRNazanin" w:hAnsi="IRNazanin" w:eastAsia="IRNazanin"/>
          <w:color w:val="111111"/>
          <w:sz w:val="28"/>
          <w:sz w:val="28"/>
          <w:szCs w:val="28"/>
          <w:rtl w:val="true"/>
          <w:lang w:bidi="fa-IR"/>
        </w:rPr>
        <w:t>و لو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مورد الاضطرار هو التصرّف فی داره، و أمّا أنّه بلا جبران خسارة تتوجّه إلی جاره، فهو ممنوع؛ لکونه خارجا عن مصبّ الاضطرار، فالحکم التکلیفیّ مرفوع، دون الضمان، لما أمکن ذلک فی مثل الإکراه علی التلف و الإتلاف، فإنّ مورد الاستکراه هو الإتلاف، فإذا رفع فلا بدّ أن یرتفع الضمان؛ لأنّه أظهر آثار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یلزم بناء علیه، وجوب الکفّارة فی الإکراه علی الکذب علی اللّه فی شهر رمضان؛ لأنّ ما هو مورد الإکراه هو الکذب المحرّم، دون الوضع الآخر المترتّب علیه؛ و هی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بالأدلّة الاخر غیر صحیح؛ لأنّ البحث حول سعة دائرة حدیث الرفع حسب الأصل و القاعدة، دون ما هو المفتی به عند الأصحاب؛ للأدلّة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العلّامة النائینیّ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حدیث الرفع لا یجری فی مثل الکفّارات المترتّبة علی العمد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فی غیر محلّه؛ لأنّه بحث و تنبیه غیر محتاج إلیه فیما هو الجهة المبحوث عنها هنا، فلا تغفل</w:t>
      </w:r>
      <w:r>
        <w:rPr>
          <w:rFonts w:eastAsia="IRNazanin" w:cs="IRNazanin"/>
          <w:color w:val="111111"/>
          <w:sz w:val="28"/>
          <w:szCs w:val="28"/>
          <w:rtl w:val="true"/>
          <w:lang w:bidi="fa-IR"/>
        </w:rPr>
        <w:t>.</w:t>
      </w:r>
    </w:p>
    <w:p>
      <w:pPr>
        <w:pStyle w:val="Heading6"/>
        <w:numPr>
          <w:ilvl w:val="5"/>
          <w:numId w:val="1"/>
        </w:numPr>
        <w:rPr/>
      </w:pPr>
      <w:bookmarkStart w:id="162" w:name="__RefHeading___Toc734775_3244359995"/>
      <w:bookmarkStart w:id="163" w:name="_Toc62"/>
      <w:bookmarkEnd w:id="162"/>
      <w:r>
        <w:rPr>
          <w:rtl w:val="true"/>
        </w:rPr>
        <w:t>إیقاظ</w:t>
      </w:r>
      <w:r>
        <w:rPr>
          <w:rtl w:val="true"/>
        </w:rPr>
        <w:t xml:space="preserve">: </w:t>
      </w:r>
      <w:r>
        <w:rPr>
          <w:rtl w:val="true"/>
        </w:rPr>
        <w:t>حول جواب إشکال ارتفاع الضمان عند الإتلاف و نحوه</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یمکن توهّم حلّ هذه المشکلة؛ من جهة أنّ التکالیف المنطبقة علیها عناوین هذا الحدیث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منها یکون دفعیّ الامتثال و العصیان، مثل ردّ الجواب، و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یعتبر لها البقاء کالوضعیّات، أو یکون من الموقّتات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القسم الأوّل، فطروّ الاضطرار و الاستکراه یوجب رفع التکلیف، و بعد زوال العنوان الطارئ، لا یبقی محلّ لعود التکلیف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فطروّ العناوین فی بعض الوقت، لا یوجب الرفع فی مطلق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طرأ فی مطلق الوقت، فیرفع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طروّ تلک العناوین علی الوضعیّات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کالإتلاف، و القتل، و التنجیس،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رفع شی‌ء فیها، إلّا الامور التکلیفیّة من الحرمة، أو الوجوب مثلا، و أمّا أصل الوضع فلا منّة فی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التکالیف المترتبة علی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جبران الخسارة، أو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مرفوعة ما دامت العناوین منطبقة، و إذا زالت العناوین فتعود التکالیف المترتّبة علی الوضع؛ لأنّه الباقی بحسب الواقع؛ لما لا منّة فی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اکره علی إتلاف مال الغیر، أو نسی و أتلف مال الغیر، فحرمة التصرّف و التضییع و التبذیر و الإسراف مرفوعة، و أمّا الضمان فلا یرفع؛ لما لا منّة فی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رفع الضمان؛ و أداء مال الغیر بالمثل أو القیمة، فهو أیضا مرفوع مادام الاضطرار، فإذا زال الاضطرار فالتکالیف الأوّلیة لا محلّ لعودها؛ لأنّها من القسم الأوّل، و أمّا الوضعیّات فهی من القسم الثانی، فإذا زال العنوان الطارئ یکون الضمان باقیا؛ لأنّ الوضع یعتبر له البقاء فی حدّ ذاته، فإذن عاد وجوب الجبران، و هکذا فی نسیان الإتلاف، و ملاقاة النجاسة، و غیر 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الثمرة بعد انحلال الإشکال؛ فی أنّ من یلاقی ملاقی النجس فی حال النسیان، یکون نجسا، و یجب علیه الاجتناب، بخلاف نفس الناسی، فإنّه لا یجب علیه شی‌ء بالنسبة إلی أکل النجس، و لا بالنسبة إلی ملاقی ما أکله، و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و إن کان لا بأس به فی الجملة، إلّا أنّ الالتزام به مشکل فی بعض الفروض، مثلا لو اضطرّ إلی أکل مال الغیر، و استمرّ اضطراره فی برهة من الزمان، و کان متمکّنا من الجبران، و طلب المالک جبران خسارته، فإنّ رفع وجوب الجبران بحدیث الرفع، ممّا لا یلتزم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بالنسبة إلی النجاسة فی الاستکراه علی أکل النجس، مع دوام الاستکراه مثلا لو اکره علی أکل النجس، أو اضطرّ إلیه، و لا یکون مضطرّا إلی شرب الماء فی أثناء الإکراه و الاضطرار، فإنّ قضیّة نجاسة فمه، حرمة شرب الماء قبل التطهیر، و مقتضی البیان المذکور جوازه؛ لارتفاع حرمة شرب النجس مادام الإکراه و الاضطرار باقیا، مع أنّ الالتزام به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رفع الضمان یمکن الالتزام بأنّ الضمان بما هو هو، لیس مرفوعا؛ لما لا سعة فی رفعه، بل السعة فی رفع وجوب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المذکور یندفع؛ لأجل أنّ الإکراه علی إتلاف أموال زید، ینحلّ إلی الإکراهات، فإذا أتلف مثلا مواشیّه یرتفع الإکراه بالنسبة إلیه، و یجب الجبران، و أمّا بالنسبة إلی سائر الأموال، فلا إتلاف بعد حتّی یضمن، فإذا أتلف غلّاته فهکذا، فإکراه السلطان عمرا علی إتلاف أموال زید، ینحلّ إلی الإکراهات، فلا یتوجّه الإشکال المذکور إلی مسألتنا هذه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کلام العلّامة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حدیث الرفع لا یشمل رفع النجاسة و الجنابة؛ لأنّهما من الامور الواقعیّة المنکشفة بکشف الشرع، فلا تناله ید الوضع، و لا الرفع</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 xml:space="preserve">لا یفید هنا، مع أنّه غیر تامّ، کما تحرّر فی محلّه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64" w:name="pg13173_324747"/>
    </w:p>
    <w:p>
      <w:pPr>
        <w:pStyle w:val="Heading6"/>
        <w:numPr>
          <w:ilvl w:val="5"/>
          <w:numId w:val="1"/>
        </w:numPr>
        <w:rPr/>
      </w:pPr>
      <w:bookmarkStart w:id="165" w:name="__RefHeading___Toc734777_3244359995"/>
      <w:bookmarkStart w:id="166" w:name="_Toc63"/>
      <w:bookmarkEnd w:id="164"/>
      <w:bookmarkEnd w:id="165"/>
      <w:r>
        <w:rPr>
          <w:rtl w:val="true"/>
        </w:rPr>
        <w:t>وهم و دفع</w:t>
      </w:r>
      <w:bookmarkEnd w:id="166"/>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الوضعیّة إن کانت ثابتة بالإطلاق، فترتفع بالحدیث، و إن کانت ثابتة علی الإطلاق فلا ترتفع به، و الجنابة و النجاسة ثابتة علی الإطلاق؛ أی ثابتة سواء تحقّقت عن إکراه و اضطرار، أو غیرهما، فعلیه تکون حرمة الشرب فی المثال المذکور غیر مرفوعة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بأس به تصوّرا، و لکن لا دلیل علیه تصدیقا؛ لأنّ ما یثبت به الجزئیّة و الشرطیّة و المانعیّة و غیرها، ثبت به النجاسة و الجنابة؛ و هو الإطلاق، و لا دلیل علی ثبوتهما علی الإطلاق إلّا مساعدة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فصّل جمع من المتأخّرین فی نجاسة الملاقی بین الوسائط القلیلة و الکثیرة؛ معلّلین بفقد الإطلاق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الوضع لیس فیه التوسعة بما هو هو، بل التوسعة فیه باعتبار الحکم المترتّب علیه، و لو کان الوضع مرفوعا حال النسیان و الجهالة، أو حال الإکراه و الاضطرار، للزم جواز الاقتداء و الاستئجار و جواز شرب الملاقی، لغیر المعنونین بالعناوین المذکورة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أمکن الالتزام بذلک فی الأمثلة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لبعض الجهات الاخر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الالتزام به فی المثال الأخیر، کما لا یخفی</w:t>
      </w:r>
      <w:r>
        <w:rPr>
          <w:rFonts w:eastAsia="IRNazanin" w:cs="IRNazanin"/>
          <w:color w:val="111111"/>
          <w:sz w:val="28"/>
          <w:szCs w:val="28"/>
          <w:rtl w:val="true"/>
          <w:lang w:bidi="fa-IR"/>
        </w:rPr>
        <w:t>.</w:t>
      </w:r>
      <w:bookmarkStart w:id="167" w:name="pg13173_324748"/>
    </w:p>
    <w:p>
      <w:pPr>
        <w:pStyle w:val="Heading6"/>
        <w:numPr>
          <w:ilvl w:val="5"/>
          <w:numId w:val="1"/>
        </w:numPr>
        <w:rPr/>
      </w:pPr>
      <w:bookmarkStart w:id="168" w:name="__RefHeading___Toc734779_3244359995"/>
      <w:bookmarkStart w:id="169" w:name="_Toc64"/>
      <w:bookmarkEnd w:id="167"/>
      <w:bookmarkEnd w:id="168"/>
      <w:r>
        <w:rPr>
          <w:rtl w:val="true"/>
        </w:rPr>
        <w:t>توضیح و توجیه</w:t>
      </w:r>
      <w:r>
        <w:rPr>
          <w:rtl w:val="true"/>
        </w:rPr>
        <w:t xml:space="preserve">: </w:t>
      </w:r>
      <w:r>
        <w:rPr>
          <w:rtl w:val="true"/>
        </w:rPr>
        <w:t>حول دوران الرفع مدار العناوین التسعة فی حدیث الرفع</w:t>
      </w:r>
      <w:bookmarkEnd w:id="169"/>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ظاهر الحدیث، اختصاص التوسعة بالمعنونین، دون غیرهم </w:t>
      </w:r>
      <w:r>
        <w:rPr>
          <w:rStyle w:val="FootnoteAnchor"/>
          <w:rtl w:val="true"/>
        </w:rPr>
        <w:footnoteReference w:id="215"/>
      </w:r>
      <w:r>
        <w:rPr>
          <w:rFonts w:ascii="IRNazanin" w:hAnsi="IRNazanin" w:eastAsia="IRNazanin"/>
          <w:color w:val="111111"/>
          <w:sz w:val="28"/>
          <w:sz w:val="28"/>
          <w:szCs w:val="28"/>
          <w:rtl w:val="true"/>
          <w:lang w:bidi="fa-IR"/>
        </w:rPr>
        <w:t>، و أنّ فی الامة السالفة کان علیهم تضییق، فارتفع بالنسبة إلیهم فی هذه الامّة و لو کان یلزم تضییق علی غیرهم أحیانا؛ لأنّ ذلک التضییق الأحیانیّ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تلک التوسعة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شیئا یعتنی به فی ضرب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قضیّة البیان المذکور، اختصاص التوسعة بهم فی تلک الأحوال الخاصّة، و إذا زالت الحالات المذکورة فلا سعة علیهم، کما لا سعة علی الذاکرین و العامدین و القادرین و العالمین، فعلیه إن قلنا بارتفاع الضمان مثلا أو النجاسة حال الاضطرار، فلا وجه لاعتبار الضمان و النجاسة بعد الرفع، فیلزم أن یکون مال الغیر هدرا فی الأمثلة السابقة،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ارتفعت النجاسة حال النسیان و الخطأ، مع أنّه لا سعة علیهم فی رفعها إذا کان الحکم المترتّب علیها مرفوعا فی خصوص تلک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ارتفاع أمثال هذه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المحذور المذکور؛ لعود الأحکام المترتّبة علیها، لبقاء موضوعها، و لا یلزم اللغوّیة بعد جواز عودها،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الضیق بعد زوال تلک الأحوال، ناشئ عن عدم رفع تلک الموضوعات الوضعیّة، و الحدیث ناظر إلی التوسعة علی الإطلاق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فاسد؛ لأنّ الحدیث فی مقام التوسعة علی الامّة فی تلک الأحوال، و هی حاصلة، و ما لا یکون حاصلا هو السعة بعد زوالها، و هو غیر لازم بالضرورة، و لأجل ذلک یستظهر من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المذکورة فی حکم العلّة،</w:t>
      </w:r>
      <w:bookmarkStart w:id="170" w:name="pg13173_324749"/>
    </w:p>
    <w:p>
      <w:pPr>
        <w:pStyle w:val="BookText"/>
        <w:rPr/>
      </w:pPr>
      <w:bookmarkEnd w:id="170"/>
      <w:r>
        <w:rPr>
          <w:rFonts w:ascii="IRNazanin" w:hAnsi="IRNazanin" w:eastAsia="IRNazanin"/>
          <w:color w:val="111111"/>
          <w:sz w:val="28"/>
          <w:sz w:val="28"/>
          <w:szCs w:val="28"/>
          <w:rtl w:val="true"/>
          <w:lang w:bidi="fa-IR"/>
        </w:rPr>
        <w:t>و أنّ الرفع دائر مدارها، و القول ببقاء الرفع بعد زوالها غیر صحیح، فالقول بارتفاع الضمان و النجاسة غیر تامّ؛ لما یلزم من التوسعة علیهم بعد زوال العناوین المذکورة، و هو غیر مقصود فی الحدیث الشریف،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بعض الإشکالات کما مرّ</w:t>
      </w:r>
      <w:r>
        <w:rPr>
          <w:rStyle w:val="FootnoteAnchor"/>
          <w:rtl w:val="true"/>
        </w:rPr>
        <w:footnoteReference w:id="216"/>
      </w:r>
      <w:r>
        <w:rPr>
          <w:rFonts w:ascii="IRNazanin" w:hAnsi="IRNazanin" w:eastAsia="IRNazanin"/>
          <w:color w:val="111111"/>
          <w:sz w:val="28"/>
          <w:sz w:val="28"/>
          <w:szCs w:val="28"/>
          <w:rtl w:val="true"/>
          <w:lang w:bidi="fa-IR"/>
        </w:rPr>
        <w:t>، لکان لهذا البیان حول مشکلة الحدیث أهمّیة خاصّة، و إن خفی علیهم</w:t>
      </w:r>
      <w:r>
        <w:rPr>
          <w:rFonts w:eastAsia="IRNazanin" w:cs="IRNazanin"/>
          <w:color w:val="111111"/>
          <w:sz w:val="28"/>
          <w:szCs w:val="28"/>
          <w:rtl w:val="true"/>
          <w:lang w:bidi="fa-IR"/>
        </w:rPr>
        <w:t>.</w:t>
      </w:r>
    </w:p>
    <w:p>
      <w:pPr>
        <w:pStyle w:val="Heading6"/>
        <w:numPr>
          <w:ilvl w:val="5"/>
          <w:numId w:val="1"/>
        </w:numPr>
        <w:rPr/>
      </w:pPr>
      <w:bookmarkStart w:id="171" w:name="__RefHeading___Toc734781_3244359995"/>
      <w:bookmarkStart w:id="172" w:name="_Toc65"/>
      <w:bookmarkEnd w:id="171"/>
      <w:r>
        <w:rPr>
          <w:rtl w:val="true"/>
        </w:rPr>
        <w:t>تحقیق بدیع</w:t>
      </w:r>
      <w:r>
        <w:rPr>
          <w:rtl w:val="true"/>
        </w:rPr>
        <w:t xml:space="preserve">: </w:t>
      </w:r>
      <w:r>
        <w:rPr>
          <w:rtl w:val="true"/>
        </w:rPr>
        <w:t>فی جواب إشکال الالتزام برفع مطلق الآثار</w:t>
      </w:r>
      <w:bookmarkEnd w:id="172"/>
    </w:p>
    <w:p>
      <w:pPr>
        <w:pStyle w:val="BookText"/>
        <w:rPr/>
      </w:pPr>
      <w:r>
        <w:rPr>
          <w:rFonts w:ascii="IRNazanin" w:hAnsi="IRNazanin" w:eastAsia="IRNazanin"/>
          <w:color w:val="111111"/>
          <w:sz w:val="28"/>
          <w:sz w:val="28"/>
          <w:szCs w:val="28"/>
          <w:rtl w:val="true"/>
          <w:lang w:bidi="fa-IR"/>
        </w:rPr>
        <w:t>قد انجرّ ذیل البحث من هذه المسألة إلی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برفع مطلق الآثار یستتبع المشکلة، کما عرفت فی مثل الإکراه علی الجنابة، و الاضطرار إلی أکل النجس، و نسیان شرب المتنجّس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فی نفسی حلّ المشکلة فی مسألة الضمان و الإکراه علی الإتلاف؛ بأن نقول فی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لا یشمل إلّا الأحکام التأسیسیّة الإسلامیّة؛ و الأحکام التشریعیّة الإلهیّة، دون الإمضائیّة التی هی أحکام عرفیّة عقلائیّة، لا یکون التضییق مستندا فیها إلی الإسلام حتّی یرفعها الحدیث الشریف، کما احتملنا ذلک فی قاعدة نفی الحرج و الضرر</w:t>
      </w:r>
      <w:r>
        <w:rPr>
          <w:rStyle w:val="FootnoteAnchor"/>
          <w:rtl w:val="true"/>
        </w:rPr>
        <w:footnoteReference w:id="218"/>
      </w:r>
      <w:r>
        <w:rPr>
          <w:rFonts w:ascii="IRNazanin" w:hAnsi="IRNazanin" w:eastAsia="IRNazanin"/>
          <w:color w:val="111111"/>
          <w:sz w:val="28"/>
          <w:sz w:val="28"/>
          <w:szCs w:val="28"/>
          <w:rtl w:val="true"/>
          <w:lang w:bidi="fa-IR"/>
        </w:rPr>
        <w:t xml:space="preserve">، و فی باب الشرط المخالف للکتاب </w:t>
      </w:r>
      <w:r>
        <w:rPr>
          <w:rStyle w:val="FootnoteAnchor"/>
          <w:rtl w:val="true"/>
        </w:rPr>
        <w:footnoteReference w:id="219"/>
      </w:r>
      <w:r>
        <w:rPr>
          <w:rFonts w:ascii="IRNazanin" w:hAnsi="IRNazanin" w:eastAsia="IRNazanin"/>
          <w:color w:val="111111"/>
          <w:sz w:val="28"/>
          <w:sz w:val="28"/>
          <w:szCs w:val="28"/>
          <w:rtl w:val="true"/>
          <w:lang w:bidi="fa-IR"/>
        </w:rPr>
        <w:t>، فإنّه علی هذا یلزم التفصیل، و یکون الضمان ثابتا، و وجوب الجبران غیر مرفوع و هکذا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مثل الإکراه علی الجنابة، و الاضطرار إلی أکل النجس، یکون وجوب الغسل الشرطیّ و حرمة أکل النجس و شربه، حکمین تأسیسیّین 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الغسل الشرطیّ فی توسعة الوقت، غیر مرفوع، و فی الضیق یتبدّل التکلیف إلی الترابیّة</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یجوز التأخیر إلی التضییق؛ حسبما هو مورد الفتوی </w:t>
      </w:r>
      <w:r>
        <w:rPr>
          <w:rStyle w:val="FootnoteAnchor"/>
          <w:rtl w:val="true"/>
        </w:rPr>
        <w:footnoteReference w:id="221"/>
      </w:r>
      <w:r>
        <w:rPr>
          <w:rFonts w:ascii="IRNazanin" w:hAnsi="IRNazanin" w:eastAsia="IRNazanin"/>
          <w:color w:val="111111"/>
          <w:sz w:val="28"/>
          <w:sz w:val="28"/>
          <w:szCs w:val="28"/>
          <w:rtl w:val="true"/>
          <w:lang w:bidi="fa-IR"/>
        </w:rPr>
        <w:t>، فلو کان الوجوب مرفوعا فی مقدار من الزمان المتعیّن فیه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یبتلی المکلّف بالعصیان و العقاب،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یمکن حلّ المشکلة علی وجه یکون المرفوع مطلق الآثار، سواء کان النظر إلی التوسعة علی الامّة، أو علی المعنونین بتلک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حلّ المشکلة بالنسبة إلی الضمان فی الأمثلة السابقة؛ إذا کان النظر إلی التوسعة علی المعنونین خاصّة بالبیان الأخیر، و لکن لا یمکن حلّها بالنسبة إلی مطلق الآثار إلّا بدعوی عدم جریان الحدیث رأسا بالنسبة إلی الأحکام الوضعیّة</w:t>
      </w:r>
      <w:r>
        <w:rPr>
          <w:rStyle w:val="FootnoteAnchor"/>
          <w:rtl w:val="true"/>
        </w:rPr>
        <w:footnoteReference w:id="222"/>
      </w:r>
      <w:r>
        <w:rPr>
          <w:rFonts w:ascii="IRNazanin" w:hAnsi="IRNazanin" w:eastAsia="IRNazanin"/>
          <w:color w:val="111111"/>
          <w:sz w:val="28"/>
          <w:sz w:val="28"/>
          <w:szCs w:val="28"/>
          <w:rtl w:val="true"/>
          <w:lang w:bidi="fa-IR"/>
        </w:rPr>
        <w:t>، 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الوضعیّات أحکام ثابتة علی الإطلاق </w:t>
      </w:r>
      <w:r>
        <w:rPr>
          <w:rStyle w:val="FootnoteAnchor"/>
          <w:rtl w:val="true"/>
        </w:rPr>
        <w:footnoteReference w:id="223"/>
      </w:r>
      <w:r>
        <w:rPr>
          <w:rFonts w:ascii="IRNazanin" w:hAnsi="IRNazanin" w:eastAsia="IRNazanin"/>
          <w:color w:val="111111"/>
          <w:sz w:val="28"/>
          <w:sz w:val="28"/>
          <w:szCs w:val="28"/>
          <w:rtl w:val="true"/>
          <w:lang w:bidi="fa-IR"/>
        </w:rPr>
        <w:t xml:space="preserve">، و قد مرّ ما فی کلا الوجهین من الإشکال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سیمرّ علیک من ذی قبل حلّ المشکلة فی الأسباب و المسبّبات </w:t>
      </w:r>
      <w:r>
        <w:rPr>
          <w:rStyle w:val="FootnoteAnchor"/>
          <w:rtl w:val="true"/>
        </w:rPr>
        <w:footnoteReference w:id="225"/>
      </w:r>
      <w:r>
        <w:rPr>
          <w:rFonts w:ascii="IRNazanin" w:hAnsi="IRNazanin" w:eastAsia="IRNazanin"/>
          <w:color w:val="111111"/>
          <w:sz w:val="28"/>
          <w:sz w:val="28"/>
          <w:szCs w:val="28"/>
          <w:rtl w:val="true"/>
          <w:lang w:bidi="fa-IR"/>
        </w:rPr>
        <w:t>و إن خرجنا عن طور البحث المخصوص بالمسألة الثالثة هنا، و ذکرنا تمام ما عندهم فی حدیث رفع مطلق الآثار، إلّا أنّه نشیر فی محلّه إلی ما هو الحقّ عندنا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مورد الإکراه و الاضطرار هو أکل المیتة، و هو محرّم، فیرفع حرمته، و أمّا ملاقاة النجس فهی لیست مورد الاضطرار حتّی ترتفع، و لا یعتبر</w:t>
      </w:r>
      <w:bookmarkStart w:id="173" w:name="pg13173_324751"/>
    </w:p>
    <w:p>
      <w:pPr>
        <w:pStyle w:val="BookText"/>
        <w:rPr/>
      </w:pPr>
      <w:bookmarkEnd w:id="173"/>
      <w:r>
        <w:rPr>
          <w:rFonts w:ascii="IRNazanin" w:hAnsi="IRNazanin" w:eastAsia="IRNazanin"/>
          <w:color w:val="111111"/>
          <w:sz w:val="28"/>
          <w:sz w:val="28"/>
          <w:szCs w:val="28"/>
          <w:rtl w:val="true"/>
          <w:lang w:bidi="fa-IR"/>
        </w:rPr>
        <w:t>الخلط بین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إشارة إلی المیتة، و هی مرفوعة ادعاء، غیر مقبولة، بل و لو کان فیه الإشارة، و لکنّه یشیر إلی ما هو مورد الاضطرار؛ و هو الأکل و الشرب، و ما هو موضوع سریان النجاسة مثلا هی الملاقاة بما هی هی، و هی لیست مورد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اکره علی ملاقاة النجس بما هی هی، فلا منّة فی رفعها إلّا بلحاظ الوجوب الشرطیّ المتأخّر، و قد عرفت ما فیه أیضا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734783_3244359995"/>
      <w:bookmarkStart w:id="175" w:name="_Toc66"/>
      <w:bookmarkEnd w:id="174"/>
      <w:r>
        <w:rPr>
          <w:rtl w:val="true"/>
        </w:rPr>
        <w:t>وهم و دفع</w:t>
      </w:r>
      <w:r>
        <w:rPr>
          <w:rtl w:val="true"/>
        </w:rPr>
        <w:t>:</w:t>
      </w:r>
      <w:bookmarkEnd w:id="175"/>
    </w:p>
    <w:p>
      <w:pPr>
        <w:pStyle w:val="BookText"/>
        <w:rPr/>
      </w:pPr>
      <w:r>
        <w:rPr>
          <w:rFonts w:ascii="IRNazanin" w:hAnsi="IRNazanin" w:eastAsia="IRNazanin"/>
          <w:color w:val="111111"/>
          <w:sz w:val="28"/>
          <w:sz w:val="28"/>
          <w:szCs w:val="28"/>
          <w:rtl w:val="true"/>
          <w:lang w:bidi="fa-IR"/>
        </w:rPr>
        <w:t>لو کان البیان الأخیر و هو رفع الأحکام التأسیسیّة، مورد النظر فی الحدیث الشریف، للزم عدم شموله للبیع الواقع عن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کما تحرّر، إلّا أنّ بیع المکره باطل عند العقلاء، و لا توسعة من ناحیة الشرع فی رفع صحّته، مع أنّ فی رفع الصحّة إشکالا یأتی فی البحث الآتی إن شاء اللّه تعالی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المتمسّک فیه بحدیث الرفع فی باب الحلف علی العتاق و الصدقة و الطلاق عن إکراه، لیس من التمسّک فی محلّه احتمالا؛ لکونه من الجدال الجائز بالکتاب و السنّة</w:t>
      </w:r>
      <w:r>
        <w:rPr>
          <w:rStyle w:val="FootnoteAnchor"/>
          <w:rtl w:val="true"/>
        </w:rPr>
        <w:footnoteReference w:id="228"/>
      </w:r>
      <w:r>
        <w:rPr>
          <w:rFonts w:ascii="IRNazanin" w:hAnsi="IRNazanin" w:eastAsia="IRNazanin"/>
          <w:color w:val="111111"/>
          <w:sz w:val="28"/>
          <w:sz w:val="28"/>
          <w:szCs w:val="28"/>
          <w:rtl w:val="true"/>
          <w:lang w:bidi="fa-IR"/>
        </w:rPr>
        <w:t>، 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محلّه قطعا؛ لما لا سعة فی رفعه بعد کونه غیر ممضی عند العقلاء بالضرورة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تحرّر، تکون التوسعة بلحاظ حال المعنونین، لا الامّة، کما هو الظاهر، من غیر أن یلزم عدم الضمان فی الإکراه علی الإتلاف و الاضطرار إلیه</w:t>
      </w:r>
      <w:bookmarkStart w:id="176" w:name="pg13173_324752"/>
    </w:p>
    <w:p>
      <w:pPr>
        <w:pStyle w:val="BookText"/>
        <w:rPr/>
      </w:pPr>
      <w:bookmarkEnd w:id="176"/>
      <w:r>
        <w:rPr>
          <w:rFonts w:ascii="IRNazanin" w:hAnsi="IRNazanin" w:eastAsia="IRNazanin"/>
          <w:color w:val="111111"/>
          <w:sz w:val="28"/>
          <w:sz w:val="28"/>
          <w:szCs w:val="28"/>
          <w:rtl w:val="true"/>
          <w:lang w:bidi="fa-IR"/>
        </w:rPr>
        <w:t>و هکذا،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أنّ تمام الإشکال، ناشئ عن کون الحدیث رافعا لمطلق الآثار، أو الآثار الظاهرة التی منها الضمان الموجب لوقوعهم فی المعضلة، و توهّموا أنّ حلّها ینحصر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منّة علی الامّة</w:t>
      </w:r>
      <w:r>
        <w:rPr>
          <w:rStyle w:val="FootnoteAnchor"/>
          <w:rtl w:val="true"/>
        </w:rPr>
        <w:footnoteReference w:id="229"/>
      </w:r>
      <w:r>
        <w:rPr>
          <w:rFonts w:ascii="IRNazanin" w:hAnsi="IRNazanin" w:eastAsia="IRNazanin"/>
          <w:color w:val="111111"/>
          <w:sz w:val="28"/>
          <w:sz w:val="28"/>
          <w:szCs w:val="28"/>
          <w:rtl w:val="true"/>
          <w:lang w:bidi="fa-IR"/>
        </w:rPr>
        <w:t xml:space="preserve">، و قد عرفت ما فیه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مسلکنا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حدیث الرفع دلیل علی وضع السعة و المرفوعیّة للعناوین المذکورة؛ بحیث تصیر النتیجة عامّین من وجه، و لا یلزم تقیید فی مطلق الجملات، و یکون الحدیث مقدّما علی الأدلّة الاخر، إلّا فیما إذا کان الحکم مهتمّا به، فعلی هذا لا یلزم إشکال رأسا حتّی نحتاج إلی حلّه، کما هو الظاهر، فاغتنم</w:t>
      </w:r>
      <w:r>
        <w:rPr>
          <w:rFonts w:eastAsia="IRNazanin" w:cs="IRNazanin"/>
          <w:color w:val="111111"/>
          <w:sz w:val="28"/>
          <w:szCs w:val="28"/>
          <w:rtl w:val="true"/>
          <w:lang w:bidi="fa-IR"/>
        </w:rPr>
        <w:t>.</w:t>
      </w:r>
    </w:p>
    <w:p>
      <w:pPr>
        <w:pStyle w:val="Heading6"/>
        <w:numPr>
          <w:ilvl w:val="5"/>
          <w:numId w:val="1"/>
        </w:numPr>
        <w:rPr/>
      </w:pPr>
      <w:bookmarkStart w:id="177" w:name="__RefHeading___Toc734785_3244359995"/>
      <w:bookmarkStart w:id="178" w:name="_Toc67"/>
      <w:bookmarkEnd w:id="177"/>
      <w:r>
        <w:rPr>
          <w:rtl w:val="true"/>
        </w:rPr>
        <w:t>الجهة الخامسة</w:t>
      </w:r>
      <w:r>
        <w:rPr>
          <w:rtl w:val="true"/>
        </w:rPr>
        <w:t xml:space="preserve">: </w:t>
      </w:r>
      <w:r>
        <w:rPr>
          <w:rtl w:val="true"/>
        </w:rPr>
        <w:t>فی محاذیر رفع مطلق الآثار و أجوبتها</w:t>
      </w:r>
      <w:bookmarkEnd w:id="178"/>
    </w:p>
    <w:p>
      <w:pPr>
        <w:pStyle w:val="BookText"/>
        <w:rPr/>
      </w:pPr>
      <w:r>
        <w:rPr>
          <w:rFonts w:ascii="IRNazanin" w:hAnsi="IRNazanin" w:eastAsia="IRNazanin"/>
          <w:color w:val="111111"/>
          <w:sz w:val="28"/>
          <w:sz w:val="28"/>
          <w:szCs w:val="28"/>
          <w:rtl w:val="true"/>
          <w:lang w:bidi="fa-IR"/>
        </w:rPr>
        <w:t>قد تبیّن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العناوین و الموضوعات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الأقرب لو لم یتمّ المسلک الثالث الذی أبدعناه </w:t>
      </w:r>
      <w:r>
        <w:rPr>
          <w:rStyle w:val="FootnoteAnchor"/>
          <w:rtl w:val="true"/>
        </w:rPr>
        <w:footnoteReference w:id="231"/>
      </w:r>
      <w:r>
        <w:rPr>
          <w:rFonts w:ascii="IRNazanin" w:hAnsi="IRNazanin" w:eastAsia="IRNazanin"/>
          <w:color w:val="111111"/>
          <w:sz w:val="28"/>
          <w:sz w:val="28"/>
          <w:szCs w:val="28"/>
          <w:rtl w:val="true"/>
          <w:lang w:bidi="fa-IR"/>
        </w:rPr>
        <w:t>، و إذا کان فی جمیع الفقرات إسناد مجازیّ، فالمصحّح هو رفع جمیع الآثار؛ لأنّ رفع بعض الآثار یحتاج إلی مؤونة زائدة، أو یکون بعضها أظهر، و لا أظهریّة إلّا للعقاب، و لکنّه ممنوع ثبوتا کما مرّ</w:t>
      </w:r>
      <w:r>
        <w:rPr>
          <w:rStyle w:val="FootnoteAnchor"/>
          <w:rtl w:val="true"/>
        </w:rPr>
        <w:footnoteReference w:id="232"/>
      </w:r>
      <w:r>
        <w:rPr>
          <w:rFonts w:ascii="IRNazanin" w:hAnsi="IRNazanin" w:eastAsia="IRNazanin"/>
          <w:color w:val="111111"/>
          <w:sz w:val="28"/>
          <w:sz w:val="28"/>
          <w:szCs w:val="28"/>
          <w:rtl w:val="true"/>
          <w:lang w:bidi="fa-IR"/>
        </w:rPr>
        <w:t>، فإذا کان مطلق الآثار مرفوعا، فیتوجّه الإشکال الذی مرّ فی ذیل البحث السابق، و کان ینبغی أن نذکره هنا کما لا یخفی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مثل الإکراه علی الجنابة، و الاضطرار إلی أکل</w:t>
      </w:r>
    </w:p>
    <w:p>
      <w:pPr>
        <w:pStyle w:val="BookText"/>
        <w:rPr/>
      </w:pPr>
      <w:r>
        <w:rPr>
          <w:rFonts w:ascii="IRNazanin" w:hAnsi="IRNazanin" w:eastAsia="IRNazanin"/>
          <w:color w:val="111111"/>
          <w:sz w:val="28"/>
          <w:sz w:val="28"/>
          <w:szCs w:val="28"/>
          <w:rtl w:val="true"/>
          <w:lang w:bidi="fa-IR"/>
        </w:rPr>
        <w:t>النجس، و نجاسة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الشفتان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بأحد الأجوبة السابقة، و قد عرفت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القائلین برفع العقاب، أو بعدم شمول الحدیث للأحکام الوضعیّة، لمّا رأوا هذه المعضلة التزموا بذلک، و إلّا 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المرفوعة به هی الثابتة بالإطلاق، دون الثابتة علی الإطلاق </w:t>
      </w:r>
      <w:r>
        <w:rPr>
          <w:rStyle w:val="FootnoteAnchor"/>
          <w:rtl w:val="true"/>
        </w:rPr>
        <w:footnoteReference w:id="233"/>
      </w:r>
      <w:r>
        <w:rPr>
          <w:rFonts w:ascii="IRNazanin" w:hAnsi="IRNazanin" w:eastAsia="IRNazanin"/>
          <w:color w:val="111111"/>
          <w:sz w:val="28"/>
          <w:sz w:val="28"/>
          <w:szCs w:val="28"/>
          <w:rtl w:val="true"/>
          <w:lang w:bidi="fa-IR"/>
        </w:rPr>
        <w:t>، غیر کافیة؛ لأنّ مثل الجنابة و النجاسة ثابتة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الوضعیّات لا تنالها ید الجعل، فلا تنالها ید الوضع، غیر کافیة؛ لأنّ نیلها باعتبار أحکامها ممّا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ممّا تنالها ید الجعل حسبما تحرّر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فیبقی فی المقام 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رفع النجاسة و الجنابة بما هی هی، لیس سعة، فما فیه السعة هی الأحکام المترتّبة علیها، کما أنّ الأحکام التی هی تترتّب علیها ترتفع به؛ لما فیها من السعة، کحرمة الاستمناء و الإجناب المحرّم، و شرب النجس، و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المرفوع هی حرمة الشرب بعد أکل النجس استکراها، کما فیما إذا اکره علی أکل المیتة، و کان الإکراه مستمرّا، فشرب فی الأثناء الماء، مع أنّه ینجس بملاقاة الشفة المتنجّسة، فإذا لم یکن مکرها علی شربه، و لا مضطرّا إلیه بالخصوص، فیلزم جواز شربه حین الإکراه، أو الاضطرار إلی أکل المیتة، و هکذا شرطیّة الطهارة من الحدث، و الالتزام بذلک مشکل کما هو الواضح، فهذا الجواب أیضا غیر کاف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صورة الإکراه علی الجنابة إذا زال الإکراه، فلا ترتفع</w:t>
      </w:r>
    </w:p>
    <w:p>
      <w:pPr>
        <w:pStyle w:val="BookText"/>
        <w:rPr/>
      </w:pPr>
      <w:r>
        <w:rPr>
          <w:rFonts w:ascii="IRNazanin" w:hAnsi="IRNazanin" w:eastAsia="IRNazanin"/>
          <w:color w:val="111111"/>
          <w:sz w:val="28"/>
          <w:sz w:val="28"/>
          <w:szCs w:val="28"/>
          <w:rtl w:val="true"/>
          <w:lang w:bidi="fa-IR"/>
        </w:rPr>
        <w:t>الشرطیّة؛ لأنّ السعة باعتبار حال الإکراه، لا باعتبار حال زواله کما مرّ</w:t>
      </w:r>
      <w:r>
        <w:rPr>
          <w:rStyle w:val="FootnoteAnchor"/>
          <w:rtl w:val="true"/>
        </w:rPr>
        <w:footnoteReference w:id="235"/>
      </w:r>
      <w:r>
        <w:rPr>
          <w:rFonts w:ascii="IRNazanin" w:hAnsi="IRNazanin" w:eastAsia="IRNazanin"/>
          <w:color w:val="111111"/>
          <w:sz w:val="28"/>
          <w:sz w:val="28"/>
          <w:szCs w:val="28"/>
          <w:rtl w:val="true"/>
          <w:lang w:bidi="fa-IR"/>
        </w:rPr>
        <w:t>،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حال الإکراه لا ترتفع الجنابة؛ لما لا سعة فی رفعها، فیکون جنبا وضعا، و إذا زالت حالة الإکراه یجب علیه الغسل شرطا؛ إذا کان الوقت واسعا له، کما هو مفروض البحث، و إلّا فمع ضیق الوقت ینتقل من المائیّة إلی الترابیّة؛ لأجل 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قد یقال بالالتزام بالتبدیل من المائیّة إلی الترابیّة عند الضیق </w:t>
      </w:r>
      <w:r>
        <w:rPr>
          <w:rStyle w:val="FootnoteAnchor"/>
          <w:rtl w:val="true"/>
        </w:rPr>
        <w:footnoteReference w:id="236"/>
      </w:r>
      <w:r>
        <w:rPr>
          <w:rFonts w:ascii="IRNazanin" w:hAnsi="IRNazanin" w:eastAsia="IRNazanin"/>
          <w:color w:val="111111"/>
          <w:sz w:val="28"/>
          <w:sz w:val="28"/>
          <w:szCs w:val="28"/>
          <w:rtl w:val="true"/>
          <w:lang w:bidi="fa-IR"/>
        </w:rPr>
        <w:t>، أجنبیّ عن بحث حدیث الرفع الرافع لمطلق الآثار، اللازم منه رفع الجنابة المترتّب علیه عدم وجوب الغسل، و عدم ناقضیّتها للوضوء السابق،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اکره علی الجنابة تکون حرمة الاستمناء مرفوعة، دون الجنابة؛ لما لا سعة فی رفعها بما هی هی، و لا معنی لرفع آثارها باعتبار حال ارتفاع الإکراه؛ لما لا یکون الحدیث منّة بالنسبة إلی تلک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بقاء الوضوء السابق علی الاستمناء،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الإشکال بالنسبة إلی الشرب حال نجاسة الفم، فإنّ النجاسة لا ترتفع، و لأجل ذلک لو لاقت شیئا یحرم علی غیره أکل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مضطرّا أو مکرها، فلا تزول النجاسة بالحدیث، و دعوی زوالها الحیثیّ، غیر تامّ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سعة علی المکره و المضطرّ فی رفع النجاسة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حکمها؛ و حرمة شرب ملاقیه و أکله، فیجوز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رفع الحکم الوضعیّ بما هو هو، لیس سعة، و الحکم التکلیفیّ المتعلّق به و إن کان فی رفعه السعة، إلّا أنّ الإکراه و الاضطرار غیر متعلّق به کما هو الظاهر، فشرب الماء</w:t>
      </w:r>
    </w:p>
    <w:p>
      <w:pPr>
        <w:pStyle w:val="BookText"/>
        <w:rPr/>
      </w:pPr>
      <w:r>
        <w:rPr>
          <w:rFonts w:ascii="IRNazanin" w:hAnsi="IRNazanin" w:eastAsia="IRNazanin"/>
          <w:color w:val="111111"/>
          <w:sz w:val="28"/>
          <w:sz w:val="28"/>
          <w:szCs w:val="28"/>
          <w:rtl w:val="true"/>
          <w:lang w:bidi="fa-IR"/>
        </w:rPr>
        <w:t>حین أکل المیتة عن إکراه و اضطرار، محرّم و باق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جواب آخر بالنسبة إلی وجوب ردّ المثل و القیمة، و وجوب الجبران فیما إذا اضطرّ إلی إتلاف مال الغیر، أو اضطرّ إلی إصلاح داره المنجرّ إلی فساد جدار دار جاره، فإنّ رفع الضمان بما هو هو لا سعة فیه، و بالنسبة إلی الحکم التکلیفیّ المترتّب علیه لیس مکرها، و لا مضطرّا، و هکذا بالنسبة إلی الغسل الواجب الشرطیّ، أو البقاء علی الوضوء الواجب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رفع الحکم الوضعیّ بنفسه؛ لما فیه السعة باعتبار التکلیف و الضیق الآتی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الرفع شأن الحدیث؛ لأنّه جاء للتوسعة علی المکره و المضطرّ بالنسبة إلی ما استکره علیه و اضطرّ إلیه، لا غیره، و لا مکره و لا مضطرّ إلّا بالنسبة إلی أکل النجس و المیتة، فما هو مورد الاضطرار فیه السعة، و لا سعة فی رفع الحکم الوضعیّ إلّا باعتبار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الحدیث فیه المنّة و السعة بالنسبة، لاعلی إلاطلاق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 و المضطرّ إلی أکل النجس مثلا؛ و إن کان متعلّق الإکراه و الاضطرار هو أکل المیتة أوّلا و بالذات، و لکنّه ینتهی إلی الاضطرار إلی العصیان و مخالفة المولی، و هذا الاضطرار الأخیر یوجب الرفع، دون الاضطرار الأوّل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یکره علی أکل المیتة، فلا یرفع به إلّا حرمة أکل المیتة،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علی أکل النجس، فهو فی الحقیقة راجع إلی الإکراه علی العصیان، و هکذا فی جانب الاضطرار، فلا یرفع بمثله حکم النجس، إلّا أنّه معذور بحکم العقل؛ لأنّ العصیان لیس بسوء الاختیار و إن کان بالاختیار، و ما هو الموجب للاستحقاق و لصحّة العقوبة هو الأوّل، فاغتنم</w:t>
      </w:r>
      <w:r>
        <w:rPr>
          <w:rFonts w:eastAsia="IRNazanin" w:cs="IRNazanin"/>
          <w:color w:val="111111"/>
          <w:sz w:val="28"/>
          <w:szCs w:val="28"/>
          <w:rtl w:val="true"/>
          <w:lang w:bidi="fa-IR"/>
        </w:rPr>
        <w:t>.</w:t>
      </w:r>
      <w:bookmarkStart w:id="179" w:name="pg13173_324756"/>
    </w:p>
    <w:p>
      <w:pPr>
        <w:pStyle w:val="BookText"/>
        <w:rPr/>
      </w:pPr>
      <w:bookmarkEnd w:id="179"/>
      <w:r>
        <w:rPr>
          <w:rFonts w:ascii="IRNazanin" w:hAnsi="IRNazanin" w:eastAsia="IRNazanin"/>
          <w:color w:val="111111"/>
          <w:sz w:val="28"/>
          <w:sz w:val="28"/>
          <w:szCs w:val="28"/>
          <w:rtl w:val="true"/>
          <w:lang w:bidi="fa-IR"/>
        </w:rPr>
        <w:t>ثمّ إنّه سیظهر تمام البحث حول سائر الوضعیّات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کالجزئیّة و الشرطیّة 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العبادات، بل و المعاملات، و هکذا الأحکام المختصّة بطائفة من فقرات الحدیث إن شاء اللّه تعالی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اجّل البحث و التألیف لأجل تشرّفنا بالحجّ، رزقنا اللّه تعالی إیّاه فی کلّ عام، و لأجل أیّام عزاء سیّد الشهداء سلام اللّه تعالی علیه، و کان ذلک عام خمسة و تسعین بعد الثلاثمائة و الألف من الهجرة النبویّة، علی مهاجرها آلاف الثناء و التحیّة، فی النجف الأشرف، علی مشرّفه السلام</w:t>
      </w:r>
      <w:r>
        <w:rPr>
          <w:rFonts w:eastAsia="IRNazanin" w:cs="IRNazanin"/>
          <w:color w:val="111111"/>
          <w:sz w:val="28"/>
          <w:szCs w:val="28"/>
          <w:rtl w:val="true"/>
          <w:lang w:bidi="fa-IR"/>
        </w:rPr>
        <w:t>.</w:t>
      </w:r>
    </w:p>
    <w:p>
      <w:pPr>
        <w:pStyle w:val="Heading6"/>
        <w:numPr>
          <w:ilvl w:val="5"/>
          <w:numId w:val="1"/>
        </w:numPr>
        <w:rPr/>
      </w:pPr>
      <w:bookmarkStart w:id="180" w:name="__RefHeading___Toc734787_3244359995"/>
      <w:bookmarkStart w:id="181" w:name="_Toc68"/>
      <w:bookmarkEnd w:id="180"/>
      <w:r>
        <w:rPr>
          <w:rtl w:val="true"/>
        </w:rPr>
        <w:t>الجهة السادسة</w:t>
      </w:r>
      <w:r>
        <w:rPr>
          <w:rtl w:val="true"/>
        </w:rPr>
        <w:t xml:space="preserve">: </w:t>
      </w:r>
      <w:r>
        <w:rPr>
          <w:rtl w:val="true"/>
        </w:rPr>
        <w:t>فی شمول الحدیث لموارد سوء الاختیار و عدمه</w:t>
      </w:r>
      <w:bookmarkEnd w:id="181"/>
    </w:p>
    <w:p>
      <w:pPr>
        <w:pStyle w:val="Heading6"/>
        <w:numPr>
          <w:ilvl w:val="5"/>
          <w:numId w:val="1"/>
        </w:numPr>
        <w:rPr/>
      </w:pPr>
      <w:bookmarkStart w:id="182" w:name="__RefHeading___Toc734789_3244359995"/>
      <w:bookmarkStart w:id="183" w:name="_Toc69"/>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من الجهات الراجعة إلی البحث الکلّی عن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الرفع أعمّ من الموارد التی تحصل بسوء الاختیار، أم یختصّ فیه، و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صرّح العلّامة الأراکیّ بالثانی </w:t>
      </w:r>
      <w:r>
        <w:rPr>
          <w:rStyle w:val="FootnoteAnchor"/>
          <w:rtl w:val="true"/>
        </w:rPr>
        <w:footnoteReference w:id="238"/>
      </w:r>
      <w:r>
        <w:rPr>
          <w:rFonts w:ascii="Amiri" w:hAnsi="Amiri" w:eastAsia="Amiri" w:cs="Amiri"/>
          <w:color w:val="111111"/>
          <w:sz w:val="28"/>
          <w:sz w:val="28"/>
          <w:szCs w:val="28"/>
          <w:rtl w:val="true"/>
          <w:lang w:bidi="ar-SA"/>
        </w:rPr>
        <w:t>، و لعلّ نظره إلی الانصراف، و فهم العرف و العقلاء؛ ضرورة أنّه لو اکره بسوء الاختیار علی شرب الخمر، یستحقّ العقوبة، و هو مقتضی الکتاب ظاهرا، حیث قیّد مورد الاضطرار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یستلزم القول المذکور، ممنوعیّة العبور من المکان الذی یسهو فی النظر إلی المحرّمات، أو غیر ذلک، و الالتزام به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کان الأمر کما قیل، للزم عدم سقوط تکلیف صوم رمضان عن المریض الذی مرضه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یلزم عدم سقوط التکلیف عن الحائض إذا حصل حیضها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مقتضی الصناعة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الاندراج و الإخراج من العناوین، یدور مدار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تلک العناوین مأخوذة فی الأخبار و القوانین، فالأمر کما یکون فی تطبیقها إلی العرف، فیکون المکلّفون فی السعة من هذه الجهة، کذلک تکون من هذه الجهة تابعة للانطباق، و لا وجه للانصراف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کانت غیر مأخوذة فیها رأسا، و کانت مورد درک العقل و حکم العقلاء، فالأمر یدور مدار حکمهم فی التعذیر و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 الخبر المشتمل علیه، أیضا ناظرا إلی الأعذار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لا یشمل أزید من الأعذار العقلیّة، فلا یشمل النسیان و الإکراه و الجهالة و العجز و الاضطرار و السهو، و هکذا التی حصلت بسوء الاختیار؛ لأنّها لیست عذرا عند العقل و العقلاء، و أمّا إذا کان فی مورد الامتنان و التوسعة، فلا یبعد الشمول، و لا سیّما إذا اقترن الإکراه الحاصل بسوء الاختیار بالندامة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ما فی الکتاب الشریف؛ اختصاص الاضطرار بالنسبة إلی الموارد المذکورة فی الآیة بصورة خاصّة، و فی الآیة بحث ذکرنا بعضه فی البحوث السابقة من هذا التألیف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المأخوذة فی القوانین، إن کانت من قبیل العناوین الأوّلیة و المخصّصات التی لاملاک فی موردها، فلا شبهة فی جواز الإخراج و الإدراج الاختیاریّین، و ما کانت من قبیل العناوین الثانویّة التی یدرک فی موردها ملاک العناوین الأوّلیة؛ و أنّ الشرع لمصالح سیاسیّة و اجتماعیّة رخّص،</w:t>
      </w:r>
      <w:bookmarkStart w:id="184" w:name="pg13173_324758"/>
    </w:p>
    <w:p>
      <w:pPr>
        <w:pStyle w:val="BookText"/>
        <w:rPr/>
      </w:pPr>
      <w:bookmarkEnd w:id="184"/>
      <w:r>
        <w:rPr>
          <w:rFonts w:ascii="IRNazanin" w:hAnsi="IRNazanin" w:eastAsia="IRNazanin"/>
          <w:color w:val="111111"/>
          <w:sz w:val="28"/>
          <w:sz w:val="28"/>
          <w:szCs w:val="28"/>
          <w:rtl w:val="true"/>
          <w:lang w:bidi="fa-IR"/>
        </w:rPr>
        <w:t>کموارد الحرج و الضرر، فلا یجوز ذلک، و موارد حدیث الرفع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انطباقه علی المصادیق لأجل أخذها فی الدلیل، عرفیّ، ففیه السعة من هذه الجهة، دون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مثل المرض فی الصوم و الحیض، فهو من القسم الأوّل، و یشهد علیه أخذ السفر عدلا له </w:t>
      </w:r>
      <w:r>
        <w:rPr>
          <w:rStyle w:val="FootnoteAnchor"/>
          <w:rtl w:val="true"/>
        </w:rPr>
        <w:footnoteReference w:id="241"/>
      </w:r>
      <w:r>
        <w:rPr>
          <w:rFonts w:ascii="IRNazanin" w:hAnsi="IRNazanin" w:eastAsia="IRNazanin"/>
          <w:color w:val="111111"/>
          <w:sz w:val="28"/>
          <w:sz w:val="28"/>
          <w:szCs w:val="28"/>
          <w:rtl w:val="true"/>
          <w:lang w:bidi="fa-IR"/>
        </w:rPr>
        <w:t>، و المسألة تحتاج إلی التتبّع الخاصّ فی کلّ مورد؛ لاختلاف الحکم لأجل القرائن</w:t>
      </w:r>
      <w:r>
        <w:rPr>
          <w:rFonts w:eastAsia="IRNazanin" w:cs="IRNazanin"/>
          <w:color w:val="111111"/>
          <w:sz w:val="28"/>
          <w:szCs w:val="28"/>
          <w:rtl w:val="true"/>
          <w:lang w:bidi="fa-IR"/>
        </w:rPr>
        <w:t>.</w:t>
      </w:r>
    </w:p>
    <w:p>
      <w:pPr>
        <w:pStyle w:val="Heading6"/>
        <w:numPr>
          <w:ilvl w:val="5"/>
          <w:numId w:val="1"/>
        </w:numPr>
        <w:rPr/>
      </w:pPr>
      <w:bookmarkStart w:id="185" w:name="__RefHeading___Toc734791_3244359995"/>
      <w:bookmarkStart w:id="186" w:name="_Toc70"/>
      <w:bookmarkEnd w:id="185"/>
      <w:r>
        <w:rPr>
          <w:rtl w:val="true"/>
        </w:rPr>
        <w:t>تذنیب</w:t>
      </w:r>
      <w:r>
        <w:rPr>
          <w:rtl w:val="true"/>
        </w:rPr>
        <w:t xml:space="preserve">: </w:t>
      </w:r>
      <w:r>
        <w:rPr>
          <w:rtl w:val="true"/>
        </w:rPr>
        <w:t>فی شمول الحدیث للجهل بکافّة أنحائه</w:t>
      </w:r>
      <w:bookmarkEnd w:id="186"/>
    </w:p>
    <w:p>
      <w:pPr>
        <w:pStyle w:val="BookText"/>
        <w:rPr/>
      </w:pPr>
      <w:r>
        <w:rPr>
          <w:rFonts w:ascii="IRNazanin" w:hAnsi="IRNazanin" w:eastAsia="IRNazanin"/>
          <w:color w:val="111111"/>
          <w:sz w:val="28"/>
          <w:sz w:val="28"/>
          <w:szCs w:val="28"/>
          <w:rtl w:val="true"/>
          <w:lang w:bidi="fa-IR"/>
        </w:rPr>
        <w:t>قضیّة إطلاقه عدم التکلیف فی موارد الجهالة تقصیرا و قصورا، قبل الفحص و بعده، و أیضا أعمّ ممّا تحصل بسوء الاختیار و عدمه، کما یشمل موارد یمکن تحصیل العلم و عدمه، و یسهل تحصیله، أو یصعب، و سواء کان بسیطا، أو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خروج الجهالة عن تقصیر و الجهالة قبل الفحص انصرافا، أو تخصیصا و تقییدا، و مقتضی ما عرفت منّا وجود التکالیف الفعلیّة فی جمیع الموارد من غیر تناف، مع کونه فی سعة حال الجهالة؛ لأنّ الرفع موضوع حین الجهل، و السعة معتبرة بالنسبة إلی المجهول علی وجه العموم من وجه، کما تحرّر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سائر المبانی، فالظاهر انتفاء الحکم المجهول واقعا، فلا فرق بین کونه حاصلا بالاختیار و عدمه، کما لا یخفی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حکم الجاهل المتمکّن من رفع جهله، فإنّه إذا لم یکن ملاک فی مورد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الأقرب من الموازین العقلیّة، و یأتی فی حدیث جریان</w:t>
      </w:r>
      <w:bookmarkStart w:id="187" w:name="pg13173_324759"/>
    </w:p>
    <w:p>
      <w:pPr>
        <w:pStyle w:val="BookText"/>
        <w:rPr/>
      </w:pPr>
      <w:bookmarkEnd w:id="187"/>
      <w:r>
        <w:rPr>
          <w:rFonts w:ascii="IRNazanin" w:hAnsi="IRNazanin" w:eastAsia="IRNazanin"/>
          <w:color w:val="111111"/>
          <w:sz w:val="28"/>
          <w:sz w:val="28"/>
          <w:szCs w:val="28"/>
          <w:rtl w:val="true"/>
          <w:lang w:bidi="fa-IR"/>
        </w:rPr>
        <w:t>البراءة العقلیّة إشکالا و جوابا</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لتوهّم الفرق بین الصورتین، فما عن شیخ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فی جریانه بالنسبة إلی موارد یمکن تحصیل العلم فیها بسهولة، إلّا فی مثل الطهارة و النجاسة؛ لاقتضاء الأدلّة الخاصّة</w:t>
      </w:r>
      <w:r>
        <w:rPr>
          <w:rStyle w:val="FootnoteAnchor"/>
          <w:rtl w:val="true"/>
        </w:rPr>
        <w:footnoteReference w:id="244"/>
      </w:r>
      <w:r>
        <w:rPr>
          <w:rFonts w:ascii="IRNazanin" w:hAnsi="IRNazanin" w:eastAsia="IRNazanin"/>
          <w:color w:val="111111"/>
          <w:sz w:val="28"/>
          <w:sz w:val="28"/>
          <w:szCs w:val="28"/>
          <w:rtl w:val="true"/>
          <w:lang w:bidi="fa-IR"/>
        </w:rPr>
        <w:t>، فی غیر محلّه، بل من تلک الأدلّة یتبیّن الأمر الکلّی، و تکون هی القرینة العامّة علی ما ذکرناه</w:t>
      </w:r>
      <w:r>
        <w:rPr>
          <w:rFonts w:eastAsia="IRNazanin" w:cs="IRNazanin"/>
          <w:color w:val="111111"/>
          <w:sz w:val="28"/>
          <w:szCs w:val="28"/>
          <w:rtl w:val="true"/>
          <w:lang w:bidi="fa-IR"/>
        </w:rPr>
        <w:t>.</w:t>
      </w:r>
    </w:p>
    <w:p>
      <w:pPr>
        <w:pStyle w:val="Heading6"/>
        <w:numPr>
          <w:ilvl w:val="5"/>
          <w:numId w:val="1"/>
        </w:numPr>
        <w:rPr/>
      </w:pPr>
      <w:bookmarkStart w:id="188" w:name="__RefHeading___Toc734793_3244359995"/>
      <w:bookmarkStart w:id="189" w:name="_Toc71"/>
      <w:bookmarkEnd w:id="188"/>
      <w:r>
        <w:rPr>
          <w:rtl w:val="true"/>
        </w:rPr>
        <w:t>الجهة السابعة</w:t>
      </w:r>
      <w:r>
        <w:rPr>
          <w:rtl w:val="true"/>
        </w:rPr>
        <w:t xml:space="preserve">: </w:t>
      </w:r>
      <w:r>
        <w:rPr>
          <w:rtl w:val="true"/>
        </w:rPr>
        <w:t>حول شمول الحدیث للامور العدمیّة</w:t>
      </w:r>
      <w:bookmarkEnd w:id="189"/>
    </w:p>
    <w:p>
      <w:pPr>
        <w:pStyle w:val="BookText"/>
        <w:rPr/>
      </w:pPr>
      <w:r>
        <w:rPr>
          <w:rFonts w:ascii="IRNazanin" w:hAnsi="IRNazanin" w:eastAsia="IRNazanin"/>
          <w:color w:val="111111"/>
          <w:sz w:val="28"/>
          <w:sz w:val="28"/>
          <w:szCs w:val="28"/>
          <w:rtl w:val="true"/>
          <w:lang w:bidi="fa-IR"/>
        </w:rPr>
        <w:t>اختلفوا فی شمول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بعموم الآثار و الامور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للامور العدمیّة، فذهب جمع منهم إلی الشمول </w:t>
      </w:r>
      <w:r>
        <w:rPr>
          <w:rStyle w:val="FootnoteAnchor"/>
          <w:rtl w:val="true"/>
        </w:rPr>
        <w:footnoteReference w:id="245"/>
      </w:r>
      <w:r>
        <w:rPr>
          <w:rFonts w:ascii="IRNazanin" w:hAnsi="IRNazanin" w:eastAsia="IRNazanin"/>
          <w:color w:val="111111"/>
          <w:sz w:val="28"/>
          <w:sz w:val="28"/>
          <w:szCs w:val="28"/>
          <w:rtl w:val="true"/>
          <w:lang w:bidi="fa-IR"/>
        </w:rPr>
        <w:t>، فیکون ترک الصلاة عن إکراه فی جمیع الوقت مشموله، و هکذا إذا نذر ترک شرب ماء کذائیّ، فاکره علی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بعضهم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الظاهر من الحدیث، تنزیل الموجود منزلة المعدوم، و هو مقتضی الرفع، لا تنزیل المعدوم منزلة الموجود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التنزیل لیس واقعیّا، فلا فرق بین الاعتبارین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للناظر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مورد النسیان أو الإکراه، موضوعا لحکم مثلا، فالرفع ینتج، سواء کان ذلک الموضوع وجودیّا، أو عدمیّا، و إذا لم یکن مورد الحکم فلا رفع فی الفرضین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ترک البیع و الشراء حال الاعتکاف، أو نسی تروک الاحرام،</w:t>
      </w:r>
    </w:p>
    <w:p>
      <w:pPr>
        <w:pStyle w:val="BookText"/>
        <w:rPr/>
      </w:pPr>
      <w:r>
        <w:rPr>
          <w:rFonts w:ascii="IRNazanin" w:hAnsi="IRNazanin" w:eastAsia="IRNazanin"/>
          <w:color w:val="111111"/>
          <w:sz w:val="28"/>
          <w:sz w:val="28"/>
          <w:szCs w:val="28"/>
          <w:rtl w:val="true"/>
          <w:lang w:bidi="fa-IR"/>
        </w:rPr>
        <w:t xml:space="preserve">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الحکم، فالحدیث جار بالضرورة، و هکذا إذا اکره علی المحرّم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ترک المأمور به فی جمیع الوقت، أو ترک الصوم فلا أثر له؛ لأنّ ترکهما لیس موضوعا للحکم الشرعیّ، نعم یستحقّ العقوبة عقلا، و قد مرّ أنّه لیس مرفوعا فی مورد إلّا بمرفوعیّة منشئه </w:t>
      </w:r>
      <w:r>
        <w:rPr>
          <w:rStyle w:val="FootnoteAnchor"/>
          <w:rtl w:val="true"/>
        </w:rPr>
        <w:footnoteReference w:id="248"/>
      </w:r>
      <w:r>
        <w:rPr>
          <w:rFonts w:ascii="IRNazanin" w:hAnsi="IRNazanin" w:eastAsia="IRNazanin"/>
          <w:color w:val="111111"/>
          <w:sz w:val="28"/>
          <w:sz w:val="28"/>
          <w:szCs w:val="28"/>
          <w:rtl w:val="true"/>
          <w:lang w:bidi="fa-IR"/>
        </w:rPr>
        <w:t xml:space="preserve">، فما فی کلام بعض الأصحاب من جریانه فی مثله </w:t>
      </w:r>
      <w:r>
        <w:rPr>
          <w:rStyle w:val="FootnoteAnchor"/>
          <w:rtl w:val="true"/>
        </w:rPr>
        <w:footnoteReference w:id="249"/>
      </w:r>
      <w:r>
        <w:rPr>
          <w:rFonts w:ascii="IRNazanin" w:hAnsi="IRNazanin" w:eastAsia="IRNazanin"/>
          <w:color w:val="111111"/>
          <w:sz w:val="28"/>
          <w:sz w:val="28"/>
          <w:szCs w:val="28"/>
          <w:rtl w:val="true"/>
          <w:lang w:bidi="fa-IR"/>
        </w:rPr>
        <w:t>، أو فی کلام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المقام </w:t>
      </w:r>
      <w:r>
        <w:rPr>
          <w:rStyle w:val="FootnoteAnchor"/>
          <w:rtl w:val="true"/>
        </w:rPr>
        <w:footnoteReference w:id="250"/>
      </w:r>
      <w:r>
        <w:rPr>
          <w:rFonts w:ascii="IRNazanin" w:hAnsi="IRNazanin" w:eastAsia="IRNazanin"/>
          <w:color w:val="111111"/>
          <w:sz w:val="28"/>
          <w:sz w:val="28"/>
          <w:szCs w:val="28"/>
          <w:rtl w:val="true"/>
          <w:lang w:bidi="fa-IR"/>
        </w:rPr>
        <w:t>، غیر موافق للتحقیق، بخلاف ما أفاده هنا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منشأ الإشکال؛ هو أنّه هل یعقل ثبوتا أخذ العنوان العدمیّ، موضوعا للحکم، أم لا؟ و إلّا فلو أمکن ذلک، فطرأته العناوین الستّة المرفوعة، فلازمه رفع الحکم کسائر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حول أنّ الحدیث الشریف، ظاهر فی الأعمّ، أو خصوص تنزیل الموجود منزلة العدم </w:t>
      </w:r>
      <w:r>
        <w:rPr>
          <w:rStyle w:val="FootnoteAnchor"/>
          <w:rtl w:val="true"/>
        </w:rPr>
        <w:footnoteReference w:id="252"/>
      </w:r>
      <w:r>
        <w:rPr>
          <w:rFonts w:ascii="IRNazanin" w:hAnsi="IRNazanin" w:eastAsia="IRNazanin"/>
          <w:color w:val="111111"/>
          <w:sz w:val="28"/>
          <w:sz w:val="28"/>
          <w:szCs w:val="28"/>
          <w:rtl w:val="true"/>
          <w:lang w:bidi="fa-IR"/>
        </w:rPr>
        <w:t>، فاسد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أن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لحکم من الأحکام؛ لأنّه لا مصلحة فیه، فإنّ العدم نفی صرف، و الأحکام تتبع المصالح و المفاسد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فی المجلد الأوّل، و فی غیر موضع من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الخلط بین مصبّ الأحکام و موارد المصالح و المفاسد</w:t>
      </w:r>
      <w:r>
        <w:rPr>
          <w:rStyle w:val="FootnoteAnchor"/>
          <w:rtl w:val="true"/>
        </w:rPr>
        <w:footnoteReference w:id="253"/>
      </w:r>
      <w:r>
        <w:rPr>
          <w:rFonts w:ascii="IRNazanin" w:hAnsi="IRNazanin" w:eastAsia="IRNazanin"/>
          <w:color w:val="111111"/>
          <w:sz w:val="28"/>
          <w:sz w:val="28"/>
          <w:szCs w:val="28"/>
          <w:rtl w:val="true"/>
          <w:lang w:bidi="fa-IR"/>
        </w:rPr>
        <w:t>، ممنوع عند العقل و الخبیر العارف؛ ضرورة أنّ للشرع و المقنّن اعتبار إیجاب ترک الجماع، للمفسدة فی الجماع، و لا یجوز التصرّف فیما جعله واجبا بإرجاعه إلی محرّمیة الجماع، و هذا</w:t>
      </w:r>
      <w:bookmarkStart w:id="190" w:name="pg13173_324761"/>
    </w:p>
    <w:p>
      <w:pPr>
        <w:pStyle w:val="BookText"/>
        <w:rPr/>
      </w:pPr>
      <w:bookmarkEnd w:id="190"/>
      <w:r>
        <w:rPr>
          <w:rFonts w:ascii="IRNazanin" w:hAnsi="IRNazanin" w:eastAsia="IRNazanin"/>
          <w:color w:val="111111"/>
          <w:sz w:val="28"/>
          <w:sz w:val="28"/>
          <w:szCs w:val="28"/>
          <w:rtl w:val="true"/>
          <w:lang w:bidi="fa-IR"/>
        </w:rPr>
        <w:t>یکفیک من کثیر ممّا لا یغنیک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الصلاة فی بعض الوقت، لیس مشمولا له؛ لما ذکرناه، لا لأنّ الإکراه علی الترک فی بعض الوقت لا أثر له بعد کونها واجبا موسّعا، أو ترکها فی الوقت نسیانا، فإنّ هذا الترک لیس موضوعا لحکم، فما فی کلام العلّامة الأراکیّ </w:t>
      </w:r>
      <w:r>
        <w:rPr>
          <w:rStyle w:val="FootnoteAnchor"/>
          <w:rtl w:val="true"/>
        </w:rPr>
        <w:footnoteReference w:id="254"/>
      </w:r>
      <w:r>
        <w:rPr>
          <w:rFonts w:ascii="IRNazanin" w:hAnsi="IRNazanin" w:eastAsia="IRNazanin"/>
          <w:color w:val="111111"/>
          <w:sz w:val="28"/>
          <w:sz w:val="28"/>
          <w:szCs w:val="28"/>
          <w:rtl w:val="true"/>
          <w:lang w:bidi="fa-IR"/>
        </w:rPr>
        <w:t>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هی قاعدة کلّیة منتجة فی جمیع موارد الأحکام، و أمّا أنّ موضوع الحکم وجودیّ أو عدمیّ، فهو موکول إلی محلّه، و أجنبیّ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بدعوی رجوع جمیع الموضوعات العدمیّة فی الفقه إلی الوجودیّة عرفا، کما لا یخفی</w:t>
      </w:r>
      <w:r>
        <w:rPr>
          <w:rFonts w:eastAsia="IRNazanin" w:cs="IRNazanin"/>
          <w:color w:val="111111"/>
          <w:sz w:val="28"/>
          <w:szCs w:val="28"/>
          <w:rtl w:val="true"/>
          <w:lang w:bidi="fa-IR"/>
        </w:rPr>
        <w:t>.</w:t>
      </w:r>
    </w:p>
    <w:p>
      <w:pPr>
        <w:pStyle w:val="Heading6"/>
        <w:numPr>
          <w:ilvl w:val="5"/>
          <w:numId w:val="1"/>
        </w:numPr>
        <w:rPr/>
      </w:pPr>
      <w:bookmarkStart w:id="191" w:name="__RefHeading___Toc734795_3244359995"/>
      <w:bookmarkStart w:id="192" w:name="_Toc72"/>
      <w:bookmarkEnd w:id="191"/>
      <w:r>
        <w:rPr>
          <w:rtl w:val="true"/>
        </w:rPr>
        <w:t>الجهة الثامنة</w:t>
      </w:r>
      <w:r>
        <w:rPr>
          <w:rtl w:val="true"/>
        </w:rPr>
        <w:t xml:space="preserve">: </w:t>
      </w:r>
      <w:r>
        <w:rPr>
          <w:rtl w:val="true"/>
        </w:rPr>
        <w:t>حول تصحیح الحدیث للمرکبات الفاقدة لجزء أو شرط أو عدم مانع</w:t>
      </w:r>
      <w:bookmarkEnd w:id="192"/>
    </w:p>
    <w:p>
      <w:pPr>
        <w:pStyle w:val="Heading6"/>
        <w:numPr>
          <w:ilvl w:val="5"/>
          <w:numId w:val="1"/>
        </w:numPr>
        <w:rPr/>
      </w:pPr>
      <w:bookmarkStart w:id="193" w:name="__RefHeading___Toc734797_3244359995"/>
      <w:bookmarkStart w:id="194" w:name="_Toc73"/>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حول جریان الحدیث؛ و إمکان تصحیح المرّکبات التی ترک جزء منها، أو شرطها، أو اوجد المانع فیها نسیانا، أو إکراها، أو اضطرارا، و أنّه هل یکون فرق بین بابی العبادات و المعاملات، أم 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موارد الشکّ فی الجزئیّة أو العجز عن الإتیان به، فسیأتی فی الأقلّ و الأکثر فی باب الاشتغال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یتمّ فی طیّ مسائل إجمالیّة، و تفصیل بعض جهاته موکول إلی مباحث الأقلّ و الأکثر، و الاشتغال </w:t>
      </w:r>
      <w:r>
        <w:rPr>
          <w:rStyle w:val="FootnoteAnchor"/>
          <w:rtl w:val="true"/>
        </w:rPr>
        <w:footnoteReference w:id="256"/>
      </w:r>
      <w:r>
        <w:rPr>
          <w:rFonts w:ascii="IRNazanin" w:hAnsi="IRNazanin" w:eastAsia="IRNazanin"/>
          <w:color w:val="111111"/>
          <w:sz w:val="28"/>
          <w:sz w:val="28"/>
          <w:szCs w:val="28"/>
          <w:rtl w:val="true"/>
          <w:lang w:bidi="fa-IR"/>
        </w:rPr>
        <w:t>، و إلی مباحث الاستصحاب</w:t>
      </w:r>
      <w:bookmarkStart w:id="195" w:name="pg13173_324762"/>
    </w:p>
    <w:p>
      <w:pPr>
        <w:pStyle w:val="BookText"/>
        <w:rPr/>
      </w:pPr>
      <w:bookmarkEnd w:id="195"/>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734799_3244359995"/>
      <w:bookmarkStart w:id="197" w:name="_Toc74"/>
      <w:bookmarkEnd w:id="196"/>
      <w:r>
        <w:rPr>
          <w:rtl w:val="true"/>
        </w:rPr>
        <w:t>المسألة الاولی</w:t>
      </w:r>
      <w:r>
        <w:rPr>
          <w:rtl w:val="true"/>
        </w:rPr>
        <w:t xml:space="preserve">: </w:t>
      </w:r>
      <w:r>
        <w:rPr>
          <w:rtl w:val="true"/>
        </w:rPr>
        <w:t>فی نسیان الجزء أو الشرط أو المانع فی العبادات</w:t>
      </w:r>
      <w:bookmarkEnd w:id="197"/>
    </w:p>
    <w:p>
      <w:pPr>
        <w:pStyle w:val="Heading6"/>
        <w:numPr>
          <w:ilvl w:val="5"/>
          <w:numId w:val="1"/>
        </w:numPr>
        <w:rPr/>
      </w:pPr>
      <w:bookmarkStart w:id="198" w:name="__RefHeading___Toc734801_3244359995"/>
      <w:bookmarkStart w:id="199" w:name="_Toc75"/>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لو نسی الجزء و الشرط فترکهما، أو المانع فأتی به، و کان ذلک فی العبادة، و لم یکن لدلیل الطبیعة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فلا بحث یهمّنا هنا، و تفصیله فی مسائل الاشتغال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تصحیح العبادة المذکورة؛ علی وجه لا نحتاج إلی الإعادة أو القضاء، أم لا؟ و 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فالمعروف بین المتعرّضین هو الأوّل </w:t>
      </w:r>
      <w:r>
        <w:rPr>
          <w:rStyle w:val="FootnoteAnchor"/>
          <w:rtl w:val="true"/>
        </w:rPr>
        <w:footnoteReference w:id="259"/>
      </w:r>
      <w:r>
        <w:rPr>
          <w:rFonts w:ascii="IRNazanin" w:hAnsi="IRNazanin" w:eastAsia="IRNazanin"/>
          <w:color w:val="111111"/>
          <w:sz w:val="28"/>
          <w:sz w:val="28"/>
          <w:szCs w:val="28"/>
          <w:rtl w:val="true"/>
          <w:lang w:bidi="fa-IR"/>
        </w:rPr>
        <w:t>، و 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شیخه العلّامة إمکانه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غایة ما یمکن أن یقال تقریبا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مقتضی إطلاق دلیل الجزء، هی الرکنیّة و البطلان، و لکن قضیّة ما تحرّر من انتفاء الإطلاقات فی جمیع الأحکام التکلیفیّة و الوضعیّة بحدیث الرفع </w:t>
      </w:r>
      <w:r>
        <w:rPr>
          <w:rStyle w:val="FootnoteAnchor"/>
          <w:rtl w:val="true"/>
        </w:rPr>
        <w:footnoteReference w:id="261"/>
      </w:r>
      <w:r>
        <w:rPr>
          <w:rFonts w:ascii="IRNazanin" w:hAnsi="IRNazanin" w:eastAsia="IRNazanin"/>
          <w:color w:val="111111"/>
          <w:sz w:val="28"/>
          <w:sz w:val="28"/>
          <w:szCs w:val="28"/>
          <w:rtl w:val="true"/>
          <w:lang w:bidi="fa-IR"/>
        </w:rPr>
        <w:t xml:space="preserve">، نفی الجزء المنسیّ بنفسه، و المفروض إمکان رفعه و وضعه مستقلّا، فما هو المنسیّ هو السورة التی اعتبرت جزء، فإذا کانت السورة و الشرط و المانع معتبر العدم، و مفروض الرفع بلحاظ الأثر الوضعیّ، یلزم تقیید الدلیل، و لا نعنی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التعبّد بأنّ الترک المذکور ترک فی محلّه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فالمأتیّ به تمام المأمور به؛ حسب حکومة حدیث الرفع علی دلیل الجزء، و لا یبقی وجه للشکّ فی کون الباقی کافیا، أم لا، بعد کون الشکّ ناشئا عمّا قام</w:t>
      </w:r>
    </w:p>
    <w:p>
      <w:pPr>
        <w:pStyle w:val="BookText"/>
        <w:rPr/>
      </w:pPr>
      <w:r>
        <w:rPr>
          <w:rFonts w:ascii="IRNazanin" w:hAnsi="IRNazanin" w:eastAsia="IRNazanin"/>
          <w:color w:val="111111"/>
          <w:sz w:val="28"/>
          <w:sz w:val="28"/>
          <w:szCs w:val="28"/>
          <w:rtl w:val="true"/>
          <w:lang w:bidi="fa-IR"/>
        </w:rPr>
        <w:t>الدلیل علی عدم اعتباره جزء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السورة لأجل النسیان إذا کان مورد الرفع لا أثر له، و السورة بنفسها إذا کانت مورد الرفع، فلازمه اعتبارها فی الصلاة، بل لازمه وجودها حتّی یمکن رفعها، فلا یشمل الحدیث صورة ترک السورة و الشرط</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المرفوع هی السورة المنسیّ کونها جزء، و کأنّه کان إطلاق دلیل الجزء ناطقا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السورة جزء إلّا فی صورة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العلم بالجزئیّة بعد النسیان؛ لأنّ البحث حول نسیان الجزء، لا نسیان الجزئیّة، فبمجرّد زوال النسیان یعلم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حال الصلاة، و لکن ببرکة الحدیث یلزم التقیید، و تصیر النتیجة صحّة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صورة ترک الجزء و الشرط و إیجاد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إطلاق للطبیعة و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بکفایة المأتیّ به عن المأمور به؛ لاحتمال بطلانه عند الترک، غیر مسموعة کما اشیر إلیه؛ لأنّ منشأها مسدود بالحدیث، فیکون المأتیّ به معلومة کفایته تعبّدا بالحدیث، لا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ضعف ما فی کلمات المخالفین </w:t>
      </w:r>
      <w:r>
        <w:rPr>
          <w:rStyle w:val="FootnoteAnchor"/>
          <w:rtl w:val="true"/>
        </w:rPr>
        <w:footnoteReference w:id="263"/>
      </w:r>
      <w:r>
        <w:rPr>
          <w:rFonts w:ascii="IRNazanin" w:hAnsi="IRNazanin" w:eastAsia="IRNazanin"/>
          <w:color w:val="111111"/>
          <w:sz w:val="28"/>
          <w:sz w:val="28"/>
          <w:szCs w:val="28"/>
          <w:rtl w:val="true"/>
          <w:lang w:bidi="fa-IR"/>
        </w:rPr>
        <w:t>حتّی العلّامة الأراکیّ قدّس سرّه حیث إنّ مشکلته قدّس سرّه تنحصر فی أنّ رفع الجزء، لا یفی لإجزاء المأتیّ به؛ لظهور الحدیث فی نفی الجزء حال النسیان، لا بعد التذکّر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الغریب؛ لامتناع بقاء التکلیف بعد تحقّق مصداق المأمور به، ضرورة أنّ الأمر بالطبیعة یسقط حسب فرضه، فعوده یحتاج إلی الدلیل</w:t>
      </w:r>
      <w:r>
        <w:rPr>
          <w:rFonts w:eastAsia="IRNazanin" w:cs="IRNazanin"/>
          <w:color w:val="111111"/>
          <w:sz w:val="28"/>
          <w:szCs w:val="28"/>
          <w:rtl w:val="true"/>
          <w:lang w:bidi="fa-IR"/>
        </w:rPr>
        <w:t>.</w:t>
      </w:r>
      <w:bookmarkStart w:id="200" w:name="pg13173_324764"/>
    </w:p>
    <w:p>
      <w:pPr>
        <w:pStyle w:val="BookText"/>
        <w:rPr/>
      </w:pPr>
      <w:bookmarkEnd w:id="200"/>
      <w:r>
        <w:rPr>
          <w:rFonts w:ascii="IRNazanin" w:hAnsi="IRNazanin" w:eastAsia="IRNazanin"/>
          <w:color w:val="111111"/>
          <w:sz w:val="28"/>
          <w:sz w:val="28"/>
          <w:szCs w:val="28"/>
          <w:rtl w:val="true"/>
          <w:lang w:bidi="fa-IR"/>
        </w:rPr>
        <w:t>نعم، إذا قلنا بعدم السقوط، و أنّه حکم ظاهریّ، لا تقیید واقعیّ حال النسیان، کان لما أفاده وجه،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الجزء یوجب رفع الجزء المنسیّ، و أمّا رفعه فلا یستلزم سقوط الأمر بالکلّ؛ لأنّ مقتضی حدیث الرفع تقیید دلیل الجزء، و کأنّه من الأوّل اعتبر جزء فی غیر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الإشکال بلزوم الدور، فمندفع بما مرّ فی محلّه مرارا</w:t>
      </w:r>
      <w:r>
        <w:rPr>
          <w:rStyle w:val="FootnoteAnchor"/>
          <w:rtl w:val="true"/>
        </w:rPr>
        <w:footnoteReference w:id="265"/>
      </w:r>
      <w:r>
        <w:rPr>
          <w:rFonts w:ascii="IRNazanin" w:hAnsi="IRNazanin" w:eastAsia="IRNazanin"/>
          <w:color w:val="111111"/>
          <w:sz w:val="28"/>
          <w:sz w:val="28"/>
          <w:szCs w:val="28"/>
          <w:rtl w:val="true"/>
          <w:lang w:bidi="fa-IR"/>
        </w:rPr>
        <w:t>، فعلی هذا لا یبقی لبیانه محلّ بعد ذلک، فافهم جیّدا</w:t>
      </w:r>
      <w:r>
        <w:rPr>
          <w:rFonts w:eastAsia="IRNazanin" w:cs="IRNazanin"/>
          <w:color w:val="111111"/>
          <w:sz w:val="28"/>
          <w:szCs w:val="28"/>
          <w:rtl w:val="true"/>
          <w:lang w:bidi="fa-IR"/>
        </w:rPr>
        <w:t>.</w:t>
      </w:r>
    </w:p>
    <w:p>
      <w:pPr>
        <w:pStyle w:val="Heading6"/>
        <w:numPr>
          <w:ilvl w:val="5"/>
          <w:numId w:val="1"/>
        </w:numPr>
        <w:rPr/>
      </w:pPr>
      <w:bookmarkStart w:id="201" w:name="__RefHeading___Toc734803_3244359995"/>
      <w:bookmarkStart w:id="202" w:name="_Toc76"/>
      <w:bookmarkEnd w:id="201"/>
      <w:r>
        <w:rPr>
          <w:rtl w:val="true"/>
        </w:rPr>
        <w:t>بقی شی‌ء</w:t>
      </w:r>
      <w:r>
        <w:rPr>
          <w:rtl w:val="true"/>
        </w:rPr>
        <w:t xml:space="preserve">: </w:t>
      </w:r>
      <w:r>
        <w:rPr>
          <w:rtl w:val="true"/>
        </w:rPr>
        <w:t>فی أنحاء النسیان و أحکامها</w:t>
      </w:r>
      <w:bookmarkEnd w:id="202"/>
    </w:p>
    <w:p>
      <w:pPr>
        <w:pStyle w:val="BookText"/>
        <w:rPr/>
      </w:pPr>
      <w:r>
        <w:rPr>
          <w:rFonts w:ascii="IRNazanin" w:hAnsi="IRNazanin" w:eastAsia="IRNazanin"/>
          <w:color w:val="111111"/>
          <w:sz w:val="28"/>
          <w:sz w:val="28"/>
          <w:szCs w:val="28"/>
          <w:rtl w:val="true"/>
          <w:lang w:bidi="fa-IR"/>
        </w:rPr>
        <w:t>إنّ نسیان الجزء بمعنی نسیان الجزئیّة، یرجع إلی المسألة الاخری، و یأتی البحث حولها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بمعنی نسیان ذات الجزء و هی السورة، فهذا غیر مناف للالتفات إلی الجزئیّة، و یرجع إلی العجز عن الإتیان بها، فیخرج عن المسألة، فلا مورد لنسیان الجزء بما هو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نسیان الجزئیّة مع الغفلة عن الحال ممکن، و إذا صار ملتفتا یقع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ما أتی به هل یکفیه، أم لا؟ فترجع المسألة إلی المسألة الاخری، و یصیر البحث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نسیان الجزئیّة بعد زوال النسیان، هل یوجب الإجزاء؟</w:t>
      </w:r>
    </w:p>
    <w:p>
      <w:pPr>
        <w:pStyle w:val="BookText"/>
        <w:rPr/>
      </w:pPr>
      <w:r>
        <w:rPr>
          <w:rFonts w:ascii="IRNazanin" w:hAnsi="IRNazanin" w:eastAsia="IRNazanin"/>
          <w:color w:val="111111"/>
          <w:sz w:val="28"/>
          <w:sz w:val="28"/>
          <w:szCs w:val="28"/>
          <w:rtl w:val="true"/>
          <w:lang w:bidi="fa-IR"/>
        </w:rPr>
        <w:t xml:space="preserve">فیکون خارجا عمّا هو مورد البحث فی المقام، کما وقع فی کلام بعض الأعلام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ذات الجزء و هی السورة، معناه زوال صورتها العلمیّة عن صفحة ذهنه، کما هو المتعارف فی نسیان الأسماء و الأشعار و الأحادیث، و هو</w:t>
      </w:r>
    </w:p>
    <w:p>
      <w:pPr>
        <w:pStyle w:val="BookText"/>
        <w:rPr/>
      </w:pPr>
      <w:r>
        <w:rPr>
          <w:rFonts w:ascii="IRNazanin" w:hAnsi="IRNazanin" w:eastAsia="IRNazanin"/>
          <w:color w:val="111111"/>
          <w:sz w:val="28"/>
          <w:sz w:val="28"/>
          <w:szCs w:val="28"/>
          <w:rtl w:val="true"/>
          <w:lang w:bidi="fa-IR"/>
        </w:rPr>
        <w:t>یساوق العجز عن الإیجاد، و یجتمع مع الالتفات إلی النسیان، و هذا لیس المقصود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نسیان الجزء؛ بمعنی نسیان الجزئیّة، و هی الغفلة عن الإتیان بالسورة حین الصلاة، یکون أیضا خارجا عن المبحوث عنه فی المقام، فما أفادوه هنا من نسیان الجزء</w:t>
      </w:r>
      <w:r>
        <w:rPr>
          <w:rStyle w:val="FootnoteAnchor"/>
          <w:rtl w:val="true"/>
        </w:rPr>
        <w:footnoteReference w:id="268"/>
      </w:r>
      <w:r>
        <w:rPr>
          <w:rFonts w:ascii="IRNazanin" w:hAnsi="IRNazanin" w:eastAsia="IRNazanin"/>
          <w:color w:val="111111"/>
          <w:sz w:val="28"/>
          <w:sz w:val="28"/>
          <w:szCs w:val="28"/>
          <w:rtl w:val="true"/>
          <w:lang w:bidi="fa-IR"/>
        </w:rPr>
        <w:t>، لا یرجع إلی محصّل، 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الناسی إذا کان ناسیا الخصوصیّة، و عالما بالجهة المشترکة، یکون ملتفتا، کما إذا نسی حکم صلاة الجمعة، و کان عالما بأنّها إمّا واجبة، أو محرّمة، أو مستحبّة، و هکذا فیما نحن فیه، مثلا یکون عالما بأنّ السورة کان لها حکم فی الصلاة، فنسی أنّه حکم تکلیفیّ صرف ندبیّ أو وجوبیّ، أم حکم وضعیّ، و هذا ما یرجع إلی الجهالة، و التحقیق حوله فی الأقلّ و الأکثر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الناسین من یکون ناسیا للصورة العلمیّة، کصورة شعر و نثر و حدیث و قرآن و هکذا، و هو أیضا ملتفت إلی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الناسی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 ناسی الجزء؛ أی ذات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الأخیر ناسی الجزئیّة، و یأتی تحقیقه فی بحوث الاشتغال </w:t>
      </w:r>
      <w:r>
        <w:rPr>
          <w:rStyle w:val="FootnoteAnchor"/>
          <w:rtl w:val="true"/>
        </w:rPr>
        <w:footnoteReference w:id="270"/>
      </w:r>
      <w:r>
        <w:rPr>
          <w:rFonts w:ascii="IRNazanin" w:hAnsi="IRNazanin" w:eastAsia="IRNazanin"/>
          <w:color w:val="111111"/>
          <w:sz w:val="28"/>
          <w:sz w:val="28"/>
          <w:szCs w:val="28"/>
          <w:rtl w:val="true"/>
          <w:lang w:bidi="fa-IR"/>
        </w:rPr>
        <w:t>، و هذا عین الغفلة عن الإتیان بالجزء بما هو جزء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الجزئیة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سئل المکلّف عن أجزاء الصلاة مثلا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عشرة، و نسیان الجزء أنّه فی السؤال المذکور یجیب صحیحا، و لکنّه فی مقام الإتیان یترک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تارک الجزء متوجّه إلی الجزئیّة، أم هو غافل؟ لا سبیل إلی الأوّل، فترکه لأجل نسیان جزئیّة السورة، و لکن فرق بین نسیان الجزء فی زمان طویل، و زمان قصیر، فإنّ الأوّل یعتبر نسیان الجزئیّة، بخلاف الثانی، و هذا الفرق لا یوجب اختلافا فی الجهة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صورة فقد إطلاق الطبیعة مع وجود إطلاق دلیل الجزء، تشکل الصحّة من ناحیة اخری غیر ما مرّ، و هو امتناع کون الناسی مورد الخطاب، و امتناع امتثاله؛ لأنّ ما هو مورد الأمر هو الفرد الکامل، و الناسی لا یرید إلّا امتثال الأمر المتعلّق بالکامل، مع أنّ الأمر المتوجّه إلیه هو الأمر المتعلّق بالناقص؛ بناء علی أنّ ما هو المأمور به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حکومة دلیل الرفع علی الإطلاق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الناقص، فإذا کانت عبادیّة العبادة، موقوفة علی انبعاثه عن الأمر المتوجّه إلیه، و کان هو الأمر بالناقص، و لأجل عدم التفاته إلیه ینبعث عن الأمر المتوجّه إلی الکامل، فلا تقع عبادته صحیحة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مورد بحث الأعلام هنا غیر قابل للتصوّر، و ما هو المبحوث عنه فی باب الاشتغال، ما اشیر إلیه، و عرفت إمکان جریان الحدیث بالنسبة إلی تقیید إطلاق دلیل الجزئیّة، و الشرطیّة، و المانعیّة؛ من غیر فرق بینها، و إنّما الإشکال من جهة اخری، و قد تصدّی القوم لحلّه بطرق شتّی </w:t>
      </w:r>
      <w:r>
        <w:rPr>
          <w:rStyle w:val="FootnoteAnchor"/>
          <w:rtl w:val="true"/>
        </w:rPr>
        <w:footnoteReference w:id="271"/>
      </w:r>
      <w:r>
        <w:rPr>
          <w:rFonts w:ascii="IRNazanin" w:hAnsi="IRNazanin" w:eastAsia="IRNazanin"/>
          <w:color w:val="111111"/>
          <w:sz w:val="28"/>
          <w:sz w:val="28"/>
          <w:szCs w:val="28"/>
          <w:rtl w:val="true"/>
          <w:lang w:bidi="fa-IR"/>
        </w:rPr>
        <w:t>، تفصیلها فی محلّها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تصدّی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الأمر واحد بالنسبة إلی حالتی الذکر و النسیان، و بالنسبة إلی الناقص و الکامل، کما هو واحد بالنسبة إلی</w:t>
      </w:r>
      <w:bookmarkStart w:id="203" w:name="pg13173_324767"/>
    </w:p>
    <w:p>
      <w:pPr>
        <w:pStyle w:val="BookText"/>
        <w:rPr/>
      </w:pPr>
      <w:bookmarkEnd w:id="203"/>
      <w:r>
        <w:rPr>
          <w:rFonts w:ascii="IRNazanin" w:hAnsi="IRNazanin" w:eastAsia="IRNazanin"/>
          <w:color w:val="111111"/>
          <w:sz w:val="28"/>
          <w:sz w:val="28"/>
          <w:szCs w:val="28"/>
          <w:rtl w:val="true"/>
          <w:lang w:bidi="fa-IR"/>
        </w:rPr>
        <w:t>الصلاة المائیّة و الترابیّة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العبادة أوّلا، لیست موقوفة علی ما قیل، و مقالة المشهور</w:t>
      </w:r>
      <w:r>
        <w:rPr>
          <w:rStyle w:val="FootnoteAnchor"/>
          <w:rtl w:val="true"/>
        </w:rPr>
        <w:footnoteReference w:id="274"/>
      </w:r>
      <w:r>
        <w:rPr>
          <w:rFonts w:ascii="IRNazanin" w:hAnsi="IRNazanin" w:eastAsia="IRNazanin"/>
          <w:color w:val="111111"/>
          <w:sz w:val="28"/>
          <w:sz w:val="28"/>
          <w:szCs w:val="28"/>
          <w:rtl w:val="true"/>
          <w:lang w:bidi="fa-IR"/>
        </w:rPr>
        <w:t>غیر تامّة فی الفقه، و یکفی لعبادیّة العبادة، إتیان المطلوب بقیوده قربة إلی اللّه و لو کان منضمّا إلیه تخیّل الجهة الاخری، بعد عدم کونه مندرجا فی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وحدة الأمر فهی مشکلة؛ لأنّه إذا کان واحدا، فلا بدّ أن یکون المطلوب واحدا، و لازمه جواز تبدیل المائیّة بالترابیّة اختیاریّا، و جواز التناسی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المطلوب متعدّدا، فلا بدّ من الالتزام بتعدّد الأمر، فلا یتمّ ما أفاده، و تفصیله فی محلّه، فافهم و اغتنم</w:t>
      </w:r>
      <w:r>
        <w:rPr>
          <w:rFonts w:eastAsia="IRNazanin" w:cs="IRNazanin"/>
          <w:color w:val="111111"/>
          <w:sz w:val="28"/>
          <w:szCs w:val="28"/>
          <w:rtl w:val="true"/>
          <w:lang w:bidi="fa-IR"/>
        </w:rPr>
        <w:t>.</w:t>
      </w:r>
    </w:p>
    <w:p>
      <w:pPr>
        <w:pStyle w:val="Heading6"/>
        <w:numPr>
          <w:ilvl w:val="5"/>
          <w:numId w:val="1"/>
        </w:numPr>
        <w:rPr/>
      </w:pPr>
      <w:bookmarkStart w:id="204" w:name="__RefHeading___Toc734805_3244359995"/>
      <w:bookmarkStart w:id="205" w:name="_Toc77"/>
      <w:bookmarkEnd w:id="204"/>
      <w:r>
        <w:rPr>
          <w:rtl w:val="true"/>
        </w:rPr>
        <w:t>تذنیب</w:t>
      </w:r>
      <w:r>
        <w:rPr>
          <w:rtl w:val="true"/>
        </w:rPr>
        <w:t xml:space="preserve">: </w:t>
      </w:r>
      <w:r>
        <w:rPr>
          <w:rtl w:val="true"/>
        </w:rPr>
        <w:t>فی عدم الفرق بین نسیان الجزء و الشرط و المانع</w:t>
      </w:r>
      <w:bookmarkEnd w:id="205"/>
    </w:p>
    <w:p>
      <w:pPr>
        <w:pStyle w:val="BookText"/>
        <w:rPr/>
      </w:pPr>
      <w:r>
        <w:rPr>
          <w:rFonts w:ascii="IRNazanin" w:hAnsi="IRNazanin" w:eastAsia="IRNazanin"/>
          <w:color w:val="111111"/>
          <w:sz w:val="28"/>
          <w:sz w:val="28"/>
          <w:szCs w:val="28"/>
          <w:rtl w:val="true"/>
          <w:lang w:bidi="fa-IR"/>
        </w:rPr>
        <w:t>بناء علی ما عرفت من رجوع نسیان الجزء بما هو جزء إلی نسیان الجزئیّة، لا فرق بین نسیان الشرط و المانع و بین نسیان الجزء، و توهّم الفرق بینهما</w:t>
      </w:r>
      <w:r>
        <w:rPr>
          <w:rStyle w:val="FootnoteAnchor"/>
          <w:rtl w:val="true"/>
        </w:rPr>
        <w:footnoteReference w:id="275"/>
      </w:r>
      <w:r>
        <w:rPr>
          <w:rFonts w:ascii="IRNazanin" w:hAnsi="IRNazanin" w:eastAsia="IRNazanin"/>
          <w:color w:val="111111"/>
          <w:sz w:val="28"/>
          <w:sz w:val="28"/>
          <w:szCs w:val="28"/>
          <w:rtl w:val="true"/>
          <w:lang w:bidi="fa-IR"/>
        </w:rPr>
        <w:t>، ناشئ من تخیّل أنّ نسیان الجزء و الشرط غیر نسیان الجزئیّة و الشرطیّة، و لذلک لا یصلح الحدیث الشریف لتنزیل العدم منزلة الوجود، بخلاف نسیان المانع، فإنّه یمکن تنزیله منزلة العدم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أصل هذه المسألة و هو حدیث التنزیل، أمر غیر صحیح؛ ضرورة</w:t>
      </w:r>
      <w:bookmarkStart w:id="206" w:name="pg13173_324768"/>
    </w:p>
    <w:p>
      <w:pPr>
        <w:pStyle w:val="BookText"/>
        <w:rPr/>
      </w:pPr>
      <w:bookmarkEnd w:id="206"/>
      <w:r>
        <w:rPr>
          <w:rFonts w:ascii="IRNazanin" w:hAnsi="IRNazanin" w:eastAsia="IRNazanin"/>
          <w:color w:val="111111"/>
          <w:sz w:val="28"/>
          <w:sz w:val="28"/>
          <w:szCs w:val="28"/>
          <w:rtl w:val="true"/>
          <w:lang w:bidi="fa-IR"/>
        </w:rPr>
        <w:t xml:space="preserve">أنّ الحدیث لیس ظاهرا فی التنزیل، بل مفاده نفی الحکم عن الموضوع المعروض لتلک العناوین الستّة، کما عرفت تحقیقه </w:t>
      </w:r>
      <w:r>
        <w:rPr>
          <w:rStyle w:val="FootnoteAnchor"/>
          <w:rtl w:val="true"/>
        </w:rPr>
        <w:footnoteReference w:id="276"/>
      </w:r>
      <w:r>
        <w:rPr>
          <w:rFonts w:ascii="IRNazanin" w:hAnsi="IRNazanin" w:eastAsia="IRNazanin"/>
          <w:color w:val="111111"/>
          <w:sz w:val="28"/>
          <w:sz w:val="28"/>
          <w:szCs w:val="28"/>
          <w:rtl w:val="true"/>
          <w:lang w:bidi="fa-IR"/>
        </w:rPr>
        <w:t>، فعلیه لا 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التنزیل ادعائیّ و اعتباریّ، و یکون النظر إلی الآثار و الأحکام، دون الواقعیّات و الخارجیّات، حتّی یتوهّم أنّ العدم لیس بشی‌ء حتّی ینزّل </w:t>
      </w:r>
      <w:r>
        <w:rPr>
          <w:rStyle w:val="FootnoteAnchor"/>
          <w:rtl w:val="true"/>
        </w:rPr>
        <w:footnoteReference w:id="27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کیفیّة تقیید إطلاق أدلّة الجزء و الشرط و المانع، ینقدح أنّ إشکال المثبتیّة</w:t>
      </w:r>
      <w:r>
        <w:rPr>
          <w:rStyle w:val="FootnoteAnchor"/>
          <w:rtl w:val="true"/>
        </w:rPr>
        <w:footnoteReference w:id="278"/>
      </w:r>
      <w:r>
        <w:rPr>
          <w:rFonts w:ascii="IRNazanin" w:hAnsi="IRNazanin" w:eastAsia="IRNazanin"/>
          <w:color w:val="111111"/>
          <w:sz w:val="28"/>
          <w:sz w:val="28"/>
          <w:szCs w:val="28"/>
          <w:rtl w:val="true"/>
          <w:lang w:bidi="fa-IR"/>
        </w:rPr>
        <w:t>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ممّا أفدناه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نسیان الجزء هو نسیان الوجود، و هو غیر مورد للجعل و الوضع حتّی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و غیر معقول إلّا برجوعه إلی نسیان الجزئیّة، أو یرجع إلی العجز عن إتیان بعض المأمور به، فیندرج فی المسألة الاخری المحرّرة فی مباحث الاشتغال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734807_3244359995"/>
      <w:bookmarkStart w:id="208" w:name="_Toc78"/>
      <w:bookmarkEnd w:id="207"/>
      <w:r>
        <w:rPr>
          <w:rtl w:val="true"/>
        </w:rPr>
        <w:t>تتمیم</w:t>
      </w:r>
      <w:r>
        <w:rPr>
          <w:rtl w:val="true"/>
        </w:rPr>
        <w:t xml:space="preserve">: </w:t>
      </w:r>
      <w:r>
        <w:rPr>
          <w:rtl w:val="true"/>
        </w:rPr>
        <w:t>حول حکم بعض أقسام الناسین</w:t>
      </w:r>
      <w:bookmarkEnd w:id="208"/>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الناسی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یندرج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ناسی الخصوصیّة العالم بأصل حکم الطبیعة أو الجزء، فإنّه یجوز أن یکون ناسیا للوجوب و الندب، و عالما بأصل الحکم فی زمان الحال، کما یکون نسیانه بلحاظ الاستقبال، و هذا واضح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یندرج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نسی کیفیّة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الصنف الثالث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الصنفان الأوّلان یجتمعان مع الالتفات إلی النسیان، و یجوز البحث حول شمول دلیل النسیان لمثلهما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ناسیا للخصوصیّة و هی جزئیّة السورة، أو کونها واجبا تکلیفیّا، بعد العلم بأصل لزومها إجمالا فی الصلاة، فأتی بها و ترکها، ثمّ توجّه إلی الجزئیّة، فهل یشمله حدیث رفع النسیان؟</w:t>
      </w:r>
    </w:p>
    <w:p>
      <w:pPr>
        <w:pStyle w:val="BookText"/>
        <w:rPr/>
      </w:pPr>
      <w:r>
        <w:rPr>
          <w:rFonts w:ascii="IRNazanin" w:hAnsi="IRNazanin" w:eastAsia="IRNazanin"/>
          <w:color w:val="111111"/>
          <w:sz w:val="28"/>
          <w:sz w:val="28"/>
          <w:szCs w:val="28"/>
          <w:rtl w:val="true"/>
          <w:lang w:bidi="fa-IR"/>
        </w:rPr>
        <w:t>أم یختصّ رفع الجهالة به؛ لأنّه قبل الإتیان بالصلاة، کان جاهلا و مرفوعة جزئیّة الصلاة فی حقّه، فلا یبقی محلّ بعد الاعتقاد بالجزئیّة؛ لجریان حدیث رفع النسیان؟</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الجزئیّة بحدیث رفع الجهالة رفع ظاهریّ، بخلاف رفعها برفع النسیان، فإنّه تقیید واقعیّ و تحکیم، فلو التفت بعد الصلاة إلی الجزئیّة، یصدق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عارفا بالجزئیّة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المسألة و إن لم توجد فی کلمات القوم، إلّا أنّها لا تضرّ بالبحث، فإنّها تنفعک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ربّما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أصل تصوّر المبحث المذکور، و بعد الفراغ من مرحلة الثبوت و ثمرة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مرحلة الإثبات، لا یبعد اختصاص رفع النسیان بصورة الثالث؛ و هو النسیان غیر المجتمع مع الالتفات حین العمل بحسب الطبع و الذات، فتخرج الصورتان الاولیان عن حدیث النسیان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نسی ذات السورة، و غفل فأتی بالصلاة الفاقدة، فإنّه و لو کان باعتبار عاجزا عن الجزء، و لکنّه باعتبار ناس، و لکنّه لا یشمله الحدیث، فلاحظ و تدبّر، و لعلّ بعد ذلک یأتی فی بحوث الاشتغال </w:t>
      </w:r>
      <w:r>
        <w:rPr>
          <w:rStyle w:val="FootnoteAnchor"/>
          <w:rtl w:val="true"/>
        </w:rPr>
        <w:footnoteReference w:id="280"/>
      </w:r>
      <w:r>
        <w:rPr>
          <w:rFonts w:ascii="IRNazanin" w:hAnsi="IRNazanin" w:eastAsia="IRNazanin"/>
          <w:color w:val="111111"/>
          <w:sz w:val="28"/>
          <w:sz w:val="28"/>
          <w:szCs w:val="28"/>
          <w:rtl w:val="true"/>
          <w:lang w:bidi="fa-IR"/>
        </w:rPr>
        <w:t>ما یتمّ به البحث هنا، فلا تخلط</w:t>
      </w:r>
      <w:r>
        <w:rPr>
          <w:rFonts w:eastAsia="IRNazanin" w:cs="IRNazanin"/>
          <w:color w:val="111111"/>
          <w:sz w:val="28"/>
          <w:szCs w:val="28"/>
          <w:rtl w:val="true"/>
          <w:lang w:bidi="fa-IR"/>
        </w:rPr>
        <w:t>.</w:t>
      </w:r>
      <w:bookmarkStart w:id="209" w:name="pg13173_324770"/>
    </w:p>
    <w:p>
      <w:pPr>
        <w:pStyle w:val="Heading6"/>
        <w:numPr>
          <w:ilvl w:val="5"/>
          <w:numId w:val="1"/>
        </w:numPr>
        <w:rPr/>
      </w:pPr>
      <w:bookmarkStart w:id="210" w:name="__RefHeading___Toc734809_3244359995"/>
      <w:bookmarkStart w:id="211" w:name="_Toc79"/>
      <w:bookmarkEnd w:id="209"/>
      <w:bookmarkEnd w:id="210"/>
      <w:r>
        <w:rPr>
          <w:rtl w:val="true"/>
        </w:rPr>
        <w:t>ذنابة</w:t>
      </w:r>
      <w:r>
        <w:rPr>
          <w:rtl w:val="true"/>
        </w:rPr>
        <w:t xml:space="preserve">: </w:t>
      </w:r>
      <w:r>
        <w:rPr>
          <w:rtl w:val="true"/>
        </w:rPr>
        <w:t>فی حکم نسیان الجزء أو الشرط أو المانع فی المعاملات</w:t>
      </w:r>
      <w:bookmarkEnd w:id="211"/>
    </w:p>
    <w:p>
      <w:pPr>
        <w:pStyle w:val="BookText"/>
        <w:rPr/>
      </w:pPr>
      <w:r>
        <w:rPr>
          <w:rFonts w:ascii="IRNazanin" w:hAnsi="IRNazanin" w:eastAsia="IRNazanin"/>
          <w:color w:val="111111"/>
          <w:sz w:val="28"/>
          <w:sz w:val="28"/>
          <w:szCs w:val="28"/>
          <w:rtl w:val="true"/>
          <w:lang w:bidi="fa-IR"/>
        </w:rPr>
        <w:t>ما ذکرناه فی باب العبادات، أقلّ محذورا فی أبواب المعاملات، ففیما إذا لم یکن إطلاق لدلیل الطبیعة، کما هو مفروض الکلام، و کان لدلیل الشرط و الجزء أو المانع إطلاق، کما هو لازم البحث عن حدیث الرفع، و لم یکن ترک الجزء و الشرط أو إیجاد المانع، ممّا ینتهی إلی الإضرار بأصل صدق الطبیعة و تحقّقها عرفا، کما فی الشرائط و الأجزاء و الموانع الشرعیّة مثلا، فمقتضی الأدلّة أنّ العقد النافذ المتیقّن هو العقد العربیّ، إلّا أنّ مقتضی حدیث الرفع، کون الفاقد للعربیّة أیضا متیقّنا بالادعاء و الحکومة؛ و بنتیجة التقیید الواقع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التقریب، لا یلزم کون الأصل مثبتا، و لا تلزم الحاجة إلی إطلاق دلیل الطبیعة، و تکون أصالة الفساد فی العقد محکومة بالأصل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یندفع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لجریانه؛ لأنّه فی صورة وجود إطلاق الطبیعة، لا حاجة إلیه، و مع انتفائه لا فائدة فیه؛ لکونه مثبتا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تفصیل السیّد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الشرط الکذائیّ و الکذائیّ </w:t>
      </w:r>
      <w:r>
        <w:rPr>
          <w:rStyle w:val="FootnoteAnchor"/>
          <w:rtl w:val="true"/>
        </w:rPr>
        <w:footnoteReference w:id="281"/>
      </w:r>
      <w:r>
        <w:rPr>
          <w:rFonts w:ascii="IRNazanin" w:hAnsi="IRNazanin" w:eastAsia="IRNazanin"/>
          <w:color w:val="111111"/>
          <w:sz w:val="28"/>
          <w:sz w:val="28"/>
          <w:szCs w:val="28"/>
          <w:rtl w:val="true"/>
          <w:lang w:bidi="fa-IR"/>
        </w:rPr>
        <w:t>، فی غیر محلّه؛ لأنّ حقیقة الشرط ما هو الخارج عن قوام المعاملة، و لا یضرّ بصدقها انتفاؤه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تقریرات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جریان حدیث الرفع هنا، یستتبع وجوب الوفاء، و هو خلاف المنّة، و لأجل ذلک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یجری فی شرائط الوجوب، دون الواجب</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فغیر صحیح</w:t>
      </w:r>
      <w:r>
        <w:rPr>
          <w:rFonts w:eastAsia="IRNazanin" w:cs="IRNazanin"/>
          <w:color w:val="111111"/>
          <w:sz w:val="28"/>
          <w:szCs w:val="28"/>
          <w:rtl w:val="true"/>
          <w:lang w:bidi="fa-IR"/>
        </w:rPr>
        <w:t>:</w:t>
      </w:r>
      <w:bookmarkStart w:id="212" w:name="pg13173_324771"/>
    </w:p>
    <w:p>
      <w:pPr>
        <w:pStyle w:val="BookText"/>
        <w:rPr/>
      </w:pPr>
      <w:bookmarkEnd w:id="212"/>
      <w:r>
        <w:rPr>
          <w:rFonts w:ascii="IRNazanin" w:hAnsi="IRNazanin" w:eastAsia="IRNazanin"/>
          <w:color w:val="111111"/>
          <w:sz w:val="28"/>
          <w:sz w:val="28"/>
          <w:szCs w:val="28"/>
          <w:rtl w:val="true"/>
          <w:lang w:bidi="fa-IR"/>
        </w:rPr>
        <w:t>أمّا نقضا فلأنّ حدیث الرفع عند الأعلام، لا یجری فی صورة الاضطرار إلی البیع، معلّلین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إفساد البیع خلاف المنّة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فلو کان ما أفاده صحیحا، لکان تصحیحه خلاف المنّة، و إیجاب الوفاء خلاف السعة، فوجوب الوفاء لا ینافی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حلّا فلأنّ المنّة و السعة المعتبرة، ربّما تقتضی الصحّة، و مجرّد وجوب الوفاء لا یدلّ علی خلاف المنّة، کما توهّمه، و قد مرّ أن العبرة بالسعة علی الامّة، و لا شبهة فی أنّ إلغاء القیود و الشرائط، من السعة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یکون فی شخص فی مورد منّة،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العبرة بالمنّة فی کلّ مورد خاصّ، و أنّ الرفع دائر مدارها وجودا و عدما، فلازمه انتفاء الحدیث جریانا 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المنّة فی جانب أحد المتعاقدین فی الرفع، تستلزم الضیق أحیانا فی الجانب الآخر، و قد مرّ تفصیله </w:t>
      </w:r>
      <w:r>
        <w:rPr>
          <w:rStyle w:val="FootnoteAnchor"/>
          <w:rtl w:val="true"/>
        </w:rPr>
        <w:footnoteReference w:id="284"/>
      </w:r>
      <w:r>
        <w:rPr>
          <w:rFonts w:ascii="IRNazanin" w:hAnsi="IRNazanin" w:eastAsia="IRNazanin"/>
          <w:color w:val="111111"/>
          <w:sz w:val="28"/>
          <w:sz w:val="28"/>
          <w:szCs w:val="28"/>
          <w:rtl w:val="true"/>
          <w:lang w:bidi="fa-IR"/>
        </w:rPr>
        <w:t>، و أنّ الأظهر فی صورة کون الغالب فی الرفع لمنّة، عدم ملاحظة الآحاد، بخلاف مثل قاعدة نفی الحرج، و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رفع الوجوب برفع شرطه، خلاف الامتنان علی شخص خاصّ؛ لأغراض تطراه، مع أنّ الرفع المذکور سعة علی الامّة حسب العادة و النوع، فلا تخلط</w:t>
      </w:r>
      <w:r>
        <w:rPr>
          <w:rFonts w:eastAsia="IRNazanin" w:cs="IRNazanin"/>
          <w:color w:val="111111"/>
          <w:sz w:val="28"/>
          <w:szCs w:val="28"/>
          <w:rtl w:val="true"/>
          <w:lang w:bidi="fa-IR"/>
        </w:rPr>
        <w:t>.</w:t>
      </w:r>
    </w:p>
    <w:p>
      <w:pPr>
        <w:pStyle w:val="Heading6"/>
        <w:numPr>
          <w:ilvl w:val="5"/>
          <w:numId w:val="1"/>
        </w:numPr>
        <w:rPr/>
      </w:pPr>
      <w:bookmarkStart w:id="213" w:name="__RefHeading___Toc734811_3244359995"/>
      <w:bookmarkStart w:id="214" w:name="_Toc80"/>
      <w:bookmarkEnd w:id="213"/>
      <w:r>
        <w:rPr>
          <w:rtl w:val="true"/>
        </w:rPr>
        <w:t>بحث و تحقیق</w:t>
      </w:r>
      <w:r>
        <w:rPr>
          <w:rtl w:val="true"/>
        </w:rPr>
        <w:t xml:space="preserve">: </w:t>
      </w:r>
      <w:r>
        <w:rPr>
          <w:rtl w:val="true"/>
        </w:rPr>
        <w:t>فی حکم نسیان الجزء الرکنی الدخیل فی صدق الطبیعة</w:t>
      </w:r>
      <w:bookmarkEnd w:id="21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یظهر من جمع و هو صریح السیّد المحقّق الوالد</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w:t>
      </w:r>
    </w:p>
    <w:p>
      <w:pPr>
        <w:pStyle w:val="BookText"/>
        <w:rPr/>
      </w:pPr>
      <w:r>
        <w:rPr>
          <w:rFonts w:ascii="IRNazanin" w:hAnsi="IRNazanin" w:eastAsia="IRNazanin"/>
          <w:color w:val="111111"/>
          <w:sz w:val="28"/>
          <w:sz w:val="28"/>
          <w:szCs w:val="28"/>
          <w:rtl w:val="true"/>
          <w:lang w:bidi="fa-IR"/>
        </w:rPr>
        <w:t>تقدیر کفایة الحدیث لصحّة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کان أو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فیما إذا کان المنسیّ جزء أو شرطا أو مانعا غیر مضرّ بالاسم، و غیر دخیل فی صدق الطبیعة، و أمّا فیما إذا احتمل دخالته فی قوام الماهیّة، أو علم دخالته، و احتمل تدخّل الشرع فی الدخالة حال النسیان، فالحدیث الشریف غیر کاف لتصحیحه و لسببیّة المأتیّ به فی باب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القصد إلی المضمون، أو نسی الرکوع و السجود، و کانا قوام الصلاة، أو نسی القبول، و کان رکنا، فإنّه لا یمکن التصحیح به؛ ضرورة أنّه فی صورة الشکّ فی الدخالة، یرجع إلی الشک فی الموضوع، و فی صورة العلم بها یرجع إلی انتفاء موضوع الحدیث؛ و ذلک لأنّ المنظور رفع الجزء المنسیّ من الصلاة و البیع، فلا بدّ من إحراز صدق الصلاة و البیع أوّلا، ثمّ إذا شکّ فی أمر زائد یرجع إلی الحدیث حسب 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ثبوتا فی إمکان تعبّد الشرع بالتوسعة فی الصورتین، فلو ورد فی مورد نسیان قصد البیع و الطلاق، نصّ بصحّتهما، یؤخذ به، و یحمل علی أنّ الشرع، رتّب الآثار علی الموجود المذکور و لو لم یکن بیعا، کما فی موارد العقد حال العدّة مع العلم، فإنّه لا یعقل ترشّح القصد إلی الزواج مع أنّه رکن فی تحقّق المسمّی، و مع ذلک هو موضوع للحرمة الأبدیّة؛ علی ما هو المشهور بینهم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فلا بأس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جریان حدیث الرفع، لیس إلّا نسیان الجزء من المرکّب الذی له الأجزاء مثلا، و أمّا کون المنسیّ جزء البیع، أو جزء الصلاة، فلا یعتبر فی جریانه، فلا یکون مجری الحدیث مخصوصا بالصورة المذکورة،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الاستدلال فی غیر مقامه، بل المعتبر فی المجری أعمّ، و یکفی نسیان جزء المرکّب العبادیّ، أو المعاملیّ، أو الإیقاعیّ</w:t>
      </w:r>
      <w:r>
        <w:rPr>
          <w:rFonts w:eastAsia="IRNazanin" w:cs="IRNazanin"/>
          <w:color w:val="111111"/>
          <w:sz w:val="28"/>
          <w:szCs w:val="28"/>
          <w:rtl w:val="true"/>
          <w:lang w:bidi="fa-IR"/>
        </w:rPr>
        <w:t>.</w:t>
      </w:r>
      <w:bookmarkStart w:id="215" w:name="pg13173_324773"/>
    </w:p>
    <w:p>
      <w:pPr>
        <w:pStyle w:val="BookText"/>
        <w:rPr/>
      </w:pPr>
      <w:bookmarkEnd w:id="215"/>
      <w:r>
        <w:rPr>
          <w:rFonts w:ascii="IRNazanin" w:hAnsi="IRNazanin" w:eastAsia="IRNazanin"/>
          <w:color w:val="111111"/>
          <w:sz w:val="28"/>
          <w:sz w:val="28"/>
          <w:szCs w:val="28"/>
          <w:rtl w:val="true"/>
          <w:lang w:bidi="fa-IR"/>
        </w:rPr>
        <w:t>فإذا کان المأتیّ به موجودا اعتبارا و مرکّبا، و مشکوکا تأثیره فی سقوط الأمر، کما فی العبادة، أو فی حصول المسبّب، کما فی العقود و الإیقاعات، و کان سبب الشکّ احتمال دخالته فی الموضوع، أو احتمل تدخّل الشرع حال النسیان فی دخالته فی الموضوع، مع العلم بدخالته فیه عرفا، فالحدیث بإطلاقه یوجب استکشاف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المنسیّ مرفوع بجمیع آثاره الوضعیّة تعبّدا، من غیر أن نرید إثبات سببیّة الباقی به،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مثبت </w:t>
      </w:r>
      <w:r>
        <w:rPr>
          <w:rStyle w:val="FootnoteAnchor"/>
          <w:rtl w:val="true"/>
        </w:rPr>
        <w:footnoteReference w:id="286"/>
      </w:r>
      <w:r>
        <w:rPr>
          <w:rFonts w:ascii="IRNazanin" w:hAnsi="IRNazanin" w:eastAsia="IRNazanin"/>
          <w:color w:val="111111"/>
          <w:sz w:val="28"/>
          <w:sz w:val="28"/>
          <w:szCs w:val="28"/>
          <w:rtl w:val="true"/>
          <w:lang w:bidi="fa-IR"/>
        </w:rPr>
        <w:t>، بل رفع آثار الجزء المنسیّ المطلقة، لا یورث شیئا وراء التعبّد بانتفاء الجزء المنسیّ دخالة تعبّدا، و هذا کاف؛ لأنّه عین التعبّد بترتیب الآثار علی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یستکشف أحیانا حدود الاسم شرعا، کما یستکشف بالإطلاق المقامیّ عند الصحیحیّ، حدود الموضوع و الطبیعة، و قد مرّ شطر من البحث حول جریان البراءة العقلیّة و الشرعیّة فی الصحیح و الأعمّ </w:t>
      </w:r>
      <w:r>
        <w:rPr>
          <w:rStyle w:val="FootnoteAnchor"/>
          <w:rtl w:val="true"/>
        </w:rPr>
        <w:footnoteReference w:id="287"/>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6"/>
        <w:numPr>
          <w:ilvl w:val="5"/>
          <w:numId w:val="1"/>
        </w:numPr>
        <w:rPr/>
      </w:pPr>
      <w:bookmarkStart w:id="216" w:name="__RefHeading___Toc734813_3244359995"/>
      <w:bookmarkStart w:id="217" w:name="_Toc81"/>
      <w:bookmarkEnd w:id="216"/>
      <w:r>
        <w:rPr>
          <w:rtl w:val="true"/>
        </w:rPr>
        <w:t>المسألة الثانیة</w:t>
      </w:r>
      <w:r>
        <w:rPr>
          <w:rtl w:val="true"/>
        </w:rPr>
        <w:t xml:space="preserve">: </w:t>
      </w:r>
      <w:r>
        <w:rPr>
          <w:rtl w:val="true"/>
        </w:rPr>
        <w:t>فی ترک الجزء و الشرط أو إیجاد المانع إکراها و اضطرارا</w:t>
      </w:r>
      <w:bookmarkEnd w:id="217"/>
    </w:p>
    <w:p>
      <w:pPr>
        <w:pStyle w:val="Heading6"/>
        <w:numPr>
          <w:ilvl w:val="5"/>
          <w:numId w:val="1"/>
        </w:numPr>
        <w:rPr/>
      </w:pPr>
      <w:bookmarkStart w:id="218" w:name="__RefHeading___Toc734815_3244359995"/>
      <w:bookmarkStart w:id="219" w:name="_Toc82"/>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 المعروف بینهم جواز التمسّک مطلقا؛ لاجتماع الشرائط</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یشکل الأمر من جهة أنّ الترک و العدم لا ینزّل منزلة الوجود، فیلزم التفصیل بین ترکهما و بین إیجاد المانع </w:t>
      </w:r>
      <w:r>
        <w:rPr>
          <w:rStyle w:val="FootnoteAnchor"/>
          <w:rtl w:val="true"/>
        </w:rPr>
        <w:footnoteReference w:id="288"/>
      </w:r>
      <w:r>
        <w:rPr>
          <w:rFonts w:ascii="IRNazanin" w:hAnsi="IRNazanin" w:eastAsia="IRNazanin"/>
          <w:color w:val="111111"/>
          <w:sz w:val="28"/>
          <w:sz w:val="28"/>
          <w:szCs w:val="28"/>
          <w:rtl w:val="true"/>
          <w:lang w:bidi="fa-IR"/>
        </w:rPr>
        <w:t>، و قد مرّ ما فیه مرارا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یصحّ التمسّک به فی الموردین فی مواقع ترک المأمور به بتمامه، کذلک لا یصحّ فی موارد ترک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فلما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ترک الواجبات إذا کان عن إکراه و اضطرار، لا یوجب استحقاق العقوبة عند العقل، فلا منّة فی الرفع، و هکذا إتیان المحرّمات، و ما هو موضوع حکم العقلاء فی عذریّة الإکراه و الاضطرار، هو موضوع حکم الشرع، فلا فرق بین الموضوعین سعة وضیقا بحسب الصدق،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المنّة بحسب سعة الصدق، فلا وجه لجریانه فی هذه المواقف، بل ما یستتبعه التکلیف النفسیّ عند العصیان، هو الاستحقاق، و هو غیر قابل للرفع، فلا یرفع، و ما هو قابل للرفع هی العقوبة الواقعیّة، و هی غیر لازمة بحسب الواقع،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الفرض الثانی؛ و هو ما إذا کان ترک الجزء و الشرط عن الإکراه و الاضطرار، أو کان ترک الکلّ عنهما، و کان فی ذلک الإعادة أو القضاء، فلا یجری الحدیث؛ ضرورة أنّ مقتضی ما تحرّر منّا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طروّ هذه العناوین الستّة علی الموضوعات الشرعیّة التی لها الآثار و الأحکام، یوجب رفعها، و هذا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ترک الطبیعة، کترک الصلاة فی الوقت، أو کان کترک الجزء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الأثر الشرعیّ، و لا یکون مأخوذا فی دلیل من الأدلّة، فعلیه لا یکفی مجرّد کون الترک عن اضطرار و استکراه لرفع أثر المضاف إلیه؛ و هو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فیما إذا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کما مرّ تفصیله </w:t>
      </w:r>
      <w:r>
        <w:rPr>
          <w:rStyle w:val="FootnoteAnchor"/>
          <w:rtl w:val="true"/>
        </w:rPr>
        <w:footnoteReference w:id="290"/>
      </w:r>
      <w:r>
        <w:rPr>
          <w:rFonts w:ascii="IRNazanin" w:hAnsi="IRNazanin" w:eastAsia="IRNazanin"/>
          <w:color w:val="111111"/>
          <w:sz w:val="28"/>
          <w:sz w:val="28"/>
          <w:szCs w:val="28"/>
          <w:rtl w:val="true"/>
          <w:lang w:bidi="fa-IR"/>
        </w:rPr>
        <w:t>، فیطراه العنوان المذکور، فإنّه یوجب زوال آثاره الوضعیّة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سند منع جریان حدیث الرفع، لیس إلّا أنّ مصبّ الإکراه</w:t>
      </w:r>
    </w:p>
    <w:p>
      <w:pPr>
        <w:pStyle w:val="BookText"/>
        <w:rPr/>
      </w:pPr>
      <w:r>
        <w:rPr>
          <w:rFonts w:ascii="IRNazanin" w:hAnsi="IRNazanin" w:eastAsia="IRNazanin"/>
          <w:color w:val="111111"/>
          <w:sz w:val="28"/>
          <w:sz w:val="28"/>
          <w:szCs w:val="28"/>
          <w:rtl w:val="true"/>
          <w:lang w:bidi="fa-IR"/>
        </w:rPr>
        <w:t>و الاضطرار فی ترک الجزء و الشرط، لیس له الحکم الشرعیّ، و إنّما الإعادة و القضاء و البطلان، من الآثار العقلیّة و خواصّ ترک الجزء من المرکّب الارتباطیّ، و هکذا الشرط، بخلاف المانع، فإنّه مصبّ اعتبار الشرع، فالترک بما هو الترک لا أثر له، و مجرّد کون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لکون الحدیث جاریا، و قد مرّ تفصیله فی الجهة المبحوث فیها عن مجری الحدیث فی الوجودیّات و العدمیّات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کما اشیر إلیه، یظهر حکم الإکراه و الاضطرار إلی ترک الکلّ فی جمیع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مسألتنا هذه تشبه استصحاب عدم الموضوع؛ لرفع حکمه، کاستصحاب عدم الفسق؛ لرفع حرمة الإکرام، و قد اتفقت کلماتهم علی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فیه أیضا محرّر بتفصیل هناک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نسلّمه هنا؛ و ذلک لأنّ فی مورد الاستصحاب، یکفی لنفی الحکم نفس التعبّد بعدم الموضوع، و أمّا فیما نحن فیه فالتعبّد بترک الجزء لا یکفی؛ لأنّ نفس ترک الجزء غیر کاف لتصحیح العبادة و المرکّب، إلّا برجوعه إلی ترک الجزء بما هو جزء، و هی الجزئیّة؛ ضرورة أنّ ذات الجزء لیست مورد الجعل المرکّب، بل الذات جعلت جزء للمرکّب، فإذا اکره أو اضطرّ إلی ترک الجزئیّة، فالقیاس فی محلّه، و المفروض أنّه اکره علی ترک السورة، فافهم و اغتنم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مورد ترک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القضاء موضوعه أعمّ من الفوت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یکفی الحدیث الشریف، فلیلاحظ جدّا، و علیه یلزم التفصیل بین ترک</w:t>
      </w:r>
      <w:bookmarkStart w:id="220" w:name="pg13173_324776"/>
    </w:p>
    <w:p>
      <w:pPr>
        <w:pStyle w:val="BookText"/>
        <w:rPr/>
      </w:pPr>
      <w:bookmarkEnd w:id="220"/>
      <w:r>
        <w:rPr>
          <w:rFonts w:ascii="IRNazanin" w:hAnsi="IRNazanin" w:eastAsia="IRNazanin"/>
          <w:color w:val="111111"/>
          <w:sz w:val="28"/>
          <w:sz w:val="28"/>
          <w:szCs w:val="28"/>
          <w:rtl w:val="true"/>
          <w:lang w:bidi="fa-IR"/>
        </w:rPr>
        <w:t>الکلّ فی العبادات، و بین ترکه فی المعاملات، و فی حکمه ترک الجزء و الشرط فی العبادات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ینفع الحدیث الشریف حتّی فیما إذا کان فی الأدلّة، أثر البطلان مترتّبا علی ترک شی‌ء؛ لأنّ المستفاد منها هی الإشارة و الإرشاد إلی الجزئیّة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علی ترک الجزء و الشرط سواء کان فی المعاملات، أو العبادات، و هکذا الاضطرار فی صورة الصدق، غیر کاف لجریان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بناء علی تصوّره، فهو مرفوع إذا أوجده إکراها و اضطرارا حتّی فی باب المعاملات؛ بناء علی تصوّره و صدقه فی موردها، کما إذا اضطرّ إلی البیع مع المانع،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نجاسة المتنجّس مثلا مانعة، أو الجهالة مانعة، و الغرر مانع، و قد مرّ حلّ سائر المشاکل فی المسألة الاولی </w:t>
      </w:r>
      <w:r>
        <w:rPr>
          <w:rStyle w:val="FootnoteAnchor"/>
          <w:rtl w:val="true"/>
        </w:rPr>
        <w:footnoteReference w:id="293"/>
      </w:r>
      <w:r>
        <w:rPr>
          <w:rFonts w:ascii="IRNazanin" w:hAnsi="IRNazanin" w:eastAsia="IRNazanin"/>
          <w:color w:val="111111"/>
          <w:sz w:val="28"/>
          <w:sz w:val="28"/>
          <w:szCs w:val="28"/>
          <w:rtl w:val="true"/>
          <w:lang w:bidi="fa-IR"/>
        </w:rPr>
        <w:t>، فلا خیر فی إعادته</w:t>
      </w:r>
      <w:r>
        <w:rPr>
          <w:rFonts w:eastAsia="IRNazanin" w:cs="IRNazanin"/>
          <w:color w:val="111111"/>
          <w:sz w:val="28"/>
          <w:szCs w:val="28"/>
          <w:rtl w:val="true"/>
          <w:lang w:bidi="fa-IR"/>
        </w:rPr>
        <w:t>.</w:t>
      </w:r>
    </w:p>
    <w:p>
      <w:pPr>
        <w:pStyle w:val="Heading6"/>
        <w:numPr>
          <w:ilvl w:val="5"/>
          <w:numId w:val="1"/>
        </w:numPr>
        <w:rPr/>
      </w:pPr>
      <w:bookmarkStart w:id="221" w:name="__RefHeading___Toc734817_3244359995"/>
      <w:bookmarkStart w:id="222" w:name="_Toc83"/>
      <w:bookmarkEnd w:id="221"/>
      <w:r>
        <w:rPr>
          <w:rtl w:val="true"/>
        </w:rPr>
        <w:t>تذنیب</w:t>
      </w:r>
      <w:r>
        <w:rPr>
          <w:rtl w:val="true"/>
        </w:rPr>
        <w:t xml:space="preserve">: </w:t>
      </w:r>
      <w:r>
        <w:rPr>
          <w:rtl w:val="true"/>
        </w:rPr>
        <w:t>فی الإشکال علی التمسّک بحدیث الرفع هنا و جوابه</w:t>
      </w:r>
      <w:bookmarkEnd w:id="2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الجزء و الشرط و إیجاد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کان، أو عن إکراه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صحّة المأتیّ به، و لا یجوز الرجوع إلی الحدیث مطلقا؛ مستوعبا کان، أو غیر مستوعب، عبادة کان، أو معاملة؛ و ذلک لأنّه فی صورة عدم الاستیعاب، لا یکون هذا من ترک ما هو جزء المأمور به، لأنّ ما هو المأمور به هی الطبیعة، و هی غیر معروضة لتلک العناوین، و ما هو معروضها هو الفرد، و هو غیر المأمور به</w:t>
      </w:r>
      <w:r>
        <w:rPr>
          <w:rFonts w:eastAsia="IRNazanin" w:cs="IRNazanin"/>
          <w:color w:val="111111"/>
          <w:sz w:val="28"/>
          <w:szCs w:val="28"/>
          <w:rtl w:val="true"/>
          <w:lang w:bidi="fa-IR"/>
        </w:rPr>
        <w:t>.</w:t>
      </w:r>
      <w:bookmarkStart w:id="223" w:name="pg13173_324777"/>
    </w:p>
    <w:p>
      <w:pPr>
        <w:pStyle w:val="BookText"/>
        <w:rPr/>
      </w:pPr>
      <w:bookmarkEnd w:id="223"/>
      <w:r>
        <w:rPr>
          <w:rFonts w:ascii="IRNazanin" w:hAnsi="IRNazanin" w:eastAsia="IRNazanin"/>
          <w:color w:val="111111"/>
          <w:sz w:val="28"/>
          <w:sz w:val="28"/>
          <w:szCs w:val="28"/>
          <w:rtl w:val="true"/>
          <w:lang w:bidi="fa-IR"/>
        </w:rPr>
        <w:t>و فی صورة الاستیعاب، الدلیل یشمل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رفع الجزء و المانع و الشرط، لا یعقل إلّا بعد رفع منشئه، و هو رفع الأمر عن الکلّ، فکون الباقی مورد الأمر بعد رفع هذه الامور، یحتاج إلی الدلیل، و المفروض فقده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 الأوّل 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الطبیعیّ یوجد بنفسه، و حدیث فرد الطبیعة من الأکاذیب </w:t>
      </w:r>
      <w:r>
        <w:rPr>
          <w:rStyle w:val="FootnoteAnchor"/>
          <w:rtl w:val="true"/>
        </w:rPr>
        <w:footnoteReference w:id="295"/>
      </w:r>
      <w:r>
        <w:rPr>
          <w:rFonts w:ascii="IRNazanin" w:hAnsi="IRNazanin" w:eastAsia="IRNazanin"/>
          <w:color w:val="111111"/>
          <w:sz w:val="28"/>
          <w:sz w:val="28"/>
          <w:szCs w:val="28"/>
          <w:rtl w:val="true"/>
          <w:lang w:bidi="fa-IR"/>
        </w:rPr>
        <w:t>، و لو کان هذا الفرد غیر نفس الطبیعة، فکیف یسقط الأمر بها بإیجاده؟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تقرّر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یتحقّق فی الخارج، و التفصیل فی محلّه، و لأجل ذلک أنکرنا ما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الصحّة تنتزع من تطابق المأتیّ به و المأمور به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بل تنتزع من وجود الطبیعة خارجا، کما تنتزع من سائر الطبائع الأصلیّة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الجزء و الشرط بنفسه ممکن، کوضعهما، و هذا ممّا تحرّر فی الاستصحاب </w:t>
      </w:r>
      <w:r>
        <w:rPr>
          <w:rStyle w:val="FootnoteAnchor"/>
          <w:rtl w:val="true"/>
        </w:rPr>
        <w:footnoteReference w:id="298"/>
      </w:r>
      <w:r>
        <w:rPr>
          <w:rFonts w:ascii="IRNazanin" w:hAnsi="IRNazanin" w:eastAsia="IRNazanin"/>
          <w:color w:val="111111"/>
          <w:sz w:val="28"/>
          <w:sz w:val="28"/>
          <w:szCs w:val="28"/>
          <w:rtl w:val="true"/>
          <w:lang w:bidi="fa-IR"/>
        </w:rPr>
        <w:t>، و حدیث امتناع تعلّق الجعل بهما مستقلّا، ناشئ عن عدم ملاحظة المرکّبات التألیفیّة التکوینیّة، فإنّ بعد ذلک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ممکن واضح بالضرورة؛ فإنّ تشخّص الأمر و الإرادة بما هو، باق فی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قبل جعل الجزء، و بعده، فلا تخلط</w:t>
      </w:r>
      <w:r>
        <w:rPr>
          <w:rFonts w:eastAsia="IRNazanin" w:cs="IRNazanin"/>
          <w:color w:val="111111"/>
          <w:sz w:val="28"/>
          <w:szCs w:val="28"/>
          <w:rtl w:val="true"/>
          <w:lang w:bidi="fa-IR"/>
        </w:rPr>
        <w:t>.</w:t>
      </w:r>
    </w:p>
    <w:p>
      <w:pPr>
        <w:pStyle w:val="Heading6"/>
        <w:numPr>
          <w:ilvl w:val="5"/>
          <w:numId w:val="1"/>
        </w:numPr>
        <w:rPr/>
      </w:pPr>
      <w:bookmarkStart w:id="224" w:name="__RefHeading___Toc734819_3244359995"/>
      <w:bookmarkStart w:id="225" w:name="_Toc84"/>
      <w:bookmarkEnd w:id="224"/>
      <w:r>
        <w:rPr>
          <w:rtl w:val="true"/>
        </w:rPr>
        <w:t>تنبیه</w:t>
      </w:r>
      <w:r>
        <w:rPr>
          <w:rtl w:val="true"/>
        </w:rPr>
        <w:t xml:space="preserve">: </w:t>
      </w:r>
      <w:r>
        <w:rPr>
          <w:rtl w:val="true"/>
        </w:rPr>
        <w:t>فی توهّم اختصاص الحدیث بالإکراه و الاضطرار المستوعبین و جوابه</w:t>
      </w:r>
      <w:bookmarkEnd w:id="2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الجزء أو الشرط، أو إیجاد المانع عن إکراه و اضطرار،</w:t>
      </w:r>
    </w:p>
    <w:p>
      <w:pPr>
        <w:pStyle w:val="BookText"/>
        <w:rPr/>
      </w:pPr>
      <w:r>
        <w:rPr>
          <w:rFonts w:ascii="IRNazanin" w:hAnsi="IRNazanin" w:eastAsia="IRNazanin"/>
          <w:color w:val="111111"/>
          <w:sz w:val="28"/>
          <w:sz w:val="28"/>
          <w:szCs w:val="28"/>
          <w:rtl w:val="true"/>
          <w:lang w:bidi="fa-IR"/>
        </w:rPr>
        <w:t>لا یتصوّر إلّا بالنسبة إلی تمام الوقت، فإذا کان الإکراه و الاضطرار مستوعبین، یصدق الإکراه علی الترک، و إلّا فلا یتصوّر الإکراه و الاضطرار، فکما أنّه إذا اکره علی ترک المأمور به فی بعض الوقت، یلزم علیه ذلک فی الوقت الباقی،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علی الصدق، من غیر دخالة الأمر الآخر، بعد کون معروض الإکراه و الاضطرار موضوع حکم من الأحکام، مثلا إذا اشتغل بحسب الطبع بالصلاة، فاکره فی الأثناء علی ترک الجزء و الشرط، أو اضطرّ إلی لبس الثوب المانع، فإنّه یصدق العنوانان بالضرورة بعد حرمة الإبطال، فإنّها توجب صدق الاضطرار، و لا حاجة إلیها فی صدق الإکراه کما لا یخفی، فلا یتوقّف صدق الإکراه و الاضطرار علی کونهما مستوعبین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اکره علی الصلاة الفاقدة للشرط و الجزء، و الواجدة للمانع، فلا ینفع الحدیث؛ لأنّها لا حکم لها إلّا البطلان، و هو الحکم العقلیّ، لا الشرعیّ، بخلاف الجزء و الشرط و المانع، فإنّ الإبطال حکم ترکها الشرعیّ، و ترک الجزء مبطل و هکذا، فیرفع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قضیّة 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ترک الجزء و الشرط أیضا لا حکم شرعیّ له، یکون التمسّک بالحدیث فی غیر محلّه، سواء فیه استیعاب الإکراه و عدمه، کما عرفت تحقیقه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للإکراه علی ترک الجزء؛ إذا کان مختارا فی الاشتغال بالطبیعة، و إذا کان مکرها علی الطبیعة، و مکرها علی ترک الجزء، فهو فی الحقیقة إکراه علی الطبیعة الفاقدة، و لا حکم شرعیّ لها حتّی یرفع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استمرّ الإکراه إلی آخر الوقت، فاضطرّ إلی إتیان الطبیعة الفاقدة</w:t>
      </w:r>
      <w:bookmarkStart w:id="226" w:name="pg13173_324779"/>
    </w:p>
    <w:p>
      <w:pPr>
        <w:pStyle w:val="BookText"/>
        <w:rPr/>
      </w:pPr>
      <w:bookmarkEnd w:id="226"/>
      <w:r>
        <w:rPr>
          <w:rFonts w:ascii="IRNazanin" w:hAnsi="IRNazanin" w:eastAsia="IRNazanin"/>
          <w:color w:val="111111"/>
          <w:sz w:val="28"/>
          <w:sz w:val="28"/>
          <w:szCs w:val="28"/>
          <w:rtl w:val="true"/>
          <w:lang w:bidi="fa-IR"/>
        </w:rPr>
        <w:t>للجزء حسب الإکراه علی ترک الجزء، فإن لم یکن إطلاق یقتضی وجوب الفاقدة، فلا اضطرار، فیکون ترک الطبیعة جائزا؛ لأنّها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أنّ هناک إطلاقا یقتضی وجوب الطبیعة؛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لا تترک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فالاضطرار إلی الطبیعة الواجبة الفاقدة للجزء و الشرط، أو الواجدة للمانع، ربّما یوجب رفع وجوبها، و تصیر النتیجة جواز ترک تلک الطبیعة، و لا یکون هو من الفوت حتّی یستتبع القضاء فی مثل الصلاة؛ لأنّ الفوت فرع التکلیف، فیکون فی رفع هذا الوجوب سعة و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القضاء من تبعات ترک الصلاة التی فیها الملاک، و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عروض العناوین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ملاک أولی، فیکون الترک مستتبعا للقضاء؛ لأنّ الترک لیس مورد الاضطرار حتّی یرفع القضاء، فلا منّة فی رفع الوجوب المذکور إلّا من جهة أنّه مضیّق، و القضاء موسّع، و هذا یکفی للتوسعة اللازمة فی جریان الحدیث</w:t>
      </w:r>
      <w:r>
        <w:rPr>
          <w:rFonts w:eastAsia="IRNazanin" w:cs="IRNazanin"/>
          <w:color w:val="111111"/>
          <w:sz w:val="28"/>
          <w:szCs w:val="28"/>
          <w:rtl w:val="true"/>
          <w:lang w:bidi="fa-IR"/>
        </w:rPr>
        <w:t>.</w:t>
      </w:r>
    </w:p>
    <w:p>
      <w:pPr>
        <w:pStyle w:val="Heading6"/>
        <w:numPr>
          <w:ilvl w:val="5"/>
          <w:numId w:val="1"/>
        </w:numPr>
        <w:rPr/>
      </w:pPr>
      <w:bookmarkStart w:id="227" w:name="__RefHeading___Toc734821_3244359995"/>
      <w:bookmarkStart w:id="228" w:name="_Toc85"/>
      <w:bookmarkEnd w:id="227"/>
      <w:r>
        <w:rPr>
          <w:rtl w:val="true"/>
        </w:rPr>
        <w:t>بقی شی‌ء</w:t>
      </w:r>
      <w:r>
        <w:rPr>
          <w:rtl w:val="true"/>
        </w:rPr>
        <w:t xml:space="preserve">: </w:t>
      </w:r>
      <w:r>
        <w:rPr>
          <w:rtl w:val="true"/>
        </w:rPr>
        <w:t>فی أنّ الدلیل الخاصّ قد یقتضی عدم الإجزاء هنا</w:t>
      </w:r>
      <w:bookmarkEnd w:id="228"/>
    </w:p>
    <w:p>
      <w:pPr>
        <w:pStyle w:val="BookText"/>
        <w:rPr/>
      </w:pPr>
      <w:r>
        <w:rPr>
          <w:rFonts w:ascii="IRNazanin" w:hAnsi="IRNazanin" w:eastAsia="IRNazanin"/>
          <w:color w:val="111111"/>
          <w:sz w:val="28"/>
          <w:sz w:val="28"/>
          <w:szCs w:val="28"/>
          <w:rtl w:val="true"/>
          <w:lang w:bidi="fa-IR"/>
        </w:rPr>
        <w:t>ما ذکرناه هو مقتضی القاعدة، و أمّا الخارج عنها لأجل اقتضاء دلیل خاصّ، فهو المتّبع، مثلا فی باب الصلاة، ربّما یدّعی الإجماع علی أنّ الصلاة لا تترک بحال، فعلیه فی الفرض المزبور لا بدّ من الإتیان بالباقی و لو کان مورد الاضطرار عرفا؛ لضیق الوقت حسب الوجوب الشرعیّ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صدق الإکراه أو الاضطرار إلی ترک الجزء و الشرط، أو إیجاد المانع، غیر صحیح، کما أنّ تخیّل کون المختار فی الوقت الواسع، یجوز إکراهه علی ترک الجزء من غیر إکراه علی الطبیعة، غیر صحیح</w:t>
      </w:r>
      <w:r>
        <w:rPr>
          <w:rFonts w:eastAsia="IRNazanin" w:cs="IRNazanin"/>
          <w:color w:val="111111"/>
          <w:sz w:val="28"/>
          <w:szCs w:val="28"/>
          <w:rtl w:val="true"/>
          <w:lang w:bidi="fa-IR"/>
        </w:rPr>
        <w:t>.</w:t>
      </w:r>
      <w:bookmarkStart w:id="229" w:name="pg13173_324780"/>
    </w:p>
    <w:p>
      <w:pPr>
        <w:pStyle w:val="BookText"/>
        <w:rPr/>
      </w:pPr>
      <w:bookmarkEnd w:id="229"/>
      <w:r>
        <w:rPr>
          <w:rFonts w:ascii="IRNazanin" w:hAnsi="IRNazanin" w:eastAsia="IRNazanin"/>
          <w:color w:val="111111"/>
          <w:sz w:val="28"/>
          <w:sz w:val="28"/>
          <w:szCs w:val="28"/>
          <w:rtl w:val="true"/>
          <w:lang w:bidi="fa-IR"/>
        </w:rPr>
        <w:t>و الذی یسهّل الخطب ما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ترک الجزء و الشرط، لا ینتهی إلی صحّة المأتیّ به بدونهما، بخلاف إیجاد المانع إذا اضطرّ إلیه، کما فی صورة الاضطرار المستوعب، أو الاضطرار الطارئ فی أثناء الصلاة؛ بناء علی وجوب إتمامها و حرمة 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فالاضطرار المذکور یرجع إلی الاضطرار إلی الطبیعة الواجدة للمانع، و لا أثر شرعیّ له حتّی یرفع، فاغتنم</w:t>
      </w:r>
      <w:r>
        <w:rPr>
          <w:rFonts w:eastAsia="IRNazanin" w:cs="IRNazanin"/>
          <w:color w:val="111111"/>
          <w:sz w:val="28"/>
          <w:szCs w:val="28"/>
          <w:rtl w:val="true"/>
          <w:lang w:bidi="fa-IR"/>
        </w:rPr>
        <w:t>.</w:t>
      </w:r>
    </w:p>
    <w:p>
      <w:pPr>
        <w:pStyle w:val="Heading6"/>
        <w:numPr>
          <w:ilvl w:val="5"/>
          <w:numId w:val="1"/>
        </w:numPr>
        <w:rPr/>
      </w:pPr>
      <w:bookmarkStart w:id="230" w:name="__RefHeading___Toc734823_3244359995"/>
      <w:bookmarkStart w:id="231" w:name="_Toc86"/>
      <w:bookmarkEnd w:id="230"/>
      <w:r>
        <w:rPr>
          <w:rtl w:val="true"/>
        </w:rPr>
        <w:t>المسألة الثالثة</w:t>
      </w:r>
      <w:r>
        <w:rPr>
          <w:rtl w:val="true"/>
        </w:rPr>
        <w:t xml:space="preserve">: </w:t>
      </w:r>
      <w:r>
        <w:rPr>
          <w:rtl w:val="true"/>
        </w:rPr>
        <w:t>فی ترک المرکب العبادیّ الموقّت أو المعاملیّ</w:t>
      </w:r>
      <w:bookmarkEnd w:id="231"/>
    </w:p>
    <w:p>
      <w:pPr>
        <w:pStyle w:val="Heading6"/>
        <w:numPr>
          <w:ilvl w:val="5"/>
          <w:numId w:val="1"/>
        </w:numPr>
        <w:rPr/>
      </w:pPr>
      <w:bookmarkStart w:id="232" w:name="__RefHeading___Toc734825_3244359995"/>
      <w:bookmarkStart w:id="233" w:name="_Toc87"/>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 xml:space="preserve">أی فی ترک المرکّب العبادیّ فی الوقت المضروب له، أو ترک المرکّب من العقود و الإیقاعات؛ لأجل طروّ أحد العناوین المذکورة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بحثا یخصّه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کلّ من المتعاملین إلی أنّهما تبادلا عینیهما، و بعد مضیّ مدّة تذکّرا نسیان العقد اللازم الذی کان بناؤهما علیه؛ من البیع، أو الصلح، أو الإجارة و غیر ذلک، و هذا هو نسیان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لو اضطرّا إلی الانتقال، و صار هذا الاضطرار سببا لاضطرارهما إلی ترک السبب؛ لعدم إمکان تحصیله فرضا، و لم یکن نفس التبادل المذکور کافیا فی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لو اضطرّ المرء إلی نکاح الأجنبیّة، و لم یکن تحصیل السبب ممکنا، فهل یمکن التمسّک بالحدیث؛ بدعوی أنّ نسیان السبب و العقد، یوجب کون السبب غیر لازم حال النسیان، کما أنّ الجزء لیس جزء حاله، و هکذا فی صورة الاضطرار، و هکذا لو اکره علی الزواج بلا سبب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إمکان جریانه واضح؛ لأنّ فی صورة ترک الجزء یکون</w:t>
      </w:r>
    </w:p>
    <w:p>
      <w:pPr>
        <w:pStyle w:val="BookText"/>
        <w:rPr/>
      </w:pPr>
      <w:r>
        <w:rPr>
          <w:rFonts w:ascii="IRNazanin" w:hAnsi="IRNazanin" w:eastAsia="IRNazanin"/>
          <w:color w:val="111111"/>
          <w:sz w:val="28"/>
          <w:sz w:val="28"/>
          <w:szCs w:val="28"/>
          <w:rtl w:val="true"/>
          <w:lang w:bidi="fa-IR"/>
        </w:rPr>
        <w:t xml:space="preserve">الباقی شیئا من الطبیعة، و رفع الجزء المنسیّ مثلا، معناه إسقاط دخالته فی سقوط الأمر، و أمّا فیما نحن فیه فلیس المسبّب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لما لا یعقل حصوله بلا سبب، و ما هو الحاصل هو ذات السبب، و أثر السبب الأعمّ من السبب الشرعیّ و العقلائیّ و عدمه، فکیف یعقل التعبّد المذکور حتّی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المعاملات و العقود و الإیقاعات بإحدی الجهات، لا یورث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العبادات فیما إذا کان الأثر مترتّبا علی الترک المذکور، فهو ممکن، مثلا لو نسی الصلاة فی الوقت، أو نسی الصوم، و کان وجوب القضاء مترتّبا علی الترک الواجب فی الوقت، فالإکراه علی الترک أو الاضطرار إلی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ذلک حسب الصناعة و إن لم یمکن الالتزام به فی الفقه، و أمّا نسیان الطبیعة فی الوقت فهو یلازم الترک، فلا یلزم منه نفی القضاء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هذه الأسباب بالقیاس إلی المسبّبات، لا یکون موضوعا حتّی یترتّب برفعه شی‌ء، کما مرّ فی ترک الجزء و الشرط</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إیجاد تلک المرکّبات؛ بإیجاد المعاملات و الإیقاعات اضطرارا، فلا یرفع به، لما لا منّة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إیجادها عن إکراه فالأمر عندنا مثله؛ لأنّه باطل بحکم العقلاء، فلا منّة من قبل الشرع، و لم یعهد ذلک فی سائر الشرائع حتّی یکون بالقیاس إلیه، و لا داعی إلی الالتزام بکونه باعتبار إمکان التصحیح شرعا رغم أنف العقلاء؛ لإمکان الالتزام بعدم ثبوت الإطلاق له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النصوص الخاصّة یلزم الالتزام به؛ جمعا بین مقتضی الأدلّة، کما لا یخفی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دلیل علی إمضاء الشرع بطلان المرکّب المعاملیّ بالمعنی</w:t>
      </w:r>
    </w:p>
    <w:p>
      <w:pPr>
        <w:pStyle w:val="BookText"/>
        <w:rPr/>
      </w:pPr>
      <w:r>
        <w:rPr>
          <w:rFonts w:ascii="IRNazanin" w:hAnsi="IRNazanin" w:eastAsia="IRNazanin"/>
          <w:color w:val="111111"/>
          <w:sz w:val="28"/>
          <w:sz w:val="28"/>
          <w:szCs w:val="28"/>
          <w:rtl w:val="true"/>
          <w:lang w:bidi="fa-IR"/>
        </w:rPr>
        <w:t xml:space="preserve">الأعمّ شرعا، فهو فی نفسه ممّا لا بأس به، إلّا أنّه لیس باعتبار الرفع،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وجود الحکم لولاه،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اشتهر بینهم من الاستدلال بحدیث الرفع لما نحن فیه </w:t>
      </w:r>
      <w:r>
        <w:rPr>
          <w:rStyle w:val="FootnoteAnchor"/>
          <w:rtl w:val="true"/>
        </w:rPr>
        <w:footnoteReference w:id="301"/>
      </w:r>
      <w:r>
        <w:rPr>
          <w:rFonts w:ascii="IRNazanin" w:hAnsi="IRNazanin" w:eastAsia="IRNazanin"/>
          <w:color w:val="111111"/>
          <w:sz w:val="28"/>
          <w:sz w:val="28"/>
          <w:szCs w:val="28"/>
          <w:rtl w:val="true"/>
          <w:lang w:bidi="fa-IR"/>
        </w:rPr>
        <w:t>، غیر واقع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الأخبار الخاصّة من الحکم ببطلان العقد الإکراهیّ </w:t>
      </w:r>
      <w:r>
        <w:rPr>
          <w:rStyle w:val="FootnoteAnchor"/>
          <w:rtl w:val="true"/>
        </w:rPr>
        <w:footnoteReference w:id="302"/>
      </w:r>
      <w:r>
        <w:rPr>
          <w:rFonts w:ascii="IRNazanin" w:hAnsi="IRNazanin" w:eastAsia="IRNazanin"/>
          <w:color w:val="111111"/>
          <w:sz w:val="28"/>
          <w:sz w:val="28"/>
          <w:szCs w:val="28"/>
          <w:rtl w:val="true"/>
          <w:lang w:bidi="fa-IR"/>
        </w:rPr>
        <w:t>، لا یقتضی کون الحدیث یشمل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بیان أنّ استدلال بعض الأخبار بالحدیث لبطلان الحلف الإکراهیّ، من باب الجدال بالتی هی أحسن احتمالا</w:t>
      </w:r>
      <w:r>
        <w:rPr>
          <w:rStyle w:val="FootnoteAnchor"/>
          <w:rtl w:val="true"/>
        </w:rPr>
        <w:footnoteReference w:id="303"/>
      </w:r>
      <w:r>
        <w:rPr>
          <w:rFonts w:ascii="IRNazanin" w:hAnsi="IRNazanin" w:eastAsia="IRNazanin"/>
          <w:color w:val="111111"/>
          <w:sz w:val="28"/>
          <w:sz w:val="28"/>
          <w:szCs w:val="28"/>
          <w:rtl w:val="true"/>
          <w:lang w:bidi="fa-IR"/>
        </w:rPr>
        <w:t>، کما قد شوهد فی موارد اخر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نسی فأوجد المرکّب؛ أی نسی فباع داره، مع أنّه ما کان مقصوده إلّا ذلک، أو نسی فحلف، أو نسی فطلّق زوجته، و نذر و حلف علی کذا، کما قد یتّفق، و کان ما أتی به نسیانا جامعا للشرائط؛ حتّی القصد و النیّة حین الإیجاد، فلا شبهة فی أنّ رفع الصحّة الفعلیّة سعة و منّة نوعا، بل دائما؛ لأنّه فی صورة الرفع لا تنتفی أهلیّة العقد عن لحوق الإجازة، کما أنّه عقد صحیح عند العقلاء؛ لأنّ النسیان لیس من موجبات بطلان أو عدم وقوع المرکّب صحیحا، و لا یلزم منه الإخلال بالجزء و الشرط، إلّا أنّه یصدق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أتی به و هو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أنّه لو کان متذّکرا لما کان یبیع داره، و لکنّه لغلبة النسیان باع داره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سائر الموارد التی یتّفق ذلک، فإنّه یمکن إجراء الحدیث، و إلّا ففی الحقیقة لیس البیع أو الحلف و النذر أو الطلاق منسیّا؛ لأنّ المنسیّ معدوم وجوده،</w:t>
      </w:r>
      <w:bookmarkStart w:id="234" w:name="pg13173_324783"/>
    </w:p>
    <w:p>
      <w:pPr>
        <w:pStyle w:val="BookText"/>
        <w:rPr/>
      </w:pPr>
      <w:bookmarkEnd w:id="234"/>
      <w:r>
        <w:rPr>
          <w:rFonts w:ascii="IRNazanin" w:hAnsi="IRNazanin" w:eastAsia="IRNazanin"/>
          <w:color w:val="111111"/>
          <w:sz w:val="28"/>
          <w:sz w:val="28"/>
          <w:szCs w:val="28"/>
          <w:rtl w:val="true"/>
          <w:lang w:bidi="fa-IR"/>
        </w:rPr>
        <w:t>کما لا یخفی،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أتی بالمرکّب من العقود و الإیقاعات معروضا لإحدی الحالات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أتی بالعبادة الواجبة عن إکراه، أو عن نسیان؛ بالوجه الذی اشیر إلیه، فلا منّة فی رفعه،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ذلک باطلا؛ للزوم الإخلال بالشرط فی صورة الإتیان به عن إکراه، و هو خارج عن محطّ البحث</w:t>
      </w:r>
      <w:r>
        <w:rPr>
          <w:rFonts w:eastAsia="IRNazanin" w:cs="IRNazanin"/>
          <w:color w:val="111111"/>
          <w:sz w:val="28"/>
          <w:szCs w:val="28"/>
          <w:rtl w:val="true"/>
          <w:lang w:bidi="fa-IR"/>
        </w:rPr>
        <w:t>.</w:t>
      </w:r>
    </w:p>
    <w:p>
      <w:pPr>
        <w:pStyle w:val="Heading6"/>
        <w:numPr>
          <w:ilvl w:val="5"/>
          <w:numId w:val="1"/>
        </w:numPr>
        <w:rPr/>
      </w:pPr>
      <w:bookmarkStart w:id="235" w:name="__RefHeading___Toc734827_3244359995"/>
      <w:bookmarkStart w:id="236" w:name="_Toc88"/>
      <w:bookmarkEnd w:id="235"/>
      <w:r>
        <w:rPr>
          <w:rtl w:val="true"/>
        </w:rPr>
        <w:t>بقی شی‌ء</w:t>
      </w:r>
      <w:r>
        <w:rPr>
          <w:rtl w:val="true"/>
        </w:rPr>
        <w:t xml:space="preserve">: </w:t>
      </w:r>
      <w:r>
        <w:rPr>
          <w:rtl w:val="true"/>
        </w:rPr>
        <w:t>فی الغفلة و اشتراط شی‌ء غیر مقصود عن توجّه و التفات</w:t>
      </w:r>
      <w:bookmarkEnd w:id="236"/>
    </w:p>
    <w:p>
      <w:pPr>
        <w:pStyle w:val="BookText"/>
        <w:rPr/>
      </w:pPr>
      <w:r>
        <w:rPr>
          <w:rFonts w:ascii="IRNazanin" w:hAnsi="IRNazanin" w:eastAsia="IRNazanin"/>
          <w:color w:val="111111"/>
          <w:sz w:val="28"/>
          <w:sz w:val="28"/>
          <w:szCs w:val="28"/>
          <w:rtl w:val="true"/>
          <w:lang w:bidi="fa-IR"/>
        </w:rPr>
        <w:t>و هو ما إذا أتی نسیانا فی طیّ عقد النذر شیئا، أو شرط فی طیّ معاملة شرطا نسیانا و غفلة، و کان هو علی خلاف المقصود، و لکنّه حین الشرط و قبول الاشتراط و حین ذکره، یکون متوجّها و قاصدا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یجب الوفاء به، و لا یستتبع عند العقلاء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غافلا و ناسیا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یجب؛ لحدیث الرفع؟</w:t>
      </w:r>
    </w:p>
    <w:p>
      <w:pPr>
        <w:pStyle w:val="BookText"/>
        <w:rPr/>
      </w:pPr>
      <w:r>
        <w:rPr>
          <w:rFonts w:ascii="IRNazanin" w:hAnsi="IRNazanin" w:eastAsia="IRNazanin"/>
          <w:color w:val="111111"/>
          <w:sz w:val="28"/>
          <w:sz w:val="28"/>
          <w:szCs w:val="28"/>
          <w:rtl w:val="true"/>
          <w:lang w:bidi="fa-IR"/>
        </w:rPr>
        <w:t>أو لا یشمل مثله؛ لأنّه لیس من النسیان واقعا، و إنّما یسند إلیه النسیان توسّعا؛ و أنّ المنسیّ أمر آخر لاحق بالحلف و النذر؟ فتدبّر</w:t>
      </w:r>
      <w:r>
        <w:rPr>
          <w:rFonts w:eastAsia="IRNazanin" w:cs="IRNazanin"/>
          <w:color w:val="111111"/>
          <w:sz w:val="28"/>
          <w:szCs w:val="28"/>
          <w:rtl w:val="true"/>
          <w:lang w:bidi="fa-IR"/>
        </w:rPr>
        <w:t>.</w:t>
      </w:r>
    </w:p>
    <w:p>
      <w:pPr>
        <w:pStyle w:val="Heading6"/>
        <w:numPr>
          <w:ilvl w:val="5"/>
          <w:numId w:val="1"/>
        </w:numPr>
        <w:rPr/>
      </w:pPr>
      <w:bookmarkStart w:id="237" w:name="__RefHeading___Toc734829_3244359995"/>
      <w:bookmarkStart w:id="238" w:name="_Toc89"/>
      <w:bookmarkEnd w:id="237"/>
      <w:r>
        <w:rPr>
          <w:rtl w:val="true"/>
        </w:rPr>
        <w:t>المسألة الرابعة</w:t>
      </w:r>
      <w:r>
        <w:rPr>
          <w:rtl w:val="true"/>
        </w:rPr>
        <w:t xml:space="preserve">: </w:t>
      </w:r>
      <w:r>
        <w:rPr>
          <w:rtl w:val="true"/>
        </w:rPr>
        <w:t>حول تفصیل بین الشبهات الحکمیّة و الموضوعیّة عند الشکّ فی المانعیّة</w:t>
      </w:r>
      <w:bookmarkEnd w:id="238"/>
    </w:p>
    <w:p>
      <w:pPr>
        <w:pStyle w:val="Heading6"/>
        <w:numPr>
          <w:ilvl w:val="5"/>
          <w:numId w:val="1"/>
        </w:numPr>
        <w:rPr/>
      </w:pPr>
      <w:bookmarkStart w:id="239" w:name="__RefHeading___Toc734831_3244359995"/>
      <w:bookmarkStart w:id="240" w:name="_Toc90"/>
      <w:bookmarkEnd w:id="239"/>
      <w:r>
        <w:rPr>
          <w:rtl w:val="true"/>
        </w:rPr>
        <w:t>اشارة</w:t>
      </w:r>
      <w:bookmarkEnd w:id="2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مشایخنا و جدّ أولادی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بین الشبهات الحکمیّة و الموضوعیّة فی صورة الشکّ فی مانعیّة الشی‌ء للصلاة، و قال بجریانه فی</w:t>
      </w:r>
      <w:bookmarkStart w:id="241" w:name="pg13173_324784"/>
    </w:p>
    <w:p>
      <w:pPr>
        <w:pStyle w:val="BookText"/>
        <w:rPr/>
      </w:pPr>
      <w:bookmarkEnd w:id="241"/>
      <w:r>
        <w:rPr>
          <w:rFonts w:ascii="IRNazanin" w:hAnsi="IRNazanin" w:eastAsia="IRNazanin"/>
          <w:color w:val="111111"/>
          <w:sz w:val="28"/>
          <w:sz w:val="28"/>
          <w:szCs w:val="28"/>
          <w:rtl w:val="true"/>
          <w:lang w:bidi="fa-IR"/>
        </w:rPr>
        <w:t>الثانیة، دون الاولی؛ للزوم الدور فی الاولی، دون الثانیة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اجیب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مستحیل فی صورة الجعل الابتدائیّ، و أمّا فی مثل ما نحن فیه من اقتضاء الإطلاق اشتراک الکلّ، و من اقتضاء الحکومة اختصاص المانعیّة فی ظرف مخصوص، فلا محذور فیه، بل هو واقع شائع</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بحث خارج عن بحوث المقام،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الدور نشأ من ملاحظة الإرادة الجدّیة؛ و أنّه لا یعقل بحسب الجدّ اختصاص المانعیّة بالعالم بها، و لا 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أشرنا إلی إمکان الفرار من الدور فی نسیان الجزء و الجزئیّة، و لزوم اختصاص الجزء بالذاکر بالجزئیّة</w:t>
      </w:r>
      <w:r>
        <w:rPr>
          <w:rStyle w:val="FootnoteAnchor"/>
          <w:rtl w:val="true"/>
        </w:rPr>
        <w:footnoteReference w:id="307"/>
      </w:r>
      <w:r>
        <w:rPr>
          <w:rFonts w:ascii="IRNazanin" w:hAnsi="IRNazanin" w:eastAsia="IRNazanin"/>
          <w:color w:val="111111"/>
          <w:sz w:val="28"/>
          <w:sz w:val="28"/>
          <w:szCs w:val="28"/>
          <w:rtl w:val="true"/>
          <w:lang w:bidi="fa-IR"/>
        </w:rPr>
        <w:t>، کما ذکرنا فی مباحث اخر</w:t>
      </w:r>
      <w:r>
        <w:rPr>
          <w:rStyle w:val="FootnoteAnchor"/>
          <w:rtl w:val="true"/>
        </w:rPr>
        <w:footnoteReference w:id="308"/>
      </w:r>
      <w:r>
        <w:rPr>
          <w:rFonts w:ascii="IRNazanin" w:hAnsi="IRNazanin" w:eastAsia="IRNazanin"/>
          <w:color w:val="111111"/>
          <w:sz w:val="28"/>
          <w:sz w:val="28"/>
          <w:szCs w:val="28"/>
          <w:rtl w:val="true"/>
          <w:lang w:bidi="fa-IR"/>
        </w:rPr>
        <w:t>کیفیّة الفرار منه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کون شی‌ء مانعا جدّا، هو العلم بالخطاب و المانعیّة الإنشائیّة، فیلزم اختلاف الموقوف و الموقوف علیه طبعا، ففی ناحیة یکون الموقوف وجود الحکم الإنشائیّ، و فی الاخری وجود الحکم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ذکرناه حول الحدیث الشریف، و فیه مسائل کثیرة تأتی فی محالّها فقها و اصولا، فلا تذهل</w:t>
      </w:r>
      <w:r>
        <w:rPr>
          <w:rFonts w:eastAsia="IRNazanin" w:cs="IRNazanin"/>
          <w:color w:val="111111"/>
          <w:sz w:val="28"/>
          <w:szCs w:val="28"/>
          <w:rtl w:val="true"/>
          <w:lang w:bidi="fa-IR"/>
        </w:rPr>
        <w:t>.</w:t>
      </w:r>
    </w:p>
    <w:p>
      <w:pPr>
        <w:pStyle w:val="Heading6"/>
        <w:numPr>
          <w:ilvl w:val="5"/>
          <w:numId w:val="1"/>
        </w:numPr>
        <w:rPr/>
      </w:pPr>
      <w:bookmarkStart w:id="242" w:name="__RefHeading___Toc734833_3244359995"/>
      <w:bookmarkStart w:id="243" w:name="_Toc91"/>
      <w:bookmarkEnd w:id="242"/>
      <w:r>
        <w:rPr>
          <w:rtl w:val="true"/>
        </w:rPr>
        <w:t>منع قیام الإجماع علی الأخذ بالبراءة</w:t>
      </w:r>
      <w:bookmarkEnd w:id="24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ما یتعلّق بالأدلّة النقلیّة الناهضة علی البراءة فی الشبهات الحکمیّة، و الموضوعیّة، و الإیجابیّة، و التحریمیّة، و بقی منها الدلیل اللبّی؛ و هو الإجماع من</w:t>
      </w:r>
    </w:p>
    <w:p>
      <w:pPr>
        <w:pStyle w:val="BookText"/>
        <w:rPr/>
      </w:pPr>
      <w:r>
        <w:rPr>
          <w:rFonts w:ascii="IRNazanin" w:hAnsi="IRNazanin" w:eastAsia="IRNazanin"/>
          <w:color w:val="111111"/>
          <w:sz w:val="28"/>
          <w:sz w:val="28"/>
          <w:szCs w:val="28"/>
          <w:rtl w:val="true"/>
          <w:lang w:bidi="fa-IR"/>
        </w:rPr>
        <w:t>السلف عن کافّة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الإجماع من المتشرّعة الکاشف عن وجود الحکم بالبراءة بینهم، الواصل إلیهم من الأئمّة علیهم السّلام و لو کان المستند نفس تلک الأخبار، کان لاختلافهم فیها وجه بعد اختلاف الأخبار الواردة، و قد اختلفوا فی کثیر من المسائل التی هی أقلّ اختلافا فی الروایة من هذه المسألة، و الإجماع المذکور یکشف عن ثبوت الحکم بالبراءة الملازمة لنفی الاحتیاط، حتّی یکون مخالفا للأخبار الناطقة بالاحتیاط</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لا معنی لکشف الإجماع البراءة عند عدم الدلیل، و قد ورد الدلیل علی الاحتیاط، فما فی تقریر العلّامة الأراکیّ رحمه اللّه </w:t>
      </w:r>
      <w:r>
        <w:rPr>
          <w:rStyle w:val="FootnoteAnchor"/>
          <w:rtl w:val="true"/>
        </w:rPr>
        <w:footnoteReference w:id="310"/>
      </w:r>
      <w:r>
        <w:rPr>
          <w:rFonts w:ascii="IRNazanin" w:hAnsi="IRNazanin" w:eastAsia="IRNazanin"/>
          <w:color w:val="111111"/>
          <w:sz w:val="28"/>
          <w:sz w:val="28"/>
          <w:szCs w:val="28"/>
          <w:rtl w:val="true"/>
          <w:lang w:bidi="fa-IR"/>
        </w:rPr>
        <w:t>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ثبوت هذا الاتفاق بین السلف الأمجاد، و لا سیّما أصحابنا الأقدمین الآیلین إلی متون الأخبار، و أنّی لنا بإثباته؟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 خرط القتاد؛ لعدم معروفیّة المسألة بینهم علی وجه یعنون فی کتبهم و رسائلهم، و لا سیّما القمّیین منهم،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أصحابنا إلی الاصولیّین و الأخباریّین، من التقاسیم الأخیرة، و ذهاب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السیّد، و ابن إدریس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نفی العمل بالخبر الواحد، لا یورث کونهم قائلین بالاحتیاط فیما نحن فیه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علی التقریب المذکور؛ بذهاب الأخباریّین إلی الاحتیاط</w:t>
      </w:r>
      <w:r>
        <w:rPr>
          <w:rStyle w:val="FootnoteAnchor"/>
          <w:rtl w:val="true"/>
        </w:rPr>
        <w:footnoteReference w:id="312"/>
      </w:r>
      <w:r>
        <w:rPr>
          <w:rFonts w:ascii="IRNazanin" w:hAnsi="IRNazanin" w:eastAsia="IRNazanin"/>
          <w:color w:val="111111"/>
          <w:sz w:val="28"/>
          <w:sz w:val="28"/>
          <w:szCs w:val="28"/>
          <w:rtl w:val="true"/>
          <w:lang w:bidi="fa-IR"/>
        </w:rPr>
        <w:t>، غیر واقع فی محلّه ظاهرا، و المسألة تحتاج إلی التأمّل و التدبّر فی تأریخ البحث</w:t>
      </w:r>
      <w:r>
        <w:rPr>
          <w:rFonts w:eastAsia="IRNazanin" w:cs="IRNazanin"/>
          <w:color w:val="111111"/>
          <w:sz w:val="28"/>
          <w:szCs w:val="28"/>
          <w:rtl w:val="true"/>
          <w:lang w:bidi="fa-IR"/>
        </w:rPr>
        <w:t>.</w:t>
      </w:r>
      <w:bookmarkStart w:id="244" w:name="pg13173_324786"/>
    </w:p>
    <w:p>
      <w:pPr>
        <w:pStyle w:val="Heading6"/>
        <w:numPr>
          <w:ilvl w:val="5"/>
          <w:numId w:val="1"/>
        </w:numPr>
        <w:rPr/>
      </w:pPr>
      <w:bookmarkStart w:id="245" w:name="__RefHeading___Toc734835_3244359995"/>
      <w:bookmarkStart w:id="246" w:name="_Toc92"/>
      <w:bookmarkEnd w:id="244"/>
      <w:bookmarkEnd w:id="245"/>
      <w:r>
        <w:rPr>
          <w:rtl w:val="true"/>
        </w:rPr>
        <w:t>الاستدلال بالعقل</w:t>
      </w:r>
      <w:bookmarkEnd w:id="246"/>
    </w:p>
    <w:p>
      <w:pPr>
        <w:pStyle w:val="Heading6"/>
        <w:numPr>
          <w:ilvl w:val="5"/>
          <w:numId w:val="1"/>
        </w:numPr>
        <w:rPr/>
      </w:pPr>
      <w:bookmarkStart w:id="247" w:name="__RefHeading___Toc734837_3244359995"/>
      <w:bookmarkStart w:id="248" w:name="_Toc93"/>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خاتمة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الدلیل العقلیّ علی البراءة فی الشبهات کلّها، و البحث حوله یقع فی جهات</w:t>
      </w:r>
      <w:r>
        <w:rPr>
          <w:rFonts w:eastAsia="IRNazanin" w:cs="IRNazanin"/>
          <w:color w:val="111111"/>
          <w:sz w:val="28"/>
          <w:szCs w:val="28"/>
          <w:rtl w:val="true"/>
          <w:lang w:bidi="fa-IR"/>
        </w:rPr>
        <w:t>:</w:t>
      </w:r>
    </w:p>
    <w:p>
      <w:pPr>
        <w:pStyle w:val="Heading6"/>
        <w:numPr>
          <w:ilvl w:val="5"/>
          <w:numId w:val="1"/>
        </w:numPr>
        <w:rPr/>
      </w:pPr>
      <w:bookmarkStart w:id="249" w:name="__RefHeading___Toc734839_3244359995"/>
      <w:bookmarkStart w:id="250" w:name="_Toc94"/>
      <w:bookmarkEnd w:id="249"/>
      <w:r>
        <w:rPr>
          <w:rtl w:val="true"/>
        </w:rPr>
        <w:t>الجهة الاولی</w:t>
      </w:r>
      <w:r>
        <w:rPr>
          <w:rtl w:val="true"/>
        </w:rPr>
        <w:t xml:space="preserve">: </w:t>
      </w:r>
      <w:r>
        <w:rPr>
          <w:rtl w:val="true"/>
        </w:rPr>
        <w:t>فی انقسام البراءة إلی شرعیّة و عقلیّة و عقلائیّة</w:t>
      </w:r>
      <w:bookmarkEnd w:id="250"/>
    </w:p>
    <w:p>
      <w:pPr>
        <w:pStyle w:val="BookText"/>
        <w:rPr/>
      </w:pPr>
      <w:r>
        <w:rPr>
          <w:rFonts w:ascii="IRNazanin" w:hAnsi="IRNazanin" w:eastAsia="IRNazanin"/>
          <w:color w:val="111111"/>
          <w:sz w:val="28"/>
          <w:sz w:val="28"/>
          <w:szCs w:val="28"/>
          <w:rtl w:val="true"/>
          <w:lang w:bidi="fa-IR"/>
        </w:rPr>
        <w:t>قد اشتهر تقسیم الاصولیّین للبراءة إلی الشرعیّة، و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شرعیّة، و عقلائیّة، و 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البراءة الشرعیّة، فهی ما یدلّ من الأدلّة اللفظیّة علی حلّیة المشکوک؛ و إباحة الشبهة، و المخالف فی هذه المسألة جماعة من الأخباریّین، حیث ذهبوا إلی الاحتیاط فی التحریمیّة</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بعضهم القول به حتّی فی الإیجابیّة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البراءة العقلائیّة، فهی ما یدلّ علیها حکم العقلاء بقبح المؤاخذة بلا بیان، و العقاب علی المخالفة بلا برهان، و هذا حکم یستوی فیه جمیع العقلاء بالنسبة إلی جمیع الموالی، و الظاهر أنّه لا مخالف فیه حتّی الأخباریّین، إلّا أنّهم یعتقدون بتمامیّة البیان فی الشبهات التحریمیّة، و بأنّ العقاب لیس بلا برهان بعد قیام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الأشعریّ أیضا یلتزم بالحسن و القبح العقلائیّین، و یعتقد بعدم عقلائیّة العقاب المذکور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العقلیّة، فهی مفاد حکم العقل و درک العاقلة و امتناع صدور</w:t>
      </w:r>
    </w:p>
    <w:p>
      <w:pPr>
        <w:pStyle w:val="BookText"/>
        <w:rPr/>
      </w:pPr>
      <w:r>
        <w:rPr>
          <w:rFonts w:ascii="IRNazanin" w:hAnsi="IRNazanin" w:eastAsia="IRNazanin"/>
          <w:color w:val="111111"/>
          <w:sz w:val="28"/>
          <w:sz w:val="28"/>
          <w:szCs w:val="28"/>
          <w:rtl w:val="true"/>
          <w:lang w:bidi="fa-IR"/>
        </w:rPr>
        <w:t xml:space="preserve">العقاب منه تعالی فی الشبهة؛ لأنّه قبیح، و یمتنع صدور القبیح عنه تعالی، خلافا للأشاعرة المنکرین للحسن و القبح العقلیّین </w:t>
      </w:r>
      <w:r>
        <w:rPr>
          <w:rStyle w:val="FootnoteAnchor"/>
          <w:rtl w:val="true"/>
        </w:rPr>
        <w:footnoteReference w:id="316"/>
      </w:r>
      <w:r>
        <w:rPr>
          <w:rFonts w:ascii="IRNazanin" w:hAnsi="IRNazanin" w:eastAsia="IRNazanin"/>
          <w:color w:val="111111"/>
          <w:sz w:val="28"/>
          <w:sz w:val="28"/>
          <w:szCs w:val="28"/>
          <w:rtl w:val="true"/>
          <w:lang w:bidi="fa-IR"/>
        </w:rPr>
        <w:t>، حیث ذهبوا إلی الجبر بمقتضی الأدلّة الخاصّة</w:t>
      </w:r>
      <w:r>
        <w:rPr>
          <w:rStyle w:val="FootnoteAnchor"/>
          <w:rtl w:val="true"/>
        </w:rPr>
        <w:footnoteReference w:id="317"/>
      </w:r>
      <w:r>
        <w:rPr>
          <w:rFonts w:ascii="IRNazanin" w:hAnsi="IRNazanin" w:eastAsia="IRNazanin"/>
          <w:color w:val="111111"/>
          <w:sz w:val="28"/>
          <w:sz w:val="28"/>
          <w:szCs w:val="28"/>
          <w:rtl w:val="true"/>
          <w:lang w:bidi="fa-IR"/>
        </w:rPr>
        <w:t>التی لا ینالها إلّا الأخصّائیون، و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أمر یختصّ به تعالی؛ ضرورة أنّه بالنسبة إلی قبح العقاب بلا بیان، لا یکتفی العقل؛ لجواز ارتکاب المولی القبیح، و قد ارتکب کثیر من الموالی العرفیّین القبائح الکثیرة، فلا بدّ أن لا یقف العقل إلّا بعد إثبات الامتناع؛ و أنّه قبیح بحکم العقل، و ممتنع صدوره منه تعالی أیضا بالبراهین العقلیّة، و أنّ حدیث الجبر ممّا لا أساس له إلّا عدّة توهّمات شاعرة، و ذوقیّات عرفانیّة، و تقریبات و تسویلات شیطانیّة، تحرّر منّا تفصیلها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و للوالد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خاصّة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یتمسّک به الاصولیّون هی البراءة العقلائیّة، و لا ینکرها حتّی الأشعریّ، إلّا أنّ العقل یجوّز الوقوع فی المهلکات بعد احتمال صدور القبیح من المولی، فلا بدّ من البراءة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إثبات امتناع صدور القبیح، و إن کان یکفی عند العقلاء الثانیة أیضا، و عند المتشرّعة الاولی، إلّا أنّه لا بدّ من سدّ باب الابتلاء بالعقاب الاخرویّ، و لا یکفی و لا یقف العقل بعد وجود الاحتمال، و لا سیّما بالنسبة إلی البراءة الشرعیّة، کما لا یخفی أصلا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ینضمّ إلی تلک البراءتین هذه البراءة العقلیّة، لا یستریح العقل فی الشبهات؛ ضرورة أنّ فی مثل البراءة النقلیّة، یجوز تخلّف الأدلّة اللفظیّة عن الواقع، فعند ذلک یتشبّث العقل بتلک البراءة؛ لأنّ علی جمیع الفروض لا تکون الحجّة و البیان تامّا، کما هو الواضح</w:t>
      </w:r>
      <w:r>
        <w:rPr>
          <w:rFonts w:eastAsia="IRNazanin" w:cs="IRNazanin"/>
          <w:color w:val="111111"/>
          <w:sz w:val="28"/>
          <w:szCs w:val="28"/>
          <w:rtl w:val="true"/>
          <w:lang w:bidi="fa-IR"/>
        </w:rPr>
        <w:t>.</w:t>
      </w:r>
      <w:bookmarkStart w:id="251" w:name="pg13173_324788"/>
    </w:p>
    <w:p>
      <w:pPr>
        <w:pStyle w:val="Heading6"/>
        <w:numPr>
          <w:ilvl w:val="5"/>
          <w:numId w:val="1"/>
        </w:numPr>
        <w:rPr/>
      </w:pPr>
      <w:bookmarkStart w:id="252" w:name="__RefHeading___Toc734841_3244359995"/>
      <w:bookmarkStart w:id="253" w:name="_Toc95"/>
      <w:bookmarkEnd w:id="251"/>
      <w:bookmarkEnd w:id="252"/>
      <w:r>
        <w:rPr>
          <w:rtl w:val="true"/>
        </w:rPr>
        <w:t>الجهة الثانیة</w:t>
      </w:r>
      <w:r>
        <w:rPr>
          <w:rtl w:val="true"/>
        </w:rPr>
        <w:t xml:space="preserve">: </w:t>
      </w:r>
      <w:r>
        <w:rPr>
          <w:rtl w:val="true"/>
        </w:rPr>
        <w:t>حول تمامیّة کبری قاعدة قبح العقاب بلا بیان</w:t>
      </w:r>
      <w:bookmarkEnd w:id="253"/>
    </w:p>
    <w:p>
      <w:pPr>
        <w:pStyle w:val="Heading6"/>
        <w:numPr>
          <w:ilvl w:val="5"/>
          <w:numId w:val="1"/>
        </w:numPr>
        <w:rPr/>
      </w:pPr>
      <w:bookmarkStart w:id="254" w:name="__RefHeading___Toc734843_3244359995"/>
      <w:bookmarkStart w:id="255" w:name="_Toc96"/>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قد اشتهر بین أبناء التحصیل قاعدة قبح العقاب بلا بیان بشکل کبری قطعیّة، و لا قید لها من جانب العقل </w:t>
      </w:r>
      <w:r>
        <w:rPr>
          <w:rStyle w:val="FootnoteAnchor"/>
          <w:rtl w:val="true"/>
        </w:rPr>
        <w:footnoteReference w:id="319"/>
      </w:r>
      <w:r>
        <w:rPr>
          <w:rFonts w:ascii="IRNazanin" w:hAnsi="IRNazanin" w:eastAsia="IRNazanin"/>
          <w:color w:val="111111"/>
          <w:sz w:val="28"/>
          <w:sz w:val="28"/>
          <w:szCs w:val="28"/>
          <w:rtl w:val="true"/>
          <w:lang w:bidi="fa-IR"/>
        </w:rPr>
        <w:t>، و المشهور عندهم تمامیّتها فی الشبهات الحکمیّة و الموضوعیّة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خالفهم فی الاولی سیّدنا الاستاذ الداماد رحمه اللّه صهر العلّامة الحائریّ قدّس سرّهما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فی موارد تمکّن المولی من البیان، و أمّا فی مورد عدم تمکّنه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کموارد التقیّة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تجری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ما ذکره عدم تمامیّة الحجّة العقلیّة علی البراءة؛ لاحتمال کون الحکم المشتبه، مزاحما بأرباب السلطة الجائرة لعنهم اللّه تعالی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قبح العقاب بلا بیان، لیس علی إطلاقه أصلا صحیحا لا فیما نحن فیه، و لا فی المسائل العقلائیّة؛ بعد احتمال کون عدم وصول البیان، لأجل عدم تمکین الأعداء من الإظهار، و أمّا فی موارد عجز المولی عن البیان فلا، و هذا فیما بین أیدینا غیر متصوّر؛ لأنّ المولی غیر عاجز ذاتا، و إنّما یعجّزه الجهات العارضة، و علی هذا لا أقلّ من التردّد فی حکم العقلاء، و علی هذا لا تتمّ البراءة العقلائیّة علی ما فصّلناه، و لا تتمّ صغری البراءة العقلیّة؛ لأنّه ما دام لم یثبت قبحه لا یثبت امتناع صدوره، فیلزم الإشکال علی البراءتین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العقلائیّة، و العقلیّة؛ و ذلک لأنّه نحتاج فی إثبات امتناع الصدور إلی إثبات القبح، کما هو الواضح</w:t>
      </w:r>
      <w:r>
        <w:rPr>
          <w:rFonts w:eastAsia="IRNazanin" w:cs="IRNazanin"/>
          <w:color w:val="111111"/>
          <w:sz w:val="28"/>
          <w:szCs w:val="28"/>
          <w:rtl w:val="true"/>
          <w:lang w:bidi="fa-IR"/>
        </w:rPr>
        <w:t>.</w:t>
      </w:r>
      <w:bookmarkStart w:id="256" w:name="pg13173_324789"/>
    </w:p>
    <w:p>
      <w:pPr>
        <w:pStyle w:val="BookText"/>
        <w:rPr/>
      </w:pPr>
      <w:bookmarkEnd w:id="256"/>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موارد عجز المولی، لا یمکن الالتزام بعدم الجریان؛ و أنّه قبیح بلا شبهة العقاب و العتاب، و تعجیز السلطات الجائرة یرجع إلی العجز عن الإظهار، و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ناحیة العبد، لا قصور فی التخلّف عن الأمر و النهی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الأخبار الواردة علی البراءة، هو تمکّن الشرع من الإظهار، و لیست تلک الأخبار فیها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خبر یدلّ علی البراءة، کان للاحتمال المذکور وجه، و بالجملة یستکشف تمکّن المولی من إظهار الحقائق؛ بإیراد أخبار البراءة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یدرک العقل لزوم الحجّة فی ترک الأمر و النهی؛ و ارتکاب العصیان و المخالفة، کذلک یدرک لزوم کون المولی ذا حجّة علی العقوبة علی المخالفة، و لا تتمّ حجّته فی الصورة المذکورة، و یقبّح عند العقل ارتکاب المؤاخذة علی ما لا حجّة له علیه، فعلی هذا تنحلّ المشکلة، و تتمّ کبری البراءة العقلائیّة، و صغری البراءة العقلیّة</w:t>
      </w:r>
      <w:r>
        <w:rPr>
          <w:rFonts w:eastAsia="IRNazanin" w:cs="IRNazanin"/>
          <w:color w:val="111111"/>
          <w:sz w:val="28"/>
          <w:szCs w:val="28"/>
          <w:rtl w:val="true"/>
          <w:lang w:bidi="fa-IR"/>
        </w:rPr>
        <w:t>.</w:t>
      </w:r>
    </w:p>
    <w:p>
      <w:pPr>
        <w:pStyle w:val="Heading6"/>
        <w:numPr>
          <w:ilvl w:val="5"/>
          <w:numId w:val="1"/>
        </w:numPr>
        <w:rPr/>
      </w:pPr>
      <w:bookmarkStart w:id="257" w:name="__RefHeading___Toc734845_3244359995"/>
      <w:bookmarkStart w:id="258" w:name="_Toc97"/>
      <w:bookmarkEnd w:id="257"/>
      <w:r>
        <w:rPr>
          <w:rtl w:val="true"/>
        </w:rPr>
        <w:t>بحث و تحصیل</w:t>
      </w:r>
      <w:r>
        <w:rPr>
          <w:rtl w:val="true"/>
        </w:rPr>
        <w:t xml:space="preserve">: </w:t>
      </w:r>
      <w:r>
        <w:rPr>
          <w:rtl w:val="true"/>
        </w:rPr>
        <w:t>حول مشکلة العقاب بلا بیان</w:t>
      </w:r>
      <w:bookmarkEnd w:id="258"/>
    </w:p>
    <w:p>
      <w:pPr>
        <w:pStyle w:val="BookText"/>
        <w:rPr/>
      </w:pPr>
      <w:r>
        <w:rPr>
          <w:rFonts w:ascii="IRNazanin" w:hAnsi="IRNazanin" w:eastAsia="IRNazanin"/>
          <w:color w:val="111111"/>
          <w:sz w:val="28"/>
          <w:sz w:val="28"/>
          <w:szCs w:val="28"/>
          <w:rtl w:val="true"/>
          <w:lang w:bidi="fa-IR"/>
        </w:rPr>
        <w:t>ربّما یری فی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من قبح العقاب بلا بیان؛ أی بلا جهة و سبب، و بلا وجه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هذا غیر تامّ؛ لأنّ فی موارد العصیان و المخالفة، یکون العقاب مع السبب و الوجه، فإنّ الأمر و النهی إذا کانا صادرین غیر واصلین، یوجبان انتزاع المخالفة، و هذا کاف لکونه مع السبب و الوجه و الجهة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یری فی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العقاب علی المخالفة بلا بیان قبیح، و المؤاخذة</w:t>
      </w:r>
    </w:p>
    <w:p>
      <w:pPr>
        <w:pStyle w:val="BookText"/>
        <w:rPr/>
      </w:pPr>
      <w:r>
        <w:rPr>
          <w:rFonts w:ascii="IRNazanin" w:hAnsi="IRNazanin" w:eastAsia="IRNazanin"/>
          <w:color w:val="111111"/>
          <w:sz w:val="28"/>
          <w:sz w:val="28"/>
          <w:szCs w:val="28"/>
          <w:rtl w:val="true"/>
          <w:lang w:bidi="fa-IR"/>
        </w:rPr>
        <w:t>بالعصیان بلا بیان و برهان قبیحة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هذا أیضا غیر تامّ؛ لأنّ فی موارد الشبهة ربّما لا یکون مخالفة، و لا عصیان؛ لما لا أمر و لا نهی واقعیّ، فلا مخالفة، و لا عصیان، فیلزم تأسیس قاعدتین؛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المخالفة بلا بیان،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تلک الموارد، و هو العقاب عند عدم وجود الأمر و النهی، و عدم صدورهما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یلزم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العقاب بلا بیان فی موارد المخالفة و العصیان إذا کان قبیحا، ففی سائر الموارد یکون أقبح، و هذا أیضا غیر تامّ؛ لأنّ العقلاء فی الموردین یتمسّکون بهذه القاعدة الواحدة من غیر تأسیس للقاعدة الثانیة، و لا التمسّک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یری فی کلماتهم تقیید القاعدة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العقاب بلا بیان واصل قبیح</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ربّما یکون النظر إلی تتمیم القاعدة و شمولها للفرضین؛ ضرورة أنّه فیما إذا لم یکن أمر و لا نهی، لا یکون بیان واصلا، و فیما یکون أمر و نهی غیر واصلین أیضا یقبح؛ لما لیسا بعد الفحص و التیقّن حاصلین، و لا یکون المستثنی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تامّ؛ لعدم تقییدها عند العقلاء؛ و کانوا یتشبّثون بها من غیر تقیید، فلا بدّ علی هذا من تتمیم الاستدلال بها علی وجه لا یلزم تصرّف فیها، و یکون الموردان مشمولیها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یخطر بالبال إنکار الموردین؛ ضرورة امتناع تکلیف الجاهل و العاجز علی وجه سواء، و لا یعقل کون الأمر و النهی غیر الواصلین، نهیا و أمرا جدّیین؛ لما لا یعقل باعثیّتهما، و إنّما یتنجّز الأمر و النهی الواقعیّان قبل الفحص؛ إذا کان الفحص منتهیا إلیهما،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فی کیفیّة تصویر الخطابات القانونیّة</w:t>
      </w:r>
      <w:r>
        <w:rPr>
          <w:rStyle w:val="FootnoteAnchor"/>
          <w:rtl w:val="true"/>
        </w:rPr>
        <w:footnoteReference w:id="324"/>
      </w:r>
      <w:r>
        <w:rPr>
          <w:rFonts w:ascii="IRNazanin" w:hAnsi="IRNazanin" w:eastAsia="IRNazanin"/>
          <w:color w:val="111111"/>
          <w:sz w:val="28"/>
          <w:sz w:val="28"/>
          <w:szCs w:val="28"/>
          <w:rtl w:val="true"/>
          <w:lang w:bidi="fa-IR"/>
        </w:rPr>
        <w:t>، و لو لا تلک الطریقة، لما کان ینفع الإجماع علی الاشتراک؛ لأنّ الشبهة عقلیّة، و لا تنحلّ بالإجماع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فإنکار تحقّق المخالفة ثبوتا قابل للدفع، و الشبهة تندفع بما اشیر إلیه، و لذلک یتحقّق الخطاب الجدّی بالنسبة إلی العاجز، فیکون فی موارد الشبهة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الأمر و النهی الواقعیّین غیر الواصلین الجدّیین، و عدم صدورهما واقعا؛ و عدم جعل فی تلک الشبهة حقیقة و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حدیث الرفع، انتفاؤهما فی موارد الجهالة واقعا</w:t>
      </w:r>
      <w:r>
        <w:rPr>
          <w:rStyle w:val="FootnoteAnchor"/>
          <w:rtl w:val="true"/>
        </w:rPr>
        <w:footnoteReference w:id="325"/>
      </w:r>
      <w:r>
        <w:rPr>
          <w:rFonts w:ascii="IRNazanin" w:hAnsi="IRNazanin" w:eastAsia="IRNazanin"/>
          <w:color w:val="111111"/>
          <w:sz w:val="28"/>
          <w:sz w:val="28"/>
          <w:szCs w:val="28"/>
          <w:rtl w:val="true"/>
          <w:lang w:bidi="fa-IR"/>
        </w:rPr>
        <w:t>، و حدیث لزوم الدور</w:t>
      </w:r>
      <w:r>
        <w:rPr>
          <w:rStyle w:val="FootnoteAnchor"/>
          <w:rtl w:val="true"/>
        </w:rPr>
        <w:footnoteReference w:id="326"/>
      </w:r>
      <w:r>
        <w:rPr>
          <w:rFonts w:ascii="IRNazanin" w:hAnsi="IRNazanin" w:eastAsia="IRNazanin"/>
          <w:color w:val="111111"/>
          <w:sz w:val="28"/>
          <w:sz w:val="28"/>
          <w:szCs w:val="28"/>
          <w:rtl w:val="true"/>
          <w:lang w:bidi="fa-IR"/>
        </w:rPr>
        <w:t>منتف، کما مرّ مرارا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یمکن حلّ المشکلة المذکورة من غیر الحاجة إلی إرجاع الموردین و الفرضین إلی فرض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انتفاء الأمر و النهی فی موارد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المراد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العقاب علی ترک شی‌ء أو فعل شی‌ء بلا أن یتّضح و یتبیّن، و لم یکن قائمة علیه الحجّة، قبیح، فالمستثنی هو البیان، و البیان هو الاتضاح، فلا حاجة إلی التقیید أو إلی شی‌ء آخر ممّا اشیر إلیه؛ ضرورة أنّه فی موارد عدم وجود الأمر و النهی، یکون العقاب بلا حجّة و بلا وضوح ذلک الأمر الذی یعاقب علیه، أو النهی الکذائیّ، و فی موارد وجودهما و عدم الوصول، یکون الأمر کما تحرّر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حکی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الملاک فی البراءة العقلیّة فی الفرضین،</w:t>
      </w:r>
      <w:bookmarkStart w:id="259" w:name="pg13173_324792"/>
    </w:p>
    <w:p>
      <w:pPr>
        <w:pStyle w:val="BookText"/>
        <w:rPr/>
      </w:pPr>
      <w:bookmarkEnd w:id="259"/>
      <w:r>
        <w:rPr>
          <w:rFonts w:ascii="IRNazanin" w:hAnsi="IRNazanin" w:eastAsia="IRNazanin"/>
          <w:color w:val="111111"/>
          <w:sz w:val="28"/>
          <w:sz w:val="28"/>
          <w:szCs w:val="28"/>
          <w:rtl w:val="true"/>
          <w:lang w:bidi="fa-IR"/>
        </w:rPr>
        <w:t>فلا یجمعهما العنوان الواحد</w:t>
      </w:r>
      <w:r>
        <w:rPr>
          <w:rStyle w:val="FootnoteAnchor"/>
          <w:rtl w:val="true"/>
        </w:rPr>
        <w:footnoteReference w:id="328"/>
      </w:r>
      <w:r>
        <w:rPr>
          <w:rFonts w:ascii="IRNazanin" w:hAnsi="IRNazanin" w:eastAsia="IRNazanin"/>
          <w:color w:val="111111"/>
          <w:sz w:val="28"/>
          <w:sz w:val="28"/>
          <w:szCs w:val="28"/>
          <w:rtl w:val="true"/>
          <w:lang w:bidi="fa-IR"/>
        </w:rPr>
        <w:t>، غیر تامّ؛ لأنّ الموردین فیما یوجب القبح متّحدان، و فیما لا یوجب القبح متعدّدان کما لا یخفی،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ذکرناه إلی هنا إیماء إلی المواضع الضعیفة الواقعة فی کلمات القوم صدرا و ذیلا، یتوجّه إلیه من تدبّر فیما أفادوه، فلیراجع</w:t>
      </w:r>
      <w:r>
        <w:rPr>
          <w:rFonts w:eastAsia="IRNazanin" w:cs="IRNazanin"/>
          <w:color w:val="111111"/>
          <w:sz w:val="28"/>
          <w:szCs w:val="28"/>
          <w:rtl w:val="true"/>
          <w:lang w:bidi="fa-IR"/>
        </w:rPr>
        <w:t>.</w:t>
      </w:r>
    </w:p>
    <w:p>
      <w:pPr>
        <w:pStyle w:val="Heading6"/>
        <w:numPr>
          <w:ilvl w:val="5"/>
          <w:numId w:val="1"/>
        </w:numPr>
        <w:rPr/>
      </w:pPr>
      <w:bookmarkStart w:id="260" w:name="__RefHeading___Toc734847_3244359995"/>
      <w:bookmarkStart w:id="261" w:name="_Toc98"/>
      <w:bookmarkEnd w:id="260"/>
      <w:r>
        <w:rPr>
          <w:rtl w:val="true"/>
        </w:rPr>
        <w:t>بحث و تحقیق</w:t>
      </w:r>
      <w:r>
        <w:rPr>
          <w:rtl w:val="true"/>
        </w:rPr>
        <w:t xml:space="preserve">: </w:t>
      </w:r>
      <w:r>
        <w:rPr>
          <w:rtl w:val="true"/>
        </w:rPr>
        <w:t>فی منع قاعدة قبح العقاب عقلا، لا عرفا و عقلائیّا</w:t>
      </w:r>
      <w:bookmarkEnd w:id="261"/>
    </w:p>
    <w:p>
      <w:pPr>
        <w:pStyle w:val="BookText"/>
        <w:rPr/>
      </w:pPr>
      <w:r>
        <w:rPr>
          <w:rFonts w:ascii="IRNazanin" w:hAnsi="IRNazanin" w:eastAsia="IRNazanin"/>
          <w:color w:val="111111"/>
          <w:sz w:val="28"/>
          <w:sz w:val="28"/>
          <w:szCs w:val="28"/>
          <w:rtl w:val="true"/>
          <w:lang w:bidi="fa-IR"/>
        </w:rPr>
        <w:t xml:space="preserve">لا شبهة فی أنّ هذه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القضایا المشهورة العقلائیّة، و تکون قابلة للاستناد إلیها لإثبات البراءة العقلائیّة، و أمّا التمسّک بها لإثبات البراءة العقلیّة، فهو فی محلّ المنع؛ و ذلک لما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انتزاع العنوان الواحد و المفهوم الفارد من الکثیر بما هو کثیر، غیر معقول </w:t>
      </w:r>
      <w:r>
        <w:rPr>
          <w:rStyle w:val="FootnoteAnchor"/>
          <w:rtl w:val="true"/>
        </w:rPr>
        <w:footnoteReference w:id="329"/>
      </w:r>
      <w:r>
        <w:rPr>
          <w:rFonts w:ascii="IRNazanin" w:hAnsi="IRNazanin" w:eastAsia="IRNazanin"/>
          <w:color w:val="111111"/>
          <w:sz w:val="28"/>
          <w:sz w:val="28"/>
          <w:szCs w:val="28"/>
          <w:rtl w:val="true"/>
          <w:lang w:bidi="fa-IR"/>
        </w:rPr>
        <w:t>، و لا بدّ من رجوع الکثیر إلی الجهة الواحدة المشترکة، و أنّ الحیثیّات التعلیلیّة فی الأحکام العقلیّة، ترجع إلی التقییدیّة، و تکون بنفسها عناوین و موضوعات لذلک الحکم الذی یناله العقل؛ و یدرکه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الکثیر بما هو الکثیر، غیر ممکن إلّا برجوع الکثیر إلی معنی واحد هو قید له؛ و مشترک و سار فی الکلّ، و یکون هو فی الحقیقة موضوع ذلک المفهوم و العنوان، و ذلک هو حیثیّة الوجود، و لا یکون زید و عمرو و بکر موضوعا 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 و إنّما یحمل علیهم؛ لحیثیّة الوجود المقرون معهم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المرجوح 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حملا ذاتیّا، و لیس</w:t>
      </w:r>
      <w:bookmarkStart w:id="262" w:name="pg13173_324793"/>
    </w:p>
    <w:p>
      <w:pPr>
        <w:pStyle w:val="BookText"/>
        <w:rPr/>
      </w:pPr>
      <w:bookmarkEnd w:id="262"/>
      <w:r>
        <w:rPr>
          <w:rFonts w:ascii="IRNazanin" w:hAnsi="IRNazanin" w:eastAsia="IRNazanin"/>
          <w:color w:val="111111"/>
          <w:sz w:val="28"/>
          <w:sz w:val="28"/>
          <w:szCs w:val="28"/>
          <w:rtl w:val="true"/>
          <w:lang w:bidi="fa-IR"/>
        </w:rPr>
        <w:t>هو خارج المحمول لها و لذلک الکثیر، و لا الذاتیّ باب البرهان، بل هو عرضیّ بابه و یعلّل، و یکون السبب و العلّة هو الظلم الذی هو الأمر المشترک بین الکلّ، و هو القبیح ذاتا، و یکون القبح له خارج المحمول غیر 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ظلم، و أنّ الظلم قبیح دونه، إلّا بالتوسّع و المجاز العقلیّ، فالاستناد إلی هذه القاعدة عند العقل،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به بالنسبة إلی البراءة العقلائیّة و العرفیّة، فما هو مناط درک العقل البراءة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العقاب ظلم، و حیث إنّه یمتنع صدوره منه تعالی، فیمتنع صدور العقاب منه تعالی عند ارتکاب الشبهة التحریمیّة، أو الوجوبیّة، و من هنا یتبیّن الفرق بین البراءة العقلائیّة، و العقلیّة، و یظهر أنّ تسمیتهم هذه البراءة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بل هی عقلائیّة، و لا بأس بها فی محیطهم؛ و حسب موطنهم و موقفهم</w:t>
      </w:r>
      <w:r>
        <w:rPr>
          <w:rFonts w:eastAsia="IRNazanin" w:cs="IRNazanin"/>
          <w:color w:val="111111"/>
          <w:sz w:val="28"/>
          <w:szCs w:val="28"/>
          <w:rtl w:val="true"/>
          <w:lang w:bidi="fa-IR"/>
        </w:rPr>
        <w:t>.</w:t>
      </w:r>
    </w:p>
    <w:p>
      <w:pPr>
        <w:pStyle w:val="Heading6"/>
        <w:numPr>
          <w:ilvl w:val="5"/>
          <w:numId w:val="1"/>
        </w:numPr>
        <w:rPr/>
      </w:pPr>
      <w:bookmarkStart w:id="263" w:name="__RefHeading___Toc734849_3244359995"/>
      <w:bookmarkStart w:id="264" w:name="_Toc99"/>
      <w:bookmarkEnd w:id="263"/>
      <w:r>
        <w:rPr>
          <w:rtl w:val="true"/>
        </w:rPr>
        <w:t>تذنیب</w:t>
      </w:r>
      <w:r>
        <w:rPr>
          <w:rtl w:val="true"/>
        </w:rPr>
        <w:t xml:space="preserve">: </w:t>
      </w:r>
      <w:r>
        <w:rPr>
          <w:rtl w:val="true"/>
        </w:rPr>
        <w:t>حول جریان البراءة فی الشبهات الموضوعیّة</w:t>
      </w:r>
      <w:bookmarkEnd w:id="264"/>
    </w:p>
    <w:p>
      <w:pPr>
        <w:pStyle w:val="BookText"/>
        <w:rPr/>
      </w:pPr>
      <w:r>
        <w:rPr>
          <w:rFonts w:ascii="Amiri" w:hAnsi="Amiri" w:eastAsia="Amiri" w:cs="Amiri"/>
          <w:color w:val="111111"/>
          <w:sz w:val="28"/>
          <w:sz w:val="28"/>
          <w:szCs w:val="28"/>
          <w:rtl w:val="true"/>
          <w:lang w:bidi="ar-SA"/>
        </w:rPr>
        <w:t xml:space="preserve">ذهب سیّدنا الاستاذ الفقیه البروجردیّ قدّس سرّه </w:t>
      </w:r>
      <w:r>
        <w:rPr>
          <w:rStyle w:val="FootnoteAnchor"/>
          <w:rtl w:val="true"/>
        </w:rPr>
        <w:footnoteReference w:id="330"/>
      </w:r>
      <w:r>
        <w:rPr>
          <w:rFonts w:ascii="Amiri" w:hAnsi="Amiri" w:eastAsia="Amiri" w:cs="Amiri"/>
          <w:color w:val="111111"/>
          <w:sz w:val="28"/>
          <w:sz w:val="28"/>
          <w:szCs w:val="28"/>
          <w:rtl w:val="true"/>
          <w:lang w:bidi="ar-SA"/>
        </w:rPr>
        <w:t xml:space="preserve">و العلّامة الإیروانیّ رحمه اللّه </w:t>
      </w:r>
      <w:r>
        <w:rPr>
          <w:rStyle w:val="FootnoteAnchor"/>
          <w:rtl w:val="true"/>
        </w:rPr>
        <w:footnoteReference w:id="331"/>
      </w:r>
      <w:r>
        <w:rPr>
          <w:rFonts w:ascii="IRNazanin" w:hAnsi="IRNazanin" w:eastAsia="IRNazanin"/>
          <w:color w:val="111111"/>
          <w:sz w:val="28"/>
          <w:sz w:val="28"/>
          <w:szCs w:val="28"/>
          <w:rtl w:val="true"/>
          <w:lang w:bidi="fa-IR"/>
        </w:rPr>
        <w:t>إلی عدم جریان البراءة العقلیّة فی الشبهات الموضوعیّة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العقاب بلا بیان، قبیح فی مورد کان شأن المولی بیانه، و کان علیه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الکبریات الکلّیة مثلا، و أمّا فی الشبهات الموضوعیّة فلا یکون علیه البیان، کما هو الواجدان بین الموالی و سائر العبید، فیلزم الاحتیاط بعد وصول الکبریات، و ذلک لأنّ تحریم الخمر مثلا، یورث تنجّز جمیع مصادیق الخمر الواقعیّة؛ لعدم عهدة علی المولی</w:t>
      </w:r>
    </w:p>
    <w:p>
      <w:pPr>
        <w:pStyle w:val="BookText"/>
        <w:rPr/>
      </w:pPr>
      <w:r>
        <w:rPr>
          <w:rFonts w:ascii="IRNazanin" w:hAnsi="IRNazanin" w:eastAsia="IRNazanin"/>
          <w:color w:val="111111"/>
          <w:sz w:val="28"/>
          <w:sz w:val="28"/>
          <w:szCs w:val="28"/>
          <w:rtl w:val="true"/>
          <w:lang w:bidi="fa-IR"/>
        </w:rPr>
        <w:t>بالنسبة إلی توضیح الصغریات، و علی هذا فنفس الاحتمال منجّز، فضلا عن العلم الإجمالیّ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التمسّک بالعمومات فی الشبهات الموضوعیّة، بل هو بحکم العقل، و أنّه یلزم الاحتیاط؛ لأنّه عند الإصابة تکون الکبری منجّزة، لما لا وجه لتوهّم الإباحة إلّا احتمال کون بیان الموضوع علی المولی، و هذا واضح الفساد، و بدیهیّ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موارد ترخیص الشرع، تجری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نیل الکبریات الکلّیة، نحتاج إلی المؤمّن من احتمال العقوبة، و لا مؤمّن عقلا بعد کون تشخیص الموضوع علی عهدة المکلّفین، فإن تبیّن له الأمر بعد الفحص فهو، و إلّا فلا بدّ من الاحتیاط؛ لما لا مؤمّن من العقوبة، لاحتمال کون المشتبه خمرا، و قد حرّم علیه کلّ خمر بحسب الواقع،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البیان المذکور تامّا، فهو یختصّ بمورد العمومات، دون المطلقات؛ فإنّ فی موارد العموم یکون کلّ فرد موضوعا علی حدة، و یتنجّز تکلیفه؛ لأجل أنّ ما هو علی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ما لیس علی الشرع و هو بیان الموضوع غیر تامّ، فیکون الاحتیاط لازما؛ لما لا مؤمّن من احتمال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موارد الإطلاق، فإنّ المصداق الخارجیّ لیس موضوعا للحکم، بل الحکم منجّز بالنسبة إلی نفس الطبیعة، دون الخارج، فالبیان بالنسبة إلی المصداق و إن لم یکن علی المولی، و لکنّ الحکم بالنسبة إلیه أیضا لا یکون بمجرّد الشبهة متنجّزا؛ لما لا حکم له رأسا، و الالتزام بالتفصیل المذکور یبعد التزامه قدّس سرّه به، کما هو الظاهر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تحریم الغناء، لا یکون للغناء فرد خارجیّ متعلّق به الحکم، بل نفس الطبیعة محرّمة، و یکون الحکم لازم الطبیعة فی الاعتبار، و یتکرّر بتکرّرها، من غیر کون الفرد الخارجیّ مصبّ الحکم، حتّی إذا کان مورد الشکّ غناء واقعا، یکون مصبّا للحکم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أیضا مثل العمومات للانحلال العرفیّ، کما لیس</w:t>
      </w:r>
      <w:bookmarkStart w:id="265" w:name="pg13173_324795"/>
    </w:p>
    <w:p>
      <w:pPr>
        <w:pStyle w:val="BookText"/>
        <w:rPr/>
      </w:pPr>
      <w:bookmarkEnd w:id="265"/>
      <w:r>
        <w:rPr>
          <w:rFonts w:ascii="IRNazanin" w:hAnsi="IRNazanin" w:eastAsia="IRNazanin"/>
          <w:color w:val="111111"/>
          <w:sz w:val="28"/>
          <w:sz w:val="28"/>
          <w:szCs w:val="28"/>
          <w:rtl w:val="true"/>
          <w:lang w:bidi="fa-IR"/>
        </w:rPr>
        <w:t>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یتمّ فی موارد تحریم صرف الوجود، أو إیجاب نفس الطبیعة کما لا یخفی، فیلزم التفصیل غیر الملتزم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مجری البراءة، مقیّدا بموارد یکون البیان شأن المولی، للزم إنکار جریانها فی مواضع صدور الأمر و النهی غیر البالغین إلینا؛ لأجل الحوادث و المزاحمات الخارجیّة، و الموانع التکوینیّة؛ فإنّ إلقاء الکبریات کان شأنه، و قد أبانها و أصدرها، و ما هو خارج عن عهدة المولی لیس دخیلا فی عدم الاستحقاق، فعدم الوصول فی مفروض البحث، لا یورث عدم وجوب الاحتیاط،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بناء العقلاء بعد الفحص عن الموضوع فی الشبهة الموضوعیّة، و عدم العثور علیه، هی البراءة، و مقتضی البیان المذکور هو الاحتیاط، فیتبیّن ممّا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التکلیف لیس مرهون مجرّد العلم بالکبریات؛ ما لم تنضمّ إلیه الصغریات الوجدانیّة، أو التعبّدیة، و کما أنّ وجود تلک الکبریات غیر کاف، فوجود الصغریات أیضا کذلک، فلا بدّ من قیام العلم علی الکبری و الصغری حتّی تتمّ الحجّة، و یصیر الحکم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فجریان البراءة العقلائیّة و العقلیّة فی الشبهات الموضوعیّة، کان أمرا مفروغا عنه بینهم من الأوّل، و قبح العقاب بلا بیان علی إطلاقه، کان من القضایا المشهورة، و هکذا فإنّ العقاب بلا بیان ظلم، ممّا یدرکه العقل، فلا تخلط</w:t>
      </w:r>
      <w:r>
        <w:rPr>
          <w:rFonts w:eastAsia="IRNazanin" w:cs="IRNazanin"/>
          <w:color w:val="111111"/>
          <w:sz w:val="28"/>
          <w:szCs w:val="28"/>
          <w:rtl w:val="true"/>
          <w:lang w:bidi="fa-IR"/>
        </w:rPr>
        <w:t>.</w:t>
      </w:r>
    </w:p>
    <w:p>
      <w:pPr>
        <w:pStyle w:val="Heading6"/>
        <w:numPr>
          <w:ilvl w:val="5"/>
          <w:numId w:val="1"/>
        </w:numPr>
        <w:rPr/>
      </w:pPr>
      <w:bookmarkStart w:id="266" w:name="__RefHeading___Toc734851_3244359995"/>
      <w:bookmarkStart w:id="267" w:name="_Toc100"/>
      <w:bookmarkEnd w:id="266"/>
      <w:r>
        <w:rPr>
          <w:rtl w:val="true"/>
        </w:rPr>
        <w:t>تذنیب آخر</w:t>
      </w:r>
      <w:r>
        <w:rPr>
          <w:rtl w:val="true"/>
        </w:rPr>
        <w:t xml:space="preserve">: </w:t>
      </w:r>
      <w:r>
        <w:rPr>
          <w:rtl w:val="true"/>
        </w:rPr>
        <w:t>و فیه مناقشة عقلیّة لقاعدة قبح العقاب بلا بیان</w:t>
      </w:r>
      <w:bookmarkEnd w:id="2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البحوث التی تنبغی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قبح العقاب بلا بیان ظلم، أو أنّ العقاب بلا بیان قبیح، بعید عن الموازین العقلیّة فی بابی العقاب و الثواب؛ فإنّ تلک القضیّة ظاهرة فی أنّه تعالی یتصدّی للعقاب، و أنّه علیه یکون العقاب بلا بیان قبیحا، أو ظلما، مع أنّ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تبعات الأعمال و لوازم الأفعال،</w:t>
      </w:r>
    </w:p>
    <w:p>
      <w:pPr>
        <w:pStyle w:val="BookText"/>
        <w:rPr/>
      </w:pPr>
      <w:r>
        <w:rPr>
          <w:rFonts w:ascii="IRNazanin" w:hAnsi="IRNazanin" w:eastAsia="IRNazanin"/>
          <w:color w:val="111111"/>
          <w:sz w:val="28"/>
          <w:sz w:val="28"/>
          <w:szCs w:val="28"/>
          <w:rtl w:val="true"/>
          <w:lang w:bidi="fa-IR"/>
        </w:rPr>
        <w:t xml:space="preserve">و إنّما الأنبیاء و الرسل بمنزلة أطبّاء النفوس </w:t>
      </w:r>
      <w:r>
        <w:rPr>
          <w:rStyle w:val="FootnoteAnchor"/>
          <w:rtl w:val="true"/>
        </w:rPr>
        <w:footnoteReference w:id="332"/>
      </w:r>
      <w:r>
        <w:rPr>
          <w:rFonts w:ascii="IRNazanin" w:hAnsi="IRNazanin" w:eastAsia="IRNazanin"/>
          <w:color w:val="111111"/>
          <w:sz w:val="28"/>
          <w:sz w:val="28"/>
          <w:szCs w:val="28"/>
          <w:rtl w:val="true"/>
          <w:lang w:bidi="fa-IR"/>
        </w:rPr>
        <w:t>، فلا مدخلیّة للعلم و الجهل فی تلک التبعات و اللوازم، و فی مسألة تجسّم الأعمال؛ و تمثّل الأفعال، فعلیه لا معنی للقاعدة المذکورة، سواء کانت کبری عقلائیّة، أو صغری للکبری العقلیّة، و یلزم الاحتیاط فی جمیع المواقف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القاعدة صحیحة علی المقالة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مقالة الجعل فی العقاب و الثواب؛ و أنّهما فی الآخرة کما هما فی الدنیا بالنسبة إلی سیاسات الإسلام و سائر العقلاء</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شکّ فی أنّ القضیّة الصادقة هی المقالة الاولی أو الثانیة، لا یمکن إجراء تلک القاعدة، و لا یحصل المؤمّن و الوثوق،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و لو کانت مختلفة،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بصدق القضیّنین و المقالتین؛ لإمکان الجمع بینهما بعد موافقة الآیات و الأخبار لکلّ واحدة منهما</w:t>
      </w:r>
      <w:r>
        <w:rPr>
          <w:rStyle w:val="FootnoteAnchor"/>
          <w:rtl w:val="true"/>
        </w:rPr>
        <w:footnoteReference w:id="334"/>
      </w:r>
      <w:r>
        <w:rPr>
          <w:rFonts w:ascii="IRNazanin" w:hAnsi="IRNazanin" w:eastAsia="IRNazanin"/>
          <w:color w:val="111111"/>
          <w:sz w:val="28"/>
          <w:sz w:val="28"/>
          <w:szCs w:val="28"/>
          <w:rtl w:val="true"/>
          <w:lang w:bidi="fa-IR"/>
        </w:rPr>
        <w:t>، إلّا أنّه لو کانت المقالة الاولی صحیحة، لکان لجریان البراءة وجه واضح؛ و ذلک لأنّه لو کانت تلک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تقتضیه ظواهر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للزم إنکار البراءة الشرعیّة، و للزم المنع عن نفوذ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ترک الواجبات الشرعیّة، یلزم أن لا تکون عقوبة؛ لأنّ السلوب المحضة لا تبعیّة لها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تجسّم الأعمال و تمثّل الأفعال صحیح، و لکن هناک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بالمخالفة و العصیان حین الارتکاب، أو العلم بمخالفة الحجّة الظاهریّة، أو هو جزء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تمام الموضوع لتلک التبعة؛ و تلک التجسّمات و الصور المؤذیة المزاحمة فی البرازخ و النشآت و العقبات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لاعتبار هذا العلم؛ تجویز الشرع اتباع الطرق المختلفة، و الاتکاء علی</w:t>
      </w:r>
    </w:p>
    <w:p>
      <w:pPr>
        <w:pStyle w:val="BookText"/>
        <w:rPr/>
      </w:pPr>
      <w:r>
        <w:rPr>
          <w:rFonts w:ascii="IRNazanin" w:hAnsi="IRNazanin" w:eastAsia="IRNazanin"/>
          <w:color w:val="111111"/>
          <w:sz w:val="28"/>
          <w:sz w:val="28"/>
          <w:szCs w:val="28"/>
          <w:rtl w:val="true"/>
          <w:lang w:bidi="fa-IR"/>
        </w:rPr>
        <w:t>البراءة الشرعیّة فی موارد الشکّ و الشبهة، فعلیه حین الشکّ فی التحریم و الإیجاب، لا یکون شرط العقاب التکوینیّ التبعیّ موجودا، بل العلم بالحجّة الظاهریّة، ربّما یکون مانعا عن تلک اللوازم و الآثار و الأحکام، فتأمّل تأمّلا تامّا؛ فإنّه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قصّة ترک الواجبات فهی 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غیر المقرون بالعلم، أو بالعذر الذی هو أمر وجودیّ نفسانیّ، لا یستلزم شیئا، و أمّا الترک المقرون بالعلم بالحجّة أو الواقع، فیستتبع ذلک العلم بما أنّه أمر وجودیّ للصور 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الواجب من قبیل ترک المانع عن ظهور الخبائث النفسانیّة، فإذا أتی بواجب فقد منع تلک الخبائث عن الظهور، الموجب استمرار منعه الذهول طبعا، مع أنّه یستتبع الأعمال الحسنة و الصور البهیّة، و أمّا إذا ترکه فیلزم ظهور تلک الخبائث مع فقده الخیرات الکثیرة، و تفصیل المسألة یطلب من سائر مکتوباتنا</w:t>
      </w:r>
      <w:r>
        <w:rPr>
          <w:rStyle w:val="FootnoteAnchor"/>
          <w:rtl w:val="true"/>
        </w:rPr>
        <w:footnoteReference w:id="33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و تقرّر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المذکورة علی احتمالین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کونها قاعدة عقلائیّة، و احتمال کونها راجعة إلی توضیح صغری قیاس عقلیّ، و یصحّ الاتکال علیها لإجراء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إسناد العقاب إلیه تعالی استقلالا و بلا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علی هذه المقالة، کما لا یخفی علی أرباب الدرایة، 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عقوبة بلا بیان،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یستحقّ العبد العقوبة بلا بیان، فإن علّل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عقلائیّة، و إن علّل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عقلیّة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هذه الجهة کان ینبغی هنا؛ لرجوعه إلی تعیین مصبّ القاعدة و الإشکال علی التعبیر عن کیفیّتها و قیودها، کما یظهر بأدنی تدبّر، فلا تخلط</w:t>
      </w:r>
      <w:r>
        <w:rPr>
          <w:rFonts w:eastAsia="IRNazanin" w:cs="IRNazanin"/>
          <w:color w:val="111111"/>
          <w:sz w:val="28"/>
          <w:szCs w:val="28"/>
          <w:rtl w:val="true"/>
          <w:lang w:bidi="fa-IR"/>
        </w:rPr>
        <w:t>.</w:t>
      </w:r>
      <w:bookmarkStart w:id="268" w:name="pg13173_324798"/>
    </w:p>
    <w:p>
      <w:pPr>
        <w:pStyle w:val="Heading6"/>
        <w:numPr>
          <w:ilvl w:val="5"/>
          <w:numId w:val="1"/>
        </w:numPr>
        <w:rPr/>
      </w:pPr>
      <w:bookmarkStart w:id="269" w:name="__RefHeading___Toc734853_3244359995"/>
      <w:bookmarkStart w:id="270" w:name="_Toc101"/>
      <w:bookmarkEnd w:id="268"/>
      <w:bookmarkEnd w:id="269"/>
      <w:r>
        <w:rPr>
          <w:rtl w:val="true"/>
        </w:rPr>
        <w:t>الجهة الثالثة</w:t>
      </w:r>
      <w:r>
        <w:rPr>
          <w:rtl w:val="true"/>
        </w:rPr>
        <w:t xml:space="preserve">: </w:t>
      </w:r>
      <w:r>
        <w:rPr>
          <w:rtl w:val="true"/>
        </w:rPr>
        <w:t>حول نسبة القاعدة مع قاعدة لزوم دفع الضرر</w:t>
      </w:r>
      <w:bookmarkEnd w:id="270"/>
    </w:p>
    <w:p>
      <w:pPr>
        <w:pStyle w:val="Heading6"/>
        <w:numPr>
          <w:ilvl w:val="5"/>
          <w:numId w:val="1"/>
        </w:numPr>
        <w:rPr/>
      </w:pPr>
      <w:bookmarkStart w:id="271" w:name="__RefHeading___Toc734855_3244359995"/>
      <w:bookmarkStart w:id="272" w:name="_Toc102"/>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قد تقاس هذه القاعدة مع القاعدة الاخری المعروفة؛ و هی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الضرر المحتمل واجب 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للأخباریّین دعوی ورود القاعدة الثانیة علی الاولی؛ لکونها بیانا بالنسبة إلیها، فتکون واردة علیها</w:t>
      </w:r>
      <w:r>
        <w:rPr>
          <w:rStyle w:val="FootnoteAnchor"/>
          <w:rtl w:val="true"/>
        </w:rPr>
        <w:footnoteReference w:id="336"/>
      </w:r>
      <w:r>
        <w:rPr>
          <w:rFonts w:ascii="IRNazanin" w:hAnsi="IRNazanin" w:eastAsia="IRNazanin"/>
          <w:color w:val="111111"/>
          <w:sz w:val="28"/>
          <w:sz w:val="28"/>
          <w:szCs w:val="28"/>
          <w:rtl w:val="true"/>
          <w:lang w:bidi="fa-IR"/>
        </w:rPr>
        <w:t xml:space="preserve">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الباطنیّ و الظاهریّ، فلا تصل النوبة إلی التمسّک بالاولی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بانعکاس الورود</w:t>
      </w:r>
      <w:r>
        <w:rPr>
          <w:rStyle w:val="FootnoteAnchor"/>
          <w:rtl w:val="true"/>
        </w:rPr>
        <w:footnoteReference w:id="337"/>
      </w:r>
      <w:r>
        <w:rPr>
          <w:rFonts w:ascii="IRNazanin" w:hAnsi="IRNazanin" w:eastAsia="IRNazanin"/>
          <w:color w:val="111111"/>
          <w:sz w:val="28"/>
          <w:sz w:val="28"/>
          <w:szCs w:val="28"/>
          <w:rtl w:val="true"/>
          <w:lang w:bidi="fa-IR"/>
        </w:rPr>
        <w:t>ضرورة أنّ مع تمامیّة القاعدة الاولی لا یحتمل العقاب، فلا موضوع للقاعدة الثانیة، فترد الاولی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المقایسة بینهما نشیر إلی مفاد الثانیة أوّلا، ثمّ إلی ملاحظة النسبة بینهما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أن یعبّر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الضرر المحتمل 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الضرر المحتمل قبیح و ظلم، و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یدرک لزوم دفع الضرر المحتمل، و یدرک قبح ارتکابه، و إنّ ارتکابه ظلم، کلّ ذلک تعابیر، إلّا أنّ الأوّل و الثانی تعابیر عقلائیّة، لا عقلیّة؛ ضرورة أنّ شأن العقل هو الدرک فقط، لا الحکم، و إنّما الحکم شأن العقلاء فی القضایا المشهورة التی منها هذه القضیّة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فهو تعبیر صحیح علی موازین عقلیّة، فما تری فی بعض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استقلال العقل بوجوب دفع الضرر المحتمل</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من الغفلة</w:t>
      </w:r>
      <w:r>
        <w:rPr>
          <w:rFonts w:eastAsia="Amiri" w:cs="Amiri" w:ascii="Amiri" w:hAnsi="Amiri"/>
          <w:color w:val="111111"/>
          <w:sz w:val="28"/>
          <w:szCs w:val="28"/>
          <w:rtl w:val="true"/>
          <w:lang w:bidi="ar-SA"/>
        </w:rPr>
        <w:t>.</w:t>
      </w:r>
      <w:bookmarkStart w:id="273" w:name="pg13173_324799"/>
    </w:p>
    <w:p>
      <w:pPr>
        <w:pStyle w:val="Heading6"/>
        <w:numPr>
          <w:ilvl w:val="5"/>
          <w:numId w:val="1"/>
        </w:numPr>
        <w:rPr/>
      </w:pPr>
      <w:bookmarkStart w:id="274" w:name="__RefHeading___Toc734857_3244359995"/>
      <w:bookmarkStart w:id="275" w:name="_Toc103"/>
      <w:bookmarkEnd w:id="273"/>
      <w:bookmarkEnd w:id="274"/>
      <w:r>
        <w:rPr>
          <w:rtl w:val="true"/>
        </w:rPr>
        <w:t>و هم و دفع</w:t>
      </w:r>
      <w:r>
        <w:rPr>
          <w:rtl w:val="true"/>
        </w:rPr>
        <w:t xml:space="preserve">: </w:t>
      </w:r>
      <w:r>
        <w:rPr>
          <w:rtl w:val="true"/>
        </w:rPr>
        <w:t>حول ورود قاعدة قبح العقاب علی قاعدة دفع الضرر</w:t>
      </w:r>
      <w:bookmarkEnd w:id="275"/>
    </w:p>
    <w:p>
      <w:pPr>
        <w:pStyle w:val="BookText"/>
        <w:rPr/>
      </w:pPr>
      <w:r>
        <w:rPr>
          <w:rFonts w:ascii="IRNazanin" w:hAnsi="IRNazanin" w:eastAsia="IRNazanin"/>
          <w:color w:val="111111"/>
          <w:sz w:val="28"/>
          <w:sz w:val="28"/>
          <w:szCs w:val="28"/>
          <w:rtl w:val="true"/>
          <w:lang w:bidi="fa-IR"/>
        </w:rPr>
        <w:t xml:space="preserve">قد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تقریرات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ورود القاعدة الاولی علی الثانیة، لا یستلزم محذورا، بخلاف العکس، فإنّه یستلزم الدور؛ ضرورة أنّه لا بدّ من وجود الاحتمال حتّی تجری القاعدة الثانیة، و لا یعقل الاحتمال بالقیاس إلی القاعدة الاولی؛ لأنّه مدفوع بها، و لا یمکن إیجاد الاحتمال من قبل نفس القاعدة الثانیة؛ لامتناع تکفّل الکبری لإحداث الصغری إلّا بعد وجود الصغری، فیلزم الدور من توهّم ورود الثانیة علی الاولی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واحدة من الکبریین، تلاحظ فی ذاتها مع قطع النظر عن الاخری، و علیه فلا شبهة فی أنّ صغری القاعدة الثانیة محقّقة بالوجدان، فیکون انطباق الکبری علیها، موجبا لورودها علی الاولی، و صغری القاعدة الاولی أیضا حاصلة وجدانا، و الانطباق قهریّ یستلزم ورودها علیها أیضا، و إذا لو حظتا معا فلا ورود لإحداهما علی الاخری؛ لأجنبیّة کلّ عن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340"/>
      </w:r>
      <w:r>
        <w:rPr>
          <w:rFonts w:ascii="IRNazanin" w:hAnsi="IRNazanin" w:eastAsia="IRNazanin"/>
          <w:color w:val="111111"/>
          <w:sz w:val="28"/>
          <w:sz w:val="28"/>
          <w:szCs w:val="28"/>
          <w:rtl w:val="true"/>
          <w:lang w:bidi="fa-IR"/>
        </w:rPr>
        <w:t xml:space="preserve">إذا قیس إلی دلیل أنّ الأمارة علم، تحصل الحکومة؛ لارتباط بینهما فی عالم الکبرویّة، و إذا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بأنّه الحجّة، یکون دلیل أنّ الخبر الواحد حجّة، واردا علیها؛ لارتباط بینهما فی حدّ ذاتهما، بخلاف هاتین الکبریین، فإنّ الکلّ أجنبیّ عن الآخر موضوعا و محمولا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الاولی أعمّ موردا؛ ضرورة أنّها تجری فی موارد الشبهات و الاحتمالات، و فی موارد الأمارات المتخلّفة عن الواقعیّات؛ فإنّ العقاب</w:t>
      </w:r>
      <w:bookmarkStart w:id="276" w:name="pg13173_324800"/>
    </w:p>
    <w:p>
      <w:pPr>
        <w:pStyle w:val="BookText"/>
        <w:rPr/>
      </w:pPr>
      <w:bookmarkEnd w:id="276"/>
      <w:r>
        <w:rPr>
          <w:rFonts w:ascii="IRNazanin" w:hAnsi="IRNazanin" w:eastAsia="IRNazanin"/>
          <w:color w:val="111111"/>
          <w:sz w:val="28"/>
          <w:sz w:val="28"/>
          <w:szCs w:val="28"/>
          <w:rtl w:val="true"/>
          <w:lang w:bidi="fa-IR"/>
        </w:rPr>
        <w:t>علیها أیضا بلا بیان، و قبیح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اشیر إلیه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لا معنی لورود إحدی الکبریات علی الاخری فی حدّ ذاتهما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غیر تامّ، بل الورود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التخصیص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یحصلان فی محیط الکبریات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نحن فیه لا معنی للورود و الحکومة؛ لأنّ القواعد العقلیّة و المدرکات العقلیّة، موضوعاتها واضحة؛ و قیودها ظاهرة، و لا یتصوّر بینها المناقضة و المضادّة، و کما لا معنی لتخصیصها بالعقل أو النقل، لا معنی لورود إحداهما علی الاخری، فما اشتهر بینهم من الورود</w:t>
      </w:r>
      <w:r>
        <w:rPr>
          <w:rStyle w:val="FootnoteAnchor"/>
          <w:rtl w:val="true"/>
        </w:rPr>
        <w:footnoteReference w:id="342"/>
      </w:r>
      <w:r>
        <w:rPr>
          <w:rFonts w:ascii="IRNazanin" w:hAnsi="IRNazanin" w:eastAsia="IRNazanin"/>
          <w:color w:val="111111"/>
          <w:sz w:val="28"/>
          <w:sz w:val="28"/>
          <w:szCs w:val="28"/>
          <w:rtl w:val="true"/>
          <w:lang w:bidi="fa-IR"/>
        </w:rPr>
        <w:t>أو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بعضهم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w:t>
      </w:r>
      <w:r>
        <w:rPr>
          <w:rFonts w:eastAsia="IRNazanin" w:cs="IRNazanin"/>
          <w:color w:val="111111"/>
          <w:sz w:val="28"/>
          <w:szCs w:val="28"/>
          <w:rtl w:val="true"/>
          <w:lang w:bidi="fa-IR"/>
        </w:rPr>
        <w:t>.</w:t>
      </w:r>
    </w:p>
    <w:p>
      <w:pPr>
        <w:pStyle w:val="Heading6"/>
        <w:numPr>
          <w:ilvl w:val="5"/>
          <w:numId w:val="1"/>
        </w:numPr>
        <w:rPr/>
      </w:pPr>
      <w:bookmarkStart w:id="277" w:name="__RefHeading___Toc734859_3244359995"/>
      <w:bookmarkStart w:id="278" w:name="_Toc104"/>
      <w:bookmarkEnd w:id="277"/>
      <w:r>
        <w:rPr>
          <w:rtl w:val="true"/>
        </w:rPr>
        <w:t>تنبیه</w:t>
      </w:r>
      <w:r>
        <w:rPr>
          <w:rtl w:val="true"/>
        </w:rPr>
        <w:t xml:space="preserve">: </w:t>
      </w:r>
      <w:r>
        <w:rPr>
          <w:rtl w:val="true"/>
        </w:rPr>
        <w:t xml:space="preserve">حول المراد من </w:t>
      </w:r>
      <w:r>
        <w:rPr>
          <w:rtl w:val="true"/>
        </w:rPr>
        <w:t>«</w:t>
      </w:r>
      <w:r>
        <w:rPr>
          <w:rtl w:val="true"/>
        </w:rPr>
        <w:t>الضرر</w:t>
      </w:r>
      <w:r>
        <w:rPr>
          <w:rtl w:val="true"/>
        </w:rPr>
        <w:t xml:space="preserve">» </w:t>
      </w:r>
      <w:r>
        <w:rPr>
          <w:rtl w:val="true"/>
        </w:rPr>
        <w:t>فی القاعدة</w:t>
      </w:r>
      <w:bookmarkEnd w:id="278"/>
    </w:p>
    <w:p>
      <w:pPr>
        <w:pStyle w:val="BookText"/>
        <w:rPr/>
      </w:pPr>
      <w:r>
        <w:rPr>
          <w:rFonts w:ascii="IRNazanin" w:hAnsi="IRNazanin" w:eastAsia="IRNazanin"/>
          <w:color w:val="111111"/>
          <w:sz w:val="28"/>
          <w:sz w:val="28"/>
          <w:szCs w:val="28"/>
          <w:rtl w:val="true"/>
          <w:lang w:bidi="fa-IR"/>
        </w:rPr>
        <w:t>هذه 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القواعد العرفیّة المشهورة، أو ترجع إلی قاعدة ینالها العقل، و سواء کان ما یناله هو قبح ارتکاب الضرر المحتمل، أو کون ارتکاب الضرر المحتمل ظلما، و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العقلائیّة أو العقلیّة، و لا ربط لها بمحیط الشرع و المنتحلین لإحدی الدیانات، فملاحظة الضرر الدنیویّ و الاخرویّ غیر صحیحة إلّا بلحاظ آخر، و إلّا فالکبری الکلّیة لو کانت صادقة، فموضوعها الضرر بما هو هو من غیر کیفیّة خاصّة 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یختلف الناس فی تشخیص الضرر، و الاعتقادات تکون مختلفة فی أصل الضرر</w:t>
      </w:r>
      <w:r>
        <w:rPr>
          <w:rFonts w:eastAsia="IRNazanin" w:cs="IRNazanin"/>
          <w:color w:val="111111"/>
          <w:sz w:val="28"/>
          <w:szCs w:val="28"/>
          <w:rtl w:val="true"/>
          <w:lang w:bidi="fa-IR"/>
        </w:rPr>
        <w:t>.</w:t>
      </w:r>
      <w:bookmarkStart w:id="279" w:name="pg13173_324801"/>
    </w:p>
    <w:p>
      <w:pPr>
        <w:pStyle w:val="BookText"/>
        <w:rPr/>
      </w:pPr>
      <w:bookmarkEnd w:id="279"/>
      <w:r>
        <w:rPr>
          <w:rFonts w:ascii="IRNazanin" w:hAnsi="IRNazanin" w:eastAsia="IRNazanin"/>
          <w:color w:val="111111"/>
          <w:sz w:val="28"/>
          <w:sz w:val="28"/>
          <w:szCs w:val="28"/>
          <w:rtl w:val="true"/>
          <w:lang w:bidi="fa-IR"/>
        </w:rPr>
        <w:t>فما تری فی تفصیل الأصحاب رحمهم اللّه حول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الضرر فیها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للمصالح و المفاسد</w:t>
      </w:r>
      <w:r>
        <w:rPr>
          <w:rStyle w:val="FootnoteAnchor"/>
          <w:rtl w:val="true"/>
        </w:rPr>
        <w:footnoteReference w:id="344"/>
      </w:r>
      <w:r>
        <w:rPr>
          <w:rFonts w:ascii="IRNazanin" w:hAnsi="IRNazanin" w:eastAsia="IRNazanin"/>
          <w:color w:val="111111"/>
          <w:sz w:val="28"/>
          <w:sz w:val="28"/>
          <w:szCs w:val="28"/>
          <w:rtl w:val="true"/>
          <w:lang w:bidi="fa-IR"/>
        </w:rPr>
        <w:t>، أجنبیّ عمّا یرتبط بجوهرة البحث هنا، و لو لا بعض الامور لما یهمّنا الإیضاحات المذکورة؛ لقلّة عوائدها فی الفقه</w:t>
      </w:r>
      <w:r>
        <w:rPr>
          <w:rFonts w:eastAsia="IRNazanin" w:cs="IRNazanin"/>
          <w:color w:val="111111"/>
          <w:sz w:val="28"/>
          <w:szCs w:val="28"/>
          <w:rtl w:val="true"/>
          <w:lang w:bidi="fa-IR"/>
        </w:rPr>
        <w:t>.</w:t>
      </w:r>
    </w:p>
    <w:p>
      <w:pPr>
        <w:pStyle w:val="Heading6"/>
        <w:numPr>
          <w:ilvl w:val="5"/>
          <w:numId w:val="1"/>
        </w:numPr>
        <w:rPr/>
      </w:pPr>
      <w:bookmarkStart w:id="280" w:name="__RefHeading___Toc734861_3244359995"/>
      <w:bookmarkStart w:id="281" w:name="_Toc105"/>
      <w:bookmarkEnd w:id="280"/>
      <w:r>
        <w:rPr>
          <w:rtl w:val="true"/>
        </w:rPr>
        <w:t>التحقیق فی قاعدة لزوم دفع الضرر المحتمل</w:t>
      </w:r>
      <w:bookmarkEnd w:id="281"/>
    </w:p>
    <w:p>
      <w:pPr>
        <w:pStyle w:val="Heading6"/>
        <w:numPr>
          <w:ilvl w:val="5"/>
          <w:numId w:val="1"/>
        </w:numPr>
        <w:rPr/>
      </w:pPr>
      <w:bookmarkStart w:id="282" w:name="__RefHeading___Toc734863_3244359995"/>
      <w:bookmarkStart w:id="283" w:name="_Toc106"/>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فعلی ما تحرّر و تقرّر، یقع الکلام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القاعدة المذکورة بما هی عقلائیّة،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عقلیّة، علی اختلاف التعابیر</w:t>
      </w:r>
      <w:r>
        <w:rPr>
          <w:rFonts w:eastAsia="IRNazanin" w:cs="IRNazanin"/>
          <w:color w:val="111111"/>
          <w:sz w:val="28"/>
          <w:szCs w:val="28"/>
          <w:rtl w:val="true"/>
          <w:lang w:bidi="fa-IR"/>
        </w:rPr>
        <w:t>:</w:t>
      </w:r>
    </w:p>
    <w:p>
      <w:pPr>
        <w:pStyle w:val="Heading6"/>
        <w:numPr>
          <w:ilvl w:val="5"/>
          <w:numId w:val="1"/>
        </w:numPr>
        <w:rPr/>
      </w:pPr>
      <w:bookmarkStart w:id="284" w:name="__RefHeading___Toc734865_3244359995"/>
      <w:bookmarkStart w:id="285" w:name="_Toc107"/>
      <w:bookmarkEnd w:id="284"/>
      <w:r>
        <w:rPr>
          <w:rtl w:val="true"/>
        </w:rPr>
        <w:t>أمّا المقام الأوّل</w:t>
      </w:r>
      <w:r>
        <w:rPr>
          <w:rtl w:val="true"/>
        </w:rPr>
        <w:t>:</w:t>
      </w:r>
      <w:bookmarkEnd w:id="285"/>
    </w:p>
    <w:p>
      <w:pPr>
        <w:pStyle w:val="BookText"/>
        <w:rPr/>
      </w:pPr>
      <w:r>
        <w:rPr>
          <w:rFonts w:ascii="IRNazanin" w:hAnsi="IRNazanin" w:eastAsia="IRNazanin"/>
          <w:color w:val="111111"/>
          <w:sz w:val="28"/>
          <w:sz w:val="28"/>
          <w:szCs w:val="28"/>
          <w:rtl w:val="true"/>
          <w:lang w:bidi="fa-IR"/>
        </w:rPr>
        <w:t>فالعقلاء بما هم عقلاء، یلاحظون النسب فی ارتکاب محتملات الضرر، فربّما یقدمون و یقتحمون الضرر؛ لمصالح اخر، و لطلب الراحة و الاستراحة، بل ربّما یقتحمون الضرر المعلوم؛ نظرا إلی الکیفیّات الخاصّة الحاصلة لهم حسب اختلاف أفهامهم و إدراکاتهم، فوجوب دفع الضرر المحتمل، أو حرمة ارتکاب الضرر المحتمل و ممنوعیّته، ممنوع لا علی الإطلاق، بل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لا یتحمّل المشقّة العادیّة باحتمال الضرر؛ لأنّ ترک شی‌ء أو ارتکاب شی‌ء، ربّما فیه منافع خاصّة راجحة علی ما هو المحتمل عندهم، کما نراه بالوجدان، و الاحتیاط یصعب بما لا تقتضیه القاعدة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الامور العقلائیّة و العرفیّة، تحتاج إلی الإمضاء الشرعیّ؛ لإمکان تجویز الشرع ارتکاب تحمّل الضرر، فما دام لم ینضمّ إلیها رضا الشرع، لا تنفع تلک</w:t>
      </w:r>
      <w:bookmarkStart w:id="286" w:name="pg13173_324802"/>
    </w:p>
    <w:p>
      <w:pPr>
        <w:pStyle w:val="BookText"/>
        <w:rPr/>
      </w:pPr>
      <w:bookmarkEnd w:id="286"/>
      <w:r>
        <w:rPr>
          <w:rFonts w:ascii="IRNazanin" w:hAnsi="IRNazanin" w:eastAsia="IRNazanin"/>
          <w:color w:val="111111"/>
          <w:sz w:val="28"/>
          <w:sz w:val="28"/>
          <w:szCs w:val="28"/>
          <w:rtl w:val="true"/>
          <w:lang w:bidi="fa-IR"/>
        </w:rPr>
        <w:t>الکبریات العقلائیّة، و قد وجدنا أنّ الشرع فی موارد إمضاء الأمارات و الاصول و تأسیسها، یرخّص فی ارتکاب الضرر و المنقصة الروحیّة أو الجسمیّة؛ ضرورة أنّ شرب المسکر المجهول، یستتبع الآثار الضعیفة الروحیّة و القویّة الجسمیّة، فلا تتمّ هذه القاعدة بما هی عقلائیّة، و لا أقلّ من الشکّ فی أنّها ممضاة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للشرع تجویز ارتکاب الضرر المحتمل؛ لمصالح سیاسیّة غالبة، و له المنع عن وجوب دفعه العقلائیّ، کما فی سائر موارد مداخلة الشرع فی المسائل العقلائیّة الراجحة عندهم؛ حسب أنظارهم توسعة و تضییقا، فعلی هذا و لو کانت الشبهات الحکمیّة و الموضوعیّة صغری لتلک الکبری، إلّا أنّها کبری غیر تامّة، و لا مقبولة بما هی عرفیّة عقلائیّة</w:t>
      </w:r>
      <w:r>
        <w:rPr>
          <w:rFonts w:eastAsia="IRNazanin" w:cs="IRNazanin"/>
          <w:color w:val="111111"/>
          <w:sz w:val="28"/>
          <w:szCs w:val="28"/>
          <w:rtl w:val="true"/>
          <w:lang w:bidi="fa-IR"/>
        </w:rPr>
        <w:t>.</w:t>
      </w:r>
    </w:p>
    <w:p>
      <w:pPr>
        <w:pStyle w:val="Heading6"/>
        <w:numPr>
          <w:ilvl w:val="5"/>
          <w:numId w:val="1"/>
        </w:numPr>
        <w:rPr/>
      </w:pPr>
      <w:bookmarkStart w:id="287" w:name="__RefHeading___Toc734867_3244359995"/>
      <w:bookmarkStart w:id="288" w:name="_Toc108"/>
      <w:bookmarkEnd w:id="287"/>
      <w:r>
        <w:rPr>
          <w:rtl w:val="true"/>
        </w:rPr>
        <w:t>و أمّا المقام الثانی</w:t>
      </w:r>
      <w:r>
        <w:rPr>
          <w:rtl w:val="true"/>
        </w:rPr>
        <w:t>:</w:t>
      </w:r>
      <w:bookmarkEnd w:id="288"/>
    </w:p>
    <w:p>
      <w:pPr>
        <w:pStyle w:val="BookText"/>
        <w:rPr/>
      </w:pPr>
      <w:r>
        <w:rPr>
          <w:rFonts w:ascii="IRNazanin" w:hAnsi="IRNazanin" w:eastAsia="IRNazanin"/>
          <w:color w:val="111111"/>
          <w:sz w:val="28"/>
          <w:sz w:val="28"/>
          <w:szCs w:val="28"/>
          <w:rtl w:val="true"/>
          <w:lang w:bidi="fa-IR"/>
        </w:rPr>
        <w:t>فالعقل و لو کان یدرک لزوم الاجتناب عن الضرر المحتمل، أو یدرک قبح ارتکابه، أو یدرک أنّ ارتکابه ظلم، و لکن بلا شبهة لیس موضوعه علی هذا النطاق الشامل لما نحن فیه؛ فإنّ فی موارد مزاحمة ذلک بما هو المطلوب، لا یکون ظلم، و لا قبح، و لا إشکال فی أنّ فی کثیر من موارد الشبهات الحکمیّة الموضوعیّة، یصعب الاجتناب و الإتیان، و إذا کان الموضوع مقیّدا، أو احتمل دخالة قید فیه، لا یمکن القطع بدرک العقل إلّا مع وجود ذلک القید و إن لم یحرز قیدیّته، کما تحرّر فی استصحاب الأحکام العقلیّة</w:t>
      </w:r>
      <w:r>
        <w:rPr>
          <w:rStyle w:val="FootnoteAnchor"/>
          <w:rtl w:val="true"/>
        </w:rPr>
        <w:footnoteReference w:id="345"/>
      </w:r>
      <w:r>
        <w:rPr>
          <w:rFonts w:ascii="IRNazanin" w:hAnsi="IRNazanin" w:eastAsia="IRNazanin"/>
          <w:color w:val="111111"/>
          <w:sz w:val="28"/>
          <w:sz w:val="28"/>
          <w:szCs w:val="28"/>
          <w:rtl w:val="true"/>
          <w:lang w:bidi="fa-IR"/>
        </w:rPr>
        <w:t>، فتمامیّة الکبری الکلّیة الشاملة لما نحن فیه ممنوعة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العقل قبح الارتکاب، و درکه لزوم الاجتناب؛ لعلل، و ما هو مورد</w:t>
      </w:r>
      <w:bookmarkStart w:id="289" w:name="pg13173_324803"/>
    </w:p>
    <w:p>
      <w:pPr>
        <w:pStyle w:val="BookText"/>
        <w:rPr/>
      </w:pPr>
      <w:bookmarkEnd w:id="289"/>
      <w:r>
        <w:rPr>
          <w:rFonts w:ascii="IRNazanin" w:hAnsi="IRNazanin" w:eastAsia="IRNazanin"/>
          <w:color w:val="111111"/>
          <w:sz w:val="28"/>
          <w:sz w:val="28"/>
          <w:szCs w:val="28"/>
          <w:rtl w:val="true"/>
          <w:lang w:bidi="fa-IR"/>
        </w:rPr>
        <w:t>درکه واقعا هو کونه ظلما، و سائر المدرکات ترجع إلیه، کما تحرّر</w:t>
      </w:r>
      <w:r>
        <w:rPr>
          <w:rStyle w:val="FootnoteAnchor"/>
          <w:rtl w:val="true"/>
        </w:rPr>
        <w:footnoteReference w:id="346"/>
      </w:r>
      <w:r>
        <w:rPr>
          <w:rFonts w:ascii="IRNazanin" w:hAnsi="IRNazanin" w:eastAsia="IRNazanin"/>
          <w:color w:val="111111"/>
          <w:sz w:val="28"/>
          <w:sz w:val="28"/>
          <w:szCs w:val="28"/>
          <w:rtl w:val="true"/>
          <w:lang w:bidi="fa-IR"/>
        </w:rPr>
        <w:t>، و إذا کان الکلّی المذکور و الکبری المزبورة فرضا تامّة، فلا یمکن تصرّف الشرع فیها، و تبقی علی کلّیتها، و لا نحتاج إلی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لوجوب دفع الضرر المحتمل، بل هو یرجع إلی أنّ العقل یدرک أنّ ارتکاب الضرر المحتمل ظلم، و الظلم قبیح و ممنوع؛ بمعنی أنّ العقل أیضا یدرک لزوم ترک الظلم، فیدرک لزوم ترک الشبهات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تشکیل الشکل الأوّل، ممکن من الصغری الوجدانیّة، و الکبری المذکورة، و تکون تامّة، و لا یمکن ذلک بالنسبة إلی الکبری السابقة و القاعدة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الشبهة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هذه الشبهة و تحمّل الضرر ظلم، و الظلم ممنوع، فهو ممنوع، و لا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الضرر بلا بیان؛ لتمامیّة البیان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ناحیة القاعدة الثانیة تکون الصغری مع قطع النظر عن کلّ شی‌ء وجدانیّة؛ لأنّ ارتکاب محتمل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أی یکون تعدّیا عن الطریقة العقلائیّة و العقلیّة،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العقوبة علی محتمل الضرر، بلا بیان وجدانا؛ لتمامیّة بیان الرسول الباطنیّ، فیلزم علی تقدیر تسلیم الکبری الکلّیة الثانیة، تمامیّة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دون الکبری الاولی و القاعدة السابقة</w:t>
      </w:r>
      <w:r>
        <w:rPr>
          <w:rFonts w:eastAsia="IRNazanin" w:cs="IRNazanin"/>
          <w:color w:val="111111"/>
          <w:sz w:val="28"/>
          <w:szCs w:val="28"/>
          <w:rtl w:val="true"/>
          <w:lang w:bidi="fa-IR"/>
        </w:rPr>
        <w:t>.</w:t>
      </w:r>
    </w:p>
    <w:p>
      <w:pPr>
        <w:pStyle w:val="Heading6"/>
        <w:numPr>
          <w:ilvl w:val="5"/>
          <w:numId w:val="1"/>
        </w:numPr>
        <w:rPr/>
      </w:pPr>
      <w:bookmarkStart w:id="290" w:name="__RefHeading___Toc734869_3244359995"/>
      <w:bookmarkStart w:id="291" w:name="_Toc109"/>
      <w:bookmarkEnd w:id="290"/>
      <w:r>
        <w:rPr>
          <w:rtl w:val="true"/>
        </w:rPr>
        <w:t>بقی شی‌ء</w:t>
      </w:r>
      <w:r>
        <w:rPr>
          <w:rtl w:val="true"/>
        </w:rPr>
        <w:t xml:space="preserve">: </w:t>
      </w:r>
      <w:r>
        <w:rPr>
          <w:rtl w:val="true"/>
        </w:rPr>
        <w:t>فی أنّ وجوب دفع الضرر لیس نفسیّا و غیریّا و لا طریقیّا</w:t>
      </w:r>
      <w:bookmarkEnd w:id="2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البحث عن وجوب دفع الضرر المحتمل؛ و أنّه وجوب نفسیّ، أو</w:t>
      </w:r>
      <w:bookmarkStart w:id="292" w:name="pg13173_324804"/>
    </w:p>
    <w:p>
      <w:pPr>
        <w:pStyle w:val="BookText"/>
        <w:rPr/>
      </w:pPr>
      <w:bookmarkEnd w:id="292"/>
      <w:r>
        <w:rPr>
          <w:rFonts w:ascii="IRNazanin" w:hAnsi="IRNazanin" w:eastAsia="IRNazanin"/>
          <w:color w:val="111111"/>
          <w:sz w:val="28"/>
          <w:sz w:val="28"/>
          <w:szCs w:val="28"/>
          <w:rtl w:val="true"/>
          <w:lang w:bidi="fa-IR"/>
        </w:rPr>
        <w:t>طریقیّ، أو مقدّمی، أو غیر ذلک غلط؛ لأنّ القاعدة العقلیّة ترجع إلی درک العقل أنّ ارتکاب المشتبه ظلم، و إلی أنّ العقل أیضا یدرک قبح الظلم، و تصیر النتیجة ما عرفت،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و إن خرجت عن رسم الاختصار، إلّا أنّ القارئ الکریم یصدّقنی علی لزوم هذا المدار؛ حتّی یتبیّن وجوه فساد ما أفادوه فی غیر هذا المضمار</w:t>
      </w:r>
      <w:r>
        <w:rPr>
          <w:rFonts w:eastAsia="IRNazanin" w:cs="IRNazanin"/>
          <w:color w:val="111111"/>
          <w:sz w:val="28"/>
          <w:szCs w:val="28"/>
          <w:rtl w:val="true"/>
          <w:lang w:bidi="fa-IR"/>
        </w:rPr>
        <w:t>.</w:t>
      </w:r>
    </w:p>
    <w:p>
      <w:pPr>
        <w:pStyle w:val="Heading6"/>
        <w:numPr>
          <w:ilvl w:val="5"/>
          <w:numId w:val="1"/>
        </w:numPr>
        <w:rPr/>
      </w:pPr>
      <w:bookmarkStart w:id="293" w:name="__RefHeading___Toc734871_3244359995"/>
      <w:bookmarkStart w:id="294" w:name="_Toc110"/>
      <w:bookmarkEnd w:id="293"/>
      <w:r>
        <w:rPr>
          <w:rtl w:val="true"/>
        </w:rPr>
        <w:t>تذنیب</w:t>
      </w:r>
      <w:r>
        <w:rPr>
          <w:rtl w:val="true"/>
        </w:rPr>
        <w:t xml:space="preserve">: </w:t>
      </w:r>
      <w:r>
        <w:rPr>
          <w:rtl w:val="true"/>
        </w:rPr>
        <w:t>حول التمسّک بعدم الوصول و بالاستصحاب لإثبات البراءة</w:t>
      </w:r>
      <w:bookmarkEnd w:id="294"/>
    </w:p>
    <w:p>
      <w:pPr>
        <w:pStyle w:val="BookText"/>
        <w:rPr/>
      </w:pPr>
      <w:r>
        <w:rPr>
          <w:rFonts w:ascii="IRNazanin" w:hAnsi="IRNazanin" w:eastAsia="IRNazanin"/>
          <w:color w:val="111111"/>
          <w:sz w:val="28"/>
          <w:sz w:val="28"/>
          <w:szCs w:val="28"/>
          <w:rtl w:val="true"/>
          <w:lang w:bidi="fa-IR"/>
        </w:rPr>
        <w:t>ربّما یستدلّ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فی موارد عدم الوصول غیر معقول، و قضیّة استصحاب عدم الجعل الأزلیّ أیضا هی البراءة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الشخصیّ مع فرض عدم الوصول، غیر معقول بالعرض؛ لأجل اللغویّة، و أمّا فی الخطابات القانونیّة فهو معقول، کما تحرّر و تقرّر</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صحّ ما قیل، للزم اختصاص التکلیف بالعالم، و هو دور مدفوع فی محلّه </w:t>
      </w:r>
      <w:r>
        <w:rPr>
          <w:rStyle w:val="FootnoteAnchor"/>
          <w:rtl w:val="true"/>
        </w:rPr>
        <w:footnoteReference w:id="349"/>
      </w:r>
      <w:r>
        <w:rPr>
          <w:rFonts w:ascii="IRNazanin" w:hAnsi="IRNazanin" w:eastAsia="IRNazanin"/>
          <w:color w:val="111111"/>
          <w:sz w:val="28"/>
          <w:sz w:val="28"/>
          <w:szCs w:val="28"/>
          <w:rtl w:val="true"/>
          <w:lang w:bidi="fa-IR"/>
        </w:rPr>
        <w:t>، و ممنوع علی الخطابات القانونیّة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 من عدم جریان استصحاب عدم الحرمة و الوجوب و عدم الجعل؛ لعدم الحالة السابقة له </w:t>
      </w:r>
      <w:r>
        <w:rPr>
          <w:rStyle w:val="FootnoteAnchor"/>
          <w:rtl w:val="true"/>
        </w:rPr>
        <w:footnoteReference w:id="350"/>
      </w:r>
      <w:r>
        <w:rPr>
          <w:rFonts w:ascii="IRNazanin" w:hAnsi="IRNazanin" w:eastAsia="IRNazanin"/>
          <w:color w:val="111111"/>
          <w:sz w:val="28"/>
          <w:sz w:val="28"/>
          <w:szCs w:val="28"/>
          <w:rtl w:val="true"/>
          <w:lang w:bidi="fa-IR"/>
        </w:rPr>
        <w:t>، ضرورة أنّ بطلوع الدیانة الإسلامیّة لا یطلع الجعل و التشریع؛ للزوم حدوث الإرادة، فالإرادة أزلیّة، و المراد فیما لا یزال، فالحکم فی موارد الشبهة لیس مسبوقا بالعدم الزمانیّ، و لا یجری الاستصحاب بالنسبة إلی العدم الذاتیّ، فافهم و اغتنم</w:t>
      </w:r>
      <w:r>
        <w:rPr>
          <w:rFonts w:eastAsia="IRNazanin" w:cs="IRNazanin"/>
          <w:color w:val="111111"/>
          <w:sz w:val="28"/>
          <w:szCs w:val="28"/>
          <w:rtl w:val="true"/>
          <w:lang w:bidi="fa-IR"/>
        </w:rPr>
        <w:t>.</w:t>
      </w:r>
      <w:bookmarkStart w:id="295" w:name="pg13173_324805"/>
    </w:p>
    <w:p>
      <w:pPr>
        <w:pStyle w:val="Heading3"/>
        <w:numPr>
          <w:ilvl w:val="2"/>
          <w:numId w:val="1"/>
        </w:numPr>
        <w:rPr/>
      </w:pPr>
      <w:bookmarkStart w:id="296" w:name="__RefHeading___Toc734873_3244359995"/>
      <w:bookmarkStart w:id="297" w:name="_Toc111"/>
      <w:bookmarkEnd w:id="295"/>
      <w:bookmarkEnd w:id="296"/>
      <w:r>
        <w:rPr>
          <w:rtl w:val="true"/>
        </w:rPr>
        <w:t>أدلّة الأخباریّین علی الاحتیاط</w:t>
      </w:r>
      <w:bookmarkEnd w:id="29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734875_3244359995"/>
      <w:bookmarkStart w:id="299" w:name="_Toc112"/>
      <w:bookmarkEnd w:id="298"/>
      <w:r>
        <w:rPr>
          <w:rtl w:val="true"/>
        </w:rPr>
        <w:t>اشارة</w:t>
      </w:r>
      <w:bookmarkStart w:id="300" w:name="pg13173_324807"/>
      <w:bookmarkEnd w:id="299"/>
    </w:p>
    <w:p>
      <w:pPr>
        <w:pStyle w:val="BookText"/>
        <w:rPr/>
      </w:pPr>
      <w:bookmarkEnd w:id="300"/>
      <w:r>
        <w:rPr>
          <w:rFonts w:ascii="IRNazanin" w:hAnsi="IRNazanin" w:eastAsia="IRNazanin"/>
          <w:color w:val="111111"/>
          <w:sz w:val="28"/>
          <w:sz w:val="28"/>
          <w:szCs w:val="28"/>
          <w:rtl w:val="true"/>
          <w:lang w:bidi="fa-IR"/>
        </w:rPr>
        <w:t>فإنّهم أیضا استدلّوا بالآیات، و السنّة، و بعض الوجوه العقلیّة</w:t>
      </w:r>
      <w:r>
        <w:rPr>
          <w:rFonts w:eastAsia="IRNazanin" w:cs="IRNazanin"/>
          <w:color w:val="111111"/>
          <w:sz w:val="28"/>
          <w:szCs w:val="28"/>
          <w:rtl w:val="true"/>
          <w:lang w:bidi="fa-IR"/>
        </w:rPr>
        <w:t>:</w:t>
      </w:r>
    </w:p>
    <w:p>
      <w:pPr>
        <w:pStyle w:val="Heading4"/>
        <w:numPr>
          <w:ilvl w:val="3"/>
          <w:numId w:val="1"/>
        </w:numPr>
        <w:rPr/>
      </w:pPr>
      <w:bookmarkStart w:id="301" w:name="__RefHeading___Toc734877_3244359995"/>
      <w:bookmarkStart w:id="302" w:name="_Toc113"/>
      <w:bookmarkEnd w:id="301"/>
      <w:r>
        <w:rPr>
          <w:rtl w:val="true"/>
        </w:rPr>
        <w:t>أمّا الآیات</w:t>
      </w:r>
      <w:bookmarkEnd w:id="302"/>
    </w:p>
    <w:p>
      <w:pPr>
        <w:pStyle w:val="BookText"/>
        <w:rPr/>
      </w:pPr>
      <w:r>
        <w:rPr>
          <w:rFonts w:ascii="IRNazanin" w:hAnsi="IRNazanin" w:eastAsia="IRNazanin"/>
          <w:color w:val="111111"/>
          <w:sz w:val="28"/>
          <w:sz w:val="28"/>
          <w:szCs w:val="28"/>
          <w:rtl w:val="true"/>
          <w:lang w:bidi="fa-IR"/>
        </w:rPr>
        <w:t>فهی علی طوائف، و حیث إنّه لا معنی لاستدلالهم بالآیات الناهیة عن القول بغیر علم؛ فیما هو البحث و الخلاف الرئیس بین الاصولیّین و الأخباریّین، و هو ارتکاب الاصولیّ الشبهات التحریمیّة و الوجوبیّة، و لا ربط له بالقول و الإفتاء، فإنّه أمر آخر ربّما لا یبتلی الاصولیّ به، و ربّما ینعکس فیفتی بالجواز، و لا یرتکب موارد الشبهة، فلا بدّ أن ترجع المسألة إلی مسألتین؛ و أنّ الخلاف بینهم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الإفتاء بالحلّیة و جواز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ارتکابهم العملیّ و الخارجیّ؛ و جریهم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علی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الناهیة عن القول بغیر العلم </w:t>
      </w:r>
      <w:r>
        <w:rPr>
          <w:rStyle w:val="FootnoteAnchor"/>
          <w:rtl w:val="true"/>
        </w:rPr>
        <w:footnoteReference w:id="351"/>
      </w:r>
      <w:r>
        <w:rPr>
          <w:rFonts w:ascii="IRNazanin" w:hAnsi="IRNazanin" w:eastAsia="IRNazanin"/>
          <w:color w:val="111111"/>
          <w:sz w:val="28"/>
          <w:sz w:val="28"/>
          <w:szCs w:val="28"/>
          <w:rtl w:val="true"/>
          <w:lang w:bidi="fa-IR"/>
        </w:rPr>
        <w:t xml:space="preserve">، و هکذا الأخبار عن الإفتاء بغیره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الأخباریّ أیضا یفتی بالاحتیاط، و هذا أیضا خلاف العلم،</w:t>
      </w:r>
    </w:p>
    <w:p>
      <w:pPr>
        <w:pStyle w:val="BookText"/>
        <w:rPr/>
      </w:pPr>
      <w:r>
        <w:rPr>
          <w:rFonts w:ascii="IRNazanin" w:hAnsi="IRNazanin" w:eastAsia="IRNazanin"/>
          <w:color w:val="111111"/>
          <w:sz w:val="28"/>
          <w:sz w:val="28"/>
          <w:szCs w:val="28"/>
          <w:rtl w:val="true"/>
          <w:lang w:bidi="fa-IR"/>
        </w:rPr>
        <w:t xml:space="preserve">و ما هو الجواب لهم هو الجواب لنا، فالمرجع هی السنّة، و لذلک ورد المنع عن الاحتجاج بالقرآن </w:t>
      </w:r>
      <w:r>
        <w:rPr>
          <w:rStyle w:val="FootnoteAnchor"/>
          <w:rtl w:val="true"/>
        </w:rPr>
        <w:footnoteReference w:id="3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ذو وجوه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فإنّ هذه الآیات تکون دلیل الاصولیّ و الأخباریّ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الثانیة، فیتمسّک لها بعدّة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الآمرة بالتقوی حقّ تقاته </w:t>
      </w:r>
      <w:r>
        <w:rPr>
          <w:rStyle w:val="FootnoteAnchor"/>
          <w:rtl w:val="true"/>
        </w:rPr>
        <w:footnoteReference w:id="355"/>
      </w:r>
      <w:r>
        <w:rPr>
          <w:rFonts w:ascii="IRNazanin" w:hAnsi="IRNazanin" w:eastAsia="IRNazanin"/>
          <w:color w:val="111111"/>
          <w:sz w:val="28"/>
          <w:sz w:val="28"/>
          <w:szCs w:val="28"/>
          <w:rtl w:val="true"/>
          <w:lang w:bidi="fa-IR"/>
        </w:rPr>
        <w:t xml:space="preserve">، و بالجهاد فی اللّه حقّ جهاده </w:t>
      </w:r>
      <w:r>
        <w:rPr>
          <w:rStyle w:val="FootnoteAnchor"/>
          <w:rtl w:val="true"/>
        </w:rPr>
        <w:footnoteReference w:id="356"/>
      </w:r>
      <w:r>
        <w:rPr>
          <w:rFonts w:ascii="IRNazanin" w:hAnsi="IRNazanin" w:eastAsia="IRNazanin"/>
          <w:color w:val="111111"/>
          <w:sz w:val="28"/>
          <w:sz w:val="28"/>
          <w:szCs w:val="28"/>
          <w:rtl w:val="true"/>
          <w:lang w:bidi="fa-IR"/>
        </w:rPr>
        <w:t>، و بالتقوی بمقدار الاستطاعة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موارد الشبهات القائم علی حلّیتها العقل و النقل، لا یکون خلاف الاتقاء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الاتقاء حقّه، و خلاف الجهاد حقّه، بل التقیید بالاستطاعة یشعر بأنّ المنظور منها الشبهات، و إلّا فلا خلاف استطاعة فیما هو المعلوم من الواجب 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الأخباریّ فی موارد العجز لا یضرّ بصحّة الاستدلال،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أولادی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یدور الأمر بین التصرّف فی الهیئة، و المادّة، و لا ترجیح للثانیة، لو لم یکن الأوّل متعیّنا؛ لکثرة استعمالها فی الرجحان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التصرّف فی المادّة بالغ إلی حدّ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من</w:t>
      </w:r>
    </w:p>
    <w:p>
      <w:pPr>
        <w:pStyle w:val="BookText"/>
        <w:rPr/>
      </w:pPr>
      <w:r>
        <w:rPr>
          <w:rFonts w:ascii="IRNazanin" w:hAnsi="IRNazanin" w:eastAsia="IRNazanin"/>
          <w:color w:val="111111"/>
          <w:sz w:val="28"/>
          <w:sz w:val="28"/>
          <w:szCs w:val="28"/>
          <w:rtl w:val="true"/>
          <w:lang w:bidi="fa-IR"/>
        </w:rPr>
        <w:t>مطلق و عامّ إلّا و قد قیّد و 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ما أفاده صحیحا للزم حمل جمیع الهیئات علی الندب فی موارد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لمکان استلزامه الفقه الجدید، قامت القرینة علی خلافه،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الآیات تأبی عن التقیید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بالاحتیاط فی الشبهات الوجوبیّة ممکن، کما عن الأسترابادیّ </w:t>
      </w:r>
      <w:r>
        <w:rPr>
          <w:rStyle w:val="FootnoteAnchor"/>
          <w:rtl w:val="true"/>
        </w:rPr>
        <w:footnoteReference w:id="361"/>
      </w:r>
      <w:r>
        <w:rPr>
          <w:rFonts w:ascii="IRNazanin" w:hAnsi="IRNazanin" w:eastAsia="IRNazanin"/>
          <w:color w:val="111111"/>
          <w:sz w:val="28"/>
          <w:sz w:val="28"/>
          <w:szCs w:val="28"/>
          <w:rtl w:val="true"/>
          <w:lang w:bidi="fa-IR"/>
        </w:rPr>
        <w:t>، و أمّا فی الشبهات الموضوعیّة فأدلّتها حاکمة بجعل الحلّیة، فلا یلزم خلاف التقوی تعبّدا و حکومة، و لیست تلک الأدلّة بالنسبة إلی الآیات بلسان التقیید،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حقّ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الهیئة علی الوجوب النفسیّ، یستلزم تعدّد العقاب فی موارد المحرّمات و الواجبات، و هذا ممّا لا یمکن الالتزام به لنا و للأخباریّ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ما تحرّر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موارد تعلّق الأمر بالطبیعة، یکفی الامتثال مرّة واحدة؛ لما لا أمر بعد ذلک،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حقّ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إکرام جمیع العلماء</w:t>
      </w:r>
      <w:r>
        <w:rPr>
          <w:rStyle w:val="FootnoteAnchor"/>
          <w:rtl w:val="true"/>
        </w:rPr>
        <w:footnoteReference w:id="362"/>
      </w:r>
      <w:r>
        <w:rPr>
          <w:rFonts w:ascii="IRNazanin" w:hAnsi="IRNazanin" w:eastAsia="IRNazanin"/>
          <w:color w:val="111111"/>
          <w:sz w:val="28"/>
          <w:sz w:val="28"/>
          <w:szCs w:val="28"/>
          <w:rtl w:val="true"/>
          <w:lang w:bidi="fa-IR"/>
        </w:rPr>
        <w:t>، و فیما نحن فیه أیضا کذلک، فلو اتقی اللّه فی مورد حقّ التقوی و حقّ الجهاد، فلا أمر بعد ذلک، فاغتنم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آیة التقیید بالاستطاعة، فهی تشمل الشبهات الموضوعیّة، و 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وجوب التقوی نفسیّا، غیر ممکن الالتزام به،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الناهیة عن الإلقاء فی التهلکة</w:t>
      </w:r>
      <w:r>
        <w:rPr>
          <w:rStyle w:val="FootnoteAnchor"/>
          <w:rtl w:val="true"/>
        </w:rPr>
        <w:footnoteReference w:id="363"/>
      </w:r>
      <w:r>
        <w:rPr>
          <w:rFonts w:ascii="IRNazanin" w:hAnsi="IRNazanin" w:eastAsia="IRNazanin"/>
          <w:color w:val="111111"/>
          <w:sz w:val="28"/>
          <w:sz w:val="28"/>
          <w:szCs w:val="28"/>
          <w:rtl w:val="true"/>
          <w:lang w:bidi="fa-IR"/>
        </w:rPr>
        <w:t>، و هو بحسب الظاهر یشمل الإلقاء القولیّ، فیلزم أن یکون الإفتاء بوجوب الاحتیاط من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الجواب، مع أنّ الآیة بحسب الصناعة مجملة؛ لحذف المفعول به، و کونه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مبرهن؛ لاحتمال النهی عن إلقاء الإخوة فی التهلکة و إلقاء المؤمنین و المجاهدین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قراءة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قراءة المجهول لا یتوجّه إلیه الإجمال، إلّا أنّ النهی لا یمکن أن یکون نهیا نفسیّا؛ للزوم کون العقاب متعدّدا فی موارد ارتکاب المحرّم المعلوم، و فی ترک الواجب المعلوم، فیعلم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الهیئات کلّها إرشادیّة؛ لمناسبة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ورود العقل و النقل السابقین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ورود الآیة علیهما لکونها بیانا، تستلزم الدور، و قد مضی تفصیله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الآمرة بردّ المنازعات إلی اللّه و رسوله </w:t>
      </w:r>
      <w:r>
        <w:rPr>
          <w:rStyle w:val="FootnoteAnchor"/>
          <w:rtl w:val="true"/>
        </w:rPr>
        <w:footnoteReference w:id="365"/>
      </w:r>
      <w:r>
        <w:rPr>
          <w:rFonts w:ascii="IRNazanin" w:hAnsi="IRNazanin" w:eastAsia="IRNazanin"/>
          <w:color w:val="111111"/>
          <w:sz w:val="28"/>
          <w:sz w:val="28"/>
          <w:szCs w:val="28"/>
          <w:rtl w:val="true"/>
          <w:lang w:bidi="fa-IR"/>
        </w:rPr>
        <w:t>، فعلی الأخباریّ و الاصولیّ ردّها إلیهما، فإذا لم یمکن الردّ یتعیّن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موارد النزاع المسألة الاولی، فلا یجوز لهم الإفتاء؛ لذهاب الأسترابادیّ إلی وجوب الاحتیاط</w:t>
      </w:r>
      <w:r>
        <w:rPr>
          <w:rStyle w:val="FootnoteAnchor"/>
          <w:rtl w:val="true"/>
        </w:rPr>
        <w:footnoteReference w:id="366"/>
      </w:r>
      <w:r>
        <w:rPr>
          <w:rFonts w:ascii="IRNazanin" w:hAnsi="IRNazanin" w:eastAsia="IRNazanin"/>
          <w:color w:val="111111"/>
          <w:sz w:val="28"/>
          <w:sz w:val="28"/>
          <w:szCs w:val="28"/>
          <w:rtl w:val="true"/>
          <w:lang w:bidi="fa-IR"/>
        </w:rPr>
        <w:t>، و الجواب الجواب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کلام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اختصاص الآیة بعصر الرسول</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فهو فی غیر محلّه؛ لأنّ الردّ إلی السنّة و الکتاب ردّ إلی اللّه و رسوله؛ بقرینة الأمر بالردّ إلی اللّه، فالفاصل بینهم هی السنّة، دون هذه الآیة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الناهیة عن اتباع غیر العلم </w:t>
      </w:r>
      <w:r>
        <w:rPr>
          <w:rStyle w:val="FootnoteAnchor"/>
          <w:rtl w:val="true"/>
        </w:rPr>
        <w:footnoteReference w:id="368"/>
      </w:r>
      <w:r>
        <w:rPr>
          <w:rFonts w:ascii="Amiri" w:hAnsi="Amiri" w:eastAsia="Amiri" w:cs="Amiri"/>
          <w:color w:val="111111"/>
          <w:sz w:val="28"/>
          <w:sz w:val="28"/>
          <w:szCs w:val="28"/>
          <w:rtl w:val="true"/>
          <w:lang w:bidi="ar-SA"/>
        </w:rPr>
        <w:t>، المستفاد منها لزوم الوقوف عند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ارتکاب الشبهات لیس من اتباع غیر العلم حسب اللغة، مع أنّه قامت الحجّة علی الحلّیة، و قد مضی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القوانین من الکتاب و السنّة، لیس العلم المنطقیّ، بل هو الحجّة العقلائیّة و الشرعیّة</w:t>
      </w:r>
      <w:r>
        <w:rPr>
          <w:rStyle w:val="FootnoteAnchor"/>
          <w:rtl w:val="true"/>
        </w:rPr>
        <w:footnoteReference w:id="369"/>
      </w:r>
      <w:r>
        <w:rPr>
          <w:rFonts w:ascii="IRNazanin" w:hAnsi="IRNazanin" w:eastAsia="IRNazanin"/>
          <w:color w:val="111111"/>
          <w:sz w:val="28"/>
          <w:sz w:val="28"/>
          <w:szCs w:val="28"/>
          <w:rtl w:val="true"/>
          <w:lang w:bidi="fa-IR"/>
        </w:rPr>
        <w:t>، فلا یلزم اتباع غیر العلم فی المسألتین،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و إن لم یستدلّ بها للأخباریّ، إلّا أنّها أظهر الآیات فی المسألة علی تنجّز التکلیف عند الجهل؛ ضرورة أنّه لا معنی لاعتبار التوبة و لزوم الإصلاح؛ لانتفاء السوء بعد قیام الأدلّة علی 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 العقلائیّة، و العقلیّة، و أنّه یدلّ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غَفُورٌ رَحِیمٌ علی أنّ ذلک السوء المرتکب عن الجهالة البسیطة و المرکّبة، ممنوع واقعا، و لازم أن یتوب العبد عنه؛ حتّی یشمله الغفران و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الآیة تدلّ علی أنّ مصبّ التوبة، هو السوء المرتکب عن الجهالة، و إلّا فلو کان عن عمد فلا، و لا منع؛ لدلالة الآیات الاخر علی عموم مغفرته تعالی عند التوبة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السفاهة، ممّا لا وجه له بعد قصور اللغة، فإنّ فی اللغة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العلم </w:t>
      </w:r>
      <w:r>
        <w:rPr>
          <w:rStyle w:val="FootnoteAnchor"/>
          <w:rtl w:val="true"/>
        </w:rPr>
        <w:footnoteReference w:id="372"/>
      </w:r>
      <w:r>
        <w:rPr>
          <w:rFonts w:ascii="IRNazanin" w:hAnsi="IRNazanin" w:eastAsia="IRNazanin"/>
          <w:color w:val="111111"/>
          <w:sz w:val="28"/>
          <w:sz w:val="28"/>
          <w:szCs w:val="28"/>
          <w:rtl w:val="true"/>
          <w:lang w:bidi="fa-IR"/>
        </w:rPr>
        <w:t>، 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الجهالة هی السفاهة؛ بمعنی عدم ملاحظة عواقب الأفعال و الأعمال فی الدنیا و الآخرة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بلا دلیل إلّا بالعنایة و قیام بعض القرائن أحیانا،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أیضا لا یخلو من غرابة،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انکشف الخلاف بعد ارتکاب السوء بجهالة، فتاب و أصلح أمره؛ بإصلاح تبعات ذلک السوء من الوضعیّات و الکفّارات فهو، و إلّا إذا لم ینکشف له السوء، فإن ارتکب عن جهالة مرکّبة عن قصور، فهو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الجهالة المرکّبة عن تقصیر، أو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محطّ بحث الأخباریّ و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عذرا لو صادف العمل عمل السوء الذی هو مجهولة سوئیّته حین الارتکاب و العمل،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الغریب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التبیان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مِنْکُمْ سُوءاً بِجَهالَةٍ لیس المراد أنّهم یجهلون أنّه سوء؛ لأنّه لو أتی المسلم ما یجهل أنّه سوء، لکان کمن لم یتعمّد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الآیة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عمله و هو جاهل بالمکروه فیه؛ أی لم یعرف من فیه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أقدم مع علمه بأنّ عاقبته مکروهة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یحتمل عندی أن یکون أراد مَنْ عَمِلَ مِنْکُمْ سُوءاً بِجَهالَةٍ بمعنی أنّه لا یعرفها سوء، لکن لمّا کان له طریق إلی معرفته، وجب علیه التوبة منه، فإذا تاب قبل اللّه توبته</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الاصولیّ لا یجوز أن یدخل فی الآیة بما أنّه اصولیّ، حتّی</w:t>
      </w:r>
    </w:p>
    <w:p>
      <w:pPr>
        <w:pStyle w:val="BookText"/>
        <w:rPr/>
      </w:pPr>
      <w:r>
        <w:rPr>
          <w:rFonts w:ascii="IRNazanin" w:hAnsi="IRNazanin" w:eastAsia="IRNazanin"/>
          <w:color w:val="111111"/>
          <w:sz w:val="28"/>
          <w:sz w:val="28"/>
          <w:szCs w:val="28"/>
          <w:rtl w:val="true"/>
          <w:lang w:bidi="fa-IR"/>
        </w:rPr>
        <w:t>یأوّل الآیة علی مرامه، و هکذا الأخباریّ، بل لا بدّ من رعایة الواقع، فحمل الآیة علی الجهل قبل الفحص، بلا وجه بعد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تقیید الإطلاق بالأدلّة فی الشبهات الموضوعیّة، و لذلک لا تعتبر التوبة عند انکشاف الخلاف فیها؛ لما لا سوء بعد ترخیص الشرع، و لو دلّ دلیل علی خروج الشبهات الوجوبیّة فهو، و إلّا فالمتّبع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تقیید الآیة بالشبهات التحریمیّة بعد الفحص؛ لقیام أدلّة البراءة بإخراج کافّة الشبهات، إلّا ما قبل الفحص و لو کان کثیرا، إلّا أنّه لیس من التخصیص الکثیر، بل أفراد الخاصّ کثیرة، و لا و هن فیه کما تحرّر، و لا سیّما بعد بقاء جملة 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کافّة الشبهات قبل الفحص مشمولة الآیة أوّلا، ثمّ تخرج عنها بالفحص،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صدر الآیة؛ أنّها مخصوصة بالأوائل المنسلکین فی سلک الإسلام و الإیمان، و یکون الخطاب خاصّا؛ و أنّ الآیة فی موقف ترغیبهم إلی الإسلام،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بشرط التوبة، و إصلاح تبعات الأعمال السیّئة؛ حسبما یظهر لی عجالة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أتلف مال الغیر، و قتل بغیر حقّ، فعلیه إصلاح أمره، و لا یکفی مجرّد الجهالة بالسوء، فتلک الجهالة التی کانت جهالة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کون الجاهلین مخصوصین، علی ما یظهر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الأعذار المسموعة إلّا بعد الإسلام و التوبة و الإصلاح، فتختصّ الآیة بالسوء فی عصر قبل الإسلام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یحتمل قویّا أن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أی کان عمل، و لیس بمعنی من یعمل بعد الإیمان، فلیلاحظ جیّدا</w:t>
      </w:r>
      <w:r>
        <w:rPr>
          <w:rFonts w:eastAsia="IRNazanin" w:cs="IRNazanin"/>
          <w:color w:val="111111"/>
          <w:sz w:val="28"/>
          <w:szCs w:val="28"/>
          <w:rtl w:val="true"/>
          <w:lang w:bidi="fa-IR"/>
        </w:rPr>
        <w:t>.</w:t>
      </w:r>
      <w:bookmarkStart w:id="303" w:name="pg13173_324814"/>
    </w:p>
    <w:p>
      <w:pPr>
        <w:pStyle w:val="Heading4"/>
        <w:numPr>
          <w:ilvl w:val="3"/>
          <w:numId w:val="1"/>
        </w:numPr>
        <w:rPr/>
      </w:pPr>
      <w:bookmarkStart w:id="304" w:name="__RefHeading___Toc734879_3244359995"/>
      <w:bookmarkStart w:id="305" w:name="_Toc114"/>
      <w:bookmarkEnd w:id="303"/>
      <w:bookmarkEnd w:id="304"/>
      <w:r>
        <w:rPr>
          <w:rtl w:val="true"/>
        </w:rPr>
        <w:t>و أمّا السنّة</w:t>
      </w:r>
      <w:bookmarkEnd w:id="305"/>
    </w:p>
    <w:p>
      <w:pPr>
        <w:pStyle w:val="Heading5"/>
        <w:numPr>
          <w:ilvl w:val="4"/>
          <w:numId w:val="1"/>
        </w:numPr>
        <w:rPr/>
      </w:pPr>
      <w:bookmarkStart w:id="306" w:name="__RefHeading___Toc734881_3244359995"/>
      <w:bookmarkStart w:id="307" w:name="_Toc115"/>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فهی علی طوائف نشیر إلیها إجمالا</w:t>
      </w:r>
      <w:r>
        <w:rPr>
          <w:rFonts w:eastAsia="IRNazanin" w:cs="IRNazanin"/>
          <w:color w:val="111111"/>
          <w:sz w:val="28"/>
          <w:szCs w:val="28"/>
          <w:rtl w:val="true"/>
          <w:lang w:bidi="fa-IR"/>
        </w:rPr>
        <w:t>.</w:t>
      </w:r>
    </w:p>
    <w:p>
      <w:pPr>
        <w:pStyle w:val="Heading5"/>
        <w:numPr>
          <w:ilvl w:val="4"/>
          <w:numId w:val="1"/>
        </w:numPr>
        <w:rPr/>
      </w:pPr>
      <w:bookmarkStart w:id="308" w:name="__RefHeading___Toc734883_3244359995"/>
      <w:bookmarkStart w:id="309" w:name="_Toc116"/>
      <w:bookmarkEnd w:id="308"/>
      <w:r>
        <w:rPr>
          <w:rtl w:val="true"/>
        </w:rPr>
        <w:t>الطائفة الاولی</w:t>
      </w:r>
      <w:r>
        <w:rPr>
          <w:rtl w:val="true"/>
        </w:rPr>
        <w:t xml:space="preserve">: </w:t>
      </w:r>
      <w:r>
        <w:rPr>
          <w:rtl w:val="true"/>
        </w:rPr>
        <w:t>ما تدّل علی الردّ إلی اللّه و إلی أهل البیت علیهم السّلام</w:t>
      </w:r>
      <w:bookmarkEnd w:id="309"/>
    </w:p>
    <w:p>
      <w:pPr>
        <w:pStyle w:val="BookText"/>
        <w:rPr/>
      </w:pPr>
      <w:r>
        <w:rPr>
          <w:rFonts w:ascii="IRNazanin" w:hAnsi="IRNazanin" w:eastAsia="IRNazanin"/>
          <w:color w:val="111111"/>
          <w:sz w:val="28"/>
          <w:sz w:val="28"/>
          <w:szCs w:val="28"/>
          <w:rtl w:val="true"/>
          <w:lang w:bidi="fa-IR"/>
        </w:rPr>
        <w:t>و هی الطائفة التی تدلّ علی وجوب الردّ فی موارد الشبهة و الجهالة إلی اللّه، و إلی أهل البیت علیهم السّلام، و هی کثیرة</w:t>
      </w:r>
      <w:r>
        <w:rPr>
          <w:rStyle w:val="FootnoteAnchor"/>
          <w:rtl w:val="true"/>
        </w:rPr>
        <w:footnoteReference w:id="377"/>
      </w:r>
      <w:r>
        <w:rPr>
          <w:rFonts w:ascii="IRNazanin" w:hAnsi="IRNazanin" w:eastAsia="IRNazanin"/>
          <w:color w:val="111111"/>
          <w:sz w:val="28"/>
          <w:sz w:val="28"/>
          <w:szCs w:val="28"/>
          <w:rtl w:val="true"/>
          <w:lang w:bidi="fa-IR"/>
        </w:rPr>
        <w:t>، إلّا أنّ المعتبر من بینها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بکیر، عن حمزة بن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عرض علی أبی عبد اللّه علیه السّلام بعض خطب أبیه، حتّی إذا بلغ موضعا منها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و اسکت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یسعکم فیما ینزل بکم ممّا لا تعلمون إلّا الکفّ عنه، و التثبّت، و الردّ إلی أئمّة الهدی؛ حتّی یحملوکم فیه علی القصد، و یجلوا عنکم فیه العمی، و یعرّفوکم فیه الحقّ،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المناقشة فی حمزة، مندفعة بما مرّ فی أخبار البراءة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ورود أخبار البراءة أو حکومتها علی هذه الطائفة؛ لأنّ الاصولیّ</w:t>
      </w:r>
    </w:p>
    <w:p>
      <w:pPr>
        <w:pStyle w:val="BookText"/>
        <w:rPr/>
      </w:pPr>
      <w:r>
        <w:rPr>
          <w:rFonts w:ascii="IRNazanin" w:hAnsi="IRNazanin" w:eastAsia="IRNazanin"/>
          <w:color w:val="111111"/>
          <w:sz w:val="28"/>
          <w:sz w:val="28"/>
          <w:szCs w:val="28"/>
          <w:rtl w:val="true"/>
          <w:lang w:bidi="fa-IR"/>
        </w:rPr>
        <w:t>لا یقول إلّا بما قال به أئمّة الهدی علیهم السّلام فی موارد الشکّ و الشبهة ظاهرا</w:t>
      </w:r>
      <w:r>
        <w:rPr>
          <w:rStyle w:val="FootnoteAnchor"/>
          <w:rtl w:val="true"/>
        </w:rPr>
        <w:footnoteReference w:id="381"/>
      </w:r>
      <w:r>
        <w:rPr>
          <w:rFonts w:ascii="IRNazanin" w:hAnsi="IRNazanin" w:eastAsia="IRNazanin"/>
          <w:color w:val="111111"/>
          <w:sz w:val="28"/>
          <w:sz w:val="28"/>
          <w:szCs w:val="28"/>
          <w:rtl w:val="true"/>
          <w:lang w:bidi="fa-IR"/>
        </w:rPr>
        <w:t>، غیر تامّة؛ لظهور الروایة فی الکفّ عند الشبهة بالنسبة إلی الواقع؛ لأنّ بمراجعتهم یتبیّن الواقع، و لا تبقی الشبهة و العمی، و یتعرّفون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أحادیث الرفع و الحلّ و البراءة کافیة فی المسألة، کانت حجّة ابن الطیّار تامّة علی الإمام علیه السّلام لأنّ المرویّ عن الرسول صلّی اللّه علیه و آله و سلّم هی البراءة الشرعیّة، فیعلم منه عدم جواز الاتکاء علی مثلها، فتقع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المتن إجمالا؛ لأنّ محتوی الخطب غیر معلوم، فربّما کان قابلا للقرینیّة علی حدود المراد من کلام الإمام علیه السّلام و استدلاله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الأخباریّ یقبل جمیع هذه الطائفة سندا، فلا یتمّ المطلوب و هی هدایة الأخباریّین، و إن کان الاصولیّ فی فسحة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الطائفة الناطقة بالردّ إلی اللّه، لا بدّ و أنّها محمولة علی الأخبار المختلفة الواردة فی شی‌ء واحد؛ لما لا یعقل الردّ إلی اللّه إلّا بالردّ إلی القرآن کتاب اللّه، و هذا لا یتصوّر إلّا فی موارد الاختلاف، کما ورد فی أخبار التثلیث </w:t>
      </w:r>
      <w:r>
        <w:rPr>
          <w:rStyle w:val="FootnoteAnchor"/>
          <w:rtl w:val="true"/>
        </w:rPr>
        <w:footnoteReference w:id="382"/>
      </w:r>
      <w:r>
        <w:rPr>
          <w:rFonts w:ascii="IRNazanin" w:hAnsi="IRNazanin" w:eastAsia="IRNazanin"/>
          <w:color w:val="111111"/>
          <w:sz w:val="28"/>
          <w:sz w:val="28"/>
          <w:szCs w:val="28"/>
          <w:rtl w:val="true"/>
          <w:lang w:bidi="fa-IR"/>
        </w:rPr>
        <w:t xml:space="preserve">، و فی روایة عمرو بن شمر بن یزید، عن جابر بن یزید الجعفیّ، عن أبی جعفر علیه السّلام فی وصیّة له لأصحابه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توهّم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التثلیث طائفة خاصّة من الطوائف المستدلّ بها علی الاحتیاط</w:t>
      </w:r>
      <w:r>
        <w:rPr>
          <w:rStyle w:val="FootnoteAnchor"/>
          <w:rtl w:val="true"/>
        </w:rPr>
        <w:footnoteReference w:id="384"/>
      </w:r>
      <w:r>
        <w:rPr>
          <w:rFonts w:ascii="IRNazanin" w:hAnsi="IRNazanin" w:eastAsia="IRNazanin"/>
          <w:color w:val="111111"/>
          <w:sz w:val="28"/>
          <w:sz w:val="28"/>
          <w:szCs w:val="28"/>
          <w:rtl w:val="true"/>
          <w:lang w:bidi="fa-IR"/>
        </w:rPr>
        <w:t>، فإنّ التثلیث أمر خارج عن مضمون الخبر، و ما هو</w:t>
      </w:r>
    </w:p>
    <w:p>
      <w:pPr>
        <w:pStyle w:val="BookText"/>
        <w:rPr/>
      </w:pPr>
      <w:r>
        <w:rPr>
          <w:rFonts w:ascii="IRNazanin" w:hAnsi="IRNazanin" w:eastAsia="IRNazanin"/>
          <w:color w:val="111111"/>
          <w:sz w:val="28"/>
          <w:sz w:val="28"/>
          <w:szCs w:val="28"/>
          <w:rtl w:val="true"/>
          <w:lang w:bidi="fa-IR"/>
        </w:rPr>
        <w:t>الدلیل هو المضمون الذی یستدلّ به، فلا تغفل، و الأمر سهل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روایة جابر و لو لم تبعد صحّتها عندنا علی ما تحرّر منّا فی محلّه </w:t>
      </w:r>
      <w:r>
        <w:rPr>
          <w:rStyle w:val="FootnoteAnchor"/>
          <w:rtl w:val="true"/>
        </w:rPr>
        <w:footnoteReference w:id="385"/>
      </w:r>
      <w:r>
        <w:rPr>
          <w:rFonts w:ascii="IRNazanin" w:hAnsi="IRNazanin" w:eastAsia="IRNazanin"/>
          <w:color w:val="111111"/>
          <w:sz w:val="28"/>
          <w:sz w:val="28"/>
          <w:szCs w:val="28"/>
          <w:rtl w:val="true"/>
          <w:lang w:bidi="fa-IR"/>
        </w:rPr>
        <w:t>، و لکنّها غیر معمول بها إجمالا؛ لأنّ فیها الأمر بردّ ما لا یوافقه القرآن، و هذا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المخالفة بالتباین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اشتبه الأمر علیکم فیه فقفوا عنده، وردّوه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الخبر الوارد، لا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اوائل البحث </w:t>
      </w:r>
      <w:r>
        <w:rPr>
          <w:rStyle w:val="FootnoteAnchor"/>
          <w:rtl w:val="true"/>
        </w:rPr>
        <w:footnoteReference w:id="386"/>
      </w:r>
      <w:r>
        <w:rPr>
          <w:rFonts w:ascii="IRNazanin" w:hAnsi="IRNazanin" w:eastAsia="IRNazanin"/>
          <w:color w:val="111111"/>
          <w:sz w:val="28"/>
          <w:sz w:val="28"/>
          <w:szCs w:val="28"/>
          <w:rtl w:val="true"/>
          <w:lang w:bidi="fa-IR"/>
        </w:rPr>
        <w:t>، أنّ الاصولیّ تمام همّه ارتکاب الشبهات التحریمیّة، و ترک الوجوبیّة، و أمّا الإفتاء علی الجواز و الرخصة، فهو أمر آخر، و هذه الأخبار ناظرة إلی حدیث الإفتاء، کما یظهر بالتأمّل فی سائر أخبار المسألة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روایة 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لهم من ذلک الوقوف عند التحیّر، وردّ ما جهلوه من ذلک إلی عالمه و مستنبطه؛ لأنّ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Style w:val="FootnoteAnchor"/>
          <w:rtl w:val="true"/>
        </w:rPr>
        <w:footnoteReference w:id="387"/>
      </w:r>
      <w:r>
        <w:rPr>
          <w:rFonts w:ascii="IRNazanin" w:hAnsi="IRNazanin" w:eastAsia="IRNazanin"/>
          <w:color w:val="111111"/>
          <w:sz w:val="28"/>
          <w:sz w:val="28"/>
          <w:szCs w:val="28"/>
          <w:rtl w:val="true"/>
          <w:lang w:bidi="fa-IR"/>
        </w:rPr>
        <w:t xml:space="preserve">یعنی آل محمّد علیهم السّلام و هم الذین یستنبطون فهم القرآن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یمکن دعوی جواز ارتکاب الشبهات عملا، و ممنوعیّة الإفتاء فی مواردها قولا و رأیا، و بذلک یجمع بین السنّة الناهضة علی البراءة، و القائمة علی لزوم ردّ علم المشتبه إلی أهله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العامّة کانوا یقولون بالقیاس و الاستحسان فی موارد الجهالة، و هذه الأخبار کأنّها ناظرة إلی ردّ علمها إلی اللّه، کما فی بعض الأخبار من</w:t>
      </w:r>
    </w:p>
    <w:p>
      <w:pPr>
        <w:pStyle w:val="BookText"/>
        <w:rPr/>
      </w:pPr>
      <w:r>
        <w:rPr>
          <w:rFonts w:ascii="Amiri" w:hAnsi="Amiri" w:eastAsia="Amiri" w:cs="Amiri"/>
          <w:color w:val="111111"/>
          <w:sz w:val="28"/>
          <w:sz w:val="28"/>
          <w:szCs w:val="28"/>
          <w:rtl w:val="true"/>
          <w:lang w:bidi="ar-SA"/>
        </w:rPr>
        <w:t>هذه الطائفة</w:t>
      </w:r>
      <w:r>
        <w:rPr>
          <w:rStyle w:val="FootnoteAnchor"/>
          <w:rtl w:val="true"/>
        </w:rPr>
        <w:footnoteReference w:id="389"/>
      </w:r>
      <w:r>
        <w:rPr>
          <w:rFonts w:ascii="IRNazanin" w:hAnsi="IRNazanin" w:eastAsia="IRNazanin"/>
          <w:color w:val="111111"/>
          <w:sz w:val="28"/>
          <w:sz w:val="28"/>
          <w:szCs w:val="28"/>
          <w:rtl w:val="true"/>
          <w:lang w:bidi="fa-IR"/>
        </w:rPr>
        <w:t>، فلاحظ و 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أخبار المسألة</w:t>
      </w:r>
      <w:r>
        <w:rPr>
          <w:rStyle w:val="FootnoteAnchor"/>
          <w:rtl w:val="true"/>
        </w:rPr>
        <w:footnoteReference w:id="390"/>
      </w:r>
      <w:r>
        <w:rPr>
          <w:rFonts w:ascii="IRNazanin" w:hAnsi="IRNazanin" w:eastAsia="IRNazanin"/>
          <w:color w:val="111111"/>
          <w:sz w:val="28"/>
          <w:sz w:val="28"/>
          <w:szCs w:val="28"/>
          <w:rtl w:val="true"/>
          <w:lang w:bidi="fa-IR"/>
        </w:rPr>
        <w:t>، شواهد علی أنّ المنع الوارد، ناظر إلی الزجر عن القول بغیر العلم فی موارد الشبهة،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للردّ إلّا ردّ إبراز الرأی و إظهار العلم؛ فإنّ ردّ العمل الشخصیّ أو ذات المشتبه، ممّا لا مفهوم صحیح له، فجمیع الأخبار المشتملة علی الردّ إلی اللّه و الرسول و الأئمّة علیهم السّلام أجنبیّ عن هذه المسألة بما ذکرناه، لا بما فی کلام الآخرین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للأخباریّ الإفتاء بالاحتیاط مستندا إلی هذه الطائفة، بل مقتضاها منعهم عنه أیضا، فعلیهم السکوت بمقتضاها، و لنا الجری العملیّ علی طبق أدلّة الحلّ و البراءة، و لا منع ثبوتا من التفکیک بین ممنوعیّة إظهار النظر و الإفتاء، و بین الجری العملیّ بارتکاب الشبهة أو ترکها، کما هو الواضح فی جواز الجری العملیّ علی طبق الاستصحاب مثلا، و حرمة الإفتاء علی طبقه، أو الإخبار و الشهادة مثلا علی وفقه، بل هذا التفکیک یساعده الذوق، و یناسبه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الطائفة عند الاصولیّ إمّا لا سند لها، أو فیها الإجمال، أو تکون معرضا عنها، أو راجعة إلی اختلاف الخبرین؛ بالردّ إلی الکتاب و الترجیح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مبنی الأخباریّ من صحّة إسناد جلّها؛ لکونها فی الکتب المعتبرة، تکون أجنبیّة عمّا هو الغرض المهمّ فی النزاع هنا کما عرفت، و لازمه ممنوعیّتهم عن الإفتاء بالاحتیاط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نحن معاشر الاصولیّین، ففی مخلص منها؛ لأقوائیّة الأدلّة القائمة علی جواز الإفتاء من هذه الأخبار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قضیّة أدلّة جواز الإفتاء، عدم الفرق بین</w:t>
      </w:r>
      <w:bookmarkStart w:id="310" w:name="pg13173_324818"/>
    </w:p>
    <w:p>
      <w:pPr>
        <w:pStyle w:val="BookText"/>
        <w:rPr/>
      </w:pPr>
      <w:bookmarkEnd w:id="310"/>
      <w:r>
        <w:rPr>
          <w:rFonts w:ascii="IRNazanin" w:hAnsi="IRNazanin" w:eastAsia="IRNazanin"/>
          <w:color w:val="111111"/>
          <w:sz w:val="28"/>
          <w:sz w:val="28"/>
          <w:szCs w:val="28"/>
          <w:rtl w:val="true"/>
          <w:lang w:bidi="fa-IR"/>
        </w:rPr>
        <w:t>الإفتاء علی طبق الأمارات و الحجج و الاصول بأقسامها، بل جمیع الأخباریین من زمرة المتّقین حسب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أنّ إیراد الاصولیّین بورود أخبار الحلّ و البراءة علی هذه الطائفة، فی غیر محلّه، و الإشکال فی سندها</w:t>
      </w:r>
      <w:r>
        <w:rPr>
          <w:rStyle w:val="FootnoteAnchor"/>
          <w:rtl w:val="true"/>
        </w:rPr>
        <w:footnoteReference w:id="392"/>
      </w:r>
      <w:r>
        <w:rPr>
          <w:rFonts w:ascii="IRNazanin" w:hAnsi="IRNazanin" w:eastAsia="IRNazanin"/>
          <w:color w:val="111111"/>
          <w:sz w:val="28"/>
          <w:sz w:val="28"/>
          <w:szCs w:val="28"/>
          <w:rtl w:val="true"/>
          <w:lang w:bidi="fa-IR"/>
        </w:rPr>
        <w:t>ممنوع، و لا سیّما علی مسلک الأخباریّین، و حدیث الإجمال فی روایة ابن الطیّار، قابل للدفع؛ لظهور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القانون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بعض الأخبار مربوطا بالحدیث المختلف فیه، أو المتعارضین، لا یوجب شیئا؛ لقولهم بالبراءة فی موارد التعارض و التساقط، فما اشیر إلیه من المحتملات علی سبیل منع الخلوّ یندفع، فیکون طریق التخلّص منحصرا بما اشیر إلیه، 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أیضا إلی أنّ أخبار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مقبولة عمر بن حنظلة</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الطائفة، و الجواب عنها الجواب</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734885_3244359995"/>
      <w:bookmarkStart w:id="312" w:name="_Toc117"/>
      <w:bookmarkEnd w:id="311"/>
      <w:r>
        <w:rPr>
          <w:rtl w:val="true"/>
        </w:rPr>
        <w:t>الطائفة الثانیة</w:t>
      </w:r>
      <w:r>
        <w:rPr>
          <w:rtl w:val="true"/>
        </w:rPr>
        <w:t xml:space="preserve">: </w:t>
      </w:r>
      <w:r>
        <w:rPr>
          <w:rtl w:val="true"/>
        </w:rPr>
        <w:t>الأخبار المتضمّنة للأمر بالتوقّف</w:t>
      </w:r>
      <w:bookmarkEnd w:id="312"/>
    </w:p>
    <w:p>
      <w:pPr>
        <w:pStyle w:val="Heading6"/>
        <w:numPr>
          <w:ilvl w:val="5"/>
          <w:numId w:val="1"/>
        </w:numPr>
        <w:rPr/>
      </w:pPr>
      <w:bookmarkStart w:id="313" w:name="__RefHeading___Toc734887_3244359995"/>
      <w:bookmarkStart w:id="314" w:name="_Toc118"/>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و هی علی أصناف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یشتمل علی الأمر بالتوقّف فی الشبهة، فقد ورد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الوقوف عند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الحزم الوقوف عند الشبهة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أحمد القمّی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و غیر ذلک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یوجد فی هذا الصنف خبر یعتمد علیه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لسیّدنا الاستاذ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الصنف مضافا إلی عدم تمامیّة أسانیده، لا یدلّ إلّا علی رجحان الوقوف فی مواقف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یشتمل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قال مولانا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الزهریّ،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مشتملا علی ردّ أمر المشکل إلی اللّه، کمقبولة عمر بن حنظلة، معلّلا فی ذیلها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فأرجه حتّی تلقی إمامک؛ فإنّ الوقوف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مسعدة بن زیاد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فی النکاح علی</w:t>
      </w:r>
    </w:p>
    <w:p>
      <w:pPr>
        <w:pStyle w:val="BookText"/>
        <w:rPr/>
      </w:pPr>
      <w:r>
        <w:rPr>
          <w:rFonts w:ascii="IRNazanin" w:hAnsi="IRNazanin" w:eastAsia="IRNazanin"/>
          <w:color w:val="111111"/>
          <w:sz w:val="28"/>
          <w:sz w:val="28"/>
          <w:szCs w:val="28"/>
          <w:rtl w:val="true"/>
          <w:lang w:bidi="fa-IR"/>
        </w:rPr>
        <w:t xml:space="preserve">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الوقوف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ما ذکرنا جمعا بین أخبار الردّ و البراءة، یکون هنا أظهر، فلا حاجة إلی ما أفاده القوم من الوجوه التی ربّما تبلغ إلی العشرة</w:t>
      </w:r>
      <w:r>
        <w:rPr>
          <w:rStyle w:val="FootnoteAnchor"/>
          <w:rtl w:val="true"/>
        </w:rPr>
        <w:footnoteReference w:id="402"/>
      </w:r>
      <w:r>
        <w:rPr>
          <w:rFonts w:ascii="IRNazanin" w:hAnsi="IRNazanin" w:eastAsia="IRNazanin"/>
          <w:color w:val="111111"/>
          <w:sz w:val="28"/>
          <w:sz w:val="28"/>
          <w:szCs w:val="28"/>
          <w:rtl w:val="true"/>
          <w:lang w:bidi="fa-IR"/>
        </w:rPr>
        <w:t>، فإنّ فی المقبولة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مشکل یردّ 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یقاس، و لا یستحسن، و لا یجوز التقوّل فیه مثلا بشی‌ء، بل حکمه من الحلّیة أو الحرمة عند اللّه، و أمّا الجری العملیّ بارتکاب الشبهة التحریمیّة و ترک الوجوبیّة، فهو أمر آخر یدلّ علیه أخبار الحلّ 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کثیر من الأخبار ما یشیر إلی الجمع المذکور، ففی روایة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 اللّه علی 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ما یعلمون، و یقفوا عند ما لا یعلمون</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هشام نحوه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الراوندیّ 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أدب فعلیه أن یثبت فیما یعلم، و من الورع أن لا یقول ما لا یعلم</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سماعة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ما تعلمون فقولوا به، و إن جاءکم ما</w:t>
      </w:r>
      <w:bookmarkStart w:id="315" w:name="pg13173_324821"/>
    </w:p>
    <w:p>
      <w:pPr>
        <w:pStyle w:val="BookText"/>
        <w:rPr/>
      </w:pPr>
      <w:bookmarkEnd w:id="315"/>
      <w:r>
        <w:rPr>
          <w:rFonts w:ascii="IRNazanin" w:hAnsi="IRNazanin" w:eastAsia="IRNazanin"/>
          <w:color w:val="111111"/>
          <w:sz w:val="28"/>
          <w:sz w:val="28"/>
          <w:szCs w:val="28"/>
          <w:rtl w:val="true"/>
          <w:lang w:bidi="fa-IR"/>
        </w:rPr>
        <w:t>لا تعلمون 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أهوی بیده إلی فیه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الفجیع العقیلیّ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أوصیک یا بنیّ بالصلاة عند وقتها، و الزکاة فی أهلها، و الصمت عند الشبهة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ممّا یوجب القطع بأنّ تلک الأخبار، ناظرة إلی مقام نسبة الحکم إلی الإسلام و الشارع بغیر حجّة و طریق من الکتاب و السنّة، و کأنّها لزجر العامّة عن النسبة إلیه تعالی بالقیاس و الاستحسان فی موارد فقد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جواز الإفتاء حسب الاصول الشرعیّة المتصدّیة للأحکام الظاهریّة</w:t>
      </w:r>
      <w:r>
        <w:rPr>
          <w:rStyle w:val="FootnoteAnchor"/>
          <w:rtl w:val="true"/>
        </w:rPr>
        <w:footnoteReference w:id="408"/>
      </w:r>
      <w:r>
        <w:rPr>
          <w:rFonts w:ascii="IRNazanin" w:hAnsi="IRNazanin" w:eastAsia="IRNazanin"/>
          <w:color w:val="111111"/>
          <w:sz w:val="28"/>
          <w:sz w:val="28"/>
          <w:szCs w:val="28"/>
          <w:rtl w:val="true"/>
          <w:lang w:bidi="fa-IR"/>
        </w:rPr>
        <w:t>، فهو فی محلّه، إلّا أنّه یوجب کون هذه الأخبار، أجنبیّة عمّا نحن فیه، و تعدّ من معارضات الأدلّة الناهضة علی جواز الإفتاء و النسبة فی موارد الشکّ و الشبهة، و تکون طبعا تلک الأخبار أقوی منها؛ لإفتاء الأخباریّین فی الشبهات الموضوعیّة و الوجوبیة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تندرج إلی هنا هذه الأخبار فی البحث المحرّر فی مباحث الاجتهاد و التقلید، و تصیر أجنبیّة عن مسألتنا</w:t>
      </w:r>
      <w:r>
        <w:rPr>
          <w:rFonts w:eastAsia="IRNazanin" w:cs="IRNazanin"/>
          <w:color w:val="111111"/>
          <w:sz w:val="28"/>
          <w:szCs w:val="28"/>
          <w:rtl w:val="true"/>
          <w:lang w:bidi="fa-IR"/>
        </w:rPr>
        <w:t>.</w:t>
      </w:r>
    </w:p>
    <w:p>
      <w:pPr>
        <w:pStyle w:val="Heading6"/>
        <w:numPr>
          <w:ilvl w:val="5"/>
          <w:numId w:val="1"/>
        </w:numPr>
        <w:rPr/>
      </w:pPr>
      <w:bookmarkStart w:id="316" w:name="__RefHeading___Toc734889_3244359995"/>
      <w:bookmarkStart w:id="317" w:name="_Toc119"/>
      <w:bookmarkEnd w:id="316"/>
      <w:r>
        <w:rPr>
          <w:rtl w:val="true"/>
        </w:rPr>
        <w:t>جولة و تحقیق</w:t>
      </w:r>
      <w:r>
        <w:rPr>
          <w:rtl w:val="true"/>
        </w:rPr>
        <w:t xml:space="preserve">: </w:t>
      </w:r>
      <w:r>
        <w:rPr>
          <w:rtl w:val="true"/>
        </w:rPr>
        <w:t>فی المراد من الأمر بالتوقّف</w:t>
      </w:r>
      <w:bookmarkEnd w:id="3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بالتوقّف عند الشبهة إمّا یکون إرشادا، کما هو مختار الشیخ رحمه اللّه فی حلّ مشکلة المسألة فی المقام </w:t>
      </w:r>
      <w:r>
        <w:rPr>
          <w:rStyle w:val="FootnoteAnchor"/>
          <w:rtl w:val="true"/>
        </w:rPr>
        <w:footnoteReference w:id="409"/>
      </w:r>
      <w:r>
        <w:rPr>
          <w:rFonts w:ascii="IRNazanin" w:hAnsi="IRNazanin" w:eastAsia="IRNazanin"/>
          <w:color w:val="111111"/>
          <w:sz w:val="28"/>
          <w:sz w:val="28"/>
          <w:szCs w:val="28"/>
          <w:rtl w:val="true"/>
          <w:lang w:bidi="fa-IR"/>
        </w:rPr>
        <w:t>، و هو ممّا لا یمکن تصدیقه؛ لأنّه مضافا إلی کونه</w:t>
      </w:r>
    </w:p>
    <w:p>
      <w:pPr>
        <w:pStyle w:val="BookText"/>
        <w:rPr/>
      </w:pPr>
      <w:r>
        <w:rPr>
          <w:rFonts w:ascii="IRNazanin" w:hAnsi="IRNazanin" w:eastAsia="IRNazanin"/>
          <w:color w:val="111111"/>
          <w:sz w:val="28"/>
          <w:sz w:val="28"/>
          <w:szCs w:val="28"/>
          <w:rtl w:val="true"/>
          <w:lang w:bidi="fa-IR"/>
        </w:rPr>
        <w:t>خلاف الأصل، یکون إرشادا إلی ما یستقلّ به العقل، و هو ممنوعیّة الاقتحام فی الهلکة، فلا یلزم من حمله علی الإرشاد، جواز الأخذ بأخبار الحلّ و البراءة؛ ضرورة أنّ الاقتحام فی الهلکة، لیس فی ترکه الرجحان المجتمع مع ترخیصه، فیکون من قبیل الأمر المرشد إلی طاعة اللّه و رسوله اللازمة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نفسیّا، فیکون التوقّف واجبا من الواجبات الشرعیّة المستتبع للعقوبة و الهلکة، و هذا غیر جائز؛ للزوم تعدّد العقاب فی صورة الاشتباه، و وحدته فی صورة ارتکاب الحرام المعلوم،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المناقشة فی هذا الاحتمال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یعقل أن یکون نفسیّا؛ لما لا هلکة مع قطع النظر عن هذا الإیجاب، ضرورة أنّ البراءات الثلاث، تنفی الهلکة و العقوبة الاخرویّة</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هذا الأمر و التعلیل، یستکشف عدم رضا الشرع بارتکاب الحرام المشتبه لو صادف، فیعلم منه تنجّز الواقع مع کونه فی حدّ نفسه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تخصیص الکثیر</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الدلیل المخصّص غیر معلوم، و خروج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الباقی تحت العامّ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لسانه آب عن التخصیص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 أنّ من المحتمل کون الشبهات الوجوبیّة و الموضوعیّة، خارجة بلسان الحکومة و نفی الهلکة فی مواردها، فلا تخصیص حتّی یلزم الاستهجان، کما فی خروج کثیر من موارد الربا بلسان الحکومة، مع إباء أدلّته عن التقیید و التخصیص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إلی إنکار شموله للشبهات الوجوبیّة؛ ضرورة أنّ فی ترک الواجب،</w:t>
      </w:r>
    </w:p>
    <w:p>
      <w:pPr>
        <w:pStyle w:val="BookText"/>
        <w:rPr/>
      </w:pPr>
      <w:r>
        <w:rPr>
          <w:rFonts w:ascii="IRNazanin" w:hAnsi="IRNazanin" w:eastAsia="IRNazanin"/>
          <w:color w:val="111111"/>
          <w:sz w:val="28"/>
          <w:sz w:val="28"/>
          <w:szCs w:val="28"/>
          <w:rtl w:val="true"/>
          <w:lang w:bidi="fa-IR"/>
        </w:rPr>
        <w:t>ابتلاء بالهلکة و العقوبة الاخرویّة؛ و اقتحاما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ممنوع و غیر لازم بعد عموم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کلام القوم صدرا و ذیلا من المناقشات فی الأخذ بتلک الطائفة ثبوتا أو إثباتا، غیر وجیهة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تکون الهلکة الدنیویّة، فیلزم أن یکون فی نفس جعل الوقوف، هلکة اخرویّة؛ لأنّ ترک الوقوف المستتبع للهلکة الدنیویّة، یوجب استحقاق العبد للعقوبة الاخرویّة، و هذه الأخبار ناظرة إلی العقوبة الاخرویّة مع قطع النظر عن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الهلکة أعمّ، و لا وجه لاختصاصها بالدنیویّة، لو لم تکن مختصّة بالاخرویّة التی تجی‌ء من قبل الأوامر و النواهی الاخر غیر هذا الأمر، فحمل هذا الأمر علی النفسیّ، غیر تمام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الظاهر منها أنّه لیس نفسیّا أصلا و لو أمکن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طریقیّا؛ و لتنجیز الواقع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الشکّ و الشبهة، لیس الاقتحام فی الهلکة قطعیّا و ثابتا؛ لاحتمال کون مشتبه الحرمة حلالا، و هکذا مشتبه الوجوب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بکونه واجبا نفسیّا و طریقیّا بالنسبة إلی الواقعیّات، و عندئذ یکون الاقتحام قطعیّا، و توهّم امتناع الجمع بینهما، ممنوع کما سیحرّر إن شاء اللّه فی مسألة إیجاب التعلّم، غیر بعیدة ذاتا، و لکنّها غیر صحیحة حسب الظاهر؛ فإنّ الأخباریّ أیضا یصدّقنا فی أنّها لیست أوامر نفسیّة؛ حتّی یلزم تعدّد العقاب فی صورة ارتکاب الشبهة، و وحدته فی صورة ارتکاب الحرام المعلوم، کما</w:t>
      </w:r>
      <w:bookmarkStart w:id="318" w:name="pg13173_324824"/>
    </w:p>
    <w:p>
      <w:pPr>
        <w:pStyle w:val="BookText"/>
        <w:rPr/>
      </w:pPr>
      <w:bookmarkEnd w:id="318"/>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أوامر نفسیّة فقط، فلا یعاقب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ذلک، یتعیّن کون النظر فی الأوامر المتعلّقة بالتوقّف إلی التوقّف عن التقوّل و الإفتاء، و قد مرّت شواهد کثیرة من الآثار علیه؛ و أنّه المناسب لشیوع إفتاء العامّة علی طبق القیاس و الاستحسان، ناظرین إلی أنّه هو الواقع، و هو الحکم الإلهیّ الواقعیّ، فکانوا یظنّون أنّ القیاس و الاستحسان کسائر الطرق العقلائیّة، و قد منع فی أحادیثنا عنه </w:t>
      </w:r>
      <w:r>
        <w:rPr>
          <w:rStyle w:val="FootnoteAnchor"/>
          <w:rtl w:val="true"/>
        </w:rPr>
        <w:footnoteReference w:id="414"/>
      </w:r>
      <w:r>
        <w:rPr>
          <w:rFonts w:ascii="IRNazanin" w:hAnsi="IRNazanin" w:eastAsia="IRNazanin"/>
          <w:color w:val="111111"/>
          <w:sz w:val="28"/>
          <w:sz w:val="28"/>
          <w:szCs w:val="28"/>
          <w:rtl w:val="true"/>
          <w:lang w:bidi="fa-IR"/>
        </w:rPr>
        <w:t>إلی حدّ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الأخبار المانعة تبلغ حدود خمسمائة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المنصف فیما أوضحناه، یطمئنّ بصدق ما أبدعناه فی المسألة، من غیر حاجة إلی تلک الوجوه البعیدة أوّلا، أو غیر الواضحة عند الخصم ثانیا، مع عدم إمکان حلّ معضلة التعلیل فی هذه الأخبار إلّا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الأمر بالتوقّف عن الإفتاء، لا ینافی جواز الإفتاء فی محلّه علی طبق الاصول العملیّة؛ و ذلک لأنّ هذه الطائفة تمنع عن إبراز الحکم الواقعیّ، و قد کان أبناء العامّة 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الاستحسان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تنحلّ مشکلة المسألة فی بحوث الاجتهاد و التقلید، فافهم و تدبّر جیّدا</w:t>
      </w:r>
      <w:r>
        <w:rPr>
          <w:rFonts w:eastAsia="IRNazanin" w:cs="IRNazanin"/>
          <w:color w:val="111111"/>
          <w:sz w:val="28"/>
          <w:szCs w:val="28"/>
          <w:rtl w:val="true"/>
          <w:lang w:bidi="fa-IR"/>
        </w:rPr>
        <w:t>.</w:t>
      </w:r>
    </w:p>
    <w:p>
      <w:pPr>
        <w:pStyle w:val="Heading5"/>
        <w:numPr>
          <w:ilvl w:val="4"/>
          <w:numId w:val="1"/>
        </w:numPr>
        <w:rPr/>
      </w:pPr>
      <w:bookmarkStart w:id="319" w:name="__RefHeading___Toc734891_3244359995"/>
      <w:bookmarkStart w:id="320" w:name="_Toc120"/>
      <w:bookmarkEnd w:id="319"/>
      <w:r>
        <w:rPr>
          <w:rtl w:val="true"/>
        </w:rPr>
        <w:t>الطائفة الثالثة</w:t>
      </w:r>
      <w:r>
        <w:rPr>
          <w:rtl w:val="true"/>
        </w:rPr>
        <w:t xml:space="preserve">: </w:t>
      </w:r>
      <w:r>
        <w:rPr>
          <w:rtl w:val="true"/>
        </w:rPr>
        <w:t>الأخبار الآمرة بالاحتیاط و المتضمّنة له</w:t>
      </w:r>
      <w:bookmarkEnd w:id="320"/>
    </w:p>
    <w:p>
      <w:pPr>
        <w:pStyle w:val="Heading6"/>
        <w:numPr>
          <w:ilvl w:val="5"/>
          <w:numId w:val="1"/>
        </w:numPr>
        <w:rPr/>
      </w:pPr>
      <w:bookmarkStart w:id="321" w:name="__RefHeading___Toc734893_3244359995"/>
      <w:bookmarkStart w:id="322" w:name="_Toc121"/>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و هی مع کثرتها غیر نقیّة الإسناد إلّا بعضها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w:t>
      </w:r>
    </w:p>
    <w:p>
      <w:pPr>
        <w:pStyle w:val="BookText"/>
        <w:rPr/>
      </w:pPr>
      <w:r>
        <w:rPr>
          <w:rFonts w:ascii="IRNazanin" w:hAnsi="IRNazanin" w:eastAsia="IRNazanin"/>
          <w:color w:val="111111"/>
          <w:sz w:val="28"/>
          <w:sz w:val="28"/>
          <w:szCs w:val="28"/>
          <w:rtl w:val="true"/>
          <w:lang w:bidi="fa-IR"/>
        </w:rPr>
        <w:t>رجلین أصابا صیدا و هما محرمان، الجزاء بینهما، أو علی کلّ واحد منهما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علیهما أن یجزی کلّ واحد منهما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اصبتم بمثل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نسخة الشیخ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علیهما جمیعا، و یجزی کلّ واحد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لا یضرّ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کلّ واحد من أخبار المسألة، یختصّ ببعض البحوث، و مجموعها ببعضها، فلنشر إلی الاستدلال فی ذیل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یناقش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المحتملات کثیرة،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نظرا إلی أنّ المشار إلیه، یحتمل أن یکون الابتلاء العملیّ، کما یحتمل أن یکون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عدم الدرایة فی خصوص المسألة و ما یشابهها فی الشبهة الوجوبیّة قبل الفحص، أو فیما کان جزاؤه کذا، أو الأعمّ ممّا قبل الفحص و 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سبیل إلی التحریمیّة بعد الفحص و إلی أنّ الاحتیاط لازم عملا، أو إفتاء؛ أو لازم أن یفتی بالاحتیاط</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المفروض إصابة الرجلین صیدا، و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إذا اصبتم بمثل هذا فلم تدروا ما علیکم، فی قبال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إذا أصبتم صیدا فلم تدروا ما علیکم عملا،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النتیجة بعد ذلک هو الاحتیاط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الاحتیاط فی الإفتاء، فقد صنعه عبد الرحمن العالم الفقیه لمّا لم یفت بشی‌ء، و احتمال لزوم الإفتاء بالاحتیاط بعید، کما صرّحوا 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اشباه المسألة إذا ورد سؤال عن إصابة سبع،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اصبتم بمثل هذا فلم تدروا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یفهم منه إلّا المماثلة فی القوّة القاهرة المعجّزة، و تکون الخصوصیّة للقید تلغی سائر الخصوصیّات بالضرورة، فعلی هذا یکون المسؤول عنه صورة الجهالة الأعمّ، فکما إذا ورد فی المثال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إلّا صورة العجز، کذلک الأمر هنا، فلا تکن من الغافلین، و تلغی خصوصیّة السبعیّة و الحیوانیّة، و یکون الموضوع نفس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کتب الأصحاب لم یذکروا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فوقعوا فی المناقشة، و هذا أیضا من المواضع التی یقع فی نظائرها الاصولیّون کثیرا، و لا سیّما و أنّ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إشعارا قویّا بما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أیضا اشتباه ظاهرا،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تقدیر لا بأس بالاستدلال المذکور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تسألوا فتعلموا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الإفتاء، إلّا أنّ المنظور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التعلّم لأجل العمل نوعا، أقوی منه، فلاحظ</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بیانا لوجه الشبه و المماثلة؛ أی إذا اصبتم بمثل هذا فی عدم العلم و الدرایة، فیکون ما هو السبب للاحتیاط نفس وجه الشبه، و الوجه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هنا لازم؛ لمکان سبق العلم، لأنّ الأمر دائر بین الأقلّ و الأکثر الاستقلالیّین؛ إن کان الواجب قیمة الجزاء، و الارتباطیّین إن کان الواجب نفس البدنة</w:t>
      </w:r>
      <w:r>
        <w:rPr>
          <w:rStyle w:val="FootnoteAnchor"/>
          <w:rtl w:val="true"/>
        </w:rPr>
        <w:footnoteReference w:id="420"/>
      </w:r>
      <w:r>
        <w:rPr>
          <w:rFonts w:ascii="IRNazanin" w:hAnsi="IRNazanin" w:eastAsia="IRNazanin"/>
          <w:color w:val="111111"/>
          <w:sz w:val="28"/>
          <w:sz w:val="28"/>
          <w:szCs w:val="28"/>
          <w:rtl w:val="true"/>
          <w:lang w:bidi="fa-IR"/>
        </w:rPr>
        <w:t>، و هذا غیر جیّد؛ ضرورة احتمال عدم وجوب شی‌ء رأسا، لعدم الاستقلال فی الاصطیاد، و ربّما کان الاستقلال دخیلا فی وجوب الکفّارة، و إلّا فلا شی‌ء علی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المفروض فی السؤال أحد الأمرین، لا یکفی لکون الحکم الواقعیّ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اعتبر لزوم الاحتیاط علیهم؛ لما فی سؤاله من الغفلة عن احتمال عدم وجوب شی‌ء رأسا،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بإسناده عن الحسن بن محمّد بن سماعة، عن سلیمان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 یقبل اللیل، ثمّ یزید اللیل ارتفاعا، و تستتر عنّا الشمس، و ترتفع فوق الجبل حمرة، و یؤذّن عندنا المؤذّنون، أفاصلّی حینئذ و أفطر إن کنت صائما، أو أنتظر حتّی تذهب الحمرة التی فوق الجبل؟</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الحدیث من أجل ابن داود؛ لکونه أوّلا غیر معلوم کونه المنقریّ الذی ورد فی حقّه التوثیق عن النجّاشی </w:t>
      </w:r>
      <w:r>
        <w:rPr>
          <w:rStyle w:val="FootnoteAnchor"/>
          <w:rtl w:val="true"/>
        </w:rPr>
        <w:footnoteReference w:id="4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مع اختلاف فی نسخ</w:t>
      </w:r>
    </w:p>
    <w:p>
      <w:pPr>
        <w:pStyle w:val="BookText"/>
        <w:rPr/>
      </w:pPr>
      <w:r>
        <w:rPr>
          <w:rFonts w:ascii="IRNazanin" w:hAnsi="IRNazanin" w:eastAsia="IRNazanin"/>
          <w:color w:val="111111"/>
          <w:sz w:val="28"/>
          <w:sz w:val="28"/>
          <w:szCs w:val="28"/>
          <w:rtl w:val="true"/>
          <w:lang w:bidi="fa-IR"/>
        </w:rPr>
        <w:t xml:space="preserve">عبارات القوم </w:t>
      </w:r>
      <w:r>
        <w:rPr>
          <w:rStyle w:val="FootnoteAnchor"/>
          <w:rtl w:val="true"/>
        </w:rPr>
        <w:footnoteReference w:id="424"/>
      </w:r>
      <w:r>
        <w:rPr>
          <w:rFonts w:ascii="IRNazanin" w:hAnsi="IRNazanin" w:eastAsia="IRNazanin"/>
          <w:color w:val="111111"/>
          <w:sz w:val="28"/>
          <w:sz w:val="28"/>
          <w:szCs w:val="28"/>
          <w:rtl w:val="true"/>
          <w:lang w:bidi="fa-IR"/>
        </w:rPr>
        <w:t xml:space="preserve">لاحتمال کونه غیره، لأنّ هناک ابن داود آخر غیر المروزیّ، و الخفّاف، کابن الجارود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إلّا أنّ مقتضی قول السمعانیّ أنّ المنقریّ توفّی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25"/>
      </w:r>
      <w:r>
        <w:rPr>
          <w:rFonts w:ascii="IRNazanin" w:hAnsi="IRNazanin" w:eastAsia="IRNazanin"/>
          <w:color w:val="111111"/>
          <w:sz w:val="28"/>
          <w:sz w:val="28"/>
          <w:szCs w:val="28"/>
          <w:rtl w:val="true"/>
          <w:lang w:bidi="fa-IR"/>
        </w:rPr>
        <w:t>فینبغی کونه من أصحاب الرضا و الهادی علیهما السّلام فیشکل جدّا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مجرّد توثیق النجّاشی، إشکال محرّر فی محلّه، فلا بدّ من القرائن الاخر المتقنة الراجعة إلی تأریخ الرجل راویا، و مرویّا عنه، و روایة کثرة، و کتبا،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متن الحدیث غرابة؛ لظهور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تستتر عنّا الشمس، و ترتفع فوق الجبل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عنّا القرص، و یقبل اللیل، و یزید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أنّ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المشرقیّة؛ لأنّ هذه العبارات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اللیل داخل، و الحمرة المشرقیّة زائلة، و لا یناسب ذلک أذان المؤذّنین، فإنّهم یأذّنون قبل ذلک لمجرّد تواری القرص، من غیر انتظار ارتفاع الحمرة إلی فوق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تذهب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أنّ تلک الحمرة هی المشرقیّة، ففی نفس الروایة مناقضة بحسب الظاهر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کلام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صادرة تقیّة</w:t>
      </w:r>
      <w:r>
        <w:rPr>
          <w:rStyle w:val="FootnoteAnchor"/>
          <w:rtl w:val="true"/>
        </w:rPr>
        <w:footnoteReference w:id="426"/>
      </w:r>
      <w:r>
        <w:rPr>
          <w:rFonts w:ascii="IRNazanin" w:hAnsi="IRNazanin" w:eastAsia="IRNazanin"/>
          <w:color w:val="111111"/>
          <w:sz w:val="28"/>
          <w:sz w:val="28"/>
          <w:szCs w:val="28"/>
          <w:rtl w:val="true"/>
          <w:lang w:bidi="fa-IR"/>
        </w:rPr>
        <w:t>، فغیر صحیح؛ لذهاب العامّة إلی کفایة تواری القرص،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فتواهم، و یورث أنّ عملهم غیر صحیح، فیعلم منه أنّ هذه مع کونها مکاتبة، علی خلاف التقیّة، و لا یناسب التقیّة حتّی الأمر بالاحتیاط؛ للزوم کون عملهم علی</w:t>
      </w:r>
    </w:p>
    <w:p>
      <w:pPr>
        <w:pStyle w:val="BookText"/>
        <w:rPr/>
      </w:pPr>
      <w:r>
        <w:rPr>
          <w:rFonts w:ascii="IRNazanin" w:hAnsi="IRNazanin" w:eastAsia="IRNazanin"/>
          <w:color w:val="111111"/>
          <w:sz w:val="28"/>
          <w:sz w:val="28"/>
          <w:szCs w:val="28"/>
          <w:rtl w:val="true"/>
          <w:lang w:bidi="fa-IR"/>
        </w:rPr>
        <w:t>خلافه، و هذا ممّا لا یجوز فی تلک الأعصار، فیعلم أنّ حملها علی التقیّة، غیر صحیح قطعا و إن احتمله جلّ المتأخّرین، و هذا من عجیب الأمر؛ لتوغّلهم فی إبطال أدلّة الاحتیاطیّین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یورث الإشکال فی متن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عدم کونه تقیّة قطعا، لا معنی للأمر بالاحتیاط، بل علیه بیان الحکم الواقعیّ بعد ظهور السؤال عن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ترتفع فوق الجبل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أنّ الشبهة موضوعیّة، و إلّا فکان أن یسأل عن ارتفاع الحمرة المعهودة، و یعلم من الروایة صدرا و ذیلا، اطلاع السائل علی أصل المسألة؛ و اختلاف العامّة و الخاصّة، فإذا کانت الشبهة موضوعیّة، فاللازم هو الانتظار حسب القواعد، فأمر علیه السّلام به، و زاد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هو ظاهرا فی الوجوب، فیفید القانون الکلّی بأنّ الأخذ بالحائطة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ما نحن فیه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ففی الشبهات التحریمیّة بعد الفحص یلزم،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المناقشة سندا، و اضطراب المتن علی الوجه المشار إلیه، کانت مناقشات القوم مندفعة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یناقش فیه بظهور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الاستحباب النفسیّ، و یکون هو الجواب عن شبهته واقعا، و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عطفا علی ما سبق فی رجحان الاحتیاط</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لو کانت شبهة السائل حکمیّة، یکون الإمام علیه السّلام قد أجابه فی الجملة الاولی عن خصوص المسألة، و لکونها من مصادیق 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رجحان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 ثانیا إلی تلک القاعدة،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الأخبار الواردة فی الاحتیاط،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علیّ بن عثمان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أن تنظر الحزم، و تأخذ بالحائطة لدینک</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 غیر خفیّ ظهوره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عن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بناکب عن الصراط من سلک سبیل الاحتیاط</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قال لکمیل بن زیاد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أخوک دینک، فاحتط لدینک بما شئت</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عنوان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بالاحتیاط فی جمیع امورک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فی هذه الطائفة هو الخبر المعتبر الأوّل، و قد مرّ اندفاع شبهاته خصوصا؛ بنفی بعض ما یتوجّه إلی أخبار الاحتیاط عموما، و قد مرّت الإشارة إلی المناقشات فیها؛ عند التعرّض للطائفة الثانیة مع حلّها بما لا مزید علیها، فإنّ توهّم لزوم التخصیص ممنوع، فضلا عن الکثیر، و لا یکون الکثیر مستهجنا، و لا یلزم الاستهجان من ناحیة إباء لسانه عن التخصیص فیما نحن فیه رأسا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خروج المورد فی معتبر عبد الرحمن، غیر تامّ؛ لأنّ إطلاقه یشمل الشبهات البدویّة قبل الفحص و بعده، و ما هو الخارج هی الوجوبیّة بعد الفحص، لا قبله، فیلزم الاحتیاط فی التحریمیّة علی الإطلاق، مع أنّ التزام الأخباریّین لا یفید</w:t>
      </w:r>
      <w:bookmarkStart w:id="323" w:name="pg13173_324831"/>
    </w:p>
    <w:p>
      <w:pPr>
        <w:pStyle w:val="BookText"/>
        <w:rPr/>
      </w:pPr>
      <w:bookmarkEnd w:id="323"/>
      <w:r>
        <w:rPr>
          <w:rFonts w:ascii="IRNazanin" w:hAnsi="IRNazanin" w:eastAsia="IRNazanin"/>
          <w:color w:val="111111"/>
          <w:sz w:val="28"/>
          <w:sz w:val="28"/>
          <w:szCs w:val="28"/>
          <w:rtl w:val="true"/>
          <w:lang w:bidi="fa-IR"/>
        </w:rPr>
        <w:t>شیئا؛ لذهاب بعضهم إلی الاحتیاط فی الوجوبیّة أیضا، فلا یلزم الخروج، فلا بدّ من حلّ المشکلة علی وجه یقنع الاصولیّ و الأخباریّ کما لا یخفی، فلا تخلط</w:t>
      </w:r>
      <w:r>
        <w:rPr>
          <w:rFonts w:eastAsia="IRNazanin" w:cs="IRNazanin"/>
          <w:color w:val="111111"/>
          <w:sz w:val="28"/>
          <w:szCs w:val="28"/>
          <w:rtl w:val="true"/>
          <w:lang w:bidi="fa-IR"/>
        </w:rPr>
        <w:t>.</w:t>
      </w:r>
    </w:p>
    <w:p>
      <w:pPr>
        <w:pStyle w:val="Heading6"/>
        <w:numPr>
          <w:ilvl w:val="5"/>
          <w:numId w:val="1"/>
        </w:numPr>
        <w:rPr/>
      </w:pPr>
      <w:bookmarkStart w:id="324" w:name="__RefHeading___Toc734895_3244359995"/>
      <w:bookmarkStart w:id="325" w:name="_Toc122"/>
      <w:bookmarkEnd w:id="324"/>
      <w:r>
        <w:rPr>
          <w:rtl w:val="true"/>
        </w:rPr>
        <w:t>حول استلزام أدلّة الاحتیاط للدور</w:t>
      </w:r>
      <w:bookmarkEnd w:id="325"/>
    </w:p>
    <w:p>
      <w:pPr>
        <w:pStyle w:val="BookText"/>
        <w:rPr/>
      </w:pPr>
      <w:r>
        <w:rPr>
          <w:rFonts w:ascii="IRNazanin" w:hAnsi="IRNazanin" w:eastAsia="IRNazanin"/>
          <w:color w:val="111111"/>
          <w:sz w:val="28"/>
          <w:sz w:val="28"/>
          <w:szCs w:val="28"/>
          <w:rtl w:val="true"/>
          <w:lang w:bidi="fa-IR"/>
        </w:rPr>
        <w:t>بقی الدور فی المسألة، و قد اشیر إلیه سابقا</w:t>
      </w:r>
      <w:r>
        <w:rPr>
          <w:rStyle w:val="FootnoteAnchor"/>
          <w:rtl w:val="true"/>
        </w:rPr>
        <w:footnoteReference w:id="432"/>
      </w:r>
      <w:r>
        <w:rPr>
          <w:rFonts w:ascii="IRNazanin" w:hAnsi="IRNazanin" w:eastAsia="IRNazanin"/>
          <w:color w:val="111111"/>
          <w:sz w:val="28"/>
          <w:sz w:val="28"/>
          <w:szCs w:val="28"/>
          <w:rtl w:val="true"/>
          <w:lang w:bidi="fa-IR"/>
        </w:rPr>
        <w:t>، إلّا أنّ لتوضیح المرام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حجّیة سائر الطرق و الأوامر الطریقیّة، معناها أنّه إذا قام الخبر الواحد علی وجوب صلاة الجمعة، تکون حجّة المولی تامّة عند الإصابة؛ بمقتضی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یکون مفاد أدلّة الاحتیاط وجوب الاحتیاط، فإن کان الالتزام بالوجوب النفسیّ ممکنا، کان إیجابه فیما نحن فیه ممّا لا بأس به، و لکنّک تعلم أنّها أوامر ظاهرة فی الطریقیّة، فکیف یعقل تنجیز الواقع بنفس تلک الأوامر، مع أنّها ناظرة إلی نفس الاحتیاط، لا إلی الشی‌ء الآخر القائم الخبر الحجّة علیه، کما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تنجّز للواقع فی مورد قیام خبر الواحد علیه؛ إلّا لأجل قیام حجّیة الخبر الواحد، و فیما نحن فیه نرید إثبات تنجّز الواقع بنفس تلک الأخبار، فلا بدّ أوّلا من تنجّزه حتّی یتنجّز به، و هو دور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التقریب أحسن ممّا فی کلام العلّامة الأراکیّ قدّس سرّه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 خبر الواحد إلینا القائم علی وجوب صلاة الجمعة، یتنجّز الواقع به؛ لأجل الأوامر الطریقیّة، و فی مورد الاحتیاط لم یصل الخبر بالنسبة إلی الواقع، و لا یکفی مجرّد الواقع، و لا الخبر غیر الواصل تنجّزه بالضرورة، فکیف یمکن تنجیز الواقع بنفس تلک الأوامر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لا یعتبر تقدّم التنجّز بمنجّز خاصّ علی إیجاب الاحتیاط طریقیّا؛ ضرورة أنّه لا یکون مجرّد وجود الخبر الواصل کافیا لتنجّزه، بل یتنجّز ذلک بإیجاب العمل بخبر الواحد، فعلی هذا کما یکون فی المثال الحکم الواقعیّ و المرام للمولی، منجّزا عند الإصابة، یکون مقتضی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مرام المولی فی مورد الشبهة، منجّز یستحقّ العقوبة علیه، و هذا یشبه أن ینادی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موارد الشبهة یلزم الاحتیاط؛ لأنّه لو صادفت الواقع اعاقب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نحتاج إلی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الشبهة</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جوابه الخلل؛ فإنّ الخطابات الواقعة فی کلمات الرسول و الأئمّة علیهم السّلام فی مواقف الأحکام الشرعیّة، جزئیّات من الکلّیات الإلهیّة، کخطابات تقع فی أجوبة النوابّ العامّین عن المسائل الشرعیّة الجزئیّة،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أخبار الاحتیاط وجوبه علی الإطلاق، و مقتضی استصحاب عدم وجوب المشتبه، و 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اختصاصه بما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الشبهة و الشکّ تعبّدا، فلا تلزم اللغویّة فی تلک الأخبار؛ لوجوب الاحتیاط قبل الفحص، و لا یلزم وجوب الاحتیاط بعد الفحص؛ لحکومة الاستصحاب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جریان استصحاب عدم الجعل ممنوع عندنا، و تحقیقه فی الاستصحاب، و هو عندنا من الواضحات الغنیّة عن البیان، و یحتاج إلی لفت النظر إلی نکتة مخفیّة علی أصحابنا، فسیمرّ علیک إن شاء اللّه تعالی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مجری الاستصحاب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استصحاب عدم الشبهة، حکومته علی أخبار الاحتیاط؛ لأنّ مصبّها الشکّ و الشبهة، و أمّا فیما نحن فیه فلا حکومة له علیها؛ لأنّ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w:t>
      </w:r>
      <w:bookmarkStart w:id="326" w:name="pg13173_324833"/>
    </w:p>
    <w:p>
      <w:pPr>
        <w:pStyle w:val="BookText"/>
        <w:rPr/>
      </w:pPr>
      <w:bookmarkEnd w:id="326"/>
      <w:r>
        <w:rPr>
          <w:rFonts w:ascii="IRNazanin" w:hAnsi="IRNazanin" w:eastAsia="IRNazanin"/>
          <w:color w:val="111111"/>
          <w:sz w:val="28"/>
          <w:sz w:val="28"/>
          <w:szCs w:val="28"/>
          <w:rtl w:val="true"/>
          <w:lang w:bidi="fa-IR"/>
        </w:rPr>
        <w:t>الواقع؛ لأنّه لا یفید إلّا عدم الجعل، و لازمه عدم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قضیّة أخبار الاحتیاط هو التنجّز، و لا شبهة فی تقدّم معناها؛ لأنّ الأمر یؤول فی الحقیقة إلی الاستصحاب فی مورد الشکّ و التحیّر بالنسبة إلی الواقع، و أنّ العقوبة تکون فی موارد الشبهة أم لا، و قضیّة أخبار الاحتیاط وجود العقوبة؛ حسب کونها حجّة خاصّة علی الواقع،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هذه الطائفة لا تکال الأخباریّین علیها</w:t>
      </w:r>
      <w:r>
        <w:rPr>
          <w:rFonts w:eastAsia="IRNazanin" w:cs="IRNazanin"/>
          <w:color w:val="111111"/>
          <w:sz w:val="28"/>
          <w:szCs w:val="28"/>
          <w:rtl w:val="true"/>
          <w:lang w:bidi="fa-IR"/>
        </w:rPr>
        <w:t>.</w:t>
      </w:r>
    </w:p>
    <w:p>
      <w:pPr>
        <w:pStyle w:val="Heading6"/>
        <w:numPr>
          <w:ilvl w:val="5"/>
          <w:numId w:val="1"/>
        </w:numPr>
        <w:rPr/>
      </w:pPr>
      <w:bookmarkStart w:id="327" w:name="__RefHeading___Toc734897_3244359995"/>
      <w:bookmarkStart w:id="328" w:name="_Toc123"/>
      <w:bookmarkEnd w:id="327"/>
      <w:r>
        <w:rPr>
          <w:rtl w:val="true"/>
        </w:rPr>
        <w:t>حکم التعارض بین أخبار البراءة و الاحتیاط</w:t>
      </w:r>
      <w:bookmarkEnd w:id="328"/>
    </w:p>
    <w:p>
      <w:pPr>
        <w:pStyle w:val="BookText"/>
        <w:rPr/>
      </w:pPr>
      <w:r>
        <w:rPr>
          <w:rFonts w:ascii="IRNazanin" w:hAnsi="IRNazanin" w:eastAsia="IRNazanin"/>
          <w:color w:val="111111"/>
          <w:sz w:val="28"/>
          <w:sz w:val="28"/>
          <w:szCs w:val="28"/>
          <w:rtl w:val="true"/>
          <w:lang w:bidi="fa-IR"/>
        </w:rPr>
        <w:t>نعم، 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النوبة تصل إلی المعارضة و الجمع، و لا شبهة فی أنّ من أخبار البراءة و الحلّ ما یختصّ بالشبهات التحریمیّة؛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الحرام بعینه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مثلا، أو غیر ذلک، و علی هذا یلزم عکس مطلوب الأخباریّین؛ لأخصیّة هذه الطائفة من أخبار الاحتیاط، فیلزم التخصیص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تمامیّة هذه الطائفة فی محلّها دلالة؛ لاختصاصها بالموضوعیّة، و سندا کما مرّ بتفصیل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تقع المعارضة و المکاذبة، و تصیر النسبة بینهما التباین، و تصل النوبة إلی التمییز أو الترجیح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البراءة إمّا مخصّصة بالعقل أو الإجماع، أو غیر شاملة</w:t>
      </w:r>
    </w:p>
    <w:p>
      <w:pPr>
        <w:pStyle w:val="BookText"/>
        <w:rPr/>
      </w:pPr>
      <w:r>
        <w:rPr>
          <w:rFonts w:ascii="IRNazanin" w:hAnsi="IRNazanin" w:eastAsia="IRNazanin"/>
          <w:color w:val="111111"/>
          <w:sz w:val="28"/>
          <w:sz w:val="28"/>
          <w:szCs w:val="28"/>
          <w:rtl w:val="true"/>
          <w:lang w:bidi="fa-IR"/>
        </w:rPr>
        <w:t>للشبهات قبل الفحص، و المقرونة بالعلم الإجمالیّ، و یکفی الاولی و إن کانت شاملة للثانیة، و علی هذا تنقلب النسبة من التباین إلی العموم و الخصوص المطلقین، فتصیر أخبار البراءة أخصّ، و تختصّ أخبار الاحتیاط بصورة قبل الفحص من الشبهات الوجوبیّة و التحریمیّة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وجیه؛ لما لم یثبت عندنا بناء من العقلاء علی تقدیم ملاحظة نسبة الدلیلین علی الدلیلین الآخرین، إلّا إذا کان الجمع لازما عندهم بقول مطلق، و الجمع مهما أمکن لیس أولی من الطرح کما تحرّر، و التفصیل فی محلّه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ربّما یظهر من العلّامة الخراسانیّ قدّس سرّه من صراحة أخبار البراءة فی مفادها، و ظهور أخبار الاحتیاط، فتکون الاولی صالحة للقرینیّة علی الثانیة</w:t>
      </w:r>
      <w:r>
        <w:rPr>
          <w:rStyle w:val="FootnoteAnchor"/>
          <w:rtl w:val="true"/>
        </w:rPr>
        <w:footnoteReference w:id="441"/>
      </w:r>
      <w:r>
        <w:rPr>
          <w:rFonts w:ascii="IRNazanin" w:hAnsi="IRNazanin" w:eastAsia="IRNazanin"/>
          <w:color w:val="111111"/>
          <w:sz w:val="28"/>
          <w:sz w:val="28"/>
          <w:szCs w:val="28"/>
          <w:rtl w:val="true"/>
          <w:lang w:bidi="fa-IR"/>
        </w:rPr>
        <w:t>، غیر معلوم؛ لأنّ دلیل البراءة لیس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بمثله؛ ضرورة أنّه غیر نقیّ سندا، کما عرفت </w:t>
      </w:r>
      <w:r>
        <w:rPr>
          <w:rStyle w:val="FootnoteAnchor"/>
          <w:rtl w:val="true"/>
        </w:rPr>
        <w:footnoteReference w:id="442"/>
      </w:r>
      <w:r>
        <w:rPr>
          <w:rFonts w:ascii="IRNazanin" w:hAnsi="IRNazanin" w:eastAsia="IRNazanin"/>
          <w:color w:val="111111"/>
          <w:sz w:val="28"/>
          <w:sz w:val="28"/>
          <w:szCs w:val="28"/>
          <w:rtl w:val="true"/>
          <w:lang w:bidi="fa-IR"/>
        </w:rPr>
        <w:t>، و اشیر إلیه آنفا و ما هو النقیّ سندا و دلالة لیس نصّا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الطائفة المشار إلیها أیضا کذلک؛ لأنّ العموم ظاهر من أداة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نصّا فیه، فلا تخلط</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لی؛ أنّ قضیّة الصناعة تقدّم أخبار الاحتیاط علی البراءة؛ لما عرفت فی مطاوی روایات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المرفوع و لو کان حکما واقعیّا فی موارد الشبهة، یکون ذلک عند عدم وجود الحجّة علی الواقع، و أخبار الاحتیاط حجّة و منجّز للواقع؛ لما عرفت 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bookmarkStart w:id="329" w:name="pg13173_324835"/>
    </w:p>
    <w:p>
      <w:pPr>
        <w:pStyle w:val="BookText"/>
        <w:rPr/>
      </w:pPr>
      <w:bookmarkEnd w:id="329"/>
      <w:r>
        <w:rPr>
          <w:rFonts w:ascii="IRNazanin" w:hAnsi="IRNazanin" w:eastAsia="IRNazanin"/>
          <w:color w:val="111111"/>
          <w:sz w:val="28"/>
          <w:sz w:val="28"/>
          <w:szCs w:val="28"/>
          <w:rtl w:val="true"/>
          <w:lang w:bidi="fa-IR"/>
        </w:rPr>
        <w:t>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w:t>
      </w:r>
      <w:r>
        <w:rPr>
          <w:rStyle w:val="FootnoteAnchor"/>
          <w:rtl w:val="true"/>
        </w:rPr>
        <w:footnoteReference w:id="443"/>
      </w:r>
      <w:r>
        <w:rPr>
          <w:rFonts w:ascii="IRNazanin" w:hAnsi="IRNazanin" w:eastAsia="IRNazanin"/>
          <w:color w:val="111111"/>
          <w:sz w:val="28"/>
          <w:sz w:val="28"/>
          <w:szCs w:val="28"/>
          <w:rtl w:val="true"/>
          <w:lang w:bidi="fa-IR"/>
        </w:rPr>
        <w:t>، و یلزم بناء علی هذا اختصاص أخبار البراءة بالشبهات الموضوعیّة، و تکون أخبار الاحتیاط، حاکمة علی أخبار البراءة فی مطلق الشبهات الحکمیّة؛ وجوبیّة، و 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الطائفة کلّهم غیر عاملین بها، یلزم الإعراض إجماعا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للتفکیک بالعمل بها فی الشبهات التحریمیّة، دون الوجوبیّة؛ لعدم وجه صحیح له کما تری، فلا تصلح هذه الطائفة من هذه الجهة لمقاومة تلک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یصدّقه الأخباریّ و الاصولیّ فی موارد إجماع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 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الاعتناء بالخبر المعارض؛ لأنّ فی الأخبار العلاجیّة، ورد الأمر بطرح تلک الأخبار الشاذّة النادرة،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 علیه لا ریب فیه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فلاحظ و اغتنم</w:t>
      </w:r>
      <w:r>
        <w:rPr>
          <w:rFonts w:eastAsia="IRNazanin" w:cs="IRNazanin"/>
          <w:color w:val="111111"/>
          <w:sz w:val="28"/>
          <w:szCs w:val="28"/>
          <w:rtl w:val="true"/>
          <w:lang w:bidi="fa-IR"/>
        </w:rPr>
        <w:t>.</w:t>
      </w:r>
    </w:p>
    <w:p>
      <w:pPr>
        <w:pStyle w:val="Heading6"/>
        <w:numPr>
          <w:ilvl w:val="5"/>
          <w:numId w:val="1"/>
        </w:numPr>
        <w:rPr/>
      </w:pPr>
      <w:bookmarkStart w:id="330" w:name="__RefHeading___Toc734899_3244359995"/>
      <w:bookmarkStart w:id="331" w:name="_Toc124"/>
      <w:bookmarkEnd w:id="330"/>
      <w:r>
        <w:rPr>
          <w:rtl w:val="true"/>
        </w:rPr>
        <w:t>تذنیب</w:t>
      </w:r>
      <w:r>
        <w:rPr>
          <w:rtl w:val="true"/>
        </w:rPr>
        <w:t xml:space="preserve">: </w:t>
      </w:r>
      <w:r>
        <w:rPr>
          <w:rtl w:val="true"/>
        </w:rPr>
        <w:t>حول النسبة بین أدلّة البراءة و الاحتیاط</w:t>
      </w:r>
      <w:bookmarkEnd w:id="331"/>
    </w:p>
    <w:p>
      <w:pPr>
        <w:pStyle w:val="BookText"/>
        <w:rPr/>
      </w:pPr>
      <w:r>
        <w:rPr>
          <w:rFonts w:ascii="IRNazanin" w:hAnsi="IRNazanin" w:eastAsia="IRNazanin"/>
          <w:color w:val="111111"/>
          <w:sz w:val="28"/>
          <w:sz w:val="28"/>
          <w:szCs w:val="28"/>
          <w:rtl w:val="true"/>
          <w:lang w:bidi="fa-IR"/>
        </w:rPr>
        <w:t>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أخبار الاحتیاط، مقیّد بالإجماع بالنسبة إلی الشبهات الوجوبیّة بعد الفحص و الموضوعیّة، فلو کان فی ناحیة أخبار البراءة إطلاق، فأخبار الاحتیاط مقیّدة لذلک الإطلاق، فتنقلب النسبة المباینة إلی الأعمّ و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إلیه ما مرّ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الوحید فی حلّ المشکلة ما أبدعناه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الصناعة تقدیم أخبار الاحتیاط فی مطلق الشبهات، و حیث إنّ أخبار الاحتیاط مورد الإعراض، و لا معنی لکون الإعراض مخصوصا بإطلاقه؛ لعدم وجود المقیّد الصحیح له، فتبقی</w:t>
      </w:r>
      <w:bookmarkStart w:id="332" w:name="pg13173_324836"/>
    </w:p>
    <w:p>
      <w:pPr>
        <w:pStyle w:val="BookText"/>
        <w:rPr/>
      </w:pPr>
      <w:bookmarkEnd w:id="332"/>
      <w:r>
        <w:rPr>
          <w:rFonts w:ascii="IRNazanin" w:hAnsi="IRNazanin" w:eastAsia="IRNazanin"/>
          <w:color w:val="111111"/>
          <w:sz w:val="28"/>
          <w:sz w:val="28"/>
          <w:szCs w:val="28"/>
          <w:rtl w:val="true"/>
          <w:lang w:bidi="fa-IR"/>
        </w:rPr>
        <w:t>روایات البراءة سلیمة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وصلت النوبة إلی المکاذبة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 الطائفتین مشهور بین الأصحاب، فکلّ واحد منهما مطابق للکتاب، إلّا أنّ أخبار البراءة موافقة للعامّة حسب الظاهر، فیؤخذ بأخبار الاحتیاط؛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بالمرجّحات الخارجیّة، فلا وضوح لترجیح إحدی الطائفتین علی الاخری</w:t>
      </w:r>
      <w:r>
        <w:rPr>
          <w:rFonts w:eastAsia="IRNazanin" w:cs="IRNazanin"/>
          <w:color w:val="111111"/>
          <w:sz w:val="28"/>
          <w:szCs w:val="28"/>
          <w:rtl w:val="true"/>
          <w:lang w:bidi="fa-IR"/>
        </w:rPr>
        <w:t>.</w:t>
      </w:r>
    </w:p>
    <w:p>
      <w:pPr>
        <w:pStyle w:val="Heading5"/>
        <w:numPr>
          <w:ilvl w:val="4"/>
          <w:numId w:val="1"/>
        </w:numPr>
        <w:rPr/>
      </w:pPr>
      <w:bookmarkStart w:id="333" w:name="__RefHeading___Toc734901_3244359995"/>
      <w:bookmarkStart w:id="334" w:name="_Toc125"/>
      <w:bookmarkEnd w:id="333"/>
      <w:r>
        <w:rPr>
          <w:rtl w:val="true"/>
        </w:rPr>
        <w:t>الطائفة الرابعة</w:t>
      </w:r>
      <w:r>
        <w:rPr>
          <w:rtl w:val="true"/>
        </w:rPr>
        <w:t xml:space="preserve">: </w:t>
      </w:r>
      <w:r>
        <w:rPr>
          <w:rtl w:val="true"/>
        </w:rPr>
        <w:t>المآثیر الآمرة بطرح المشتبه و ما فیه الریب</w:t>
      </w:r>
      <w:bookmarkEnd w:id="334"/>
    </w:p>
    <w:p>
      <w:pPr>
        <w:pStyle w:val="BookText"/>
        <w:rPr/>
      </w:pPr>
      <w:r>
        <w:rPr>
          <w:rFonts w:ascii="IRNazanin" w:hAnsi="IRNazanin" w:eastAsia="IRNazanin"/>
          <w:color w:val="111111"/>
          <w:sz w:val="28"/>
          <w:sz w:val="28"/>
          <w:szCs w:val="28"/>
          <w:rtl w:val="true"/>
          <w:lang w:bidi="fa-IR"/>
        </w:rPr>
        <w:t xml:space="preserve">ففی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الامور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فدعوا المشتبهات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 فإنّک لا تجد فقد شی‌ء ترکته للّه عزّوجلّ</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الشبهات فقد استبرأ لدینه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یقول و یقول إلی أن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اشتبه</w:t>
      </w:r>
    </w:p>
    <w:p>
      <w:pPr>
        <w:pStyle w:val="BookText"/>
        <w:rPr/>
      </w:pPr>
      <w:r>
        <w:rPr>
          <w:rFonts w:ascii="IRNazanin" w:hAnsi="IRNazanin" w:eastAsia="IRNazanin"/>
          <w:color w:val="111111"/>
          <w:sz w:val="28"/>
          <w:sz w:val="28"/>
          <w:szCs w:val="28"/>
          <w:rtl w:val="true"/>
          <w:lang w:bidi="fa-IR"/>
        </w:rPr>
        <w:t>علیک علمه فالفظه، و ما أیقنت بطیب وجهه فنل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احذروا الشبهة؛ فإنّها وضعت للفتنة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اقتصروا علی أمر اللّه و نهیه، و دعوا عنکم ما اشتبه علیکم ممّا لا علم لکم به، و ردّوا العلم إلی أهله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هذه الأخبار غیر نقیّة سندا، و فی کثیر منها رائحة الاستحباب، و لا سیّما و أنّ الخطبة مخصوصة بالولاة؛ لأنّهم فی موقف خاصّ، مع أنّ النظر ربّما کان فیها إلی الجهات السیاسیّة و العطایا التی ینفقها الراشون فی دعوة الامراء، لا وجه الحلّیة و الطهارة، و إلّا فلا ثالث حتّی یکون به أقلّ الجمع متحقّقا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ظاهرا بالافتاء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مقبولة عمر بن حنظلة لمکان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لزوم ترک کلّ شی‌ء فیه الریب و طرح الریب، و شرب التتن فیه الریب دون ترکه، فیؤخذ بالترک دون الفعل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أجنبیّة عمّا نحن بصدده؛ لاختصاصها بموارد معارضة الخبرین، فلا یتمّ التقریب المذکور</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یفید العموم، فلا یختصّ بمورد خاصّ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استفادة العموم المذکور ممنوعة؛ لأنّ ما فی الخبر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الأخذ بکلّ ما لا ریب فیه،</w:t>
      </w:r>
      <w:bookmarkStart w:id="335" w:name="pg13173_324838"/>
    </w:p>
    <w:p>
      <w:pPr>
        <w:pStyle w:val="BookText"/>
        <w:rPr/>
      </w:pPr>
      <w:bookmarkEnd w:id="335"/>
      <w:r>
        <w:rPr>
          <w:rFonts w:ascii="IRNazanin" w:hAnsi="IRNazanin" w:eastAsia="IRNazanin"/>
          <w:color w:val="111111"/>
          <w:sz w:val="28"/>
          <w:sz w:val="28"/>
          <w:szCs w:val="28"/>
          <w:rtl w:val="true"/>
          <w:lang w:bidi="fa-IR"/>
        </w:rPr>
        <w:t>و طرح ما فیه الریب، فلا یستفاد منه؛ حتّی یکون دلیلا علی عدم حجّیة خبر الواحد؛ لما فیه من الریب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الأخبار العلاجیّة، ربّما تکون فی مقام الترجیح بمجرّد المرجّح الموجود فی أحدهما الموجب لخروجهما عن الموازنة، فلا یکون النظر التامّ إلی الواقع،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البحوث التی مرّت فی ذیل الطوائف السابقة، تجری مع أجوبتها هنا أیضا</w:t>
      </w:r>
      <w:r>
        <w:rPr>
          <w:rFonts w:eastAsia="IRNazanin" w:cs="IRNazanin"/>
          <w:color w:val="111111"/>
          <w:sz w:val="28"/>
          <w:szCs w:val="28"/>
          <w:rtl w:val="true"/>
          <w:lang w:bidi="fa-IR"/>
        </w:rPr>
        <w:t>.</w:t>
      </w:r>
    </w:p>
    <w:p>
      <w:pPr>
        <w:pStyle w:val="Heading5"/>
        <w:numPr>
          <w:ilvl w:val="4"/>
          <w:numId w:val="1"/>
        </w:numPr>
        <w:rPr/>
      </w:pPr>
      <w:bookmarkStart w:id="336" w:name="__RefHeading___Toc734903_3244359995"/>
      <w:bookmarkStart w:id="337" w:name="_Toc126"/>
      <w:bookmarkEnd w:id="336"/>
      <w:r>
        <w:rPr>
          <w:rtl w:val="true"/>
        </w:rPr>
        <w:t>الطائفة الخامسة</w:t>
      </w:r>
      <w:r>
        <w:rPr>
          <w:rtl w:val="true"/>
        </w:rPr>
        <w:t xml:space="preserve">: </w:t>
      </w:r>
      <w:r>
        <w:rPr>
          <w:rtl w:val="true"/>
        </w:rPr>
        <w:t xml:space="preserve">الروایات المشتملة علی أنّ </w:t>
      </w:r>
      <w:r>
        <w:rPr>
          <w:rtl w:val="true"/>
        </w:rPr>
        <w:t>«</w:t>
      </w:r>
      <w:r>
        <w:rPr>
          <w:rtl w:val="true"/>
        </w:rPr>
        <w:t>لکلّ ملک حمی، و حمی اللّه محارمه</w:t>
      </w:r>
      <w:r>
        <w:rPr>
          <w:rtl w:val="true"/>
        </w:rPr>
        <w:t>»</w:t>
      </w:r>
      <w:bookmarkEnd w:id="337"/>
    </w:p>
    <w:p>
      <w:pPr>
        <w:pStyle w:val="Heading6"/>
        <w:numPr>
          <w:ilvl w:val="5"/>
          <w:numId w:val="1"/>
        </w:numPr>
        <w:rPr/>
      </w:pPr>
      <w:bookmarkStart w:id="338" w:name="__RefHeading___Toc734905_3244359995"/>
      <w:bookmarkStart w:id="339" w:name="_Toc127"/>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المشتملة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ملک حمی، و حمی اللّه محارمه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هی مضافا إلی ضعف إسنادها، ظاهرة فی بیان رجحان الاحتیاط؛ و أنّه لا یرتکب المشتبهات لما یوشک أن یوقع فیها، ضرورة أنّه لا یمکن الاجتناب عن الآثار الوضعیّة المضرّة بالروح أو الجسد ضررا قابلا للجبران، أو غیر ممنوع؛ لأجل المصالح السیاسیّة الکلّیة، إلّا بالاجتناب عن الشبهات، و ربّما یقع فیها و لو اجتنب؛ لأنّ من الممکن کثیرا تبیّن حرمة الواجب، أو وجوب المحرّم، فلا تغفل</w:t>
      </w:r>
      <w:r>
        <w:rPr>
          <w:rFonts w:eastAsia="IRNazanin" w:cs="IRNazanin"/>
          <w:color w:val="111111"/>
          <w:sz w:val="28"/>
          <w:szCs w:val="28"/>
          <w:rtl w:val="true"/>
          <w:lang w:bidi="fa-IR"/>
        </w:rPr>
        <w:t>.</w:t>
      </w:r>
    </w:p>
    <w:p>
      <w:pPr>
        <w:pStyle w:val="Heading6"/>
        <w:numPr>
          <w:ilvl w:val="5"/>
          <w:numId w:val="1"/>
        </w:numPr>
        <w:rPr/>
      </w:pPr>
      <w:bookmarkStart w:id="340" w:name="__RefHeading___Toc734907_3244359995"/>
      <w:bookmarkStart w:id="341" w:name="_Toc128"/>
      <w:bookmarkEnd w:id="340"/>
      <w:r>
        <w:rPr>
          <w:rtl w:val="true"/>
        </w:rPr>
        <w:t>جولة إجمالیّة حول المسألة</w:t>
      </w:r>
      <w:bookmarkEnd w:id="3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راجعنا مجموع هذه الطوائف، و حاولنا الفحص عن خصوصیّاتها، و البحث حول الکلّ، نجد أنّه لا یستفاد منها أمرا إلزامیّا شرعیّا؛ لاختلاف ألسنة الأخبار الراجعة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تکون فی الواجبات القطعیّة ألسنة الروایات مختلفة، کما فی مثل الصوم و الصلاة، غیر نافع؛ لأنّ وجوبها ضروریّ، و لا یستکشف من الآثار و الأخبار، فلا یضرّ به اختلاف المآثیر، بخلاف الوجوب المشکوک، کما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شریعة الإسلام شریعة سهلة سمحة، لها المبادئ المختلفة، و بحسب تلک المبادئ المختلفة تختلف الآثار و الأخبار، مثلا من المبادئ ملاحظة سیاسة المدن و المنزل، و ملاحظة سهولة الأمر علی المسلمین، و ترغیب الناس فی الإسلام، فإذا کان هذا مبدأ فلا یصدر منه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إنّه شرع یحافظ علی مصالح العباد الروحیّة و الجسمیّة الفردیّة، و یلاحظ أنّ الترغیب المذکور ربّما یوجب التهتّک، فیصدر بمبدئیّة ذلک أوامر التوقّف و الاحتیاط،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اشتبه علیک علمه فالفظه، و ما أیقنت بطیب وجهه فنل منه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تهافت بین هذه الروایات؛ لاختلاف تلک المبادئ الراجعة إلی سیاسة کلّیة لازمة، و سیاسة فردیّة راجحة، أو لازمة فی المجموع، لا بلحاظ الضرر فردا، فإنّه إذا کان المولی یجد تجنّب جمع ندبا عن الشبهات، فله الأمر الندبیّ به و لو کان لازما فی الجملة؛ لوصوله إلی مقصوده، فلا تخلط</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وجه یعتنی به للتفصیل بین الشبهات التحریمیّة الحکمیّة</w:t>
      </w:r>
    </w:p>
    <w:p>
      <w:pPr>
        <w:pStyle w:val="BookText"/>
        <w:rPr/>
      </w:pPr>
      <w:r>
        <w:rPr>
          <w:rFonts w:ascii="Amiri" w:hAnsi="Amiri" w:eastAsia="Amiri" w:cs="Amiri"/>
          <w:color w:val="111111"/>
          <w:sz w:val="28"/>
          <w:sz w:val="28"/>
          <w:szCs w:val="28"/>
          <w:rtl w:val="true"/>
          <w:lang w:bidi="ar-SA"/>
        </w:rPr>
        <w:t>و الوجوبیّة</w:t>
      </w:r>
      <w:r>
        <w:rPr>
          <w:rStyle w:val="FootnoteAnchor"/>
          <w:rtl w:val="true"/>
        </w:rPr>
        <w:footnoteReference w:id="460"/>
      </w:r>
      <w:r>
        <w:rPr>
          <w:rFonts w:ascii="IRNazanin" w:hAnsi="IRNazanin" w:eastAsia="IRNazanin"/>
          <w:color w:val="111111"/>
          <w:sz w:val="28"/>
          <w:sz w:val="28"/>
          <w:szCs w:val="28"/>
          <w:rtl w:val="true"/>
          <w:lang w:bidi="fa-IR"/>
        </w:rPr>
        <w:t>ضرورة أنّ اختصاص أخبار البراءة بالموضوعیّة بلا وجه، و اختصاص أخبار الاحتیاط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الأوامر الواردة فی الوقوف، ظاهرة فی الشبهات التحریمیّة، فعلیها یحمل غیرها، غیر صحیح؛ لأنّهما من الموجبتین، فلا منع من کون إطلاق أخبار الاحتیاط محکّم و الرجوع إلی الإجماع </w:t>
      </w:r>
      <w:r>
        <w:rPr>
          <w:rStyle w:val="FootnoteAnchor"/>
          <w:rtl w:val="true"/>
        </w:rPr>
        <w:footnoteReference w:id="461"/>
      </w:r>
      <w:r>
        <w:rPr>
          <w:rFonts w:ascii="IRNazanin" w:hAnsi="IRNazanin" w:eastAsia="IRNazanin"/>
          <w:color w:val="111111"/>
          <w:sz w:val="28"/>
          <w:sz w:val="28"/>
          <w:szCs w:val="28"/>
          <w:rtl w:val="true"/>
          <w:lang w:bidi="fa-IR"/>
        </w:rPr>
        <w:t>خروج عن دأب الأخباریّین، مع أنّه غیر تامّ عندنا أیضا؛ لأنّه إجماع معلّل غیر تعبّدی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ما هو الدلیل الوحید للأخباریّ، و بقیت بعض الوجوه العقلیّة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جولة حول حکم العقل</w:t>
      </w:r>
      <w:r>
        <w:rPr>
          <w:rFonts w:eastAsia="IRNazanin" w:cs="IRNazanin"/>
          <w:color w:val="111111"/>
          <w:sz w:val="28"/>
          <w:szCs w:val="28"/>
          <w:rtl w:val="true"/>
          <w:lang w:bidi="fa-IR"/>
        </w:rPr>
        <w:t>»:</w:t>
      </w:r>
      <w:bookmarkStart w:id="342" w:name="pg13173_324841"/>
    </w:p>
    <w:p>
      <w:pPr>
        <w:pStyle w:val="Heading4"/>
        <w:numPr>
          <w:ilvl w:val="3"/>
          <w:numId w:val="1"/>
        </w:numPr>
        <w:rPr/>
      </w:pPr>
      <w:bookmarkStart w:id="343" w:name="__RefHeading___Toc734909_3244359995"/>
      <w:bookmarkStart w:id="344" w:name="_Toc129"/>
      <w:bookmarkEnd w:id="342"/>
      <w:bookmarkEnd w:id="343"/>
      <w:r>
        <w:rPr>
          <w:rtl w:val="true"/>
        </w:rPr>
        <w:t>و أمّا العقل</w:t>
      </w:r>
      <w:bookmarkEnd w:id="344"/>
    </w:p>
    <w:p>
      <w:pPr>
        <w:pStyle w:val="Heading5"/>
        <w:numPr>
          <w:ilvl w:val="4"/>
          <w:numId w:val="1"/>
        </w:numPr>
        <w:rPr/>
      </w:pPr>
      <w:bookmarkStart w:id="345" w:name="__RefHeading___Toc734911_3244359995"/>
      <w:bookmarkStart w:id="346" w:name="_Toc130"/>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و قبل الخوض فی کیفیّة تحریر الوجه العقلیّ لوجوب الاحتیاط، لا بدّ من 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من المحرّر عند الاصولیّین؛ أنّ العلم الإجمالیّ یوجب تنجیز المعلوم بالإجمال و لو ارتکب طرفا، أو بقی طرف، أو فنی سائر الأطراف، و یقولون ببقاء الأثر و إن لم یکن العلم بعد انعدام الطرف موجودا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لو علم بأنّ المولی له التکالیف الإلزامیّة المختلفة إجمالا، و تبیّن له طائفة منها، و لم یتبیّن الاخری، یکون مقتضی القاعدة لزوم الاحتیاط بالنسبة إلی الباقی؛ لبقاء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تبیّن فی الزمان المتأخّر خطأه فلا أثر؛ لما 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الفرق بین ما إذا علم إجمالا بحرمة أحد الإناءین، ثمّ انعدم أحدهما، و بین ما إذا علم بوجود الإلزامیات الشرعیّة، ثمّ تبیّنت تلک الإلزامیّات بمقدار یحتمل کون المعلوم بالإجمال بمقدارها، فإنّه فی الأوّل یبقی الأثر، دون الثانی؛ لأنّه من قبیل تبیّن کون المحرّم من الإناءین الإناء الشرقیّ </w:t>
      </w:r>
      <w:r>
        <w:rPr>
          <w:rStyle w:val="FootnoteAnchor"/>
          <w:rtl w:val="true"/>
        </w:rPr>
        <w:footnoteReference w:id="463"/>
      </w:r>
      <w:r>
        <w:rPr>
          <w:rFonts w:ascii="IRNazanin" w:hAnsi="IRNazanin" w:eastAsia="IRNazanin"/>
          <w:color w:val="111111"/>
          <w:sz w:val="28"/>
          <w:sz w:val="28"/>
          <w:szCs w:val="28"/>
          <w:rtl w:val="true"/>
          <w:lang w:bidi="fa-IR"/>
        </w:rPr>
        <w:t>، فغیر جیّد؛ لأنّ ما نحن فیه من قبیل ما إذا علم بحرمة أحد الإناءین، و یحتمل حرمة المجموع، ثمّ بعد ذلک تبیّن حرمة أحدهما المعیّن، و یحتمل کون المحرّم هو الحرام المحتمل، لا المعلوم، فإنّ المحرّم الواقعیّ المعلوم، باق علی حاله و علی أثره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للشرع الترخیص فی بعض الأطراف؛ حسبما تحرّر فی</w:t>
      </w:r>
    </w:p>
    <w:p>
      <w:pPr>
        <w:pStyle w:val="BookText"/>
        <w:rPr/>
      </w:pPr>
      <w:r>
        <w:rPr>
          <w:rFonts w:ascii="Amiri" w:hAnsi="Amiri" w:eastAsia="Amiri" w:cs="Amiri"/>
          <w:color w:val="111111"/>
          <w:sz w:val="28"/>
          <w:sz w:val="28"/>
          <w:szCs w:val="28"/>
          <w:rtl w:val="true"/>
          <w:lang w:bidi="ar-SA"/>
        </w:rPr>
        <w:t xml:space="preserve">محلّه </w:t>
      </w:r>
      <w:r>
        <w:rPr>
          <w:rStyle w:val="FootnoteAnchor"/>
          <w:rtl w:val="true"/>
        </w:rPr>
        <w:footnoteReference w:id="464"/>
      </w:r>
      <w:r>
        <w:rPr>
          <w:rFonts w:ascii="IRNazanin" w:hAnsi="IRNazanin" w:eastAsia="IRNazanin"/>
          <w:color w:val="111111"/>
          <w:sz w:val="28"/>
          <w:sz w:val="28"/>
          <w:szCs w:val="28"/>
          <w:rtl w:val="true"/>
          <w:lang w:bidi="fa-IR"/>
        </w:rPr>
        <w:t>، فالإشکال علی الأخباریّین نقضا بالشبهات الموضوعیّة و الوجوبیّة</w:t>
      </w:r>
      <w:r>
        <w:rPr>
          <w:rStyle w:val="FootnoteAnchor"/>
          <w:rtl w:val="true"/>
        </w:rPr>
        <w:footnoteReference w:id="465"/>
      </w:r>
      <w:r>
        <w:rPr>
          <w:rFonts w:ascii="IRNazanin" w:hAnsi="IRNazanin" w:eastAsia="IRNazanin"/>
          <w:color w:val="111111"/>
          <w:sz w:val="28"/>
          <w:sz w:val="28"/>
          <w:szCs w:val="28"/>
          <w:rtl w:val="true"/>
          <w:lang w:bidi="fa-IR"/>
        </w:rPr>
        <w:t>، فی غیر محلّه؛ لأنّ مقتضی بعض الوجوه عندهم، جواز الترخیص، و رخصة الشرع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الوجیزة المحتویة علی مقدّمات، فللاصولیّ دعوی العلم الإجمالیّ تأییدا للأخباریّین فی الشبهات التحریمیّة، و لمحمّد الأسترابادیّ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الإسلام طلع و تضمّن الإلزامیّات التحریمیّة و الإیجابیّة الواقعیّة غیر المتغیّرة باختلاف الطرق و الأمارات، و المحفوظة علی واقعها الأوّلی، فمقتضی العلم الإجمالیّ فی ناحیة الإلزامیّات الإیجابیّة، منفیّ مثلا؛ لأنّ المقدار المعلوم بالإجمال، موجود فی الطرق و الأمارات القائمة البالغة، و المحتملات الزائدة مثلا مورد البراءة حسب الاتفاق؛ لجواز ترخیص الشرع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ناحیة الإلزامیّات التحریمیّة، فمقتضی العلم الإجمالیّ، لزوم الاجتناب عن المحتملات و الشبهات؛ ضرورة أنّ صورة العلم الإجمالیّ أوّلا صورة قضیّة منفصلة مانعة الخلّو، لا حقیقیّة، فإذا وصلت الطرق و الأمارات بمقدار المعلوم بالإجمال، یکون الزائد لازم الاجتناب؛ لاحتمال کون هذا الزائد هو الواصل بتلک الطرق، و المعلوم بالإجمال بعد باق فی ناحیة المحتملات، و یکون منجّزا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کلام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انحلال العلم حقیقة تارة</w:t>
      </w:r>
      <w:r>
        <w:rPr>
          <w:rStyle w:val="FootnoteAnchor"/>
          <w:rtl w:val="true"/>
        </w:rPr>
        <w:footnoteReference w:id="466"/>
      </w:r>
      <w:r>
        <w:rPr>
          <w:rFonts w:ascii="IRNazanin" w:hAnsi="IRNazanin" w:eastAsia="IRNazanin"/>
          <w:color w:val="111111"/>
          <w:sz w:val="28"/>
          <w:sz w:val="28"/>
          <w:szCs w:val="28"/>
          <w:rtl w:val="true"/>
          <w:lang w:bidi="fa-IR"/>
        </w:rPr>
        <w:t>، أو حکما اخری؛ و أنّ الزائد غیر منجّز</w:t>
      </w:r>
      <w:r>
        <w:rPr>
          <w:rStyle w:val="FootnoteAnchor"/>
          <w:rtl w:val="true"/>
        </w:rPr>
        <w:footnoteReference w:id="467"/>
      </w:r>
      <w:r>
        <w:rPr>
          <w:rFonts w:ascii="IRNazanin" w:hAnsi="IRNazanin" w:eastAsia="IRNazanin"/>
          <w:color w:val="111111"/>
          <w:sz w:val="28"/>
          <w:sz w:val="28"/>
          <w:szCs w:val="28"/>
          <w:rtl w:val="true"/>
          <w:lang w:bidi="fa-IR"/>
        </w:rPr>
        <w:t xml:space="preserve">، غیر صحیح؛ 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عدم وجود القضیّة المنفصلة علی حالها، فهو حقّ لا ریب فیه، و یکون الانحلال حقیقیّا؛ لما لا علم تکوینا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انحلال العلم و ذهاب أثره، فهو غیر جیّد کما مرّ؛ ضرورة أنّ من الممکن أن تکون الطرق الواصلة، موجبة لتنجّز المحتملات غیر المنجّزة بالعلم، و یکون المنجّز بالعلم باقیا زائدا علی مقدار الطرق و الاصول المثبتة؛ ضرورة أنّ مجرّد کون المعلوم بالإجمال، دائرا بین الأقلّ و الأکثر لا یکفی؛ لکون المعلوم بالإجمال منحصرا فیما هو الواصل بالطرق و الأمارات، بعد احتمال کون الواصل بها هو الأکثر المحتمل، فیکون ما یستحقّ العقوبة علیه باقیا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للشرع الترخیص فی الزائد، و مشکلة الترخیص فی هذه الموارد، منحلّة فی مسألة کیفیّة الجمع بین الحکم الواقعیّ و الظاهریّ الذی مضی تحقیقه فی مباحث الظنّ </w:t>
      </w:r>
      <w:r>
        <w:rPr>
          <w:rStyle w:val="FootnoteAnchor"/>
          <w:rtl w:val="true"/>
        </w:rPr>
        <w:footnoteReference w:id="468"/>
      </w:r>
      <w:r>
        <w:rPr>
          <w:rFonts w:ascii="IRNazanin" w:hAnsi="IRNazanin" w:eastAsia="IRNazanin"/>
          <w:color w:val="111111"/>
          <w:sz w:val="28"/>
          <w:sz w:val="28"/>
          <w:szCs w:val="28"/>
          <w:rtl w:val="true"/>
          <w:lang w:bidi="fa-IR"/>
        </w:rPr>
        <w:t>، و لو لا ترخیصه لکان حکم العقل بقاء أثر العلم حتّی فی الشبهات الوجوبیّة، کما اشیر إلیه، و تکون مقالة الأسترابادیّ أیضا مطابقة للقواعد، و لا تجری البراءة العقلیّة؛ لوجود البیان، و هو العلم الإجمالیّ بأثره، لا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المناقشة فی بقاء الأثر مع ذهاب علّته و هو العلم، فقد انحلّت فی محلّها، کما علیه جماعة من الاصولیّین؛ ضرورة اتفاقهم علی ممنوعیّة ارتکاب الإناء الثانی بعد ارتکاب الإناء الأوّل، مع ذهاب العلم الذی هو السبب للتنجیز، و هکذا فی موارد الإکراه و الاضطرار و الانعدام و غیرها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توغّل الاصولیّین فیما هو بحث علمیّ، و إهمالهم فیما هو المهمّ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توغّلوا فی أنّ الانحلال حکمیّ، أو حقیقیّ، و أنّ میزان الانحلال ماذا</w:t>
      </w:r>
      <w:r>
        <w:rPr>
          <w:rStyle w:val="FootnoteAnchor"/>
          <w:rtl w:val="true"/>
        </w:rPr>
        <w:footnoteReference w:id="469"/>
      </w:r>
      <w:r>
        <w:rPr>
          <w:rFonts w:ascii="IRNazanin" w:hAnsi="IRNazanin" w:eastAsia="IRNazanin"/>
          <w:color w:val="111111"/>
          <w:sz w:val="28"/>
          <w:sz w:val="28"/>
          <w:szCs w:val="28"/>
          <w:rtl w:val="true"/>
          <w:lang w:bidi="fa-IR"/>
        </w:rPr>
        <w:t>؟ و أهملوا أنّ بعد الاطلاع علی المحرّمات الکثیرة فی الشرع، فهل هو یوجب تمامیّة جریان قبح العقاب بلا بیان، أم لا؛ لتمامیة البیان عقلا؟</w:t>
      </w:r>
      <w:bookmarkStart w:id="347" w:name="pg13173_324844"/>
    </w:p>
    <w:p>
      <w:pPr>
        <w:pStyle w:val="Heading5"/>
        <w:numPr>
          <w:ilvl w:val="4"/>
          <w:numId w:val="1"/>
        </w:numPr>
        <w:rPr/>
      </w:pPr>
      <w:bookmarkStart w:id="348" w:name="__RefHeading___Toc734913_3244359995"/>
      <w:bookmarkStart w:id="349" w:name="_Toc131"/>
      <w:bookmarkEnd w:id="347"/>
      <w:bookmarkEnd w:id="348"/>
      <w:r>
        <w:rPr>
          <w:rtl w:val="true"/>
        </w:rPr>
        <w:t>شبهات و تفصّیات</w:t>
      </w:r>
      <w:bookmarkEnd w:id="349"/>
    </w:p>
    <w:p>
      <w:pPr>
        <w:pStyle w:val="Heading6"/>
        <w:numPr>
          <w:ilvl w:val="5"/>
          <w:numId w:val="1"/>
        </w:numPr>
        <w:rPr/>
      </w:pPr>
      <w:bookmarkStart w:id="350" w:name="__RefHeading___Toc734915_3244359995"/>
      <w:bookmarkStart w:id="351" w:name="_Toc132"/>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بقیت بعض شبهات تنتهی إلی تمامیّة جریان القاعدة بذهاب أثر العلم، فنشیر إلیها إجمالا</w:t>
      </w:r>
      <w:r>
        <w:rPr>
          <w:rFonts w:eastAsia="IRNazanin" w:cs="IRNazanin"/>
          <w:color w:val="111111"/>
          <w:sz w:val="28"/>
          <w:szCs w:val="28"/>
          <w:rtl w:val="true"/>
          <w:lang w:bidi="fa-IR"/>
        </w:rPr>
        <w:t>:</w:t>
      </w:r>
    </w:p>
    <w:p>
      <w:pPr>
        <w:pStyle w:val="Heading6"/>
        <w:numPr>
          <w:ilvl w:val="5"/>
          <w:numId w:val="1"/>
        </w:numPr>
        <w:rPr/>
      </w:pPr>
      <w:bookmarkStart w:id="352" w:name="__RefHeading___Toc734917_3244359995"/>
      <w:bookmarkStart w:id="353" w:name="_Toc133"/>
      <w:bookmarkEnd w:id="352"/>
      <w:r>
        <w:rPr>
          <w:rtl w:val="true"/>
        </w:rPr>
        <w:t>الشبهة الاولی</w:t>
      </w:r>
      <w:r>
        <w:rPr>
          <w:rtl w:val="true"/>
        </w:rPr>
        <w:t>:</w:t>
      </w:r>
      <w:bookmarkEnd w:id="353"/>
    </w:p>
    <w:p>
      <w:pPr>
        <w:pStyle w:val="BookText"/>
        <w:rPr/>
      </w:pPr>
      <w:r>
        <w:rPr>
          <w:rFonts w:ascii="IRNazanin" w:hAnsi="IRNazanin" w:eastAsia="IRNazanin"/>
          <w:color w:val="111111"/>
          <w:sz w:val="28"/>
          <w:sz w:val="28"/>
          <w:szCs w:val="28"/>
          <w:rtl w:val="true"/>
          <w:lang w:bidi="fa-IR"/>
        </w:rPr>
        <w:t>فرق بین صورتی تقدّم العلم، و تأخّره عن الاطلاع علی المحرّمات التی لا تقصر عن المعلوم بالإجمال، فإن تنجّزت الواقعیّات بالعلم، فلا یستند التنجّز بعد ذلک لتلک الطرق؛ لسبق المنجّز، فیکون أثر العلم بعد الاطلاع باقیا؛ للوجه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تنجّزت الواقعیّات بالطرق، ثمّ توجّه المکلّف إلی العلم، فلا یؤثّر العلم فی تنجیز شی‌ء؛ لأنّ الواقعیّات قد تنجّزت بها، و المتنجّز لا یتنجّز ثانیا، و لا یعقل توارد المنجّزین الفعلیّین علی شی‌ء واحد، فبالنسبة إلی المقدار الزائد و الأکثر لا یکون البیان تامّا، فتجری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بحرمة خمسة میاه بین العشرین، و قام خبر الثقة الحجّة علی حرمة خمسة منها قبل العلم بتلک الحرمة، لا یؤثّر العلم فی تنجیز الخمسة، فضلا عن الزائد؛ لسبق المنجّز المحتمل کون المعلوم منطبقا علیه واقعا، فتجری البراءة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التفصیل، و الاصولیّون غیر ملتزمین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فیما نحن فیه تقدّم الطرق علی ذلک العلم؛ ضرورة أنّ العامیّ غیر ملتفت إلی المنجّزین، و المجتهد العارف یحصل له العلم قبل تلک الطرق نوعا و عادة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خطأ الطرق، یورث لزوم الاحتیاط بالنسبة إلی المقدار المعلوم؛ ضرورة أنّ ما هو المنجّز بالعلم هی الخمسة، فیستحقّ العقوبة بحسب الواقع علیها، فإن علم بإصابة الطرق فلا بأس، و إذا احتمل خطأ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p>
    <w:p>
      <w:pPr>
        <w:pStyle w:val="BookText"/>
        <w:rPr/>
      </w:pP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فی مخلص من العقاب بالنسبة إلی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شرعا علی أنّ حجّیة الطرق، فی حکم الطریق المصیب، بل الطرق إمّا معذّرة و منجّزة</w:t>
      </w:r>
      <w:r>
        <w:rPr>
          <w:rStyle w:val="FootnoteAnchor"/>
          <w:rtl w:val="true"/>
        </w:rPr>
        <w:footnoteReference w:id="470"/>
      </w:r>
      <w:r>
        <w:rPr>
          <w:rFonts w:ascii="IRNazanin" w:hAnsi="IRNazanin" w:eastAsia="IRNazanin"/>
          <w:color w:val="111111"/>
          <w:sz w:val="28"/>
          <w:sz w:val="28"/>
          <w:szCs w:val="28"/>
          <w:rtl w:val="true"/>
          <w:lang w:bidi="fa-IR"/>
        </w:rPr>
        <w:t xml:space="preserve">، أو مجعول فیها المحرزیّة إثباتا، و لا تزید علی العلم </w:t>
      </w:r>
      <w:r>
        <w:rPr>
          <w:rStyle w:val="FootnoteAnchor"/>
          <w:rtl w:val="true"/>
        </w:rPr>
        <w:footnoteReference w:id="471"/>
      </w:r>
      <w:r>
        <w:rPr>
          <w:rFonts w:ascii="IRNazanin" w:hAnsi="IRNazanin" w:eastAsia="IRNazanin"/>
          <w:color w:val="111111"/>
          <w:sz w:val="28"/>
          <w:sz w:val="28"/>
          <w:szCs w:val="28"/>
          <w:rtl w:val="true"/>
          <w:lang w:bidi="fa-IR"/>
        </w:rPr>
        <w:t>، أو تکون حجّیتها من باب السببیّة</w:t>
      </w:r>
      <w:r>
        <w:rPr>
          <w:rStyle w:val="FootnoteAnchor"/>
          <w:rtl w:val="true"/>
        </w:rPr>
        <w:footnoteReference w:id="472"/>
      </w:r>
      <w:r>
        <w:rPr>
          <w:rFonts w:ascii="IRNazanin" w:hAnsi="IRNazanin" w:eastAsia="IRNazanin"/>
          <w:color w:val="111111"/>
          <w:sz w:val="28"/>
          <w:sz w:val="28"/>
          <w:szCs w:val="28"/>
          <w:rtl w:val="true"/>
          <w:lang w:bidi="fa-IR"/>
        </w:rPr>
        <w:t>، و هذا یورث تدارک الفائت، و لا یورث انصراف الشارع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مسلک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انصراف الشرع فی موارد الخطأ عن الواقع </w:t>
      </w:r>
      <w:r>
        <w:rPr>
          <w:rStyle w:val="FootnoteAnchor"/>
          <w:rtl w:val="true"/>
        </w:rPr>
        <w:footnoteReference w:id="473"/>
      </w:r>
      <w:r>
        <w:rPr>
          <w:rFonts w:ascii="IRNazanin" w:hAnsi="IRNazanin" w:eastAsia="IRNazanin"/>
          <w:color w:val="111111"/>
          <w:sz w:val="28"/>
          <w:sz w:val="28"/>
          <w:szCs w:val="28"/>
          <w:rtl w:val="true"/>
          <w:lang w:bidi="fa-IR"/>
        </w:rPr>
        <w:t>، و لکنّه فیما نحن فیه غیر نافع؛ ضرورة أنّه إذا أصابت الطرق ما هو المحرّم فهو، و إلّا فلا واقع حتّی یعرض عنه الشرع، و یصرف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قامت علی عدم وجوب شی‌ء، ثمّ کان هو واجبا، أو علی عدم حرمة شی‌ء، و کان حراما، کان لما قیل وجه حرّرناه فی بحوث الإجزاء</w:t>
      </w:r>
      <w:r>
        <w:rPr>
          <w:rStyle w:val="FootnoteAnchor"/>
          <w:rtl w:val="true"/>
        </w:rPr>
        <w:footnoteReference w:id="474"/>
      </w:r>
      <w:r>
        <w:rPr>
          <w:rFonts w:ascii="IRNazanin" w:hAnsi="IRNazanin" w:eastAsia="IRNazanin"/>
          <w:color w:val="111111"/>
          <w:sz w:val="28"/>
          <w:sz w:val="28"/>
          <w:szCs w:val="28"/>
          <w:rtl w:val="true"/>
          <w:lang w:bidi="fa-IR"/>
        </w:rPr>
        <w:t>، إلّا أنّ فی مباحث الظنّ جمعنا بین الأحکام الظاهریّة و الواقعیّة؛ بوجه تنحلّ به مشکلات المسألة، مع حفظ الأحکام الواقعیّة علی حالها الجدّیة و القطعیّة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ما هو سبب تنجیز الواقعیّات فی مفروض البحث، هو العلم الحجّة ذاتا عندهم، و لا معنی لانصراف الشرع عن الواقعیّات فی صورة خطأ العلم،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مقالة الأخباریّ هنا</w:t>
      </w:r>
      <w:r>
        <w:rPr>
          <w:rStyle w:val="FootnoteAnchor"/>
          <w:rtl w:val="true"/>
        </w:rPr>
        <w:footnoteReference w:id="476"/>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و سائر الطرق علی نهج واحد فی</w:t>
      </w:r>
      <w:bookmarkStart w:id="354" w:name="pg13173_324846"/>
    </w:p>
    <w:p>
      <w:pPr>
        <w:pStyle w:val="BookText"/>
        <w:rPr/>
      </w:pPr>
      <w:bookmarkEnd w:id="354"/>
      <w:r>
        <w:rPr>
          <w:rFonts w:ascii="Amiri" w:hAnsi="Amiri" w:eastAsia="Amiri" w:cs="Amiri"/>
          <w:color w:val="111111"/>
          <w:sz w:val="28"/>
          <w:sz w:val="28"/>
          <w:szCs w:val="28"/>
          <w:rtl w:val="true"/>
          <w:lang w:bidi="ar-SA"/>
        </w:rPr>
        <w:t>الطریقیّة و الحجّیة</w:t>
      </w:r>
      <w:r>
        <w:rPr>
          <w:rStyle w:val="FootnoteAnchor"/>
          <w:rtl w:val="true"/>
        </w:rPr>
        <w:footnoteReference w:id="477"/>
      </w:r>
      <w:r>
        <w:rPr>
          <w:rFonts w:ascii="IRNazanin" w:hAnsi="IRNazanin" w:eastAsia="IRNazanin"/>
          <w:color w:val="111111"/>
          <w:sz w:val="28"/>
          <w:sz w:val="28"/>
          <w:szCs w:val="28"/>
          <w:rtl w:val="true"/>
          <w:lang w:bidi="fa-IR"/>
        </w:rPr>
        <w:t>، ینفع ما افید، لو لا ما اشیر إلیه أوّلا،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جریان البراءة العقلیة ممنوع؛ لتنجّز الخمسة قطعا، و حیث لا علم بالخصوصیّة، و لا نعلم بإصابة ما قام الطریق علیه خصوصا، یتعیّن الاحتیاط بالنسبة إلی الکلّ، و من هنا یتبیّن وجه فساد ما فی کلمات جمع منهم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5" w:name="__RefHeading___Toc734919_3244359995"/>
      <w:bookmarkStart w:id="356" w:name="_Toc134"/>
      <w:bookmarkEnd w:id="355"/>
      <w:r>
        <w:rPr>
          <w:rtl w:val="true"/>
        </w:rPr>
        <w:t>الشبهة الثانیة</w:t>
      </w:r>
      <w:r>
        <w:rPr>
          <w:rtl w:val="true"/>
        </w:rPr>
        <w:t>:</w:t>
      </w:r>
      <w:bookmarkEnd w:id="356"/>
    </w:p>
    <w:p>
      <w:pPr>
        <w:pStyle w:val="BookText"/>
        <w:rPr/>
      </w:pPr>
      <w:r>
        <w:rPr>
          <w:rFonts w:ascii="IRNazanin" w:hAnsi="IRNazanin" w:eastAsia="IRNazanin"/>
          <w:color w:val="111111"/>
          <w:sz w:val="28"/>
          <w:sz w:val="28"/>
          <w:szCs w:val="28"/>
          <w:rtl w:val="true"/>
          <w:lang w:bidi="fa-IR"/>
        </w:rPr>
        <w:t>حیث لا تعیّن للمعلوم بالإجمال، فیکفی لانحلال العلم الإجمالیّ واقعا، و عدم تنجیزه بالنسبة إلی الزائد، قیام الطرق علی حرمة عدّة امور بمقدار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احتمال کون المعلوم بالإجمال، فی المقدار المحتمل الزائد؛ لأنّ المفروض هو العلم الإجمالیّ بنحو القضیّة المنفصلة المانعة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لما لالون لذلک المعلوم حتّی لا ینطبق ما قامت الطرق علی حرمته علی ذلک المعلوم، و یکون باقیا فی الزائد، فالانطباق قهریّ و طبیعیّ، فلا یبقی بعد ذلک وجه لبقاء أثر العلم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علم بحرمة الخمسة فی العشرة، و احتمل الزائد، و قام الطریق علی حرمة الخمسة، و کان فی الواقع ما هو المحرّم سبعة، لا یعقل انطباق الخمسة علی ذلک الخمسة القائم علیها الطریق؛ لأنّه من الترجیح بلا مرجّح</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 الخطأ فی الطریق و إن کان لا یبقی العلم الإجمالیّ؛ لانتفاء المنفصلة من البین، و انعدام القضیّة المتقوّمة بالتردید؛ لعدم امتیاز بین ما قام الطریق علی حرمته، و ما هو المعلوم، و لکن بعد العلم باستحقاق العقوبة علی</w:t>
      </w:r>
    </w:p>
    <w:p>
      <w:pPr>
        <w:pStyle w:val="BookText"/>
        <w:rPr/>
      </w:pPr>
      <w:r>
        <w:rPr>
          <w:rFonts w:ascii="IRNazanin" w:hAnsi="IRNazanin" w:eastAsia="IRNazanin"/>
          <w:color w:val="111111"/>
          <w:sz w:val="28"/>
          <w:sz w:val="28"/>
          <w:szCs w:val="28"/>
          <w:rtl w:val="true"/>
          <w:lang w:bidi="fa-IR"/>
        </w:rPr>
        <w:t>الخمسة الواقعیّة، یشکّ فی التجنّب عن تلک الخمسة الواقعیّة، التی یستحقّ بحسب العلم العقوبة علی فعلها، فلا تجوز البراءة و لا تجری؛ لأنّ العقاب علی تلک الخمسة عقاب مع البیان، ضرورة أنّ من الممکن خطأ الطرق؛ و عدم الإصابة إمّا مطلقا، أو بالنسبة إلی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جعل الطریق و حجّیة الأمارات، لیس إلّا ما لدی العقلاء بالنسبة إلی قوانینهم و دساتیرهم، و لیس فی الشریعة أمر بدیع و طریق جدید</w:t>
      </w:r>
      <w:r>
        <w:rPr>
          <w:rStyle w:val="FootnoteAnchor"/>
          <w:rtl w:val="true"/>
        </w:rPr>
        <w:footnoteReference w:id="480"/>
      </w:r>
      <w:r>
        <w:rPr>
          <w:rFonts w:ascii="IRNazanin" w:hAnsi="IRNazanin" w:eastAsia="IRNazanin"/>
          <w:color w:val="111111"/>
          <w:sz w:val="28"/>
          <w:sz w:val="28"/>
          <w:szCs w:val="28"/>
          <w:rtl w:val="true"/>
          <w:lang w:bidi="fa-IR"/>
        </w:rPr>
        <w:t>، و قد مرّ آنفا محتملاتها،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المحتمل قویّا بل من المعلوم، إصابة عدّة من الطرق القائمة علی حرمة طائفة من الأشیاء، و خطأ أقلّ القلیل منها، فیکون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بقاء واحد من الخمسة أو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القلیل فی الکثیر، فیسقط العلم الإجمالیّ عن التنجیز؛ و لو کان الاختلاط موجبا لکونه من القلیل فی الکثیر بعد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إجمالا بنجاسة أحد الإناءین، ثمّ اختلطا مع المائة، لا یبقی الأثر، کما لو علم من الأوّل بنجاسة واحد فی المائة، فعلی هذا تجری البراءة، و لا یتمّ البیان بالنسبة إلی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الصغری؛ لما لا وجه لدعوی أکثریّة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نمنع کون المقدار المحتمل الباقی، قلیلا فی الکثیر، بعد احتمال عدم انطباق المقدار القائم علیه الطریق بمقدار المعلوم بالإجمال؛ ضرورة أنّ التساوی ممّا لا یکاد یدّعی، و المدّعی له مکابر جدّا، و إنّما یوجب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الزائد من المعلوم بالإجمال علی المقدار القائم علیه الطریق، یکون من القلیل فی الکثیر غیر المانع عندهم من جریان البراءة، فافهم و اغتنم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القلیل فی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مع مقتضی الکثیر فی الکثیر، و تفصیله فی محلّه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فإلی الآن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العلم الإجمالیّ المذکور، تنجیز المحرّمات الواقعیّة، و بقاء أثرها؛ و لو انتفت القضیّة الحقیقیّة من الانفصال و التردید إلی المتیقّنات و المشکوکات، و کان الانحلال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نسب إلی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وجه الاحتیاط حکم العقل بأنّ الاشتغال الیقینیّ یقتضی البراءة الیقینیّة</w:t>
      </w:r>
      <w:r>
        <w:rPr>
          <w:rStyle w:val="FootnoteAnchor"/>
          <w:rtl w:val="true"/>
        </w:rPr>
        <w:footnoteReference w:id="482"/>
      </w:r>
      <w:r>
        <w:rPr>
          <w:rFonts w:ascii="IRNazanin" w:hAnsi="IRNazanin" w:eastAsia="IRNazanin"/>
          <w:color w:val="111111"/>
          <w:sz w:val="28"/>
          <w:sz w:val="28"/>
          <w:szCs w:val="28"/>
          <w:rtl w:val="true"/>
          <w:lang w:bidi="fa-IR"/>
        </w:rPr>
        <w:t>، ممنوع؛ لأنّ ذلک فی موارد العلم بالاشتغال بالخاصّ، و الشکّ فی سقوطه، و أمّا فیما نحن فیه فکلّ واحد من المحرّمات المخصوصة مشکوک الثبوت، و یکون من الشکّ فی الثبوت، لا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الإجمالیّ بالمقدار الکلّی یوجب الاحتیاط، و لکنّه علی التقریب المذکور، لا لأجل القاعدة المشار إلیها،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لنا فی تلک القاعدة، مناقشة أشرنا إلیها فی بعض المقامات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باستحقاق العقوبة علی طائفة من الإلزامیّات التحریمیّة، یوجب الاستحقاق واقعا و لو انتفی العلم، و لا مخلص عنه بمجرّد قیام الطرق علی حرمة طائفة بمقدار المعلوم بالإجمال، بعد احتمال خطأ الطریق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تعبّد الشرع بإلغاء الاحتمال بالنسبة إلی المحرّم المعلوم بالتفصیل، لا یورث زوال استحقاق العقوبة علی تلک الطائفة، کما لا یکفی مجرّد احتمال الانطباق لو فرضنا إمکانه، فلا بدّ من الاجتناب عن الخمسمائة محرّم المعلومة بالإجمال مثلا، و هذا ممّا لا یمکن إلّا بالاجتناب عن الکلّ؛ لما لا لون لتلک العدّة</w:t>
      </w:r>
      <w:r>
        <w:rPr>
          <w:rFonts w:eastAsia="IRNazanin" w:cs="IRNazanin"/>
          <w:color w:val="111111"/>
          <w:sz w:val="28"/>
          <w:szCs w:val="28"/>
          <w:rtl w:val="true"/>
          <w:lang w:bidi="fa-IR"/>
        </w:rPr>
        <w:t>.</w:t>
      </w:r>
      <w:bookmarkStart w:id="357" w:name="pg13173_324849"/>
    </w:p>
    <w:p>
      <w:pPr>
        <w:pStyle w:val="BookText"/>
        <w:rPr/>
      </w:pPr>
      <w:bookmarkEnd w:id="357"/>
      <w:r>
        <w:rPr>
          <w:rFonts w:ascii="IRNazanin" w:hAnsi="IRNazanin" w:eastAsia="IRNazanin"/>
          <w:color w:val="111111"/>
          <w:sz w:val="28"/>
          <w:sz w:val="28"/>
          <w:szCs w:val="28"/>
          <w:rtl w:val="true"/>
          <w:lang w:bidi="fa-IR"/>
        </w:rPr>
        <w:t>نعم، لو اقتضی الطریق أنّ ما هو مؤدّاه، هو المقدار المعلوم، و تکون حجّیة الطرق معناها اعتبار محرزیّتها تعبّدا؛ و إثباتا لما هو المقدار المستحقّ علیه العقاب، کما لو کان هو الواقع تکوینا، کان لرفع أثر العلم وجه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إثبات ذلک غیر ممکن؛ لما لا دلیل علی ذلک، کما تحرّر فی محلّه </w:t>
      </w:r>
      <w:r>
        <w:rPr>
          <w:rStyle w:val="FootnoteAnchor"/>
          <w:rtl w:val="true"/>
        </w:rPr>
        <w:footnoteReference w:id="484"/>
      </w:r>
      <w:r>
        <w:rPr>
          <w:rFonts w:ascii="IRNazanin" w:hAnsi="IRNazanin" w:eastAsia="IRNazanin"/>
          <w:color w:val="111111"/>
          <w:sz w:val="28"/>
          <w:sz w:val="28"/>
          <w:szCs w:val="28"/>
          <w:rtl w:val="true"/>
          <w:lang w:bidi="fa-IR"/>
        </w:rPr>
        <w:t xml:space="preserve">فتأمّل، فما نسب إلی العلّامة النائینیّ فی المقام </w:t>
      </w:r>
      <w:r>
        <w:rPr>
          <w:rStyle w:val="FootnoteAnchor"/>
          <w:rtl w:val="true"/>
        </w:rPr>
        <w:footnoteReference w:id="485"/>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34921_3244359995"/>
      <w:bookmarkStart w:id="359" w:name="_Toc135"/>
      <w:bookmarkEnd w:id="358"/>
      <w:r>
        <w:rPr>
          <w:rtl w:val="true"/>
        </w:rPr>
        <w:t>الشبهة الثالثة</w:t>
      </w:r>
      <w:r>
        <w:rPr>
          <w:rtl w:val="true"/>
        </w:rPr>
        <w:t>:</w:t>
      </w:r>
      <w:bookmarkEnd w:id="359"/>
    </w:p>
    <w:p>
      <w:pPr>
        <w:pStyle w:val="BookText"/>
        <w:rPr/>
      </w:pPr>
      <w:r>
        <w:rPr>
          <w:rFonts w:ascii="IRNazanin" w:hAnsi="IRNazanin" w:eastAsia="IRNazanin"/>
          <w:color w:val="111111"/>
          <w:sz w:val="28"/>
          <w:sz w:val="28"/>
          <w:szCs w:val="28"/>
          <w:rtl w:val="true"/>
          <w:lang w:bidi="fa-IR"/>
        </w:rPr>
        <w:t>قضیّة العلم الإجمالیّ ممنوعیّة جریان البراءة العقلیّة و العقلائیّة، دون الشرعیّة، و هی تکفینا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الأظهر من بین المحتملات فی أخبار البراءة، هو کون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غایة أو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و الدلیل الأعمّ من العقلیّ و اللفظیّ، فتکون البراءة النقلیّة أیضا ممنوعة؛ لحکم العقل بالاحتیاط، و هو الحجّة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بأس ثبوتا بترخیص الشرع عندنا حتّی فی جمیع الأطراف، کما مرّ و یأتی فی الاشتغال </w:t>
      </w:r>
      <w:r>
        <w:rPr>
          <w:rStyle w:val="FootnoteAnchor"/>
          <w:rtl w:val="true"/>
        </w:rPr>
        <w:footnoteReference w:id="487"/>
      </w:r>
      <w:r>
        <w:rPr>
          <w:rFonts w:ascii="IRNazanin" w:hAnsi="IRNazanin" w:eastAsia="IRNazanin"/>
          <w:color w:val="111111"/>
          <w:sz w:val="28"/>
          <w:sz w:val="28"/>
          <w:szCs w:val="28"/>
          <w:rtl w:val="true"/>
          <w:lang w:bidi="fa-IR"/>
        </w:rPr>
        <w:t>، إلّا أنّه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الترخیص إلّا فی موارد عدم قیام الحجّة الأعمّ من النقلیّة و العقلیّة</w:t>
      </w:r>
      <w:r>
        <w:rPr>
          <w:rFonts w:eastAsia="IRNazanin" w:cs="IRNazanin"/>
          <w:color w:val="111111"/>
          <w:sz w:val="28"/>
          <w:szCs w:val="28"/>
          <w:rtl w:val="true"/>
          <w:lang w:bidi="fa-IR"/>
        </w:rPr>
        <w:t>.</w:t>
      </w:r>
    </w:p>
    <w:p>
      <w:pPr>
        <w:pStyle w:val="Heading6"/>
        <w:numPr>
          <w:ilvl w:val="5"/>
          <w:numId w:val="1"/>
        </w:numPr>
        <w:rPr/>
      </w:pPr>
      <w:bookmarkStart w:id="360" w:name="__RefHeading___Toc734923_3244359995"/>
      <w:bookmarkStart w:id="361" w:name="_Toc136"/>
      <w:bookmarkEnd w:id="360"/>
      <w:r>
        <w:rPr>
          <w:rtl w:val="true"/>
        </w:rPr>
        <w:t>الشبهة الرابعة</w:t>
      </w:r>
      <w:r>
        <w:rPr>
          <w:rtl w:val="true"/>
        </w:rPr>
        <w:t>:</w:t>
      </w:r>
      <w:bookmarkEnd w:id="3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یوجد فی بعض التعالیق؛ أنّ التنجیز المستند إلی العلم الإجمالیّ من الأوّل، لا یبقی بعد قیام المنجّز علی حرمة الکذب مثلا بعنوانه؛ ضرورة أنّ الخاصّ بما هو خاصّ، لیس متنجّزا بذلک العلم، بل هو یتنجّز بالطریق القائم علیه، فعلی هذا لا وجه لاستناد تنجّز الواقعیّات إلیه، حتّی یقال بالاحتیاط فیما وراء الطرق</w:t>
      </w:r>
      <w:r>
        <w:rPr>
          <w:rFonts w:eastAsia="IRNazanin" w:cs="IRNazanin"/>
          <w:color w:val="111111"/>
          <w:sz w:val="28"/>
          <w:szCs w:val="28"/>
          <w:rtl w:val="true"/>
          <w:lang w:bidi="fa-IR"/>
        </w:rPr>
        <w:t>.</w:t>
      </w:r>
      <w:bookmarkStart w:id="362" w:name="pg13173_324850"/>
    </w:p>
    <w:p>
      <w:pPr>
        <w:pStyle w:val="BookText"/>
        <w:rPr/>
      </w:pPr>
      <w:bookmarkEnd w:id="362"/>
      <w:r>
        <w:rPr>
          <w:rFonts w:ascii="IRNazanin" w:hAnsi="IRNazanin" w:eastAsia="IRNazanin"/>
          <w:color w:val="111111"/>
          <w:sz w:val="28"/>
          <w:sz w:val="28"/>
          <w:szCs w:val="28"/>
          <w:rtl w:val="true"/>
          <w:lang w:bidi="fa-IR"/>
        </w:rPr>
        <w:t>هذا ملخّص ما أردنا من کلامه و لو کان کلامه فی موقف آخر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سیمرّ علیک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منجّز الخاصّ؛ لأنّ الإهمال الثبوتیّ ممتنع، و الطریق إن أخطأ فلا أثر له، و إن أصاب فلا ینجّز شیئا؛ لأنّ المتنجّز لا یتنجّز ثانیا، فافهم و اغتنم</w:t>
      </w:r>
      <w:r>
        <w:rPr>
          <w:rFonts w:eastAsia="IRNazanin" w:cs="IRNazanin"/>
          <w:color w:val="111111"/>
          <w:sz w:val="28"/>
          <w:szCs w:val="28"/>
          <w:rtl w:val="true"/>
          <w:lang w:bidi="fa-IR"/>
        </w:rPr>
        <w:t>.</w:t>
      </w:r>
    </w:p>
    <w:p>
      <w:pPr>
        <w:pStyle w:val="Heading5"/>
        <w:numPr>
          <w:ilvl w:val="4"/>
          <w:numId w:val="1"/>
        </w:numPr>
        <w:rPr/>
      </w:pPr>
      <w:bookmarkStart w:id="363" w:name="__RefHeading___Toc734925_3244359995"/>
      <w:bookmarkStart w:id="364" w:name="_Toc137"/>
      <w:bookmarkEnd w:id="363"/>
      <w:r>
        <w:rPr>
          <w:rtl w:val="true"/>
        </w:rPr>
        <w:t>فذلکة البحث</w:t>
      </w:r>
      <w:r>
        <w:rPr>
          <w:rtl w:val="true"/>
        </w:rPr>
        <w:t xml:space="preserve">: </w:t>
      </w:r>
      <w:r>
        <w:rPr>
          <w:rtl w:val="true"/>
        </w:rPr>
        <w:t>فی لزوم الاحتیاط عقلا</w:t>
      </w:r>
      <w:bookmarkEnd w:id="364"/>
    </w:p>
    <w:p>
      <w:pPr>
        <w:pStyle w:val="BookText"/>
        <w:rPr/>
      </w:pPr>
      <w:r>
        <w:rPr>
          <w:rFonts w:ascii="IRNazanin" w:hAnsi="IRNazanin" w:eastAsia="IRNazanin"/>
          <w:color w:val="111111"/>
          <w:sz w:val="28"/>
          <w:sz w:val="28"/>
          <w:szCs w:val="28"/>
          <w:rtl w:val="true"/>
          <w:lang w:bidi="fa-IR"/>
        </w:rPr>
        <w:t>إنّ العلم الإجمالیّ بالإلزامیّات التحریمیّة فی الشریعة المقدّسة، یوجب تنجّزها، و حیث لا سبیل إلی تعیین تلک المحرّمات، لا بدّ من الاحتیاط فی موارد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الطرق علی حرمة طائفة من الأفعال و عدمه، علی حدّ سواء؛ لأنّها إن أخطأت فهو بلا أثر، و إن أصابت یکون ذلک المؤدّی المحرّم، منجّزا بذلک العلم السابق قهرا و طبعا، فلا یعقل أن یتنجّز ثانیا شی‌ء به؛ لأنّ احتمال الزیادة و إن کان موجودا، و لکنّه مجرّد احتمال، فلا یثبت تنجیز شی‌ء بذلک الطریق؛ بعد احتمال کون المقدار المعلوم موافقا للواقع أو أکثر، فلا یترتّب علی قیام الطرق شی‌ء إلّا احتمالا، لا واقعا؛ حتّی فی صورة الإصابة، فاستناد التنجیز إلیه ممنوع، بخلاف الاستناد إلی العلم، فإنّه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الخصوصیّة مستندة إلی الطریق، دون العلم، فیکون فی مورد قیام الطریق المصیب، توارد منجّزین،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ینجّز الحرمة،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ینجّز حرمة الکذب، و الریاء، و هکذا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أثر له فی سلب أثر العلم، و لا منع من تواردهما إذا</w:t>
      </w:r>
    </w:p>
    <w:p>
      <w:pPr>
        <w:pStyle w:val="BookText"/>
        <w:rPr/>
      </w:pPr>
      <w:r>
        <w:rPr>
          <w:rFonts w:ascii="IRNazanin" w:hAnsi="IRNazanin" w:eastAsia="IRNazanin"/>
          <w:color w:val="111111"/>
          <w:sz w:val="28"/>
          <w:sz w:val="28"/>
          <w:szCs w:val="28"/>
          <w:rtl w:val="true"/>
          <w:lang w:bidi="fa-IR"/>
        </w:rPr>
        <w:t>کانت الخصوصیّة الثابتة ذات أثر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المتنجّز بالعلم هو الخاصّ أیضا؛ و ذلک لأنّ المعلوم بالإجمال و لو کان غیر متعیّن و غیر متمیّز بالنسبة إلی مرحلة العلم و الإثبات، إلّا أنّ فی صورة کون الواقع بمقدار المعلوم، یتنجّز الخاصّ قطعا؛ لامتناع الإهمال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فی العشرة خمسة محرّمة بالحرمة الغصبیّة، و لکنّه یعلم بأصل الحرمة من الخمسة، فإنّه یتنجّز حرمة الغصب واقعا، و هی الحرمة الخاصّة و إن لم یعلم بالخصوصیّة؛ ضرورة أنّ العلم متعلّق بالواقع بالعرض، و الواقع یتنجّز بالعرض، و هو المحرّم الغصبیّ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الواقع و المقدار المعلوم متساویین، و هکذا إذا کان الواقع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الواقع أکثر، فمقتضی تنجیز العلم جمیع الأطراف، کون تلک الزیادة الخاصّة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الإجمال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منجّزة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المعلوم بالإجمال و الواقع صور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متساویین، کون الواقع أقلّ، و بالعکس، ففی الصورتین الاولیین لا یستند التنجّز إلی الطرق، إلّا أنّ العلم الإجمالیّ ینحلّ لو لا الإشکال الذی مرّ، و فی الصورة الثالثة یتنجّز المعلوم و المقدار الزائد؛ لإمکان انطباقه علیه، فتکون جمیع الواقعیّات منجّزة و لو کان طائفة منها مورد الاحتمال، و خارجة عن مورد العلم و طرفه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تکن جمیع الواقعیّات المعلومة و الزائد علیها، منجّزة و موجبة لاستحقاق العقوبة، لکان فی ترک العبد جمیعها أمن من العقوبة؛ لأنّ الشرع لا یعاقب إلّا علی ارتکاب الکذب المحرّم، و الغیبة المحرّمة و هکذا، فیعاقب علی الخواصّ، لما لا یعقل جعل الحرمة المهملة ثبوتا، فیکون العقاب علی ارتکاب الخاصّ، و إذا کان المقدار المعلوم موجبا للاستحقاق، و لم یطلع العبد علی الطرق،</w:t>
      </w:r>
    </w:p>
    <w:p>
      <w:pPr>
        <w:pStyle w:val="BookText"/>
        <w:rPr/>
      </w:pPr>
      <w:r>
        <w:rPr>
          <w:rFonts w:ascii="IRNazanin" w:hAnsi="IRNazanin" w:eastAsia="IRNazanin"/>
          <w:color w:val="111111"/>
          <w:sz w:val="28"/>
          <w:sz w:val="28"/>
          <w:szCs w:val="28"/>
          <w:rtl w:val="true"/>
          <w:lang w:bidi="fa-IR"/>
        </w:rPr>
        <w:t>و ارتکب الکلّ، یلزم امتناع عقابه علی المولی؛ لما لا تتمّ حجّة المولی علی الخاصّ، و ما هو التامّ علیه حجّة غیر مجعولة؛ و هی الحرمة المجملة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نجد درک العقل صحّة عقوبة العبد علی ارتکاب الکذب و شرب الخمر و هکذا، فیعلم منه تنجّز الخاصّ، و لازم ذلک تنجّز المقدار الزائد لو کان لانطباق المعلوم علیه طبعا علی البدلیّة؛ لما لا ممیّز له فی مرحلة الإثبات، فیکون موجبا نفس هذا الإجمال، لاستحقاق العبد بالنسبة إلی الزائد، فاغتنم و تدبّر، فإنّه جدیر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لا معنی لانحلال العلم الإجمالیّ بعد قیام الطرق علی المقدار المعلوم؛ لا واقعا، 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قبل الإشارة إلی حلّ المعضلة المذکورة،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اختلاف الأعلام رحمهم اللّه فی أنّ الانحلال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أو حکمیّ </w:t>
      </w:r>
      <w:r>
        <w:rPr>
          <w:rStyle w:val="FootnoteAnchor"/>
          <w:rtl w:val="true"/>
        </w:rPr>
        <w:footnoteReference w:id="490"/>
      </w:r>
      <w:r>
        <w:rPr>
          <w:rFonts w:ascii="IRNazanin" w:hAnsi="IRNazanin" w:eastAsia="IRNazanin"/>
          <w:color w:val="111111"/>
          <w:sz w:val="28"/>
          <w:sz w:val="28"/>
          <w:szCs w:val="28"/>
          <w:rtl w:val="true"/>
          <w:lang w:bidi="fa-IR"/>
        </w:rPr>
        <w:t xml:space="preserve">، غیر راجع إلی محصّل عندنا؛ و ذلک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زوال القضیّة التردیدیّة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القضیّة البتیّة القطعیّة، و القضیّة المشکوک فیها، فهو حاصل بالضرورة، و لا یجوز لأحد إنکاره بعد ما لم یکن ممیّز بین المعلوم بالإجمال و ما قام علیه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 أحد الإناءین محرّم، و قام الطریق علی حرمة أحدهما، لا یبقی الإجمال؛ لانعدام القضیّة المنفصلة، بخلاف ما إذا کان المعلوم حرمة أحد الإناءین حرمة غصبیّة، و قام الطریق علی حرمة أحدهما المعیّن حرمة خمریّة، فإنّ التردید بعد باق، و الانحلال بلا وجه، إلّا أنّه یجوز دعوی انحلاله الحکمیّ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ذهاب الأثر، فهو غیر صحیح؛</w:t>
      </w:r>
      <w:bookmarkStart w:id="365" w:name="pg13173_324853"/>
    </w:p>
    <w:p>
      <w:pPr>
        <w:pStyle w:val="BookText"/>
        <w:rPr/>
      </w:pPr>
      <w:bookmarkEnd w:id="365"/>
      <w:r>
        <w:rPr>
          <w:rFonts w:ascii="IRNazanin" w:hAnsi="IRNazanin" w:eastAsia="IRNazanin"/>
          <w:color w:val="111111"/>
          <w:sz w:val="28"/>
          <w:sz w:val="28"/>
          <w:szCs w:val="28"/>
          <w:rtl w:val="true"/>
          <w:lang w:bidi="fa-IR"/>
        </w:rPr>
        <w:t>لما اشیر إلیه آنفا، و تبیّن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بحسب التصوّر العلمی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تکوینیّ، و حقیقیّ، و حکمیّ، و التفصیل یطلب من محلّه إن شاء اللّه تعالی</w:t>
      </w:r>
      <w:r>
        <w:rPr>
          <w:rFonts w:eastAsia="IRNazanin" w:cs="IRNazanin"/>
          <w:color w:val="111111"/>
          <w:sz w:val="28"/>
          <w:szCs w:val="28"/>
          <w:rtl w:val="true"/>
          <w:lang w:bidi="fa-IR"/>
        </w:rPr>
        <w:t>.</w:t>
      </w:r>
    </w:p>
    <w:p>
      <w:pPr>
        <w:pStyle w:val="Heading5"/>
        <w:numPr>
          <w:ilvl w:val="4"/>
          <w:numId w:val="1"/>
        </w:numPr>
        <w:rPr/>
      </w:pPr>
      <w:bookmarkStart w:id="366" w:name="__RefHeading___Toc734927_3244359995"/>
      <w:bookmarkStart w:id="367" w:name="_Toc138"/>
      <w:bookmarkEnd w:id="366"/>
      <w:r>
        <w:rPr>
          <w:rtl w:val="true"/>
        </w:rPr>
        <w:t>الإیراد علی وجوب الاحتیاط</w:t>
      </w:r>
      <w:bookmarkEnd w:id="367"/>
    </w:p>
    <w:p>
      <w:pPr>
        <w:pStyle w:val="BookText"/>
        <w:rPr/>
      </w:pPr>
      <w:r>
        <w:rPr>
          <w:rFonts w:ascii="IRNazanin" w:hAnsi="IRNazanin" w:eastAsia="IRNazanin"/>
          <w:color w:val="111111"/>
          <w:sz w:val="28"/>
          <w:sz w:val="28"/>
          <w:szCs w:val="28"/>
          <w:rtl w:val="true"/>
          <w:lang w:bidi="fa-IR"/>
        </w:rPr>
        <w:t>هذا غایة ما فی الباب علی خلاف الاصولیّین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وجوب الاحتیاط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إمکان تصدیق عدم جریان البراءتین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العقلائیّة؛ لتمامیّة البیان عند العقل و العقلاء، دون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أدلّة البراءة و إن کانت بعضها غیر جاریة ذاتا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الحجب و أشباهه </w:t>
      </w:r>
      <w:r>
        <w:rPr>
          <w:rStyle w:val="FootnoteAnchor"/>
          <w:rtl w:val="true"/>
        </w:rPr>
        <w:footnoteReference w:id="491"/>
      </w:r>
      <w:r>
        <w:rPr>
          <w:rFonts w:ascii="IRNazanin" w:hAnsi="IRNazanin" w:eastAsia="IRNazanin"/>
          <w:color w:val="111111"/>
          <w:sz w:val="28"/>
          <w:sz w:val="28"/>
          <w:szCs w:val="28"/>
          <w:rtl w:val="true"/>
          <w:lang w:bidi="fa-IR"/>
        </w:rPr>
        <w:t xml:space="preserve">نظرا إلی أنّ الحجّة مقصودة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الحجّة أعمّ من البیان العقلیّ و الشرعیّ، کما مرّ مرارا</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بعضها لا یأبی عن الجریان فی أطراف العلم، کحدیث الرفع </w:t>
      </w:r>
      <w:r>
        <w:rPr>
          <w:rStyle w:val="FootnoteAnchor"/>
          <w:rtl w:val="true"/>
        </w:rPr>
        <w:footnoteReference w:id="4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بناء علی جریانه فی الحکمیّة، 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فیها مسند إلی المکلّفین، و لا یصلح حمله علی الحجّة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ذلک؛ لما لا معنی له إلّا بالتصرّف فی الهیئة، فیکون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تقوم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لم یکن لدیک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فتفسیره بأنّه</w:t>
      </w:r>
    </w:p>
    <w:p>
      <w:pPr>
        <w:pStyle w:val="BookText"/>
        <w:rPr/>
      </w:pPr>
      <w:r>
        <w:rPr>
          <w:rFonts w:ascii="IRNazanin" w:hAnsi="IRNazanin" w:eastAsia="IRNazanin"/>
          <w:color w:val="111111"/>
          <w:sz w:val="28"/>
          <w:sz w:val="28"/>
          <w:szCs w:val="28"/>
          <w:rtl w:val="true"/>
          <w:lang w:bidi="fa-IR"/>
        </w:rPr>
        <w:t>رفع ما لا یحتجّون علیه، أمر بعید عن المتفاهم من الأدلّة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یکن منع ذاتا عن جریانها فی أطراف العلم الإجمالیّ؛ ضرورة أنّ کلّ واحد من الأطراف ممّا لا یعلمونه، کما سیظهر تحقیقه فی مباحث الاشتغال </w:t>
      </w:r>
      <w:r>
        <w:rPr>
          <w:rStyle w:val="FootnoteAnchor"/>
          <w:rtl w:val="true"/>
        </w:rPr>
        <w:footnoteReference w:id="495"/>
      </w:r>
      <w:r>
        <w:rPr>
          <w:rFonts w:ascii="IRNazanin" w:hAnsi="IRNazanin" w:eastAsia="IRNazanin"/>
          <w:color w:val="111111"/>
          <w:sz w:val="28"/>
          <w:sz w:val="28"/>
          <w:szCs w:val="28"/>
          <w:rtl w:val="true"/>
          <w:lang w:bidi="fa-IR"/>
        </w:rPr>
        <w:t>، فلا بأس بجریانه فی سائر موارد الشبهة؛ ضرورة أنّا نعلم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موارد قیام الطرق و الأمارات، لا تجری البراءه الشرعیّة، فلا یلزم مخالفة عملیة للعلم، و قد مرّ إمکان ترخیص الشرع فی الزائد</w:t>
      </w:r>
      <w:r>
        <w:rPr>
          <w:rStyle w:val="FootnoteAnchor"/>
          <w:rtl w:val="true"/>
        </w:rPr>
        <w:footnoteReference w:id="496"/>
      </w:r>
      <w:r>
        <w:rPr>
          <w:rFonts w:ascii="IRNazanin" w:hAnsi="IRNazanin" w:eastAsia="IRNazanin"/>
          <w:color w:val="111111"/>
          <w:sz w:val="28"/>
          <w:sz w:val="28"/>
          <w:szCs w:val="28"/>
          <w:rtl w:val="true"/>
          <w:lang w:bidi="fa-IR"/>
        </w:rPr>
        <w:t>، کما هو المفروغ عنه فی الشبهات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نختار فی المثال الأخیر، أنّ العبد المخالف للعلم الإجمالی المذکور، من غیر أن یطّلع علی أحد من الأدلّة المثبتة للتکلیف التحریمیّ، لا یجوز عقابه علی شی‌ء من المعلوم بالإجمال؛ لأنّه فیما إذا کان الواقع أکثر من المعلوم بالإجمال، و کان عقاب کلّ واحد من المعلوم بالإجمال، عقابا خاصّا مباینا للآخر، لا یمکن أن یعاقب علی المقدار المعلوم؛ لما لا تمیّز فی البین، فلا بدّ من أن یعاقب علی المعلوم و الزائد علیه؛ لأنّه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 بذلک العلم، و هو من الظلم عند العقل، فلا یکون مثل هذا العلم، منجّزا و موجبا لاستحقاقه عند المولی العادل، أو لا یعاقب؛ للترجیح بلا مرجّح، و إن کان یستحقّ علی المقدار المعلوم، إلّا أنّه لمکان لا معلومیّته الخاصّة، لا یمکن عقابه، و هذا هو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یمکن المؤاخذة علی شی‌ء من المقدار المعلوم و لو کان العقاب علی نعت الأقلّ و الأکثر؛ لأنّ اختیار أحد المحرّمات للسؤال ترجیح بلا مرجّح؛ للزوم جواز السؤال عن الزائد علی المقدار المعلوم، و هو من الظلم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لتنجیز ذلک العلم احتمال التساوی، و هکذا احتمال کون الواقع أقلّ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احتمال الزیادة یضرّ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استحقاقه علی المقدار المعلوم، و لکن یمتنع عقابه علی المولی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بالتنجیز؛ لکفایة لزوم الاستحقاق علی المقدار المعلوم فی تنجیزه؛ بعد وجوب کسب المؤمّن علی الاحتمالین الأوّلین، غیر تامّة و إن ذکرناها آنفا؛ و ذلک لأنّ الاستحقاق علی المقدار المعلوم إذا کان الواقع زائدا ممنوع؛ لما لا یمکن تعیین ما یستحقّ علیه،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العلم الإجمالیّ بمقدار مبغوض فی الإسلام، غیر کاف؛ لإمکان أن لا یکون المبغوض مورد النهی؛ نظرا إلی مصلحة التسهیل، و عدم وجود شرط الإجراء و التبلیغ، فما هو المبغوض للمولی و إن کان واجبا اجتنابه، إلّا أنّ فی مرحلة الثبوت یجوز اختلاف أقسام المبغوض، و فی موارد الشکّ فی النوع الخاصّ منه، أیضا لا یؤثّر العلم، و مدّعی العلم الإجمالیّ لا یدّعی العلم بالمبغوض،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الإجمالیّ بوجود تکالیف تحریمیّة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المقدار المعلوم فی الطرق الواصلة، فیکون منجّزا، کما هو رأی الاصولیّ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الإجمالیّ بوجود التکالیف الأعمّ من الواصلة و غیر الواصلة، فلا یصلح للتنجیز؛ ضرورة أنّ حقیقة التکلیف و البعث لأجل إیجاد الداعی، أو للبعث نحو المادّة، و إذا لم یکن واصلا إلی المکلّفین فی عصرنا، و غیر واصل إلی عصر الظهور، لا یعقل فعلیّته، و ما لا فعلیّة له لا تبعة له، و ما لا تبعة له لا یکون العلم الإجمالیّ مفیدا و مؤثّرا بالضرورة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إبلاغ الحکم بتوسّط الرسول الأعظم و تحریم شی‌ء، غیر کاف لبقاء الحرمة أبدا، بل الحرمة تزول عند انعدام الدلیل؛ لما لا یعقل بقاء الإرادة الجدّیة الباعثة مع عدم إمکان الانبعاث دائما، فعلی هذا لا یؤثّر العلم المذکور حتّی</w:t>
      </w:r>
    </w:p>
    <w:p>
      <w:pPr>
        <w:pStyle w:val="BookText"/>
        <w:rPr/>
      </w:pPr>
      <w:r>
        <w:rPr>
          <w:rFonts w:ascii="IRNazanin" w:hAnsi="IRNazanin" w:eastAsia="IRNazanin"/>
          <w:color w:val="111111"/>
          <w:sz w:val="28"/>
          <w:sz w:val="28"/>
          <w:szCs w:val="28"/>
          <w:rtl w:val="true"/>
          <w:lang w:bidi="fa-IR"/>
        </w:rPr>
        <w:t>نحتاج إلی حلّه حقیقة أو حکما، و قد عرفت منع الانحلال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التحریمیّة کما تنشأ عن فقد النصّ، تنشأ عن إجماله، فإن کان من قبیل الأوّل فالأمر کما تحرّر، و أمّا إن کان من قبیل الثانی، و کان جماعة من المکلّفین معتقدین بعدم إجماله، فتجوز فعلیّة التکلیف؛ حسبما تحرّر من قانونیّة التکالیف الإلهیّة، و لیست هی شخصیّة، کما تبیّن تحقیقه فی محلّه </w:t>
      </w:r>
      <w:r>
        <w:rPr>
          <w:rStyle w:val="FootnoteAnchor"/>
          <w:rtl w:val="true"/>
        </w:rPr>
        <w:footnoteReference w:id="497"/>
      </w:r>
      <w:r>
        <w:rPr>
          <w:rFonts w:ascii="IRNazanin" w:hAnsi="IRNazanin" w:eastAsia="IRNazanin"/>
          <w:color w:val="111111"/>
          <w:sz w:val="28"/>
          <w:sz w:val="28"/>
          <w:szCs w:val="28"/>
          <w:rtl w:val="true"/>
          <w:lang w:bidi="fa-IR"/>
        </w:rPr>
        <w:t>، و إذا جازت فعلیّتها بالنسبة إلی الکلّ، یکون العلم الإجمالیّ مؤثّرا، و لازم ذلک هو التفصیل بین الشبهات التحریمیّة حسب اختلاف مناشئها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إدعاء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قلیل جدّا فی قبال الشبهات، و قد اتفق الأخباریّون و الاصولیّون علی جریان البراءة فی هذه الصورة، مع أنّ السیرة القطعیّة علی الجریان؛ و لو کان مقتضی التحقیق تنجیز العلم فی موارد القلیل فی الکثیر،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لبقاء فعلیّة جمیع التکالیف التی صدرت عن لسان النبیّ صلّی اللّه علیه و آله و سلّم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انمحت بعد ذلک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هذا العلم الموجب للاحتیاط، و یکفی هذا أثرا لبقاء الإرادة الجدّیة الفعلیّة الزاجرة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إن کان کذلک، إلّا أنّ المتعارف فی باب الأمر و النهی، هو إیجاد الداعی، أو الباعثیّة و الزاجریّة، و أمّا مجرّد کونه لأجل الغرض الآخر، فهو بعید ذاتا فلیتأمّل، و یکفی علی هذا جریان البراءة الشرعیّة، کما عرفت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بوجود المبغوضات المبرزة، أیضا موجود و مؤثّر؛ لأنّ تلک النواهی المضمحلّة الفانیة غیر الواصلة، مبرزة للمبغوضیّة التی یجب عقلا الاجتناب عنها کما لا یخفی، و علی هذا لا یتمّ هذا الجواب ظاهرا</w:t>
      </w:r>
      <w:r>
        <w:rPr>
          <w:rFonts w:eastAsia="IRNazanin" w:cs="IRNazanin"/>
          <w:color w:val="111111"/>
          <w:sz w:val="28"/>
          <w:szCs w:val="28"/>
          <w:rtl w:val="true"/>
          <w:lang w:bidi="fa-IR"/>
        </w:rPr>
        <w:t>.</w:t>
      </w:r>
      <w:bookmarkStart w:id="368" w:name="pg13173_324857"/>
    </w:p>
    <w:p>
      <w:pPr>
        <w:pStyle w:val="BookText"/>
        <w:rPr/>
      </w:pPr>
      <w:bookmarkEnd w:id="368"/>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الاصولیّون إلی البراءة، و الأخباریّون إلی الاحتیاط مطلقا، و مقتضی ما یستفاد منهم قولهم بالبراءة لو ثبت فی الشرع جریان البراءة فی الشبهات التحریمیّة إجمالا، فیحصل الإجماع المرکّب بالنسبة إلی سائر الموارد؛ و ذلک لأنّ فی موارد لزوم الحرج و المرج و الاختلال، لا یجب الاحتیاط بالضرورة فتأمّل، و هذا هو وجه التجزّی فی الاحتیاط، و منه یعلم وجه المناقشة فیه، فافهم</w:t>
      </w:r>
      <w:r>
        <w:rPr>
          <w:rFonts w:eastAsia="IRNazanin" w:cs="IRNazanin"/>
          <w:color w:val="111111"/>
          <w:sz w:val="28"/>
          <w:szCs w:val="28"/>
          <w:rtl w:val="true"/>
          <w:lang w:bidi="fa-IR"/>
        </w:rPr>
        <w:t>.</w:t>
      </w:r>
    </w:p>
    <w:p>
      <w:pPr>
        <w:pStyle w:val="Heading5"/>
        <w:numPr>
          <w:ilvl w:val="4"/>
          <w:numId w:val="1"/>
        </w:numPr>
        <w:rPr/>
      </w:pPr>
      <w:bookmarkStart w:id="369" w:name="__RefHeading___Toc734929_3244359995"/>
      <w:bookmarkStart w:id="370" w:name="_Toc139"/>
      <w:bookmarkEnd w:id="369"/>
      <w:r>
        <w:rPr>
          <w:rtl w:val="true"/>
        </w:rPr>
        <w:t>تذنیب</w:t>
      </w:r>
      <w:r>
        <w:rPr>
          <w:rtl w:val="true"/>
        </w:rPr>
        <w:t xml:space="preserve">: </w:t>
      </w:r>
      <w:r>
        <w:rPr>
          <w:rtl w:val="true"/>
        </w:rPr>
        <w:t>حول أصالة الحظر</w:t>
      </w:r>
      <w:bookmarkEnd w:id="370"/>
    </w:p>
    <w:p>
      <w:pPr>
        <w:pStyle w:val="BookText"/>
        <w:rPr/>
      </w:pPr>
      <w:r>
        <w:rPr>
          <w:rFonts w:ascii="IRNazanin" w:hAnsi="IRNazanin" w:eastAsia="IRNazanin"/>
          <w:color w:val="111111"/>
          <w:sz w:val="28"/>
          <w:sz w:val="28"/>
          <w:szCs w:val="28"/>
          <w:rtl w:val="true"/>
          <w:lang w:bidi="fa-IR"/>
        </w:rPr>
        <w:t>ربّما یتوهّم أصالة الحظر</w:t>
      </w:r>
      <w:r>
        <w:rPr>
          <w:rStyle w:val="FootnoteAnchor"/>
          <w:rtl w:val="true"/>
        </w:rPr>
        <w:footnoteReference w:id="498"/>
      </w:r>
      <w:r>
        <w:rPr>
          <w:rFonts w:ascii="Amiri" w:hAnsi="Amiri" w:eastAsia="Amiri" w:cs="Amiri"/>
          <w:color w:val="111111"/>
          <w:sz w:val="28"/>
          <w:sz w:val="28"/>
          <w:szCs w:val="28"/>
          <w:rtl w:val="true"/>
          <w:lang w:bidi="ar-SA"/>
        </w:rPr>
        <w:t>، و من الغریب توهّم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ما فِی الْأَرْضِ جَمِیعاً</w:t>
      </w:r>
      <w:r>
        <w:rPr>
          <w:rStyle w:val="FootnoteAnchor"/>
          <w:rtl w:val="true"/>
        </w:rPr>
        <w:footnoteReference w:id="499"/>
      </w:r>
      <w:r>
        <w:rPr>
          <w:rFonts w:ascii="IRNazanin" w:hAnsi="IRNazanin" w:eastAsia="IRNazanin"/>
          <w:color w:val="111111"/>
          <w:sz w:val="28"/>
          <w:sz w:val="28"/>
          <w:szCs w:val="28"/>
          <w:rtl w:val="true"/>
          <w:lang w:bidi="fa-IR"/>
        </w:rPr>
        <w:t xml:space="preserve">یمنع ذلک، کما فی کلام العلّامة النائینیّ </w:t>
      </w:r>
      <w:r>
        <w:rPr>
          <w:rStyle w:val="FootnoteAnchor"/>
          <w:rtl w:val="true"/>
        </w:rPr>
        <w:footnoteReference w:id="500"/>
      </w:r>
      <w:r>
        <w:rPr>
          <w:rFonts w:ascii="IRNazanin" w:hAnsi="IRNazanin" w:eastAsia="IRNazanin"/>
          <w:color w:val="111111"/>
          <w:sz w:val="28"/>
          <w:sz w:val="28"/>
          <w:szCs w:val="28"/>
          <w:rtl w:val="true"/>
          <w:lang w:bidi="fa-IR"/>
        </w:rPr>
        <w:t xml:space="preserve">و غیره </w:t>
      </w:r>
      <w:r>
        <w:rPr>
          <w:rStyle w:val="FootnoteAnchor"/>
          <w:rtl w:val="true"/>
        </w:rPr>
        <w:footnoteReference w:id="501"/>
      </w:r>
      <w:r>
        <w:rPr>
          <w:rFonts w:ascii="IRNazanin" w:hAnsi="IRNazanin" w:eastAsia="IRNazanin"/>
          <w:color w:val="111111"/>
          <w:sz w:val="28"/>
          <w:sz w:val="28"/>
          <w:szCs w:val="28"/>
          <w:rtl w:val="true"/>
          <w:lang w:bidi="fa-IR"/>
        </w:rPr>
        <w:t>، غفلة عن أنّ الآیة لا تدلّ علی أنّ الأشیاء مخلوقة للناس بحسب مختلف الآثار و المنافع؛ أی تکون الآیة ذات إطلاق أفرادیّ، لا أحوالیّ، فخلق الکلب لنا مثلا کون جمیع منافعه لنا، فهو خارج عنها،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یقال تقریبا لأصالة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مالکیّته تعالی المانعة عن جواز التصرّف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تلک المالکیّة المرهون جواز التصرّف فیها علی طیب المالک، و اللّه العالم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تشبه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الأشیاء لأجلک،</w:t>
      </w:r>
    </w:p>
    <w:p>
      <w:pPr>
        <w:pStyle w:val="BookText"/>
        <w:rPr/>
      </w:pPr>
      <w:r>
        <w:rPr>
          <w:rFonts w:ascii="IRNazanin" w:hAnsi="IRNazanin" w:eastAsia="IRNazanin"/>
          <w:color w:val="111111"/>
          <w:sz w:val="28"/>
          <w:sz w:val="28"/>
          <w:szCs w:val="28"/>
          <w:rtl w:val="true"/>
          <w:lang w:bidi="fa-IR"/>
        </w:rPr>
        <w:t>و خلقتک لأجلی</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فتکون أجنبیّة عن مسألة التشریع، کما حرّرناه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 الکبیر</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جَمِیعاً حالا من ضمیر الخطاب؛ أی للمجموع، فلو کان کذلک یلزم اعتبار رضا المجموع فی تصرّف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الآیة مرتبطة بمسألتنا، للزمت التخصیصات الکثیرة بعدد المحرّمات، و التقییدات غیر العدیدة بعدد المکروهات؛ ضرورة أنّها بصدد الترغیب فی رجحان التصرّف، و هو ینافی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التخصیصات الکثیرة إلی الواحد غیر صحیح؛ لأنّه لیس بیدنا، و إلّا یلزم أن لا یوجد مورد تکون فیه التخصیصات الکثیرة،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 کلّه التفتّ إلی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استدلّ بها و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إنّه من المؤلّف؛ لما نجد من الاستدلال بهما فی تفسیر الفخر</w:t>
      </w:r>
      <w:r>
        <w:rPr>
          <w:rStyle w:val="FootnoteAnchor"/>
          <w:rtl w:val="true"/>
        </w:rPr>
        <w:footnoteReference w:id="507"/>
      </w:r>
      <w:r>
        <w:rPr>
          <w:rFonts w:ascii="IRNazanin" w:hAnsi="IRNazanin" w:eastAsia="IRNazanin"/>
          <w:color w:val="111111"/>
          <w:sz w:val="28"/>
          <w:sz w:val="28"/>
          <w:szCs w:val="28"/>
          <w:rtl w:val="true"/>
          <w:lang w:bidi="fa-IR"/>
        </w:rPr>
        <w:t xml:space="preserve">و غیره </w:t>
      </w:r>
      <w:r>
        <w:rPr>
          <w:rStyle w:val="FootnoteAnchor"/>
          <w:rtl w:val="true"/>
        </w:rPr>
        <w:footnoteReference w:id="508"/>
      </w:r>
      <w:r>
        <w:rPr>
          <w:rFonts w:ascii="IRNazanin" w:hAnsi="IRNazanin" w:eastAsia="IRNazanin"/>
          <w:color w:val="111111"/>
          <w:sz w:val="28"/>
          <w:sz w:val="28"/>
          <w:szCs w:val="28"/>
          <w:rtl w:val="true"/>
          <w:lang w:bidi="fa-IR"/>
        </w:rPr>
        <w:t>، فالجواب ما اشیر إلیه، و اتفاق المنتحلین للدیانات، فلا حاجة إلی الترخیص، و إلّا فالملکیّة الاعتباریّة له تعالی ممّا لا بأس بها؛ لقوله تعالی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شَیْ‌ءٍ فَأَنَّ لِلَّهِ </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و لا نرید من هذه الملکیّة إلّا المنع</w:t>
      </w:r>
    </w:p>
    <w:p>
      <w:pPr>
        <w:pStyle w:val="BookText"/>
        <w:rPr/>
      </w:pPr>
      <w:r>
        <w:rPr>
          <w:rFonts w:ascii="IRNazanin" w:hAnsi="IRNazanin" w:eastAsia="IRNazanin"/>
          <w:color w:val="111111"/>
          <w:sz w:val="28"/>
          <w:sz w:val="28"/>
          <w:szCs w:val="28"/>
          <w:rtl w:val="true"/>
          <w:lang w:bidi="fa-IR"/>
        </w:rPr>
        <w:t>عن التصرّف إلّا بالطیب مثلا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تحریم الشرع للتصرّف، لما کان العقل یمنع عن التصرّف فیما نحن فیه بالضرورة، و لا یدرک اعتبار طیب المالک فی جواز التصرّف، و الأدلّة الشرعیّة لا تفی لاعتباره فی المقام، کما لا یخفی</w:t>
      </w:r>
      <w:r>
        <w:rPr>
          <w:rFonts w:eastAsia="IRNazanin" w:cs="IRNazanin"/>
          <w:color w:val="111111"/>
          <w:sz w:val="28"/>
          <w:szCs w:val="28"/>
          <w:rtl w:val="true"/>
          <w:lang w:bidi="fa-IR"/>
        </w:rPr>
        <w:t>.</w:t>
      </w:r>
      <w:bookmarkStart w:id="371" w:name="pg13173_324860"/>
    </w:p>
    <w:p>
      <w:pPr>
        <w:pStyle w:val="Heading3"/>
        <w:numPr>
          <w:ilvl w:val="2"/>
          <w:numId w:val="1"/>
        </w:numPr>
        <w:rPr/>
      </w:pPr>
      <w:bookmarkStart w:id="372" w:name="__RefHeading___Toc734931_3244359995"/>
      <w:bookmarkStart w:id="373" w:name="_Toc140"/>
      <w:bookmarkEnd w:id="371"/>
      <w:bookmarkEnd w:id="372"/>
      <w:r>
        <w:rPr>
          <w:rtl w:val="true"/>
        </w:rPr>
        <w:t>و هنا تنبیهات</w:t>
      </w:r>
      <w:r>
        <w:rPr>
          <w:rtl w:val="true"/>
        </w:rPr>
        <w:t>:</w:t>
      </w:r>
      <w:bookmarkEnd w:id="373"/>
    </w:p>
    <w:p>
      <w:pPr>
        <w:pStyle w:val="Heading4"/>
        <w:numPr>
          <w:ilvl w:val="3"/>
          <w:numId w:val="1"/>
        </w:numPr>
        <w:rPr/>
      </w:pPr>
      <w:bookmarkStart w:id="374" w:name="__RefHeading___Toc734933_3244359995"/>
      <w:bookmarkStart w:id="375" w:name="_Toc141"/>
      <w:bookmarkEnd w:id="374"/>
      <w:r>
        <w:rPr>
          <w:rtl w:val="true"/>
        </w:rPr>
        <w:t>التنبیه الأوّل فی حدود جریان البراءة</w:t>
      </w:r>
      <w:bookmarkEnd w:id="375"/>
    </w:p>
    <w:p>
      <w:pPr>
        <w:pStyle w:val="BookText"/>
        <w:rPr/>
      </w:pPr>
      <w:r>
        <w:rPr>
          <w:rFonts w:ascii="IRNazanin" w:hAnsi="IRNazanin" w:eastAsia="IRNazanin"/>
          <w:color w:val="111111"/>
          <w:sz w:val="28"/>
          <w:sz w:val="28"/>
          <w:szCs w:val="28"/>
          <w:rtl w:val="true"/>
          <w:lang w:bidi="fa-IR"/>
        </w:rPr>
        <w:t xml:space="preserve">لا شبهة فی جریان البراءة فی الجملة فی الشبهات التحریمیّة و الوجوبیّة، و ستمرّ علیک مسألة دوران الأمر بین الواجب و الحرام إن شاء اللّه تعالی </w:t>
      </w:r>
      <w:r>
        <w:rPr>
          <w:rStyle w:val="FootnoteAnchor"/>
          <w:rtl w:val="true"/>
        </w:rPr>
        <w:footnoteReference w:id="510"/>
      </w:r>
      <w:r>
        <w:rPr>
          <w:rFonts w:ascii="IRNazanin" w:hAnsi="IRNazanin" w:eastAsia="IRNazanin"/>
          <w:color w:val="111111"/>
          <w:sz w:val="28"/>
          <w:sz w:val="28"/>
          <w:szCs w:val="28"/>
          <w:rtl w:val="true"/>
          <w:lang w:bidi="fa-IR"/>
        </w:rPr>
        <w:t>، و لا شبهة فی عدم الفرق بین کون المنشأ لها فقد النصّ، أو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تعارض النصّین و الأدلّة، لا تجری البراءة؛ لمکان الأمر بالتخییر، فما فی کلام القوم هنا من الإطلاق، محمول علی ما هو مقتضی القاعدة عندهم، و التنجیز علی خلافها کما هو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أیضا غیر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مقتضی ما مرّ فی الجواب الثالث </w:t>
      </w:r>
      <w:r>
        <w:rPr>
          <w:rStyle w:val="FootnoteAnchor"/>
          <w:rtl w:val="true"/>
        </w:rPr>
        <w:footnoteReference w:id="511"/>
      </w:r>
      <w:r>
        <w:rPr>
          <w:rFonts w:ascii="IRNazanin" w:hAnsi="IRNazanin" w:eastAsia="IRNazanin"/>
          <w:color w:val="111111"/>
          <w:sz w:val="28"/>
          <w:sz w:val="28"/>
          <w:szCs w:val="28"/>
          <w:rtl w:val="true"/>
          <w:lang w:bidi="fa-IR"/>
        </w:rPr>
        <w:t>، عدم الحاجة إلی البراءة؛ لعدم بقاء الشبهة فی موارد فقد النصّ، لامتناع بقاء التکلیف غیر الواصل إلی أحد، فلا حاجة إلی الأصل المذکور، فتدبّر و تأمّل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الشبهة الموضوعیّة، فقد مرّ الکلام حول جریان البراءة العقلیّة حولها</w:t>
      </w:r>
      <w:r>
        <w:rPr>
          <w:rStyle w:val="FootnoteAnchor"/>
          <w:rtl w:val="true"/>
        </w:rPr>
        <w:footnoteReference w:id="512"/>
      </w:r>
      <w:r>
        <w:rPr>
          <w:rFonts w:ascii="IRNazanin" w:hAnsi="IRNazanin" w:eastAsia="IRNazanin"/>
          <w:color w:val="111111"/>
          <w:sz w:val="28"/>
          <w:sz w:val="28"/>
          <w:szCs w:val="28"/>
          <w:rtl w:val="true"/>
          <w:lang w:bidi="fa-IR"/>
        </w:rPr>
        <w:t>، و عرفت أنّه تجری البراءة فیها فی الجملة، إلّا أنّ الشبهات الموضوعیّة</w:t>
      </w:r>
      <w:bookmarkStart w:id="376" w:name="pg13173_324861"/>
    </w:p>
    <w:p>
      <w:pPr>
        <w:pStyle w:val="BookText"/>
        <w:rPr/>
      </w:pPr>
      <w:bookmarkEnd w:id="376"/>
      <w:r>
        <w:rPr>
          <w:rFonts w:ascii="IRNazanin" w:hAnsi="IRNazanin" w:eastAsia="IRNazanin"/>
          <w:color w:val="111111"/>
          <w:sz w:val="28"/>
          <w:sz w:val="28"/>
          <w:szCs w:val="28"/>
          <w:rtl w:val="true"/>
          <w:lang w:bidi="fa-IR"/>
        </w:rPr>
        <w:t>علی أصناف، نشیر إلیها فی التنبیه الآتی إن شاء اللّه تعالی</w:t>
      </w:r>
      <w:r>
        <w:rPr>
          <w:rFonts w:eastAsia="IRNazanin" w:cs="IRNazanin"/>
          <w:color w:val="111111"/>
          <w:sz w:val="28"/>
          <w:szCs w:val="28"/>
          <w:rtl w:val="true"/>
          <w:lang w:bidi="fa-IR"/>
        </w:rPr>
        <w:t>.</w:t>
      </w:r>
    </w:p>
    <w:p>
      <w:pPr>
        <w:pStyle w:val="Heading4"/>
        <w:numPr>
          <w:ilvl w:val="3"/>
          <w:numId w:val="1"/>
        </w:numPr>
        <w:rPr/>
      </w:pPr>
      <w:bookmarkStart w:id="377" w:name="__RefHeading___Toc734935_3244359995"/>
      <w:bookmarkStart w:id="378" w:name="_Toc142"/>
      <w:bookmarkEnd w:id="377"/>
      <w:r>
        <w:rPr>
          <w:rtl w:val="true"/>
        </w:rPr>
        <w:t>التنبیه الثانی فی صور الشک فی الشبهات الموضوعیّة و أحکامها</w:t>
      </w:r>
      <w:bookmarkEnd w:id="378"/>
    </w:p>
    <w:p>
      <w:pPr>
        <w:pStyle w:val="Heading5"/>
        <w:numPr>
          <w:ilvl w:val="4"/>
          <w:numId w:val="1"/>
        </w:numPr>
        <w:rPr/>
      </w:pPr>
      <w:bookmarkStart w:id="379" w:name="__RefHeading___Toc734937_3244359995"/>
      <w:bookmarkStart w:id="380" w:name="_Toc143"/>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ممّا لیس ینبغی إخفاؤه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شقوق الشبهات الموضوعیّة للتکالیف النفسیّة، مخصوص بذیل مسألة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شقوق الشبهات الموضوعیّة للتکالیف الغیریّة و الضمنیّة و الأقلّ و الأکثر، مخصوص بذیل بحث الشکّ فی المکلّف به، فما صنعه جمع منهم من الجمع، فی غیر محلّه،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جریان البراءة فی الجملة فی الشبهات الموضوعیّة علی إجمالها، مورد الاتفاق بین الاصولیّین و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الخلاف فی جریان مطلق البراءة فی مطلق الشبهات، و قد مرّ منع جریان البراءة العقلیّة فی الموضوعیّة عن السیّد الاستاذ الفقیه البروجردیّ قدّس سرّه و ما یرتبط به فی أوائل هذه المسألة بما لا مزید علیه </w:t>
      </w:r>
      <w:r>
        <w:rPr>
          <w:rStyle w:val="FootnoteAnchor"/>
          <w:rtl w:val="true"/>
        </w:rPr>
        <w:footnoteReference w:id="513"/>
      </w:r>
      <w:r>
        <w:rPr>
          <w:rFonts w:ascii="IRNazanin" w:hAnsi="IRNazanin" w:eastAsia="IRNazanin"/>
          <w:color w:val="111111"/>
          <w:sz w:val="28"/>
          <w:sz w:val="28"/>
          <w:szCs w:val="28"/>
          <w:rtl w:val="true"/>
          <w:lang w:bidi="fa-IR"/>
        </w:rPr>
        <w:t>، و المعروف جریانها علی الإطلاق فی بعض صور الشکّ فی الموضوع، فلا بدّ من النظر حول صور الشکّ فی الموضوع حتّی یتبیّن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التحریمیّة،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کلّ من الأمر و النهی بحسب التصوّر، إمّا صرف</w:t>
      </w:r>
    </w:p>
    <w:p>
      <w:pPr>
        <w:pStyle w:val="BookText"/>
        <w:rPr/>
      </w:pPr>
      <w:r>
        <w:rPr>
          <w:rFonts w:ascii="IRNazanin" w:hAnsi="IRNazanin" w:eastAsia="IRNazanin"/>
          <w:color w:val="111111"/>
          <w:sz w:val="28"/>
          <w:sz w:val="28"/>
          <w:szCs w:val="28"/>
          <w:rtl w:val="true"/>
          <w:lang w:bidi="fa-IR"/>
        </w:rPr>
        <w:t>الوجود، و مقابله و هو العدم المطلق، أو نفس الطبیعة، أو العامّ المجموعیّ، أو العامّ الاستغراقیّ و الوجود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فیما هو حقّ التفصیل فی المسألة،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أنّه قد اشتهر فی کلمات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الأمر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الوجود الساری،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الوجود، و فی مقابله العدم المطلق</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بحسب التحقیق، أمر لا محصّل له عند من له التحصیل فی بعض العلوم العالیة؛ ضرورة 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ارید به مفهومه، أو حقیقته التی هی عین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یتعلّق به الأمر أو النهی إلّا بتسامح و تساهل؛ ضرورة أنّ ما هو الخارجیّ منه، لا یمکن أن یتعلّق به الأمر و النهی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لا یعقل أن یصیر خارجیّا؛ لأنّ موطن المفاهیم هی الأذهان، بخلاف الماهیّات، فإنّها ذهنیّة، و خارجیّة بالغیر، و خالیة عنهما حسب رتبة الذات، و فیما إذا ورد الأمر بإیجاد الضرب، أو الإکرام، أو ورد النهی عن إیجاد الشرب، فهو فی الحقیقة لیس إلّا أمرا بالضرب و بعثا نحوه، أو زجرا عن الشرب، حتّی لا یصیر الاختلاف فی أصالة الوجود و الماهیّة، موجبا للاختلاف فی إمکان الامتثال و امتناعه؛ ضرورة أنّ نفس الطبیعة عند الفرق تکون صالحة للخارجیّة، إلّا أنّ اختلافهم فی أمر أجنبیّ عن مسألة الأمر و النهی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تعلّق الأمر أو النهی بمفهوم من المفاهیم، فهو باعتبار منشئه و هی الماهیّة الأصلیّة، أو الاعتباریّة، دون نفس المفهوم الذی موطنه الفهم و الذهن و المدرک</w:t>
      </w:r>
      <w:r>
        <w:rPr>
          <w:rFonts w:eastAsia="IRNazanin" w:cs="IRNazanin"/>
          <w:color w:val="111111"/>
          <w:sz w:val="28"/>
          <w:szCs w:val="28"/>
          <w:rtl w:val="true"/>
          <w:lang w:bidi="fa-IR"/>
        </w:rPr>
        <w:t>.</w:t>
      </w:r>
      <w:bookmarkStart w:id="381" w:name="pg13173_324863"/>
    </w:p>
    <w:p>
      <w:pPr>
        <w:pStyle w:val="Heading5"/>
        <w:numPr>
          <w:ilvl w:val="4"/>
          <w:numId w:val="1"/>
        </w:numPr>
        <w:rPr/>
      </w:pPr>
      <w:bookmarkStart w:id="382" w:name="__RefHeading___Toc734939_3244359995"/>
      <w:bookmarkStart w:id="383" w:name="_Toc144"/>
      <w:bookmarkEnd w:id="381"/>
      <w:bookmarkEnd w:id="382"/>
      <w:r>
        <w:rPr>
          <w:rtl w:val="true"/>
        </w:rPr>
        <w:t>الصورة الاولی</w:t>
      </w:r>
      <w:r>
        <w:rPr>
          <w:rtl w:val="true"/>
        </w:rPr>
        <w:t>:</w:t>
      </w:r>
      <w:bookmarkEnd w:id="383"/>
    </w:p>
    <w:p>
      <w:pPr>
        <w:pStyle w:val="Heading6"/>
        <w:numPr>
          <w:ilvl w:val="5"/>
          <w:numId w:val="1"/>
        </w:numPr>
        <w:rPr/>
      </w:pPr>
      <w:bookmarkStart w:id="384" w:name="__RefHeading___Toc734941_3244359995"/>
      <w:bookmarkStart w:id="385" w:name="_Toc145"/>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أن یتعلّق الأمر أو النهی بنفس الطبیعة، فهل فی الشبهة الموضوعیّة یجب الاحتیاط، أم لا؟ و 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بالاشتغال 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قضیّة الأمر لیست إلّا وجوب نفس الطبیعة، فلا یجوز الاکتفاء بالامتثال فی الشبهة الموضوعیّة، فلا تجری البراءة، و إذا امتثل فلا یبقی الأمر بالضرورة، فلا حاجة إلی البراءة بعد الإتیان بالفرد المعلوم،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نظیر ما ورد من الأمر بإطعام مسکین، أو فی مورد النذر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الشبهة التحریمیّة فاختار الاحتیاط؛ نظرا إلی أنّ مقتضی النهی، لزوم إبقاء العدم المطلق، و إذا شکّ فلا بدّ من الاحتیاط؛ لاحتمال العصیان و الخروج عمّا هو وظیفته، و یکون من الشکّ فی الامتثال اللازم علیه بإبقاء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الطبیعة بترک جمیع الأفراد، و لا بدّ من العلم بترک جمیع الأفراد حتّی یعلم بترک الطبیعة؛ لأنّ المفروض اشتغال ذمّته بما یقابل صرف الوجود</w:t>
      </w:r>
      <w:r>
        <w:rPr>
          <w:rStyle w:val="FootnoteAnchor"/>
          <w:rtl w:val="true"/>
        </w:rPr>
        <w:footnoteReference w:id="515"/>
      </w:r>
      <w:r>
        <w:rPr>
          <w:rFonts w:ascii="IRNazanin" w:hAnsi="IRNazanin" w:eastAsia="IRNazanin"/>
          <w:color w:val="111111"/>
          <w:sz w:val="28"/>
          <w:sz w:val="28"/>
          <w:szCs w:val="28"/>
          <w:rtl w:val="true"/>
          <w:lang w:bidi="fa-IR"/>
        </w:rPr>
        <w:t>، انتهی ملخّص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الاحتیاط فی الشبهات الوجوبیّة</w:t>
      </w:r>
      <w:r>
        <w:rPr>
          <w:rStyle w:val="FootnoteAnchor"/>
          <w:rtl w:val="true"/>
        </w:rPr>
        <w:footnoteReference w:id="516"/>
      </w:r>
      <w:r>
        <w:rPr>
          <w:rFonts w:ascii="IRNazanin" w:hAnsi="IRNazanin" w:eastAsia="IRNazanin"/>
          <w:color w:val="111111"/>
          <w:sz w:val="28"/>
          <w:sz w:val="28"/>
          <w:szCs w:val="28"/>
          <w:rtl w:val="true"/>
          <w:lang w:bidi="fa-IR"/>
        </w:rPr>
        <w:t>أیضا، فی غیر محلّه؛ لأنّ البراءة تجری فی موارد الشکّ، إلّا أنّه لا یجوز الاکتفاء بمورد الشکّ بالضرورة، و الأمر سهل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صیغة الأمر، لیس إلّا البعث، و من صیغة النهی إلّا</w:t>
      </w:r>
      <w:bookmarkStart w:id="386" w:name="pg13173_324864"/>
    </w:p>
    <w:p>
      <w:pPr>
        <w:pStyle w:val="BookText"/>
        <w:rPr/>
      </w:pPr>
      <w:bookmarkEnd w:id="386"/>
      <w:r>
        <w:rPr>
          <w:rFonts w:ascii="IRNazanin" w:hAnsi="IRNazanin" w:eastAsia="IRNazanin"/>
          <w:color w:val="111111"/>
          <w:sz w:val="28"/>
          <w:sz w:val="28"/>
          <w:szCs w:val="28"/>
          <w:rtl w:val="true"/>
          <w:lang w:bidi="fa-IR"/>
        </w:rPr>
        <w:t xml:space="preserve">الزجر عن الطبیعة؛ بوجه لا مزید علیه فی محلّه </w:t>
      </w:r>
      <w:r>
        <w:rPr>
          <w:rStyle w:val="FootnoteAnchor"/>
          <w:rtl w:val="true"/>
        </w:rPr>
        <w:footnoteReference w:id="517"/>
      </w:r>
      <w:r>
        <w:rPr>
          <w:rFonts w:ascii="IRNazanin" w:hAnsi="IRNazanin" w:eastAsia="IRNazanin"/>
          <w:color w:val="111111"/>
          <w:sz w:val="28"/>
          <w:sz w:val="28"/>
          <w:szCs w:val="28"/>
          <w:rtl w:val="true"/>
          <w:lang w:bidi="fa-IR"/>
        </w:rPr>
        <w:t xml:space="preserve">، و لا تشتغل الذمّة بشی‌ء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المطلق، و ترک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تخیّل کون الاشتغال مدلولا التزامیّا، أو مطابقیّا، علی خلاف فیه، و إلّا یلزم الحاجة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استحقاق العقوبة علی العصیان؛ لأجل التخلّف عن درک عقلیّ، لا عن حکم شرعیّ؛ فإنّه لو کانت الذمّة مشغولة، فالعقل یدرک فراغه و استحقاق العقوبة علی ترک الفراغ، و هذا بالضرورة بعید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النهی و صیغته قائمان مقام الزجر التکوینیّ الحاصل من الإشارة، فلا یوجب اعتبار شی‌ء فی الذمّة، فالقول بالبراءة متعیّن</w:t>
      </w:r>
      <w:r>
        <w:rPr>
          <w:rFonts w:eastAsia="IRNazanin" w:cs="IRNazanin"/>
          <w:color w:val="111111"/>
          <w:sz w:val="28"/>
          <w:szCs w:val="28"/>
          <w:rtl w:val="true"/>
          <w:lang w:bidi="fa-IR"/>
        </w:rPr>
        <w:t>.</w:t>
      </w:r>
    </w:p>
    <w:p>
      <w:pPr>
        <w:pStyle w:val="Heading6"/>
        <w:numPr>
          <w:ilvl w:val="5"/>
          <w:numId w:val="1"/>
        </w:numPr>
        <w:rPr/>
      </w:pPr>
      <w:bookmarkStart w:id="387" w:name="__RefHeading___Toc734943_3244359995"/>
      <w:bookmarkStart w:id="388" w:name="_Toc146"/>
      <w:bookmarkEnd w:id="387"/>
      <w:r>
        <w:rPr>
          <w:rtl w:val="true"/>
        </w:rPr>
        <w:t>بقی بحث</w:t>
      </w:r>
      <w:r>
        <w:rPr>
          <w:rtl w:val="true"/>
        </w:rPr>
        <w:t xml:space="preserve">: </w:t>
      </w:r>
      <w:r>
        <w:rPr>
          <w:rtl w:val="true"/>
        </w:rPr>
        <w:t>حول الاستدلال بأنّ ترک الطبیعة بترک جمیع الأفراد</w:t>
      </w:r>
      <w:bookmarkEnd w:id="388"/>
    </w:p>
    <w:p>
      <w:pPr>
        <w:pStyle w:val="BookText"/>
        <w:rPr/>
      </w:pPr>
      <w:r>
        <w:rPr>
          <w:rFonts w:ascii="IRNazanin" w:hAnsi="IRNazanin" w:eastAsia="IRNazanin"/>
          <w:color w:val="111111"/>
          <w:sz w:val="28"/>
          <w:sz w:val="28"/>
          <w:szCs w:val="28"/>
          <w:rtl w:val="true"/>
          <w:lang w:bidi="fa-IR"/>
        </w:rPr>
        <w:t>ربّما یستدلّ علی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الطبیعة بترک جمیع الأفراد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ترک الطبیعة کإیجاد الطبیعة، و کما أنّ إیجادها بإیجاد المهملة، کذلک فی ناحیة الترک، و لا معنی لما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ترک الطبیعة بترک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قاعدة یستدلّ بها فی الکتب العقلیّة، فهی عقلائیّة، لا عقلیّة صرفة؛ ضرورة أنّ الطبیعیّ تمام حقیقة الإنسان، فبوجوده یوجد تمام الطبیعة، و بعدمه ینعدم تمام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تحرّر، للزم فی موارد النهی عن نفس الطبیعة، کفایة ترکها فی زمان ما؛ لأنّ عدمها عدم تلک الطبیعة، و لا فرق بین إعدام الطبیعة الموجودة، و بین سدّ وجودها بإطالة العدم المطلق، فإیجاد متعلّق الأمر بنفس</w:t>
      </w:r>
      <w:bookmarkStart w:id="389" w:name="pg13173_324865"/>
    </w:p>
    <w:p>
      <w:pPr>
        <w:pStyle w:val="BookText"/>
        <w:rPr/>
      </w:pPr>
      <w:bookmarkEnd w:id="389"/>
      <w:r>
        <w:rPr>
          <w:rFonts w:ascii="IRNazanin" w:hAnsi="IRNazanin" w:eastAsia="IRNazanin"/>
          <w:color w:val="111111"/>
          <w:sz w:val="28"/>
          <w:sz w:val="28"/>
          <w:szCs w:val="28"/>
          <w:rtl w:val="true"/>
          <w:lang w:bidi="fa-IR"/>
        </w:rPr>
        <w:t>الطبیعة امتثال للأمر، و إدامة العدم المطلق امتثال للنهی، و هذا ممّا لا یصدّقه العقل، و لا العرف، فترک الطبیعة بترک جمیع الأفراد؛ و بترک إیجادها علی الإطلاق، لا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حلّ المشکلة؛ أنّ فی موارد إعدام الطبیعة الموجودة، إعدام لتمام الطبیعة بالضرورة، و أمّا فی موارد النهی عن الطبیعة، فمتعلّق النهی لیس الأفراد بالضرورة؛ لما لا فرد إلّا بعد کونها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الفرض </w:t>
      </w:r>
      <w:r>
        <w:rPr>
          <w:rStyle w:val="FootnoteAnchor"/>
          <w:rtl w:val="true"/>
        </w:rPr>
        <w:footnoteReference w:id="520"/>
      </w:r>
      <w:r>
        <w:rPr>
          <w:rFonts w:ascii="Amiri" w:hAnsi="Amiri" w:eastAsia="Amiri" w:cs="Amiri"/>
          <w:color w:val="111111"/>
          <w:sz w:val="28"/>
          <w:sz w:val="28"/>
          <w:szCs w:val="28"/>
          <w:rtl w:val="true"/>
          <w:lang w:bidi="ar-SA"/>
        </w:rPr>
        <w:t>مجرّد تخیّل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أیضا متعلّقه المهملة بما هی مهملة؛ أی بوصف الإهمال، و هکذا المطلقة بما هی مطلقة، إلّا أنّه بعد تعلّق النهی یعتبر الإطلاق، و معناه الزجر عن الطبیعة علی الإطلاق؛ بحسب الآنات و الأزمان من غیر ملاحظة کثرة فی 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الطبیعة التی انعدامها بانعدام جمیع الأفراد، هی الطبیعة التی لیست لها الأفراد، و ارید الزجر عن خارجیّتها، و الطبیعة التی تنعدم بانعدام فرد ما، هی الطبیعة و الماهیّة التی لها الأفراد، أو الفرد فی الخارج، فتکون متکثّرة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فبینهما فرق؛ فإنّ متعلّق الأمر و النهی هی القابلة للصدق علی الکثیر، و ما هو مأخوذ فی القاعدة هی الخارجیّة المتحقّقة التی یعرضها العدم بعد عروض الوجود، فالخلط بین المعنیین أوجب المناقشة فی المسألة، و الأمر سهل</w:t>
      </w:r>
      <w:r>
        <w:rPr>
          <w:rFonts w:eastAsia="IRNazanin" w:cs="IRNazanin"/>
          <w:color w:val="111111"/>
          <w:sz w:val="28"/>
          <w:szCs w:val="28"/>
          <w:rtl w:val="true"/>
          <w:lang w:bidi="fa-IR"/>
        </w:rPr>
        <w:t>.</w:t>
      </w:r>
    </w:p>
    <w:p>
      <w:pPr>
        <w:pStyle w:val="Heading5"/>
        <w:numPr>
          <w:ilvl w:val="4"/>
          <w:numId w:val="1"/>
        </w:numPr>
        <w:rPr/>
      </w:pPr>
      <w:bookmarkStart w:id="390" w:name="__RefHeading___Toc734945_3244359995"/>
      <w:bookmarkStart w:id="391" w:name="_Toc147"/>
      <w:bookmarkEnd w:id="390"/>
      <w:r>
        <w:rPr>
          <w:rtl w:val="true"/>
        </w:rPr>
        <w:t>الصورة الثانیة</w:t>
      </w:r>
      <w:r>
        <w:rPr>
          <w:rtl w:val="true"/>
        </w:rPr>
        <w:t>:</w:t>
      </w:r>
      <w:bookmarkEnd w:id="3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یتعلق الأمر أو النهی بالعموم الاستغراقیّ، فتکون هناک قضایا حکمیّة و أحکام کثیرة، فإنّ الحقّ جریان البراءة بأقسامها فی الشبهات التحریمیّة</w:t>
      </w:r>
      <w:bookmarkStart w:id="392" w:name="pg13173_324866"/>
    </w:p>
    <w:p>
      <w:pPr>
        <w:pStyle w:val="BookText"/>
        <w:rPr/>
      </w:pPr>
      <w:bookmarkEnd w:id="392"/>
      <w:r>
        <w:rPr>
          <w:rFonts w:ascii="IRNazanin" w:hAnsi="IRNazanin" w:eastAsia="IRNazanin"/>
          <w:color w:val="111111"/>
          <w:sz w:val="28"/>
          <w:sz w:val="28"/>
          <w:szCs w:val="28"/>
          <w:rtl w:val="true"/>
          <w:lang w:bidi="fa-IR"/>
        </w:rPr>
        <w:t>و الوجوبیّة، و لا خلاف فیه إلّا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الفقیه الاستاذ رحمه اللّه جریان البراءة العقلیّة، و قد عرفت ما فیه بما لا مزید علیه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734947_3244359995"/>
      <w:bookmarkStart w:id="394" w:name="_Toc148"/>
      <w:bookmarkEnd w:id="393"/>
      <w:r>
        <w:rPr>
          <w:rtl w:val="true"/>
        </w:rPr>
        <w:t>الصورة الثالثة</w:t>
      </w:r>
      <w:r>
        <w:rPr>
          <w:rtl w:val="true"/>
        </w:rPr>
        <w:t>:</w:t>
      </w:r>
      <w:bookmarkEnd w:id="394"/>
    </w:p>
    <w:p>
      <w:pPr>
        <w:pStyle w:val="Heading6"/>
        <w:numPr>
          <w:ilvl w:val="5"/>
          <w:numId w:val="1"/>
        </w:numPr>
        <w:rPr/>
      </w:pPr>
      <w:bookmarkStart w:id="395" w:name="__RefHeading___Toc734949_3244359995"/>
      <w:bookmarkStart w:id="396" w:name="_Toc149"/>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 xml:space="preserve">أن یکون متعلّق الأمر أو النهی العامّ المجموعیّ، کالنافلة فی اللیل، أو نافلة الظهر و العصر فی موارد النذر، أو کالصوم فی شهر رمضان، أو فی موارد الکفّارة؛ بناء علی کون المأمور به عنوانا وحدانیّا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الصیام من الأشهر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فیما إذا ورد النهی عن إکرام مجموع الکفّار، أو المعاشرة مع مجموع المحاربین، ففی موارد الشبهات الموضوعیّة من الوجوبیّة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البراءة؛ لأنّه یشبه الأقلّ و الأکثر</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الاشتغال؛ لأنّه یشبه المحصّل و المحصّل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المیزان لیس التشابه مع المسألتین، بل المدار علی أنّ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طبیعة ذات عرض عریض، و عنوانا یطرأ علیه عنوان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العناوین الدائرة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تجری فیه البراءة؛ لما لا یرجع الشکّ فی شی‌ء منه إلی الشکّ فی تحقّق العنوان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 قبیل الثانی، یلزم فیه الاحتیاط؛ لرجوع الشکّ فی علم زید إلی الشکّ فی تحقّق إکرام مجموع العلماء، أو إلی تحقّق کفّارة شهرین متتابعین،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الدار، و الصلاة، و الحجّ، و غیر ذلک ممّا لها العرض العریض فی الصدق و التحقّق، فالبراءة قطعیّة، و تفصیل المسألة من جهة الأقلّ و الأکثر فی المبحث الآتی إن شاء اللّه تعالی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فیما نحن فیه، فإن کان العنوان الاتخاذیّ من العامّ المجموعیّ، من قبیل بعض الأمثلة الماضیة، فالاحتیاط متعیّن،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ذلک لأنّ إکرام طائفة من العلماء، و ترک بعضهم المعلوم، یضرّ بالصدق، بخلاف ترک بعض الصلاة عمدا، فإنّه لا یضرّ بصدقها، 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الإجمال کان لجریان 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الترک العمدیّ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وجیه عندی من جهات اخر، فإذا کان الترک العمدیّ غیر مضرّ بالصدق، فالترک المشکوک أولی به، فعدم جریان البراءة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 العامّ المجموعیّ ذا عرض عریض؛ بأن یکون لمفهوم المجموع مثلا سعة فی الصدق، فترک فرد من العلماء المعلوم، جائز إذا کان فی البین إطلاق، و إلّا فأیضا جائز؛ للشکّ فی الوجوب، لا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نحن فیه یشبه الأقلّ و الأکثر من جهة، و لکن لا یشبههما فی جریان البراءة؛ لکونه مثلهما علی الأخصّی، لا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الأمر بالصوم بین الهلالین؛ بناء علی کونه أمرا واحدا، کما یظهر منظور الشیخ رحمه اللّه أحیانا</w:t>
      </w:r>
      <w:r>
        <w:rPr>
          <w:rStyle w:val="FootnoteAnchor"/>
          <w:rtl w:val="true"/>
        </w:rPr>
        <w:footnoteReference w:id="52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جمیع الموارد تکون طبیعة العامّ المجموعیّ، دائرة</w:t>
      </w:r>
      <w:bookmarkStart w:id="397" w:name="pg13173_324868"/>
    </w:p>
    <w:p>
      <w:pPr>
        <w:pStyle w:val="BookText"/>
        <w:rPr/>
      </w:pPr>
      <w:bookmarkEnd w:id="397"/>
      <w:r>
        <w:rPr>
          <w:rFonts w:ascii="IRNazanin" w:hAnsi="IRNazanin" w:eastAsia="IRNazanin"/>
          <w:color w:val="111111"/>
          <w:sz w:val="28"/>
          <w:sz w:val="28"/>
          <w:szCs w:val="28"/>
          <w:rtl w:val="true"/>
          <w:lang w:bidi="fa-IR"/>
        </w:rPr>
        <w:t>بین الوجود و العدم؛ ضرورة أنّه فی صورة تحقّق عنوان العموم المجموعیّ، لا یجب الاحتیاط حتّی بالنسبة إلی البعض المعلوم،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موارد وجود العامّ المجموعیّ بوجود منشائه خارجا، تجری البراءة؛ لاتحاد المأمور به و ما یتحقّق خارجا، غیر نافع؛ لأنّه یکفی الاختلاف فی الاعتبار الموجب لکون المنتزع مورد الأمر، و یشکّ فی تحقّقه عند تحقّق بعض منشئه، و إلّا فالبراءة جاریة حتّی فی مورد العلم، کما اشیر إلیه، فاغتنم</w:t>
      </w:r>
      <w:r>
        <w:rPr>
          <w:rFonts w:eastAsia="IRNazanin" w:cs="IRNazanin"/>
          <w:color w:val="111111"/>
          <w:sz w:val="28"/>
          <w:szCs w:val="28"/>
          <w:rtl w:val="true"/>
          <w:lang w:bidi="fa-IR"/>
        </w:rPr>
        <w:t>.</w:t>
      </w:r>
    </w:p>
    <w:p>
      <w:pPr>
        <w:pStyle w:val="Heading6"/>
        <w:numPr>
          <w:ilvl w:val="5"/>
          <w:numId w:val="1"/>
        </w:numPr>
        <w:rPr/>
      </w:pPr>
      <w:bookmarkStart w:id="398" w:name="__RefHeading___Toc734951_3244359995"/>
      <w:bookmarkStart w:id="399" w:name="_Toc150"/>
      <w:bookmarkEnd w:id="398"/>
      <w:r>
        <w:rPr>
          <w:rtl w:val="true"/>
        </w:rPr>
        <w:t>تذنیب</w:t>
      </w:r>
      <w:r>
        <w:rPr>
          <w:rtl w:val="true"/>
        </w:rPr>
        <w:t xml:space="preserve">: </w:t>
      </w:r>
      <w:r>
        <w:rPr>
          <w:rtl w:val="true"/>
        </w:rPr>
        <w:t>حول جریان البراءة فی الشبهة الموضوعیّة التحریمیّة</w:t>
      </w:r>
      <w:bookmarkEnd w:id="399"/>
    </w:p>
    <w:p>
      <w:pPr>
        <w:pStyle w:val="BookText"/>
        <w:rPr/>
      </w:pPr>
      <w:r>
        <w:rPr>
          <w:rFonts w:ascii="IRNazanin" w:hAnsi="IRNazanin" w:eastAsia="IRNazanin"/>
          <w:color w:val="111111"/>
          <w:sz w:val="28"/>
          <w:sz w:val="28"/>
          <w:szCs w:val="28"/>
          <w:rtl w:val="true"/>
          <w:lang w:bidi="fa-IR"/>
        </w:rPr>
        <w:t>قضیّة القاعدة عدم جریان البراءة فی موارد الشکّ؛ فی أنّ مورد الأمر من العامّ المجموعیّ، أو غیره، کما تری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الشبهة الموضوعیّة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التحریمیّة، فلا شبهة فی أنّه بترک إکرام بعضهم المعلوم، ترک المنهیّ و انزجر عن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ترک المشتبه؛ للشکّ فی تحقّق المنهیّ و 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نتیجة ما تحصّل سابقا؛ ضرورة أنّ کلّ محرّم، کان أمره دائرا فی الخارج بین الوجود و العدم، و لم یکن ذا مراتب، یلزم الأخذ بالبراءة فی ناحیة الشبهة التحریمیّة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کفایة ترک مشتبه الفاسق فی صورة کون النهی عن مجموع الفسّاق، فهی غیر واضحة؛ لأنّ اللازم هو العلم بالطاعة و الامتثال، و مجرّد الشکّ فی حصول المبغوض، غیر کاف فی المقام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اشتهر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البراءة محکّمة؛ لأنّ المسألة من صغریات الأقلّ</w:t>
      </w:r>
      <w:bookmarkStart w:id="400" w:name="pg13173_324869"/>
    </w:p>
    <w:p>
      <w:pPr>
        <w:pStyle w:val="BookText"/>
        <w:rPr/>
      </w:pPr>
      <w:bookmarkEnd w:id="400"/>
      <w:r>
        <w:rPr>
          <w:rFonts w:ascii="IRNazanin" w:hAnsi="IRNazanin" w:eastAsia="IRNazanin"/>
          <w:color w:val="111111"/>
          <w:sz w:val="28"/>
          <w:sz w:val="28"/>
          <w:szCs w:val="28"/>
          <w:rtl w:val="true"/>
          <w:lang w:bidi="fa-IR"/>
        </w:rPr>
        <w:t>و الأکثر فی المحرّمات، و هو عکس الواجبات، فیکون الأکثر معلوما، و الأقلّ مشکوکا، و فیما نحن فیه تجری البراءة بالنسبة إلی الأقلّ المعلوم، فیجوز إکرام الفسّاق المعلومین، و الاکتفاء بترک الفاسق المشکوک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هنا؛ ضرورة أنّ فی مثل الغناء، لا یعقل تحقّق الترجیع بدون الصوت، فلو ترک الترجیع ترک الأکثر و الأقلّ الموجود معه، و فیما نحن فیه ارتکاب إکرام الفسّاق، و ترک الفاسق المجهول، لیس مثله فی ترک الفاسق المعلوم، حتّی یعلم بامتثال النهی المشخّص المتوجّه إلیه</w:t>
      </w:r>
      <w:r>
        <w:rPr>
          <w:rFonts w:eastAsia="IRNazanin" w:cs="IRNazanin"/>
          <w:color w:val="111111"/>
          <w:sz w:val="28"/>
          <w:szCs w:val="28"/>
          <w:rtl w:val="true"/>
          <w:lang w:bidi="fa-IR"/>
        </w:rPr>
        <w:t>.</w:t>
      </w:r>
    </w:p>
    <w:p>
      <w:pPr>
        <w:pStyle w:val="Heading6"/>
        <w:numPr>
          <w:ilvl w:val="5"/>
          <w:numId w:val="1"/>
        </w:numPr>
        <w:rPr/>
      </w:pPr>
      <w:bookmarkStart w:id="401" w:name="__RefHeading___Toc734953_3244359995"/>
      <w:bookmarkStart w:id="402" w:name="_Toc151"/>
      <w:bookmarkEnd w:id="401"/>
      <w:r>
        <w:rPr>
          <w:rtl w:val="true"/>
        </w:rPr>
        <w:t>بقی أمران</w:t>
      </w:r>
      <w:r>
        <w:rPr>
          <w:rtl w:val="true"/>
        </w:rPr>
        <w:t>:</w:t>
      </w:r>
      <w:bookmarkEnd w:id="402"/>
    </w:p>
    <w:p>
      <w:pPr>
        <w:pStyle w:val="Heading6"/>
        <w:numPr>
          <w:ilvl w:val="5"/>
          <w:numId w:val="1"/>
        </w:numPr>
        <w:rPr/>
      </w:pPr>
      <w:bookmarkStart w:id="403" w:name="__RefHeading___Toc734955_3244359995"/>
      <w:bookmarkStart w:id="404" w:name="_Toc152"/>
      <w:bookmarkEnd w:id="403"/>
      <w:r>
        <w:rPr>
          <w:rtl w:val="true"/>
        </w:rPr>
        <w:t>أحدهما</w:t>
      </w:r>
      <w:r>
        <w:rPr>
          <w:rtl w:val="true"/>
        </w:rPr>
        <w:t xml:space="preserve">: </w:t>
      </w:r>
      <w:r>
        <w:rPr>
          <w:rtl w:val="true"/>
        </w:rPr>
        <w:t>فی تصویر المنهیّ فی العامّ المجموعیّ</w:t>
      </w:r>
      <w:bookmarkEnd w:id="404"/>
    </w:p>
    <w:p>
      <w:pPr>
        <w:pStyle w:val="BookText"/>
        <w:rPr/>
      </w:pPr>
      <w:r>
        <w:rPr>
          <w:rFonts w:ascii="Amiri" w:hAnsi="Amiri" w:eastAsia="Amiri" w:cs="Amiri"/>
          <w:color w:val="111111"/>
          <w:sz w:val="28"/>
          <w:sz w:val="28"/>
          <w:szCs w:val="28"/>
          <w:rtl w:val="true"/>
          <w:lang w:bidi="ar-SA"/>
        </w:rPr>
        <w:t>إنّ المنهیّ فی العامّ المجموعیّ، یتصوّر علی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المبغوض عنوانا إذا حصل شی‌ء منه لا یسقط النهی، بل النهی باق، و یکون العبد ممتثلا إلی أن یوجد جمیع العنوان المذکور، کما فی إکرام مجموع الفسّاق، فإنّ إکرام الفسّاق إلّا واحدا منهم، یکفی لامتثال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وجه یسقط النهی الوحدانیّ المتعلّق بالمجموع بمجرّد إکرام فاسق، و لا یکون إکرام سائر الفسّاق مورد النهی، و لکنّ المعتبر فی جانب النهی أیضا هو المجموع؛ لأنّ امتثاله لا یتحقّق إلّا بترک إکرام المجموع، بخلاف ما إذا کان متعلّق النهی نفس الطبیعة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مبغوض المولی تلوین داره؛ علی وجه لو شرع فی إیجاد لون فیها، یکون عاصیا، و یکون السلب کلّیا</w:t>
      </w:r>
      <w:r>
        <w:rPr>
          <w:rFonts w:eastAsia="IRNazanin" w:cs="IRNazanin"/>
          <w:color w:val="111111"/>
          <w:sz w:val="28"/>
          <w:szCs w:val="28"/>
          <w:rtl w:val="true"/>
          <w:lang w:bidi="fa-IR"/>
        </w:rPr>
        <w:t>.</w:t>
      </w:r>
      <w:bookmarkStart w:id="405" w:name="pg13173_324870"/>
    </w:p>
    <w:p>
      <w:pPr>
        <w:pStyle w:val="BookText"/>
        <w:rPr/>
      </w:pPr>
      <w:bookmarkEnd w:id="405"/>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مبغوضه تلوین داره؛ علی وجه لو شرع فی تلوینها، و بقی شی‌ء منها بلالون، یکون ممتثلا، و هو من الکلّی السلب، ففرق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تلوین کلّ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لو ابتدأ ببعضه یسقط النهی، و علی وجه یکون من العموم الاستغراقیّ، أو علی وجه لا یسقط النهی إلّا بتلوینها کلّها،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المحرّم فی شهر رمضان مثلا، مجموع المفطرات؛ علی وجه لو عصی و ارتکب بعضا منها، فلا یبقی تحریم إلّا بدلیل، و هذا اعتباره غیر اعتبار کون المنهیّ نفس طبیعیّ المفطر</w:t>
      </w:r>
      <w:r>
        <w:rPr>
          <w:rFonts w:eastAsia="IRNazanin" w:cs="IRNazanin"/>
          <w:color w:val="111111"/>
          <w:sz w:val="28"/>
          <w:szCs w:val="28"/>
          <w:rtl w:val="true"/>
          <w:lang w:bidi="fa-IR"/>
        </w:rPr>
        <w:t>.</w:t>
      </w:r>
    </w:p>
    <w:p>
      <w:pPr>
        <w:pStyle w:val="Heading6"/>
        <w:numPr>
          <w:ilvl w:val="5"/>
          <w:numId w:val="1"/>
        </w:numPr>
        <w:rPr/>
      </w:pPr>
      <w:bookmarkStart w:id="406" w:name="__RefHeading___Toc734957_3244359995"/>
      <w:bookmarkStart w:id="407" w:name="_Toc153"/>
      <w:bookmarkEnd w:id="406"/>
      <w:r>
        <w:rPr>
          <w:rtl w:val="true"/>
        </w:rPr>
        <w:t>ثانیهما</w:t>
      </w:r>
      <w:r>
        <w:rPr>
          <w:rtl w:val="true"/>
        </w:rPr>
        <w:t xml:space="preserve">: </w:t>
      </w:r>
      <w:r>
        <w:rPr>
          <w:rtl w:val="true"/>
        </w:rPr>
        <w:t>حول کفایة ترک الطبیعة فی تحقّق الامتثال عند النهی عن نفس الطبیعة أو العموم المجموعیّ</w:t>
      </w:r>
      <w:bookmarkEnd w:id="407"/>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موارد تعلّق النهی بنفس الطبیعة، أو فی موارد تعلّق النهی بالعموم المجموعیّ، یکفی للامتثال ترک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إیجاد الطبیعة فی صورة تعلّق الأمر بها، کما یوجب السقوط و الامتثال، لا بدّ و أن یکون ترک الطبیعة فی زمان کذلک؛ لأنّه امتثال، فترک الفاسق الواحد فی العامّ المجموعیّ، امتثال و لو کان فی زمان قصیر و ساعة، لأنّ المفروض وحدة النهی، و لا شبهة فی أنّه إذا انزجر العبد عن نهی المولی، و کفّ عن إیجاد المنهیّ، یکون مطیعا، فیلزم سقوط النهی بعد فرض وحدته، و لازم ذلک جواز الارتکاب بعد 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صحیح صناعة، و لا سیّما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إیجاد الطبیعة بإیجاد فرد ما،</w:t>
      </w:r>
      <w:bookmarkStart w:id="408" w:name="pg13173_324871"/>
    </w:p>
    <w:p>
      <w:pPr>
        <w:pStyle w:val="BookText"/>
        <w:rPr/>
      </w:pPr>
      <w:bookmarkEnd w:id="408"/>
      <w:r>
        <w:rPr>
          <w:rFonts w:ascii="IRNazanin" w:hAnsi="IRNazanin" w:eastAsia="IRNazanin"/>
          <w:color w:val="111111"/>
          <w:sz w:val="28"/>
          <w:sz w:val="28"/>
          <w:szCs w:val="28"/>
          <w:rtl w:val="true"/>
          <w:lang w:bidi="fa-IR"/>
        </w:rPr>
        <w:t xml:space="preserve">و المهملة و ترکها أیضا کذلک، و لیس بترک المجموع و لو کان بترک المجموع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بعد فرض کونه نهیا واحدا، و هو ممتثل فی الزمان الأوّل، فیلزم سقوطه، فلازم هذه المقالة بطلان کون النهی فی موارد تعلّقه بالطبیعة، أو بالعموم المجموعیّ، نهیّا واحدا، بل هو نواه کثیرة، و ینحلّ إلی المتعدّد، إلّا أنّه انحلال أزمانیّ، لا أفرادیّ، فی قبال العموم الأفرادیّ و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شطر من هذا البحث فی النواهی، و ذکرنا هناک بعضا من وجوه البحث العلمیّة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734959_3244359995"/>
      <w:bookmarkStart w:id="410" w:name="_Toc154"/>
      <w:bookmarkEnd w:id="409"/>
      <w:r>
        <w:rPr>
          <w:rtl w:val="true"/>
        </w:rPr>
        <w:t>الصورة الرابعة</w:t>
      </w:r>
      <w:r>
        <w:rPr>
          <w:rtl w:val="true"/>
        </w:rPr>
        <w:t>:</w:t>
      </w:r>
      <w:bookmarkEnd w:id="410"/>
    </w:p>
    <w:p>
      <w:pPr>
        <w:pStyle w:val="BookText"/>
        <w:rPr/>
      </w:pPr>
      <w:r>
        <w:rPr>
          <w:rFonts w:ascii="IRNazanin" w:hAnsi="IRNazanin" w:eastAsia="IRNazanin"/>
          <w:color w:val="111111"/>
          <w:sz w:val="28"/>
          <w:sz w:val="28"/>
          <w:szCs w:val="28"/>
          <w:rtl w:val="true"/>
          <w:lang w:bidi="fa-IR"/>
        </w:rPr>
        <w:t xml:space="preserve">أن یتعلّق الأمر أو النهی بالعناوین الاشتقاقیّة، کما إذا کان متعلّق الأمر أن یکون عادلا، کما لو نذر ذلک مثلا، أو تعلّق النهی بأن یکون بیّاع الخمر، و أن یکون شغله مبادلة الخمر، أو یکون المنهیّ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شغله الملاهی، کما هو المحتمل قویّا فی الفقه، و قویّناه حسب الجمع بین الأخبار فی المکاسب المحرّمة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هذه الصورة لا أثر لها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فی غیر محلّه ظاهرا؛ ضرورة احتمال جواز مبادلة الخمر، فإنّه لیس من النهی الوارد، فإنّ رسول</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بائعها</w:t>
      </w:r>
      <w:r>
        <w:rPr>
          <w:rStyle w:val="FootnoteAnchor"/>
          <w:rtl w:val="true"/>
        </w:rPr>
        <w:footnoteReference w:id="532"/>
      </w:r>
      <w:r>
        <w:rPr>
          <w:rFonts w:ascii="IRNazanin" w:hAnsi="IRNazanin" w:eastAsia="IRNazanin"/>
          <w:color w:val="111111"/>
          <w:sz w:val="28"/>
          <w:sz w:val="28"/>
          <w:szCs w:val="28"/>
          <w:rtl w:val="true"/>
          <w:lang w:bidi="fa-IR"/>
        </w:rPr>
        <w:t>، و المنصرف من البائع هو المشتغل بشغل البیع، لا المبادلة مرّة واحدة، و هذا غیر بعید جدّا، و یساعده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الشکّ فی الشبهة الموضوعیّة الوجوبیّة، لا 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تحصیل العدالة ممکنا بوجه آخر، و لم یکن ارتکاب المشتبه مزاحما للواجب، فلا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موارد کون تحصیلها مثلا فوریّا، فلا بدّ من الاحتیاط، و المسألة واضحة بجهاتها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الشبهة الموضوعیّة التحریمیّة،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ممتثلا للنهی بعد کونه نهیا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احتمال کفایة کونه غیر عاص؛ و غیر آت بالمبغوض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فی موارد الشکّ فی أصل الحکم صحیح، و أمّا بعد العلم بالنهی فیحتاج إلی العلم بالامتثال فی الجملة،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أمثلة هذه الصورة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الواجب شرعا هی الصلاة، و لا یکون فی ترکها عقاب آخر إلّا العقاب المترتّب علی ترک الواجب، و یستحقّ العقوبة لأجل ترک الواجب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منهیّا و موردا للأثر الخاصّ من العقوبة الدنیویّة، أو الاخرویّة؛ فإنّه عنوان لا یحصل بمجرّد ترک الصلاة مرّة، و الأخبار</w:t>
      </w:r>
    </w:p>
    <w:p>
      <w:pPr>
        <w:pStyle w:val="BookText"/>
        <w:rPr/>
      </w:pPr>
      <w:r>
        <w:rPr>
          <w:rFonts w:ascii="IRNazanin" w:hAnsi="IRNazanin" w:eastAsia="IRNazanin"/>
          <w:color w:val="111111"/>
          <w:sz w:val="28"/>
          <w:sz w:val="28"/>
          <w:szCs w:val="28"/>
          <w:rtl w:val="true"/>
          <w:lang w:bidi="fa-IR"/>
        </w:rPr>
        <w:t>الخاصّة بتارک الصلاة</w:t>
      </w:r>
      <w:r>
        <w:rPr>
          <w:rStyle w:val="FootnoteAnchor"/>
          <w:rtl w:val="true"/>
        </w:rPr>
        <w:footnoteReference w:id="534"/>
      </w:r>
      <w:r>
        <w:rPr>
          <w:rFonts w:ascii="IRNazanin" w:hAnsi="IRNazanin" w:eastAsia="IRNazanin"/>
          <w:color w:val="111111"/>
          <w:sz w:val="28"/>
          <w:sz w:val="28"/>
          <w:szCs w:val="28"/>
          <w:rtl w:val="true"/>
          <w:lang w:bidi="fa-IR"/>
        </w:rPr>
        <w:t>، ناظرة إلی الترک المطلق أو الأکثریّ، دون من یترکها مرّة فی عمره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تلک الأمثلة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ربّما قیل بحرمته </w:t>
      </w:r>
      <w:r>
        <w:rPr>
          <w:rStyle w:val="FootnoteAnchor"/>
          <w:rtl w:val="true"/>
        </w:rPr>
        <w:footnoteReference w:id="535"/>
      </w:r>
      <w:r>
        <w:rPr>
          <w:rFonts w:ascii="IRNazanin" w:hAnsi="IRNazanin" w:eastAsia="IRNazanin"/>
          <w:color w:val="111111"/>
          <w:sz w:val="28"/>
          <w:sz w:val="28"/>
          <w:szCs w:val="28"/>
          <w:rtl w:val="true"/>
          <w:lang w:bidi="fa-IR"/>
        </w:rPr>
        <w:t>، فیجب عقلا إقامة الجماعة و الشرکة فیها، حتّی لا یتحقّق العنوان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موارد الشکّ یجری البحث السابق،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کلام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الأمر بالمعدولة،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لا شارب الخمر</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فإنّه لمکان رجوعه إلی تعلّق الأمر أو النهی بالعناوین الاشتقاقیّة، یلیق بالبحث، و أمّا المحصّلة و المعدولة فلا مدخلیّة لهما فیما هو المهمّ،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ذکرناه حول اعتبارات الأمر و النهی المتعلّقین بعناوین متعلّقة بالموجودات الخارجیّة، یأتی فیما إذا کان الأمر أو النهی، متعلّقین بالعناوین غیر المضافة إلی الوجودات الخارجیّة،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و الکذب، 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السلام، و الحجّ، و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تعدّ من الواجبات المشروطة، أو الموقّتة، أو تکون من العموم المجموعیّ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إطالة الکلام حول مقام الاستظهار، أو أنّ الفقه یشتمل غالبا علی قسم منها دون قسم، فهی خارجة عن وظیفة الاصولیّ</w:t>
      </w:r>
      <w:r>
        <w:rPr>
          <w:rFonts w:eastAsia="IRNazanin" w:cs="IRNazanin"/>
          <w:color w:val="111111"/>
          <w:sz w:val="28"/>
          <w:szCs w:val="28"/>
          <w:rtl w:val="true"/>
          <w:lang w:bidi="fa-IR"/>
        </w:rPr>
        <w:t>.</w:t>
      </w:r>
      <w:bookmarkStart w:id="411" w:name="pg13173_324874"/>
    </w:p>
    <w:p>
      <w:pPr>
        <w:pStyle w:val="Heading4"/>
        <w:numPr>
          <w:ilvl w:val="3"/>
          <w:numId w:val="1"/>
        </w:numPr>
        <w:rPr/>
      </w:pPr>
      <w:bookmarkStart w:id="412" w:name="__RefHeading___Toc734961_3244359995"/>
      <w:bookmarkStart w:id="413" w:name="_Toc155"/>
      <w:bookmarkEnd w:id="411"/>
      <w:bookmarkEnd w:id="412"/>
      <w:r>
        <w:rPr>
          <w:rtl w:val="true"/>
        </w:rPr>
        <w:t>التنبیه الثالث فی عدم جریان البراءة مع وجود الأصل المقدّم علیها</w:t>
      </w:r>
      <w:bookmarkEnd w:id="413"/>
    </w:p>
    <w:p>
      <w:pPr>
        <w:pStyle w:val="Heading5"/>
        <w:numPr>
          <w:ilvl w:val="4"/>
          <w:numId w:val="1"/>
        </w:numPr>
        <w:rPr/>
      </w:pPr>
      <w:bookmarkStart w:id="414" w:name="__RefHeading___Toc734963_3244359995"/>
      <w:bookmarkStart w:id="415" w:name="_Toc156"/>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جریان البراءة فی موارد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حکمیّة کانت، أو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بحثا حیثیّا علی حسب القواعد، و لا ینافیه القول بالتخییر فی موارد تعارض النصوص و التخییر حسب التعبّد</w:t>
      </w:r>
      <w:r>
        <w:rPr>
          <w:rStyle w:val="FootnoteAnchor"/>
          <w:rtl w:val="true"/>
        </w:rPr>
        <w:footnoteReference w:id="537"/>
      </w:r>
      <w:r>
        <w:rPr>
          <w:rFonts w:ascii="IRNazanin" w:hAnsi="IRNazanin" w:eastAsia="IRNazanin"/>
          <w:color w:val="111111"/>
          <w:sz w:val="28"/>
          <w:sz w:val="28"/>
          <w:szCs w:val="28"/>
          <w:rtl w:val="true"/>
          <w:lang w:bidi="fa-IR"/>
        </w:rPr>
        <w:t>، کذلک الأمر بالنسبة إلی الأصل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البراءة العقلیّة و الشرعیّة، فإنّه فی هذا المورد لا تصل النوبة إلی البراءة فی موارد الشکّ و الشبهات الحکمیّة و الموضوعیّة؛ لانتفاء موضوعها تعبّدا سواء کان الأصل الجاری موضوعیّا، أو حکمیّا، موافقا، أو مخالفا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الأمثلة الکثیرة التی لا تکون مورد المناقشة عند أحد، فلا حاجة إلی ذکر بعض الأمثلة التی هی مورد المناقشة؛ لأنّ شأن البحث هنا لا یقتضی إلّا توضیح مجری البراءة العقلیّة، و العقلائیّة، و الشرعیّة، فورودهم فی حدیث استصحاب العدم الأزلیّ و النعتیّ، و فی مسألة التذکیة و معناها، و قابلیّة الحیوان للتذکیة، و کیفیّة دخالتها</w:t>
      </w:r>
      <w:r>
        <w:rPr>
          <w:rStyle w:val="FootnoteAnchor"/>
          <w:rtl w:val="true"/>
        </w:rPr>
        <w:footnoteReference w:id="538"/>
      </w:r>
      <w:r>
        <w:rPr>
          <w:rFonts w:ascii="IRNazanin" w:hAnsi="IRNazanin" w:eastAsia="IRNazanin"/>
          <w:color w:val="111111"/>
          <w:sz w:val="28"/>
          <w:sz w:val="28"/>
          <w:szCs w:val="28"/>
          <w:rtl w:val="true"/>
          <w:lang w:bidi="fa-IR"/>
        </w:rPr>
        <w:t>، من الأمر غیر الصحیح هنا جدّا؛ لأنّه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اصولیّ یأتی فی الاستصحاب </w:t>
      </w:r>
      <w:r>
        <w:rPr>
          <w:rStyle w:val="FootnoteAnchor"/>
          <w:rtl w:val="true"/>
        </w:rPr>
        <w:footnoteReference w:id="539"/>
      </w:r>
      <w:r>
        <w:rPr>
          <w:rFonts w:ascii="IRNazanin" w:hAnsi="IRNazanin" w:eastAsia="IRNazanin"/>
          <w:color w:val="111111"/>
          <w:sz w:val="28"/>
          <w:sz w:val="28"/>
          <w:szCs w:val="28"/>
          <w:rtl w:val="true"/>
          <w:lang w:bidi="fa-IR"/>
        </w:rPr>
        <w:t>، فیلزم التکرار الموجب لتورّم الاصول، و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بالفقه، و یلزم الرجوع إلی الأدلّة حتّی یتبیّن الأمر تصدیقا</w:t>
      </w:r>
      <w:r>
        <w:rPr>
          <w:rFonts w:eastAsia="IRNazanin" w:cs="IRNazanin"/>
          <w:color w:val="111111"/>
          <w:sz w:val="28"/>
          <w:szCs w:val="28"/>
          <w:rtl w:val="true"/>
          <w:lang w:bidi="fa-IR"/>
        </w:rPr>
        <w:t>.</w:t>
      </w:r>
      <w:bookmarkStart w:id="416" w:name="pg13173_324875"/>
    </w:p>
    <w:p>
      <w:pPr>
        <w:pStyle w:val="BookText"/>
        <w:rPr/>
      </w:pPr>
      <w:bookmarkEnd w:id="416"/>
      <w:r>
        <w:rPr>
          <w:rFonts w:ascii="IRNazanin" w:hAnsi="IRNazanin" w:eastAsia="IRNazanin"/>
          <w:color w:val="111111"/>
          <w:sz w:val="28"/>
          <w:sz w:val="28"/>
          <w:szCs w:val="28"/>
          <w:rtl w:val="true"/>
          <w:lang w:bidi="fa-IR"/>
        </w:rPr>
        <w:t>و من الغریب أنّ بعضا من أئمّة الفنّ، دخلوا فی هذه المسألة فی مواضع ثلاثة 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و الخاصّ </w:t>
      </w:r>
      <w:r>
        <w:rPr>
          <w:rStyle w:val="FootnoteAnchor"/>
          <w:rtl w:val="true"/>
        </w:rPr>
        <w:footnoteReference w:id="540"/>
      </w:r>
      <w:r>
        <w:rPr>
          <w:rFonts w:ascii="IRNazanin" w:hAnsi="IRNazanin" w:eastAsia="IRNazanin"/>
          <w:color w:val="111111"/>
          <w:sz w:val="28"/>
          <w:sz w:val="28"/>
          <w:szCs w:val="28"/>
          <w:rtl w:val="true"/>
          <w:lang w:bidi="fa-IR"/>
        </w:rPr>
        <w:t>، و هنا</w:t>
      </w:r>
      <w:r>
        <w:rPr>
          <w:rStyle w:val="FootnoteAnchor"/>
          <w:rtl w:val="true"/>
        </w:rPr>
        <w:footnoteReference w:id="541"/>
      </w:r>
      <w:r>
        <w:rPr>
          <w:rFonts w:ascii="IRNazanin" w:hAnsi="IRNazanin" w:eastAsia="IRNazanin"/>
          <w:color w:val="111111"/>
          <w:sz w:val="28"/>
          <w:sz w:val="28"/>
          <w:szCs w:val="28"/>
          <w:rtl w:val="true"/>
          <w:lang w:bidi="fa-IR"/>
        </w:rPr>
        <w:t xml:space="preserve">، و فی الاستصحاب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جیّد جدّا، و کان ینبغی البحث حول ما هو مربوط بالتنبیه،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وجوب إکرام زید العالم سابقا، لا تجری البراءة؛ لاستصحاب کونه عالما المقدّم علی البراءة، و هکذا لو شکّ فی جواز شرب الماء المتغیّر بالنجاسة، و زال تغیّره، فإنّه یجری الاستصحاب الحکمیّ مثلا، و یکون بیانا للبراءة العقلیّة، و رافعا للشکّ تعبّدا، و یکون علما و حجّة بالنسبة إلی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وارد</w:t>
      </w:r>
      <w:r>
        <w:rPr>
          <w:rStyle w:val="FootnoteAnchor"/>
          <w:rtl w:val="true"/>
        </w:rPr>
        <w:footnoteReference w:id="543"/>
      </w:r>
      <w:r>
        <w:rPr>
          <w:rFonts w:ascii="IRNazanin" w:hAnsi="IRNazanin" w:eastAsia="IRNazanin"/>
          <w:color w:val="111111"/>
          <w:sz w:val="28"/>
          <w:sz w:val="28"/>
          <w:szCs w:val="28"/>
          <w:rtl w:val="true"/>
          <w:lang w:bidi="fa-IR"/>
        </w:rPr>
        <w:t xml:space="preserve">، أو حاکم </w:t>
      </w:r>
      <w:r>
        <w:rPr>
          <w:rStyle w:val="FootnoteAnchor"/>
          <w:rtl w:val="true"/>
        </w:rPr>
        <w:footnoteReference w:id="544"/>
      </w:r>
      <w:r>
        <w:rPr>
          <w:rFonts w:ascii="IRNazanin" w:hAnsi="IRNazanin" w:eastAsia="IRNazanin"/>
          <w:color w:val="111111"/>
          <w:sz w:val="28"/>
          <w:sz w:val="28"/>
          <w:szCs w:val="28"/>
          <w:rtl w:val="true"/>
          <w:lang w:bidi="fa-IR"/>
        </w:rPr>
        <w:t xml:space="preserve">، أو یفصّل و یکون واردا فی الأوّل، و حاکما فی الثانی </w:t>
      </w:r>
      <w:r>
        <w:rPr>
          <w:rStyle w:val="FootnoteAnchor"/>
          <w:rtl w:val="true"/>
        </w:rPr>
        <w:footnoteReference w:id="545"/>
      </w:r>
      <w:r>
        <w:rPr>
          <w:rFonts w:ascii="IRNazanin" w:hAnsi="IRNazanin" w:eastAsia="IRNazanin"/>
          <w:color w:val="111111"/>
          <w:sz w:val="28"/>
          <w:sz w:val="28"/>
          <w:szCs w:val="28"/>
          <w:rtl w:val="true"/>
          <w:lang w:bidi="fa-IR"/>
        </w:rPr>
        <w:t xml:space="preserve">، فوجوه و أقوال تحقیقها فی التعادل و الترجیح </w:t>
      </w:r>
      <w:r>
        <w:rPr>
          <w:rStyle w:val="FootnoteAnchor"/>
          <w:rtl w:val="true"/>
        </w:rPr>
        <w:footnoteReference w:id="546"/>
      </w:r>
      <w:r>
        <w:rPr>
          <w:rFonts w:ascii="IRNazanin" w:hAnsi="IRNazanin" w:eastAsia="IRNazanin"/>
          <w:color w:val="111111"/>
          <w:sz w:val="28"/>
          <w:sz w:val="28"/>
          <w:szCs w:val="28"/>
          <w:rtl w:val="true"/>
          <w:lang w:bidi="fa-IR"/>
        </w:rPr>
        <w:t>، و الحقّ هی الحکومة اصطلاحا مطلقا، و الأمر سهل، کما أنّ الأصل وارد علی البراءة العقلیّة، کما لا یخفی</w:t>
      </w:r>
      <w:r>
        <w:rPr>
          <w:rFonts w:eastAsia="IRNazanin" w:cs="IRNazanin"/>
          <w:color w:val="111111"/>
          <w:sz w:val="28"/>
          <w:szCs w:val="28"/>
          <w:rtl w:val="true"/>
          <w:lang w:bidi="fa-IR"/>
        </w:rPr>
        <w:t>.</w:t>
      </w:r>
    </w:p>
    <w:p>
      <w:pPr>
        <w:pStyle w:val="Heading5"/>
        <w:numPr>
          <w:ilvl w:val="4"/>
          <w:numId w:val="1"/>
        </w:numPr>
        <w:rPr/>
      </w:pPr>
      <w:bookmarkStart w:id="417" w:name="__RefHeading___Toc734965_3244359995"/>
      <w:bookmarkStart w:id="418" w:name="_Toc157"/>
      <w:bookmarkEnd w:id="417"/>
      <w:r>
        <w:rPr>
          <w:rtl w:val="true"/>
        </w:rPr>
        <w:t>بقی شی‌ء</w:t>
      </w:r>
      <w:r>
        <w:rPr>
          <w:rtl w:val="true"/>
        </w:rPr>
        <w:t xml:space="preserve">: </w:t>
      </w:r>
      <w:r>
        <w:rPr>
          <w:rtl w:val="true"/>
        </w:rPr>
        <w:t>حول حکومة الاستصحاب علی البراءة دائما</w:t>
      </w:r>
      <w:bookmarkEnd w:id="4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و جماعة</w:t>
      </w:r>
      <w:r>
        <w:rPr>
          <w:rStyle w:val="FootnoteAnchor"/>
          <w:rtl w:val="true"/>
        </w:rPr>
        <w:footnoteReference w:id="548"/>
      </w:r>
      <w:r>
        <w:rPr>
          <w:rFonts w:ascii="IRNazanin" w:hAnsi="IRNazanin" w:eastAsia="IRNazanin"/>
          <w:color w:val="111111"/>
          <w:sz w:val="28"/>
          <w:sz w:val="28"/>
          <w:szCs w:val="28"/>
          <w:rtl w:val="true"/>
          <w:lang w:bidi="fa-IR"/>
        </w:rPr>
        <w:t>تقدّم الأصل المذکور و لو کان موافقا، فعلی هذا لا تجری البراءة فی جمیع موارد الشکّ و الشبهة الحکمیّة؛ لجریان</w:t>
      </w:r>
    </w:p>
    <w:p>
      <w:pPr>
        <w:pStyle w:val="BookText"/>
        <w:rPr/>
      </w:pPr>
      <w:r>
        <w:rPr>
          <w:rFonts w:ascii="IRNazanin" w:hAnsi="IRNazanin" w:eastAsia="IRNazanin"/>
          <w:color w:val="111111"/>
          <w:sz w:val="28"/>
          <w:sz w:val="28"/>
          <w:szCs w:val="28"/>
          <w:rtl w:val="true"/>
          <w:lang w:bidi="fa-IR"/>
        </w:rPr>
        <w:t xml:space="preserve">استصحاب عدم الجعل عندهم </w:t>
      </w:r>
      <w:r>
        <w:rPr>
          <w:rStyle w:val="FootnoteAnchor"/>
          <w:rtl w:val="true"/>
        </w:rPr>
        <w:footnoteReference w:id="549"/>
      </w:r>
      <w:r>
        <w:rPr>
          <w:rFonts w:ascii="IRNazanin" w:hAnsi="IRNazanin" w:eastAsia="IRNazanin"/>
          <w:color w:val="111111"/>
          <w:sz w:val="28"/>
          <w:sz w:val="28"/>
          <w:szCs w:val="28"/>
          <w:rtl w:val="true"/>
          <w:lang w:bidi="fa-IR"/>
        </w:rPr>
        <w:t>، فیجری استصحاب عدم الوجوب و الحرمة، و فی الشبهات الموضوعیّة یجری الاستصحاب الموضوعیّ، فتبقی أصالة البراءة بلا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عدم جریان الاستصحاب فی مورد الشکّ فی علم زید إذا لم تکن له الحالة السابقة، أو کان مشکوکا، مندفع بأنّه یجری عند کثیر منهم استصحاب العدم الأزلیّ </w:t>
      </w:r>
      <w:r>
        <w:rPr>
          <w:rStyle w:val="FootnoteAnchor"/>
          <w:rtl w:val="true"/>
        </w:rPr>
        <w:footnoteReference w:id="550"/>
      </w:r>
      <w:r>
        <w:rPr>
          <w:rFonts w:ascii="IRNazanin" w:hAnsi="IRNazanin" w:eastAsia="IRNazanin"/>
          <w:color w:val="111111"/>
          <w:sz w:val="28"/>
          <w:sz w:val="28"/>
          <w:szCs w:val="28"/>
          <w:rtl w:val="true"/>
          <w:lang w:bidi="fa-IR"/>
        </w:rPr>
        <w:t>، فینفی العلم بانتفاء وجوده، و لا یثبت بعد ثبوت وجوده، مع أنّه مسبوق عادة بالجهالة و عدم العلم، و هکذا فی موارد الشکّ فی الخمریّة و أمثالها،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یبقی مورد لجریان البراءة العقلیّة أو الشرعیّة؛ لأنّ الأصل المذکور بیان و رافع للجهالة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أدلّة البراءة، رفع الحکم المشکوک کلّیا کان، أو جزئیّا، و مقتضی جریان الاستصحاب فی جمیع النواحی، سقوط البراءة، و تلزم لغویّتها، نظیر جریان استصحاب عدم الإتیان بالجزء المشکوک إتیانه بعد الدخول فی الغیر، فإنّه لا یبقی مورد لقاعدة التجاوز، و تلزم لغویّتها، و علی هذا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تلک المسألة لا یجری الاستصحاب علی الإطلاق، و یؤخذ بدلیل القاعدة</w:t>
      </w:r>
      <w:r>
        <w:rPr>
          <w:rStyle w:val="FootnoteAnchor"/>
          <w:rtl w:val="true"/>
        </w:rPr>
        <w:footnoteReference w:id="551"/>
      </w:r>
      <w:r>
        <w:rPr>
          <w:rFonts w:ascii="IRNazanin" w:hAnsi="IRNazanin" w:eastAsia="IRNazanin"/>
          <w:color w:val="111111"/>
          <w:sz w:val="28"/>
          <w:sz w:val="28"/>
          <w:szCs w:val="28"/>
          <w:rtl w:val="true"/>
          <w:lang w:bidi="fa-IR"/>
        </w:rPr>
        <w:t>، کذلک الأمر هنا، فالبراءة تکون جاریة و لو کان فی البین أصل مقدّم علیها؛ نظرا إلی الفرار من اللغویّة اللازم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الاستصحاب الموافق دون المخالف، فلا تلزم اللغویة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وجه له، لا تنحلّ به المشکلة؛ لأنّ الالتزام بأنّ أدلّة</w:t>
      </w:r>
    </w:p>
    <w:p>
      <w:pPr>
        <w:pStyle w:val="BookText"/>
        <w:rPr/>
      </w:pPr>
      <w:r>
        <w:rPr>
          <w:rFonts w:ascii="IRNazanin" w:hAnsi="IRNazanin" w:eastAsia="IRNazanin"/>
          <w:color w:val="111111"/>
          <w:sz w:val="28"/>
          <w:sz w:val="28"/>
          <w:szCs w:val="28"/>
          <w:rtl w:val="true"/>
          <w:lang w:bidi="fa-IR"/>
        </w:rPr>
        <w:t>البراءة جاءت لمجرّد الجریان فی موارد لو لم تجئ ما کانت إلیها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اللغویّة غیر اللغویّة المشار إلیها، و تکون نظیر اللغویّة بالنسبة إلی أدلّة الشکوک فی صورة عدم تحقّق موضوعها، فإنّه بالضرورة یجوز التوسل إلی أن لا یشکّ أحد فی الصلاة، غیر تامّة؛ فإنّ انتفاء الشکّ فی مورد جریان أدلّة الشکوک فی الصلاة تکوینا جائز، و أمّا ضرب قانون حاکم علی قانون آخر دائما، فغیر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أدلّة الشکوک من القضایا الشرطیّة؛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کذا فعلیه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المشکلة علی ما هو المبنی منحلّة، فإنّ استصحاب عدم الجعل و عدم الحرمة و الوجوب، غیر جار عندنا، کما سیظهر تحقیقه فی الاصول </w:t>
      </w:r>
      <w:r>
        <w:rPr>
          <w:rStyle w:val="FootnoteAnchor"/>
          <w:rtl w:val="true"/>
        </w:rPr>
        <w:footnoteReference w:id="552"/>
      </w:r>
      <w:r>
        <w:rPr>
          <w:rFonts w:ascii="IRNazanin" w:hAnsi="IRNazanin" w:eastAsia="IRNazanin"/>
          <w:color w:val="111111"/>
          <w:sz w:val="28"/>
          <w:sz w:val="28"/>
          <w:szCs w:val="28"/>
          <w:rtl w:val="true"/>
          <w:lang w:bidi="fa-IR"/>
        </w:rPr>
        <w:t>، و الاصول العدمیّة الأزلیّة فی الشبهات الموضوعیّة، أیضا نمنع جریانها، فلا تلزم اللغویّة، فهذا إشکال متوجّه إلی غیرنا، و علیه حلّه، و ربّما یؤیّدنا ذلک،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تعمّقنا و وجدنا موردا للبراءة دون الاستصحاب، فإنّه لا یکفی للفرار من اللغویّة بالضرورة، نظیر ما إذا کان الاستصحاب معارضا بالاستصحاب الآخر، مع أنّه و إن جرت البراءة، إلّا أنّها أیضا تعارض بمثلها، کما لا یخفی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مرّ من جریان استصحاب عدم الجعل عندهم واضح؛ من غیر فرق بین الأحکام التکلیفیّة و الوضعیّة، فلو شکّ فی الجزئیّة و الشرطیّة و المانعیّة، تجری استصحابات نافیة لکلّ واحد منها، و فیما إذا شکّ فی مانعیّة موجود، یکون له المنشأ، و یجری استصحاب العدم الأزلیّ، أو النعتیّ، أو الوجودیّ الرافع للشکّ السببیّ، فلیتدبّر، و اغتنم</w:t>
      </w:r>
      <w:r>
        <w:rPr>
          <w:rFonts w:eastAsia="IRNazanin" w:cs="IRNazanin"/>
          <w:color w:val="111111"/>
          <w:sz w:val="28"/>
          <w:szCs w:val="28"/>
          <w:rtl w:val="true"/>
          <w:lang w:bidi="fa-IR"/>
        </w:rPr>
        <w:t>.</w:t>
      </w:r>
      <w:bookmarkStart w:id="419" w:name="pg13173_324878"/>
    </w:p>
    <w:p>
      <w:pPr>
        <w:pStyle w:val="Heading5"/>
        <w:numPr>
          <w:ilvl w:val="4"/>
          <w:numId w:val="1"/>
        </w:numPr>
        <w:rPr/>
      </w:pPr>
      <w:bookmarkStart w:id="420" w:name="__RefHeading___Toc734967_3244359995"/>
      <w:bookmarkStart w:id="421" w:name="_Toc158"/>
      <w:bookmarkEnd w:id="419"/>
      <w:bookmarkEnd w:id="420"/>
      <w:r>
        <w:rPr>
          <w:rtl w:val="true"/>
        </w:rPr>
        <w:t>و بقی أمر آخر</w:t>
      </w:r>
      <w:r>
        <w:rPr>
          <w:rtl w:val="true"/>
        </w:rPr>
        <w:t xml:space="preserve">: </w:t>
      </w:r>
      <w:r>
        <w:rPr>
          <w:rtl w:val="true"/>
        </w:rPr>
        <w:t>فی تقدّم قاعدة الاشتغال علی البراءة</w:t>
      </w:r>
      <w:bookmarkEnd w:id="421"/>
    </w:p>
    <w:p>
      <w:pPr>
        <w:pStyle w:val="BookText"/>
        <w:rPr/>
      </w:pPr>
      <w:r>
        <w:rPr>
          <w:rFonts w:ascii="IRNazanin" w:hAnsi="IRNazanin" w:eastAsia="IRNazanin"/>
          <w:color w:val="111111"/>
          <w:sz w:val="28"/>
          <w:sz w:val="28"/>
          <w:szCs w:val="28"/>
          <w:rtl w:val="true"/>
          <w:lang w:bidi="fa-IR"/>
        </w:rPr>
        <w:t>لا یختصّ عدم جریان البراءة بمورد لم یکن أصل مقدّم علیها، بل لا تجری فی مورد حکم العقل بالاشتغال؛ لأجل القاعدة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الاشتغال الیقینیّ یحتاج إلی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الوقت أنّه أتی بفریضة، فإنّه من الشکّ فی وجوب الظهر و العصر علیه؛ لاحتمال الإتیان بهما، و مقتضی إطلاق حدیث الرفع نفی الوجوب، إلّا أنّ الحدیث غیر جار قطعا، و نعلم ذلک بالعلم الخارجیّ، و علیه کافّة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البحث فی أنّ الأصل حاکم؛ و هو استصحاب بقاء التکلیف، فیکون من الأمثلة السابقة، و داخلا فی البحث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العقل حاکم، و لا تصل النوبة إلی الأصل، کما علیه بعض المحقّقین، فیکون علی هذا جریان البراءة ممنوعا، لا لوجود الأصل الحاکم اصطلاحا، بل لوجود العقل القائم قرینة قطعیّة علی صرف حدیث الرفع عن أمثال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الأصل المذکور واردا؛ علی بعض التقاریب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أن یخوضوا هنا فی هذه المسألة عوضا عن الخوض فی مسألة التذکیة و القابلیّة و استصحاب العدم الأزلیّ الأجنبیّ فقها و اصولا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الحاجة إلی الاستصحاب؛ لأجل أنّه لیس إلّا أصلا محرزا و منجّزا، و قد تنجّز التکلیف قبل ملاحظة الحالة السابقة بحکم العقل، غیر سدید؛ لأنّه إن ارید منه لغویّة الاستصحاب؛ لأنّ أثره التنجیز، و هو حاصل بسبب سابق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اللغویّة ممنوعة؛ لأنّ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من</w:t>
      </w:r>
    </w:p>
    <w:p>
      <w:pPr>
        <w:pStyle w:val="BookText"/>
        <w:rPr/>
      </w:pPr>
      <w:r>
        <w:rPr>
          <w:rFonts w:ascii="IRNazanin" w:hAnsi="IRNazanin" w:eastAsia="IRNazanin"/>
          <w:color w:val="111111"/>
          <w:sz w:val="28"/>
          <w:sz w:val="28"/>
          <w:szCs w:val="28"/>
          <w:rtl w:val="true"/>
          <w:lang w:bidi="fa-IR"/>
        </w:rPr>
        <w:t xml:space="preserve">موارد دوران الأمر بین المحذورین فی العبادات؛ لعدم جواز الإتیان بالعبادة مع الشکّ فی الوجوب و الأمر، و قد ورد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نفعل إلّا ما امرنا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الاحتیاط فی العبادات ممنوع، کما یأتی فی التنبیه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التوصّلیات لا یأتی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قانون کلّی یشمل جمیع موارده، و اللغویّة الممنوعة هی لغویّة ذات الدلیل، دون إطلاقه، و لذلک یقال بجریان الأصل المسبّبی ذاتا، و محکومیّته إثباتا</w:t>
      </w:r>
      <w:r>
        <w:rPr>
          <w:rStyle w:val="FootnoteAnchor"/>
          <w:rtl w:val="true"/>
        </w:rPr>
        <w:footnoteReference w:id="554"/>
      </w:r>
      <w:r>
        <w:rPr>
          <w:rFonts w:ascii="IRNazanin" w:hAnsi="IRNazanin" w:eastAsia="IRNazanin"/>
          <w:color w:val="111111"/>
          <w:sz w:val="28"/>
          <w:sz w:val="28"/>
          <w:szCs w:val="28"/>
          <w:rtl w:val="true"/>
          <w:lang w:bidi="fa-IR"/>
        </w:rPr>
        <w:t>، و لیس ذلک إلّا لأنّه لیس من اللغو الممنوع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أنّ الاستصحاب متقوّم بلحاظ الحالة السابقة، و هذا أمر و شرط شخصیّ فی جریانه، فلا تصل النوبة إلیه بعد حکم العقل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بالاشتغال، لا یکون إلّا بعد ملاحظة الیقین بالاشتغال السابق، و لا یکفی مجرّد الشکّ لدرک العقل اشتغاله، فعندئذ یحصل شرط جریان الاستصحاب، و یکون جاریا طبعا من غیر اختیار، فمع الغفلة عن العلم بالاشتغال الیقینیّ لا یحکم العقل؛ أی لا یدرک لزوم الفراغ</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یجری الاستصحاب فی التعبّدیات و التوصّلیات، و یکون رافعا لموضوع القاعدة المذکورة أیضا، کما لا یخفی</w:t>
      </w:r>
      <w:r>
        <w:rPr>
          <w:rFonts w:eastAsia="IRNazanin" w:cs="IRNazanin"/>
          <w:color w:val="111111"/>
          <w:sz w:val="28"/>
          <w:szCs w:val="28"/>
          <w:rtl w:val="true"/>
          <w:lang w:bidi="fa-IR"/>
        </w:rPr>
        <w:t>.</w:t>
      </w:r>
      <w:bookmarkStart w:id="422" w:name="pg13173_324880"/>
    </w:p>
    <w:p>
      <w:pPr>
        <w:pStyle w:val="Heading4"/>
        <w:numPr>
          <w:ilvl w:val="3"/>
          <w:numId w:val="1"/>
        </w:numPr>
        <w:rPr/>
      </w:pPr>
      <w:bookmarkStart w:id="423" w:name="__RefHeading___Toc734969_3244359995"/>
      <w:bookmarkStart w:id="424" w:name="_Toc159"/>
      <w:bookmarkEnd w:id="422"/>
      <w:bookmarkEnd w:id="423"/>
      <w:r>
        <w:rPr>
          <w:rtl w:val="true"/>
        </w:rPr>
        <w:t>التنبیه الرابع حول حسن الاحتیاط عقلا</w:t>
      </w:r>
      <w:bookmarkEnd w:id="424"/>
    </w:p>
    <w:p>
      <w:pPr>
        <w:pStyle w:val="Heading5"/>
        <w:numPr>
          <w:ilvl w:val="4"/>
          <w:numId w:val="1"/>
        </w:numPr>
        <w:rPr/>
      </w:pPr>
      <w:bookmarkStart w:id="425" w:name="__RefHeading___Toc734971_3244359995"/>
      <w:bookmarkStart w:id="426" w:name="_Toc160"/>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قد اشتهر حسن الاحتیاط عقلا</w:t>
      </w:r>
      <w:r>
        <w:rPr>
          <w:rStyle w:val="FootnoteAnchor"/>
          <w:rtl w:val="true"/>
        </w:rPr>
        <w:footnoteReference w:id="555"/>
      </w:r>
      <w:r>
        <w:rPr>
          <w:rFonts w:ascii="IRNazanin" w:hAnsi="IRNazanin" w:eastAsia="IRNazanin"/>
          <w:color w:val="111111"/>
          <w:sz w:val="28"/>
          <w:sz w:val="28"/>
          <w:szCs w:val="28"/>
          <w:rtl w:val="true"/>
          <w:lang w:bidi="fa-IR"/>
        </w:rPr>
        <w:t>، و غیر خفیّ أنّ الاحتیاط المنتهی إلی الوسواس، لیس مستحسنا، فالمراد من أنّ الاحتیاط حسن، هو الاحتیاط مع قطع النظر عن بعض تبعات مترتّبة علیه أحیانا، کالعسر و الحرج، و الضرر،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یشکل الأمر من جهة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ینتزع عن قصد ذهنیّ؛ و لا یرتبط بالخارج، أم یعدّ من الانتزاعیّات عن عمل خارجیّ؟ لا سبیل إلی الأوّل؛ فإنّ فی فعل العبادة الکذائیّة أو الأمر التوصّلی، احتیاطا عملیّا، فیکون فی موارد احتمال الأمر و الإخلال بالواجب، احتیاط بإتیان العمل الخارجیّ، و أمّا الاحتیاط فی النیّة فغیر معقول؛ لأنّه أمر خارج عن الاختیار 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کیف یعقل الاحتیاط فی ناحیة احتمال النهی و المبغوضیّة؛ فإنّ الترک عدم مطلق، فکیف ینتزع هناک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قاضیة بامتناع أخذ عنوان وجودیّ من العدم الصرف الذی لا واقعیّة له بتاتا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ترک مشتبه الخمر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المفهوم یحکی عن حیثیّة وجودیّة، أو عدمیّة؟ لا سبیل إلی الثانی، و لا إلی الأوّل، و لا إلی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العدمیّة فی الخارج و عن السلب؛ فإنّ هذا المفهوم وجودیّ مشترک مع ما یستعمل فی ناحیة الاحتیاط فی الإتیان</w:t>
      </w:r>
      <w:bookmarkStart w:id="427" w:name="pg13173_324881"/>
    </w:p>
    <w:p>
      <w:pPr>
        <w:pStyle w:val="BookText"/>
        <w:rPr/>
      </w:pPr>
      <w:bookmarkEnd w:id="427"/>
      <w:r>
        <w:rPr>
          <w:rFonts w:ascii="IRNazanin" w:hAnsi="IRNazanin" w:eastAsia="IRNazanin"/>
          <w:color w:val="111111"/>
          <w:sz w:val="28"/>
          <w:sz w:val="28"/>
          <w:szCs w:val="28"/>
          <w:rtl w:val="true"/>
          <w:lang w:bidi="fa-IR"/>
        </w:rPr>
        <w:t>بمحتمل الأمر،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أن یرجع إلی العنوان الذاتیّ، فإنّ الامور الاخر المستحسنة العقلیّة کثیرة، و لا یعقل انتزاع عنوان واحد من الکثیر إلّا بعد رجوعها إلی واحد؛ حتّی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منتزعا من ذلک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حسنة، و الانقیاد و الطاعة حسن و هکذا، فالکلّ یرجع إلی معنی وحدانیّ هو حسن بالذات، و الاحتیاط حسن بالحیثیّة التقییدیّة التی هی الحسن ذاتا، و ذاک حسن مجازا،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امور</w:t>
      </w:r>
      <w:r>
        <w:rPr>
          <w:rFonts w:eastAsia="IRNazanin" w:cs="IRNazanin"/>
          <w:color w:val="111111"/>
          <w:sz w:val="28"/>
          <w:szCs w:val="28"/>
          <w:rtl w:val="true"/>
          <w:lang w:bidi="fa-IR"/>
        </w:rPr>
        <w:t>:</w:t>
      </w:r>
    </w:p>
    <w:p>
      <w:pPr>
        <w:pStyle w:val="Heading5"/>
        <w:numPr>
          <w:ilvl w:val="4"/>
          <w:numId w:val="1"/>
        </w:numPr>
        <w:rPr/>
      </w:pPr>
      <w:bookmarkStart w:id="428" w:name="__RefHeading___Toc734973_3244359995"/>
      <w:bookmarkStart w:id="429" w:name="_Toc161"/>
      <w:bookmarkEnd w:id="428"/>
      <w:r>
        <w:rPr>
          <w:rtl w:val="true"/>
        </w:rPr>
        <w:t>الأمر الأوّل</w:t>
      </w:r>
      <w:r>
        <w:rPr>
          <w:rtl w:val="true"/>
        </w:rPr>
        <w:t xml:space="preserve">: </w:t>
      </w:r>
      <w:r>
        <w:rPr>
          <w:rtl w:val="true"/>
        </w:rPr>
        <w:t>حول الاحتیاط فی التوصّلیات</w:t>
      </w:r>
      <w:bookmarkEnd w:id="429"/>
    </w:p>
    <w:p>
      <w:pPr>
        <w:pStyle w:val="Heading6"/>
        <w:numPr>
          <w:ilvl w:val="5"/>
          <w:numId w:val="1"/>
        </w:numPr>
        <w:rPr/>
      </w:pPr>
      <w:bookmarkStart w:id="430" w:name="__RefHeading___Toc734975_3244359995"/>
      <w:bookmarkStart w:id="431" w:name="_Toc162"/>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لا بحث فی الاحتیاط فی التوصّلیات إذا کان ممکنا؛ سواء کان الأمر دائرا بین الوجوب و الندب، و النهی بین التحریم و الکراهة، أو دار کلّ واحد منهما بین الوجود و العدم؛ لأنّه إذا احتاط و تبیّن عدم الأمر و النهی، لم یقع فی إشکال عقلیّ، و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تختصّ موارد الاحتیاط بمواضع احتمال الأمر أو النهی الإلزامیّین، بل احتمال الأمر الندبیّ أو النهی التنزیهیّ یکفی، من غیر حاجة إلی الأزید منه، فما تری فی کلمات القوم </w:t>
      </w:r>
      <w:r>
        <w:rPr>
          <w:rStyle w:val="FootnoteAnchor"/>
          <w:rtl w:val="true"/>
        </w:rPr>
        <w:footnoteReference w:id="556"/>
      </w:r>
      <w:r>
        <w:rPr>
          <w:rFonts w:ascii="IRNazanin" w:hAnsi="IRNazanin" w:eastAsia="IRNazanin"/>
          <w:color w:val="111111"/>
          <w:sz w:val="28"/>
          <w:sz w:val="28"/>
          <w:szCs w:val="28"/>
          <w:rtl w:val="true"/>
          <w:lang w:bidi="fa-IR"/>
        </w:rPr>
        <w:t>، لا یخلو من قصور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المحرّر و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قصد القربة فی موارد التوصّلیات، و هکذا فیما نحن فیه؛ لما سیأتی من أنّ القربة المعتبرة فی التعبّدیات إلزاما، و فی التوصّلیات اختیارا، من واد واحد، و تطبیق العناوین الإلهیّة علی الانبعاث</w:t>
      </w:r>
    </w:p>
    <w:p>
      <w:pPr>
        <w:pStyle w:val="BookText"/>
        <w:rPr/>
      </w:pPr>
      <w:r>
        <w:rPr>
          <w:rFonts w:ascii="IRNazanin" w:hAnsi="IRNazanin" w:eastAsia="IRNazanin"/>
          <w:color w:val="111111"/>
          <w:sz w:val="28"/>
          <w:sz w:val="28"/>
          <w:szCs w:val="28"/>
          <w:rtl w:val="true"/>
          <w:lang w:bidi="fa-IR"/>
        </w:rPr>
        <w:t xml:space="preserve">و الانزجار بید العباد، و یکون بذلک عبادة، من غیر دخالة الأمر و النهی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من المحتمل دعوی إمکان کشف الأمر الشرعیّ بقاعدة الملازمة، فیکون الاحتیاط المستحسن عقلا فی التوصّلیات مورد الأمر الإلهیّ، فلا تکون الواقعة خالیة من الأمر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تحرّر منّا من أنّها قاعدة لا أساس لها، و من الأکاذیب التی لا واقعیّة لها</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تخیّل خروج ما نحن فیه عنها؛ لکونه من قبیل حسن الطاعة، و قبح العصیان، کما فی کلام العلّامة النائینیّ </w:t>
      </w:r>
      <w:r>
        <w:rPr>
          <w:rStyle w:val="FootnoteAnchor"/>
          <w:rtl w:val="true"/>
        </w:rPr>
        <w:footnoteReference w:id="560"/>
      </w:r>
      <w:r>
        <w:rPr>
          <w:rFonts w:ascii="IRNazanin" w:hAnsi="IRNazanin" w:eastAsia="IRNazanin"/>
          <w:color w:val="111111"/>
          <w:sz w:val="28"/>
          <w:sz w:val="28"/>
          <w:szCs w:val="28"/>
          <w:rtl w:val="true"/>
          <w:lang w:bidi="fa-IR"/>
        </w:rPr>
        <w:t xml:space="preserve">و بعض تلامذته </w:t>
      </w:r>
      <w:r>
        <w:rPr>
          <w:rStyle w:val="FootnoteAnchor"/>
          <w:rtl w:val="true"/>
        </w:rPr>
        <w:footnoteReference w:id="561"/>
      </w:r>
      <w:r>
        <w:rPr>
          <w:rFonts w:ascii="IRNazanin" w:hAnsi="IRNazanin" w:eastAsia="IRNazanin"/>
          <w:color w:val="111111"/>
          <w:sz w:val="28"/>
          <w:sz w:val="28"/>
          <w:szCs w:val="28"/>
          <w:rtl w:val="true"/>
          <w:lang w:bidi="fa-IR"/>
        </w:rPr>
        <w:t>، من التخیّلات الباطلة المحرّر فسادها فی محلّها</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کشف الأمر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یکون أمرا شرعیّا، یناقض ذات الموضوع و هو الاحتیاط، فإنّ الاحتیاط معناه ینتزع عن الانبعاث من الأمر الاحتمالیّ أو النهی الاحتمالیّ، فمع وجود الأمر بالاحتیاط لا یعقل الانبعاث عن الأمر الاحتیاطیّ، و یلزم من وجوده عدمه؛ لأنّ حسنه منوط بکونه احتیاطا، فیلزم من الانبعاث عن الأمر المتوجّه إلی الاحتیاط، فقدان ذلک الأمر، کما هو الظاهر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یکشف بالقاعدة أمر یستدعی الانبعاث عن احتمال الأمر الواقعیّ </w:t>
      </w:r>
      <w:r>
        <w:rPr>
          <w:rStyle w:val="FootnoteAnchor"/>
          <w:rtl w:val="true"/>
        </w:rPr>
        <w:footnoteReference w:id="563"/>
      </w:r>
      <w:r>
        <w:rPr>
          <w:rFonts w:ascii="IRNazanin" w:hAnsi="IRNazanin" w:eastAsia="IRNazanin"/>
          <w:color w:val="111111"/>
          <w:sz w:val="28"/>
          <w:sz w:val="28"/>
          <w:szCs w:val="28"/>
          <w:rtl w:val="true"/>
          <w:lang w:bidi="fa-IR"/>
        </w:rPr>
        <w:t>،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امتناعها؛ لما تحرّر منّا فی المجلد الأوّل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یعقل</w:t>
      </w:r>
      <w:bookmarkStart w:id="432" w:name="pg13173_324883"/>
    </w:p>
    <w:p>
      <w:pPr>
        <w:pStyle w:val="BookText"/>
        <w:rPr/>
      </w:pPr>
      <w:bookmarkEnd w:id="432"/>
      <w:r>
        <w:rPr>
          <w:rFonts w:ascii="IRNazanin" w:hAnsi="IRNazanin" w:eastAsia="IRNazanin"/>
          <w:color w:val="111111"/>
          <w:sz w:val="28"/>
          <w:sz w:val="28"/>
          <w:szCs w:val="28"/>
          <w:rtl w:val="true"/>
          <w:lang w:bidi="fa-IR"/>
        </w:rPr>
        <w:t>أن یدعو الأمر إلی الانبعاث عن الأمر الآخر؛ للزوم تراکم البعثین علی الواحد، و لا یعقل ذلک، و تنتهی النتیجة إلی الانبعاث عن الأمر المعلوم، لا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أثر بعد ذلک لهذا الأمر المعلوم؛ لأنّ المقصود من کشف الأمر حلّ مشکلة الانبعاث عن الأمر الاحتمالیّ، و لو کان الأمر المعلوم یدعو إلی الانبعاث عن الأمر الاحتمالیّ، فیلزم لغویّة کشفه، فاغتنم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بحسب مقام الثبوت یقع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یعقل أن یکون الاحتیاط واجبا شرعا أو مندوبا نفسیّا، أم لا؟</w:t>
      </w:r>
    </w:p>
    <w:p>
      <w:pPr>
        <w:pStyle w:val="BookText"/>
        <w:rPr/>
      </w:pPr>
      <w:r>
        <w:rPr>
          <w:rFonts w:ascii="IRNazanin" w:hAnsi="IRNazanin" w:eastAsia="IRNazanin"/>
          <w:color w:val="111111"/>
          <w:sz w:val="28"/>
          <w:sz w:val="28"/>
          <w:szCs w:val="28"/>
          <w:rtl w:val="true"/>
          <w:lang w:bidi="fa-IR"/>
        </w:rPr>
        <w:t>و 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یفرّق بین العبادیّات و التوصّلیات، أم لا؟</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الشرع تصرّف تصدیقا، و أوجب نفسیّا أو ندب هذا العنوان مطلقا، أو فی الجملة، أم لا؟</w:t>
      </w:r>
    </w:p>
    <w:p>
      <w:pPr>
        <w:pStyle w:val="BookText"/>
        <w:rPr/>
      </w:pPr>
      <w:r>
        <w:rPr>
          <w:rFonts w:ascii="IRNazanin" w:hAnsi="IRNazanin" w:eastAsia="IRNazanin"/>
          <w:color w:val="111111"/>
          <w:sz w:val="28"/>
          <w:sz w:val="28"/>
          <w:szCs w:val="28"/>
          <w:rtl w:val="true"/>
          <w:lang w:bidi="fa-IR"/>
        </w:rPr>
        <w:t>و حیث قد عرفت إلی هنا امتناع کونه واجبا أو ندبا نفسیّا، سواء فی ذلک أن یکون مستنده قاعدة الملازمة، أو الأخبار الخاصّة، فلا تصل النوبة إلی سائر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فی العبادات تکون إشکالات اخر، لا بأس بالإشارة إلیها، ثمّ بعد ذلک ینظر إلی الأخبار الخاصّة</w:t>
      </w:r>
      <w:r>
        <w:rPr>
          <w:rStyle w:val="FootnoteAnchor"/>
          <w:rtl w:val="true"/>
        </w:rPr>
        <w:footnoteReference w:id="565"/>
      </w:r>
      <w:r>
        <w:rPr>
          <w:rFonts w:ascii="IRNazanin" w:hAnsi="IRNazanin" w:eastAsia="IRNazanin"/>
          <w:color w:val="111111"/>
          <w:sz w:val="28"/>
          <w:sz w:val="28"/>
          <w:szCs w:val="28"/>
          <w:rtl w:val="true"/>
          <w:lang w:bidi="fa-IR"/>
        </w:rPr>
        <w:t>و أنّها موقفها ماذا؟ بعد الامتناع المذکور، و بعد الفراغ من عدم کونها منجّزة للأحکام الواقعیّة؛ أی و بعد عدم کونها طریقیّة کسائر الأوامر الطریقیّة؛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بطریقیّتها، ینافی القول بالبراءة الشرعیّة إمّا دلالة، أو ترجیحا، علی التفصیل المحرّر سابقا</w:t>
      </w:r>
      <w:r>
        <w:rPr>
          <w:rStyle w:val="FootnoteAnchor"/>
          <w:rtl w:val="true"/>
        </w:rPr>
        <w:footnoteReference w:id="566"/>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6"/>
        <w:numPr>
          <w:ilvl w:val="5"/>
          <w:numId w:val="1"/>
        </w:numPr>
        <w:rPr/>
      </w:pPr>
      <w:bookmarkStart w:id="433" w:name="__RefHeading___Toc734977_3244359995"/>
      <w:bookmarkStart w:id="434" w:name="_Toc163"/>
      <w:bookmarkEnd w:id="433"/>
      <w:r>
        <w:rPr>
          <w:rtl w:val="true"/>
        </w:rPr>
        <w:t>و هم و دفع</w:t>
      </w:r>
      <w:bookmarkEnd w:id="4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منع ثبوتا من إیجاب مشکوک الوجوب، و تحریم مشکوک الحرمة، و عند</w:t>
      </w:r>
      <w:bookmarkStart w:id="435" w:name="pg13173_324884"/>
    </w:p>
    <w:p>
      <w:pPr>
        <w:pStyle w:val="BookText"/>
        <w:rPr/>
      </w:pPr>
      <w:bookmarkEnd w:id="435"/>
      <w:r>
        <w:rPr>
          <w:rFonts w:ascii="IRNazanin" w:hAnsi="IRNazanin" w:eastAsia="IRNazanin"/>
          <w:color w:val="111111"/>
          <w:sz w:val="28"/>
          <w:sz w:val="28"/>
          <w:szCs w:val="28"/>
          <w:rtl w:val="true"/>
          <w:lang w:bidi="fa-IR"/>
        </w:rPr>
        <w:t>ذلک یحصل الاحتیاط المطلوب الواقعیّ أحیانا؛ لما لا یعتبر فی الاحتیاط الانبعاث عن الأمر المحتمل، أو الانزجار عن النهی المحتمل، 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الانبعاث و الانزجار عن الأمر و النهی مطلقا، بل لو لم یکن ذلک من الممتنعات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منع ثبوتا عمّا قیل، لا منع من إیجاب محتمل الحرمة، و تحریم محتمل الوجوب، بل الأوّل ممنوع؛ لامتناع أن یکون المطلق واجبا، و المقیّد واجبا آخر؛ للزوم اجتماع المثلین علی ما تحرّر</w:t>
      </w:r>
      <w:r>
        <w:rPr>
          <w:rStyle w:val="FootnoteAnchor"/>
          <w:rtl w:val="true"/>
        </w:rPr>
        <w:footnoteReference w:id="567"/>
      </w:r>
      <w:r>
        <w:rPr>
          <w:rFonts w:ascii="IRNazanin" w:hAnsi="IRNazanin" w:eastAsia="IRNazanin"/>
          <w:color w:val="111111"/>
          <w:sz w:val="28"/>
          <w:sz w:val="28"/>
          <w:szCs w:val="28"/>
          <w:rtl w:val="true"/>
          <w:lang w:bidi="fa-IR"/>
        </w:rPr>
        <w:t>، بخلاف الفرض الأخیر؛ لأنّ التقیید جائز لو لم یکن بین العنوانین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حیث إنّ حقیقة الاحتیاط هی ملاحظة الواقع فی مقام العمل، فلا بدّ من وجود احتمال الأمر، و الالتفات إلیه، و الانبعاث عنه، و هکذا فی جانب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الانبعاث و الانزجار یستند أکثر الأحیان إلی المبادئ النفسانیّة، و تختلف الأفراد و الآحاد من هذه الجهة، و ربّما لا یکون الأمر و النهی دخیلین، و ربّما یکون لهما الدخالة فی الحرکة نحو المطلوب، فلا یکونان علّة تامّة، کما هو ظاهر جمع من الأعلام، و لا غیر دخیلین علی الإطلاق، کما ذهب إلیه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Style w:val="FootnoteAnchor"/>
          <w:rtl w:val="true"/>
        </w:rPr>
        <w:footnoteReference w:id="568"/>
      </w:r>
      <w:r>
        <w:rPr>
          <w:rFonts w:ascii="IRNazanin" w:hAnsi="IRNazanin" w:eastAsia="IRNazanin"/>
          <w:color w:val="111111"/>
          <w:sz w:val="28"/>
          <w:sz w:val="28"/>
          <w:szCs w:val="28"/>
          <w:rtl w:val="true"/>
          <w:lang w:bidi="fa-IR"/>
        </w:rPr>
        <w:t>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Heading5"/>
        <w:numPr>
          <w:ilvl w:val="4"/>
          <w:numId w:val="1"/>
        </w:numPr>
        <w:rPr/>
      </w:pPr>
      <w:bookmarkStart w:id="436" w:name="__RefHeading___Toc734979_3244359995"/>
      <w:bookmarkStart w:id="437" w:name="_Toc164"/>
      <w:bookmarkEnd w:id="436"/>
      <w:r>
        <w:rPr>
          <w:rtl w:val="true"/>
        </w:rPr>
        <w:t>الأمر الثانی</w:t>
      </w:r>
      <w:r>
        <w:rPr>
          <w:rtl w:val="true"/>
        </w:rPr>
        <w:t xml:space="preserve">: </w:t>
      </w:r>
      <w:r>
        <w:rPr>
          <w:rtl w:val="true"/>
        </w:rPr>
        <w:t>حول الاحتیاط فی التعبّدیات</w:t>
      </w:r>
      <w:bookmarkEnd w:id="437"/>
    </w:p>
    <w:p>
      <w:pPr>
        <w:pStyle w:val="Heading6"/>
        <w:numPr>
          <w:ilvl w:val="5"/>
          <w:numId w:val="1"/>
        </w:numPr>
        <w:rPr/>
      </w:pPr>
      <w:bookmarkStart w:id="438" w:name="__RefHeading___Toc734981_3244359995"/>
      <w:bookmarkStart w:id="439" w:name="_Toc165"/>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بعد ما عرفت حال الاحتیاط فی التوصّلیات، بقی کلام حول التعبّدیات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الحقیق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المناقشة فی رجحان الاحتیاط فیها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ناحیة اعتبار قصد الوجه و التمییز</w:t>
      </w:r>
      <w:r>
        <w:rPr>
          <w:rStyle w:val="FootnoteAnchor"/>
          <w:rtl w:val="true"/>
        </w:rPr>
        <w:footnoteReference w:id="570"/>
      </w:r>
      <w:r>
        <w:rPr>
          <w:rFonts w:ascii="IRNazanin" w:hAnsi="IRNazanin" w:eastAsia="IRNazanin"/>
          <w:color w:val="111111"/>
          <w:sz w:val="28"/>
          <w:sz w:val="28"/>
          <w:szCs w:val="28"/>
          <w:rtl w:val="true"/>
          <w:lang w:bidi="fa-IR"/>
        </w:rPr>
        <w:t>، غیر جیّدة من الأصاغر، فضلا عن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أنّ عبادیّة العبادة منوطة بالانبعاث عن الأمر، و فی صورة العلم بالأمر یکون الانبعاث مستندا إلی الأمر؛ لطریقیّة العلم، و أنّه مغفول عنه، و أمّا الاحتمال فهو لیس مغفولا عنه، فیکون الانبعاث عن الأمر المحتمل، و إذا لم یکن أمر، أو کان أمر واقعیّ، لا تقع العبادة عبادة، فتکون تشریعا سواء صادف الاحتمال الواقع، أو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أولی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فی صورة احتمال الأمر، تقع العبادة تشریعا فی صورة عدم وجود الأمر</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فإنّه بیان ممنوع؛ ضرورة أنّ المحتاط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یرید التشریع، و لا یعقل التشریع، کما تحرّر فی محلّه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تحقّق التشریع، یرجع إلی البراءة، فببرکة البراءة ترتفع حرمة التشریع، و یبقی رجحان الاحتیاط علی حاله، فلا یقع الأمر دائرا فی العبادات بین رجحان الاحتیاط، و مرجوحیّة التشریع، و الثانی یوجب انتفاء موضوع الأوّل، بل ببرکة البراءة یبقی للاحتیاط موضوع بلا محذور عقلیّ، و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الحرمة الواقعیّة یزاحم رجحان الاحتیاط، مندفع بأنّ فی التشریع فی العبادة، تکون الحرمة منحصرة بمرحلة الإثبات، و لا مبغوضیّة ثبوتیّة للتشریع؛ فإنّ ما هو المبغوض هو التدیّن بما لیس من الشرع، و هو معنی إثباتیّ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القوم بیانا لممنوعیّة جریان الاحتیاط فی العبادات، غیر تامّ و غیر وجیه، بخلاف ما ذکرناه، فإنّه یستلزم کون العمل العبادیّ تشریعا علی کلّ</w:t>
      </w:r>
      <w:bookmarkStart w:id="440" w:name="pg13173_324886"/>
    </w:p>
    <w:p>
      <w:pPr>
        <w:pStyle w:val="BookText"/>
        <w:rPr/>
      </w:pPr>
      <w:bookmarkEnd w:id="440"/>
      <w:r>
        <w:rPr>
          <w:rFonts w:ascii="IRNazanin" w:hAnsi="IRNazanin" w:eastAsia="IRNazanin"/>
          <w:color w:val="111111"/>
          <w:sz w:val="28"/>
          <w:sz w:val="28"/>
          <w:szCs w:val="28"/>
          <w:rtl w:val="true"/>
          <w:lang w:bidi="fa-IR"/>
        </w:rPr>
        <w:t>تقدیر؛ ضرورة أنّ مقتضی مقالة المشهور أنّ عبادیّة العبادة بالانبعاث عن الأمر، و فی صورة احتمال الأمر یکون الانبعاث عن الاحتمال، أو المحتمل، لا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صورة العلم بالأمر یکون الانبعاث عن العلم بالأمر، غیر تامّ؛ لأنّ العلم مرآة فان فی المعلوم، بخلاف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الخلاف فی کیفیّة فهم عبادیّة العبادة؛ و أنّه هل هو لامتناع أخذها فی المأمور به بالأمر الأوّل و الثانی،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فیکون من الإجماع و أمثاله، أو یکون من الأمر الثانی؛ لإمکانه، دون الأوّل لامتناعه، کما فی تقریرات العلّامة الکاظمیّ رحمه اللّه </w:t>
      </w:r>
      <w:r>
        <w:rPr>
          <w:rStyle w:val="FootnoteAnchor"/>
          <w:rtl w:val="true"/>
        </w:rPr>
        <w:footnoteReference w:id="574"/>
      </w:r>
      <w:r>
        <w:rPr>
          <w:rFonts w:ascii="IRNazanin" w:hAnsi="IRNazanin" w:eastAsia="IRNazanin"/>
          <w:color w:val="111111"/>
          <w:sz w:val="28"/>
          <w:sz w:val="28"/>
          <w:szCs w:val="28"/>
          <w:rtl w:val="true"/>
          <w:lang w:bidi="fa-IR"/>
        </w:rPr>
        <w:t>أو بالأمر الأوّل؛ لإمکانه، بل یمتنع إفادتها بالأمر الثانی دون الأوّل، کما هو مختارنا؟ فبالجملة هذا الحدیث أجنبیّ عمّا نحن فیه؛ فإنّ البحث هنا حول أنّ عبادیّة العبادة، هل هی بالانبعاث عن الأمر، أم هی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 فالاحتیاط فی العبادات ممنوع رجحانه، و لا سبیل إلی رفع البیان الذی أبدعناه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أعمّ کما هو الحقّ، فالاحتیاط ممکن فیه و فی التوصّلیّات علی نهج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أنّها أعمّ فموکول إلی الفقه، و لا یرتبط بالمسألة الاصولیّة</w:t>
      </w:r>
      <w:r>
        <w:rPr>
          <w:rFonts w:eastAsia="IRNazanin" w:cs="IRNazanin"/>
          <w:color w:val="111111"/>
          <w:sz w:val="28"/>
          <w:szCs w:val="28"/>
          <w:rtl w:val="true"/>
          <w:lang w:bidi="fa-IR"/>
        </w:rPr>
        <w:t>.</w:t>
      </w:r>
    </w:p>
    <w:p>
      <w:pPr>
        <w:pStyle w:val="Heading6"/>
        <w:numPr>
          <w:ilvl w:val="5"/>
          <w:numId w:val="1"/>
        </w:numPr>
        <w:rPr/>
      </w:pPr>
      <w:bookmarkStart w:id="441" w:name="__RefHeading___Toc734983_3244359995"/>
      <w:bookmarkStart w:id="442" w:name="_Toc166"/>
      <w:bookmarkEnd w:id="441"/>
      <w:r>
        <w:rPr>
          <w:rtl w:val="true"/>
        </w:rPr>
        <w:t>بقی تنبیه</w:t>
      </w:r>
      <w:r>
        <w:rPr>
          <w:rtl w:val="true"/>
        </w:rPr>
        <w:t xml:space="preserve">: </w:t>
      </w:r>
      <w:r>
        <w:rPr>
          <w:rtl w:val="true"/>
        </w:rPr>
        <w:t>و فیه إشکال صغرویّ علی رجحان الاحتیاط</w:t>
      </w:r>
      <w:bookmarkEnd w:id="442"/>
    </w:p>
    <w:p>
      <w:pPr>
        <w:pStyle w:val="BookText"/>
        <w:rPr/>
      </w:pPr>
      <w:r>
        <w:rPr>
          <w:rFonts w:ascii="IRNazanin" w:hAnsi="IRNazanin" w:eastAsia="IRNazanin"/>
          <w:color w:val="111111"/>
          <w:sz w:val="28"/>
          <w:sz w:val="28"/>
          <w:szCs w:val="28"/>
          <w:rtl w:val="true"/>
          <w:lang w:bidi="fa-IR"/>
        </w:rPr>
        <w:t>یشکل رجحان الاحتیاط فی مطلق التوصّلیات و التعبّدیات؛ و ذلک لأنّ درک العقل رجحانه، لا یعقل مع احتمال کون مورد الاحتیاط مبغوضا ثبوتا و إن لم یکن علیه حجّة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معنی للتوسّل بالبراءة بعد القطع بعدم التکلیف، المجتمع مع احتمال</w:t>
      </w:r>
      <w:bookmarkStart w:id="443" w:name="pg13173_324887"/>
    </w:p>
    <w:p>
      <w:pPr>
        <w:pStyle w:val="BookText"/>
        <w:rPr/>
      </w:pPr>
      <w:bookmarkEnd w:id="443"/>
      <w:r>
        <w:rPr>
          <w:rFonts w:ascii="IRNazanin" w:hAnsi="IRNazanin" w:eastAsia="IRNazanin"/>
          <w:color w:val="111111"/>
          <w:sz w:val="28"/>
          <w:sz w:val="28"/>
          <w:szCs w:val="28"/>
          <w:rtl w:val="true"/>
          <w:lang w:bidi="fa-IR"/>
        </w:rPr>
        <w:t>المبغوضیّة الذاتیّة فی موارد التوصّلیات و التعبّدیات، و لا طریق لنا إلی منع هذا الاحتمال الساری فی کلّ مورد من الموارد العامّة القابل لأن یکون مبغوضا ثبوتا ذاتا، أو بالعناوین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فی هذه المشکلة حقّها، یری أنّه لا سبیل إلی درک عقله رجحان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لا یمنع عن جواز الاحتیاط فی التوصّلیات و التعبّدیات، فما فی کلامهم من رجحانه فی التوصّلیات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فی التعبّدیات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مفاد الأخبار فیأتی فی البحث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العلم بعدم المبغوضیّة فی الشبهات الوجوبیّة، و العلم بعدم المحبوبیّة فی الشبهات التحریمیّة، یمکن درک الرجحان، کما یمکن ذلک فیما إذا کان احتمال المحبوبیّة أکثر من احتمال المبغوضیّة الثبوتیّة، و یکون الاحتمال من أنیاب الأغوال</w:t>
      </w:r>
      <w:r>
        <w:rPr>
          <w:rFonts w:eastAsia="IRNazanin" w:cs="IRNazanin"/>
          <w:color w:val="111111"/>
          <w:sz w:val="28"/>
          <w:szCs w:val="28"/>
          <w:rtl w:val="true"/>
          <w:lang w:bidi="fa-IR"/>
        </w:rPr>
        <w:t>.</w:t>
      </w:r>
    </w:p>
    <w:p>
      <w:pPr>
        <w:pStyle w:val="Heading5"/>
        <w:numPr>
          <w:ilvl w:val="4"/>
          <w:numId w:val="1"/>
        </w:numPr>
        <w:rPr/>
      </w:pPr>
      <w:bookmarkStart w:id="444" w:name="__RefHeading___Toc734985_3244359995"/>
      <w:bookmarkStart w:id="445" w:name="_Toc167"/>
      <w:bookmarkEnd w:id="444"/>
      <w:r>
        <w:rPr>
          <w:rtl w:val="true"/>
        </w:rPr>
        <w:t>الأمر الثالث</w:t>
      </w:r>
      <w:r>
        <w:rPr>
          <w:rtl w:val="true"/>
        </w:rPr>
        <w:t xml:space="preserve">: </w:t>
      </w:r>
      <w:r>
        <w:rPr>
          <w:rtl w:val="true"/>
        </w:rPr>
        <w:t>فی المراد من أوامر أخبار الاحتیاط</w:t>
      </w:r>
      <w:bookmarkEnd w:id="445"/>
    </w:p>
    <w:p>
      <w:pPr>
        <w:pStyle w:val="Heading6"/>
        <w:numPr>
          <w:ilvl w:val="5"/>
          <w:numId w:val="1"/>
        </w:numPr>
        <w:rPr/>
      </w:pPr>
      <w:bookmarkStart w:id="446" w:name="__RefHeading___Toc734987_3244359995"/>
      <w:bookmarkStart w:id="447" w:name="_Toc168"/>
      <w:bookmarkEnd w:id="446"/>
      <w:r>
        <w:rPr>
          <w:rtl w:val="true"/>
        </w:rPr>
        <w:t>اشارة</w:t>
      </w:r>
      <w:bookmarkEnd w:id="4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تبیّن امتناع کون الاحتیاط واجبا نفسیّا أو مندوبا، فلا فرق بین کون مستنده قاعدة الملازمة</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باطلة فی ذاتها، محرّرة فی محلّها</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مستنده الإجماع و الاتفاق، أو تکون الأخبار الخاصّة الواردة فی المقام </w:t>
      </w:r>
      <w:r>
        <w:rPr>
          <w:rStyle w:val="FootnoteAnchor"/>
          <w:rtl w:val="true"/>
        </w:rPr>
        <w:footnoteReference w:id="578"/>
      </w:r>
      <w:r>
        <w:rPr>
          <w:rFonts w:ascii="IRNazanin" w:hAnsi="IRNazanin" w:eastAsia="IRNazanin"/>
          <w:color w:val="111111"/>
          <w:sz w:val="28"/>
          <w:sz w:val="28"/>
          <w:szCs w:val="28"/>
          <w:rtl w:val="true"/>
          <w:lang w:bidi="fa-IR"/>
        </w:rPr>
        <w:t>، کما</w:t>
      </w:r>
    </w:p>
    <w:p>
      <w:pPr>
        <w:pStyle w:val="BookText"/>
        <w:rPr/>
      </w:pPr>
      <w:r>
        <w:rPr>
          <w:rFonts w:ascii="IRNazanin" w:hAnsi="IRNazanin" w:eastAsia="IRNazanin"/>
          <w:color w:val="111111"/>
          <w:sz w:val="28"/>
          <w:sz w:val="28"/>
          <w:szCs w:val="28"/>
          <w:rtl w:val="true"/>
          <w:lang w:bidi="fa-IR"/>
        </w:rPr>
        <w:t xml:space="preserve">مضت بتفصیل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إنّها تحتمل الاحتمالات الکثیرة، و لکن خرج منها احتمال کون الأمر فیها نفسیّا</w:t>
      </w:r>
      <w:r>
        <w:rPr>
          <w:rStyle w:val="FootnoteAnchor"/>
          <w:rtl w:val="true"/>
        </w:rPr>
        <w:footnoteReference w:id="580"/>
      </w:r>
      <w:r>
        <w:rPr>
          <w:rFonts w:ascii="IRNazanin" w:hAnsi="IRNazanin" w:eastAsia="IRNazanin"/>
          <w:color w:val="111111"/>
          <w:sz w:val="28"/>
          <w:sz w:val="28"/>
          <w:szCs w:val="28"/>
          <w:rtl w:val="true"/>
          <w:lang w:bidi="fa-IR"/>
        </w:rPr>
        <w:t>، و هکذا احتمال کون الأوامر طریقیّة منجّزة للأحکام الواقعیّة</w:t>
      </w:r>
      <w:r>
        <w:rPr>
          <w:rStyle w:val="FootnoteAnchor"/>
          <w:rtl w:val="true"/>
        </w:rPr>
        <w:footnoteReference w:id="581"/>
      </w:r>
      <w:r>
        <w:rPr>
          <w:rFonts w:ascii="IRNazanin" w:hAnsi="IRNazanin" w:eastAsia="IRNazanin"/>
          <w:color w:val="111111"/>
          <w:sz w:val="28"/>
          <w:sz w:val="28"/>
          <w:szCs w:val="28"/>
          <w:rtl w:val="true"/>
          <w:lang w:bidi="fa-IR"/>
        </w:rPr>
        <w:t>لما عرفت من جریان البراءة و تقدّمها علیها</w:t>
      </w:r>
      <w:r>
        <w:rPr>
          <w:rStyle w:val="FootnoteAnchor"/>
          <w:rtl w:val="true"/>
        </w:rPr>
        <w:footnoteReference w:id="582"/>
      </w:r>
      <w:r>
        <w:rPr>
          <w:rFonts w:ascii="IRNazanin" w:hAnsi="IRNazanin" w:eastAsia="IRNazanin"/>
          <w:color w:val="111111"/>
          <w:sz w:val="28"/>
          <w:sz w:val="28"/>
          <w:szCs w:val="28"/>
          <w:rtl w:val="true"/>
          <w:lang w:bidi="fa-IR"/>
        </w:rPr>
        <w:t xml:space="preserve">، یبقی من بینها کونها إرشادا إلی حسن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إرشادا إلی ملاحظة الواقعیّات حتّی الإمکان، و عدم الوقوع فی المهالک، و عدم الابتلاء بالحزازة الروحیّة</w:t>
      </w:r>
      <w:r>
        <w:rPr>
          <w:rStyle w:val="FootnoteAnchor"/>
          <w:rtl w:val="true"/>
        </w:rPr>
        <w:footnoteReference w:id="583"/>
      </w:r>
      <w:r>
        <w:rPr>
          <w:rFonts w:ascii="IRNazanin" w:hAnsi="IRNazanin" w:eastAsia="IRNazanin"/>
          <w:color w:val="111111"/>
          <w:sz w:val="28"/>
          <w:sz w:val="28"/>
          <w:szCs w:val="28"/>
          <w:rtl w:val="true"/>
          <w:lang w:bidi="fa-IR"/>
        </w:rPr>
        <w:t>، أو إرشادا إلی تبعات الواقعیّات المحرّمة شرعا و غیر الحرام فعلا؛ من کدورة القلب، و تهیئته للدخول فی سائر المبغوضات، و تسهیل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منشأ الأمر بالتوقّف و الاحتیاط أمر غیر مولویّ، و لا طریقیّ، و هو ملاحظة امور کثیرة دنیویة و اخرویّة، روحیّة و جسمیّة، و یظهر کلّ ذلک من بعض العلل المذکورة فی نفس الأخبار،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ظاهرة فی وجوب الاحتیاط، و هی علی هذا مورد الإعراض، فلا طریق لنا إلی فهم الرجحان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بأخبار البراءة، و قد امرنا بالأخذ بالأقوی و الأشهر، فإثبات الرجحان الشرعیّ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الشرع أیضا وافق العقل فی هذا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الإجماع مستنده هذه الأخبار محلّ منع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الإجمالیّ بالتواتر المعنویّ، أو الإجمالیّ، فلیتأمّل جیّدا</w:t>
      </w:r>
      <w:r>
        <w:rPr>
          <w:rFonts w:eastAsia="IRNazanin" w:cs="IRNazanin"/>
          <w:color w:val="111111"/>
          <w:sz w:val="28"/>
          <w:szCs w:val="28"/>
          <w:rtl w:val="true"/>
          <w:lang w:bidi="fa-IR"/>
        </w:rPr>
        <w:t>.</w:t>
      </w:r>
      <w:bookmarkStart w:id="448" w:name="pg13173_324889"/>
    </w:p>
    <w:p>
      <w:pPr>
        <w:pStyle w:val="Heading6"/>
        <w:numPr>
          <w:ilvl w:val="5"/>
          <w:numId w:val="1"/>
        </w:numPr>
        <w:rPr/>
      </w:pPr>
      <w:bookmarkStart w:id="449" w:name="__RefHeading___Toc734989_3244359995"/>
      <w:bookmarkStart w:id="450" w:name="_Toc169"/>
      <w:bookmarkEnd w:id="448"/>
      <w:bookmarkEnd w:id="449"/>
      <w:r>
        <w:rPr>
          <w:rtl w:val="true"/>
        </w:rPr>
        <w:t>بقی شی‌ء</w:t>
      </w:r>
      <w:r>
        <w:rPr>
          <w:rtl w:val="true"/>
        </w:rPr>
        <w:t xml:space="preserve">: </w:t>
      </w:r>
      <w:r>
        <w:rPr>
          <w:rtl w:val="true"/>
        </w:rPr>
        <w:t>فی أنّ حسن الاحتیاط إضافیّ لا حقیقیّ</w:t>
      </w:r>
      <w:bookmarkEnd w:id="450"/>
    </w:p>
    <w:p>
      <w:pPr>
        <w:pStyle w:val="BookText"/>
        <w:rPr/>
      </w:pPr>
      <w:r>
        <w:rPr>
          <w:rFonts w:ascii="IRNazanin" w:hAnsi="IRNazanin" w:eastAsia="IRNazanin"/>
          <w:color w:val="111111"/>
          <w:sz w:val="28"/>
          <w:sz w:val="28"/>
          <w:szCs w:val="28"/>
          <w:rtl w:val="true"/>
          <w:lang w:bidi="fa-IR"/>
        </w:rPr>
        <w:t>فذلکة 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الاحتیاط و رجحانه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امتناع کونه راجحا نفسیّا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بخلاف جوازه، فإنّه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راجحا بالإضافة؛ لأنّ فی الشبهات الوجوبیّة، یکون احتمال الوجوب أکثر من احتمال المبغوضیّة الذاتیّة الواقعیّة، و فی الشبهات التحریمیّة کذلک، و علی هذا تحمل أخبار المسألة علی ذلک، و لا تدلّ علی رجحانه علی الإطلاق،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تامّ من غیر فرق بین التوصّلیات و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التعبّدیات یمنع حسنه لأجل ما اشیر إلیه، و إلی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کلام القوم </w:t>
      </w:r>
      <w:r>
        <w:rPr>
          <w:rStyle w:val="FootnoteAnchor"/>
          <w:rtl w:val="true"/>
        </w:rPr>
        <w:footnoteReference w:id="5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إمکان کشف الأمر بدرک الحسن الذاتیّ مسدود؛ للزوم الدور، ضرورة أنّ الحسن متوقّف علی وجود الأمر، فکیف یعقل کشف الأمر بدرک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قابل 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الحسن الذاتیّ العقلیّ مبدأ کشف الأمر، فیثبت به الحسن الشرعیّ، و لا یتوقّف الحسن الذاتیّ علی الأمر، فتدبّر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ما به قوام الحسن الذاتیّ فی عبادیّة العبادة، و ما به قوام عبادیّة العبادة شرعا، فإذا کان الأوّل متقوّما باحتمال الأمر، یکشف به الأمر حسب القاعدة، و بعد ذلک یثبت حسن العبادة شرعا؛ لحصول ما به عبادیّة العبادة</w:t>
      </w:r>
      <w:r>
        <w:rPr>
          <w:rFonts w:eastAsia="IRNazanin" w:cs="IRNazanin"/>
          <w:color w:val="111111"/>
          <w:sz w:val="28"/>
          <w:szCs w:val="28"/>
          <w:rtl w:val="true"/>
          <w:lang w:bidi="fa-IR"/>
        </w:rPr>
        <w:t>.</w:t>
      </w:r>
      <w:bookmarkStart w:id="451" w:name="pg13173_324890"/>
    </w:p>
    <w:p>
      <w:pPr>
        <w:pStyle w:val="BookText"/>
        <w:rPr/>
      </w:pPr>
      <w:bookmarkEnd w:id="451"/>
      <w:r>
        <w:rPr>
          <w:rFonts w:ascii="IRNazanin" w:hAnsi="IRNazanin" w:eastAsia="IRNazanin"/>
          <w:color w:val="111111"/>
          <w:sz w:val="28"/>
          <w:sz w:val="28"/>
          <w:szCs w:val="28"/>
          <w:rtl w:val="true"/>
          <w:lang w:bidi="fa-IR"/>
        </w:rPr>
        <w:t>نعم، قد عرفت فساد القاعدة أساسا؛ و أنّ الأمر النفسیّ لا یعقل بالنسبة إلی الاحتیاط</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حتّی الآن امتناع الأمر بالنسبة إلی الاحتیاط بعنوانه، و لیست روایات الاحتیاط متضمّنة لذلک الأمر، و لا للأمر بالنسبة إلی مورد الاحتیاط؛ و هی العبادة المشکوکة، کما هو الظاهر</w:t>
      </w:r>
      <w:r>
        <w:rPr>
          <w:rFonts w:eastAsia="IRNazanin" w:cs="IRNazanin"/>
          <w:color w:val="111111"/>
          <w:sz w:val="28"/>
          <w:szCs w:val="28"/>
          <w:rtl w:val="true"/>
          <w:lang w:bidi="fa-IR"/>
        </w:rPr>
        <w:t>.</w:t>
      </w:r>
    </w:p>
    <w:p>
      <w:pPr>
        <w:pStyle w:val="Heading5"/>
        <w:numPr>
          <w:ilvl w:val="4"/>
          <w:numId w:val="1"/>
        </w:numPr>
        <w:rPr/>
      </w:pPr>
      <w:bookmarkStart w:id="452" w:name="__RefHeading___Toc734991_3244359995"/>
      <w:bookmarkStart w:id="453" w:name="_Toc170"/>
      <w:bookmarkEnd w:id="452"/>
      <w:r>
        <w:rPr>
          <w:rtl w:val="true"/>
        </w:rPr>
        <w:t xml:space="preserve">خاتمة المطاف فی أخبار </w:t>
      </w:r>
      <w:r>
        <w:rPr>
          <w:rtl w:val="true"/>
        </w:rPr>
        <w:t>«</w:t>
      </w:r>
      <w:r>
        <w:rPr>
          <w:rtl w:val="true"/>
        </w:rPr>
        <w:t>من بلغ</w:t>
      </w:r>
      <w:r>
        <w:rPr>
          <w:rtl w:val="true"/>
        </w:rPr>
        <w:t>»</w:t>
      </w:r>
      <w:bookmarkEnd w:id="453"/>
    </w:p>
    <w:p>
      <w:pPr>
        <w:pStyle w:val="BookText"/>
        <w:rPr/>
      </w:pPr>
      <w:r>
        <w:rPr>
          <w:rFonts w:ascii="IRNazanin" w:hAnsi="IRNazanin" w:eastAsia="IRNazanin"/>
          <w:color w:val="111111"/>
          <w:sz w:val="28"/>
          <w:sz w:val="28"/>
          <w:szCs w:val="28"/>
          <w:rtl w:val="true"/>
          <w:lang w:bidi="fa-IR"/>
        </w:rPr>
        <w:t>و هو کشف الأمر بالنسبة إلی عنوان الاحتیاط من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کشف الأمر بالنسبة إلی المورد، فتکون العبادة المشکوک فیها و المجهول أمرها، مورد الأمر بتلک الأخبار، و هکذا فی التوصّلیات، فترتفع تلک الشبهة التی أبدعناها، و لأجل ذلک لا بدّ من النظر إلی تلک الأخبار و أحادیثها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عرفت امتناع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کشف کون الاحتیاط بعنوانه مورد الأمر فی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کشف وجود الأمر شرعا فی موارد الاحتیاط فی التعبّدیات و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فدونک نبذة من تلک الأحادیث الکثیرة المجموعة فی 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 هی مع کثرتها البالغة أحیانا إلی الثمانیة أو التسعة مثلا، أکثرها غیر نقیّ الإسناد؛ و من الکتب غیر المتواترة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فیها خبر معتبر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w:t>
      </w:r>
    </w:p>
    <w:p>
      <w:pPr>
        <w:pStyle w:val="BookText"/>
        <w:rPr/>
      </w:pPr>
      <w:r>
        <w:rPr>
          <w:rFonts w:ascii="IRNazanin" w:hAnsi="IRNazanin" w:eastAsia="IRNazanin"/>
          <w:color w:val="111111"/>
          <w:sz w:val="28"/>
          <w:sz w:val="28"/>
          <w:szCs w:val="28"/>
          <w:rtl w:val="true"/>
          <w:lang w:bidi="fa-IR"/>
        </w:rPr>
        <w:t>عمیر،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سمع شیئا من الثواب علی شی‌ء فصنعه، کان له و إن لم یکن علی ما بلغه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عن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 اللّه علیه و آله و سلّم شی‌ء من الثواب، ففعل ذلک طلب قول النبیّ صلّی اللّه علیه و آله و سلّم کان له ذلک الثواب و إن کان النبیّ صلّی اللّه علیه و آله و سلّم لم یقله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المناقشة فی حجّیة الخبر الواحد هنا؛ لکونه مربوطا بالاصول الاعتقادیّة</w:t>
      </w:r>
      <w:r>
        <w:rPr>
          <w:rStyle w:val="FootnoteAnchor"/>
          <w:rtl w:val="true"/>
        </w:rPr>
        <w:footnoteReference w:id="592"/>
      </w:r>
      <w:r>
        <w:rPr>
          <w:rFonts w:ascii="IRNazanin" w:hAnsi="IRNazanin" w:eastAsia="IRNazanin"/>
          <w:color w:val="111111"/>
          <w:sz w:val="28"/>
          <w:sz w:val="28"/>
          <w:szCs w:val="28"/>
          <w:rtl w:val="true"/>
          <w:lang w:bidi="fa-IR"/>
        </w:rPr>
        <w:t>، غیر جیّدة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أسوأ حالا توهّم تواتر أخبار المسألة إجمالا</w:t>
      </w:r>
      <w:r>
        <w:rPr>
          <w:rStyle w:val="FootnoteAnchor"/>
          <w:rtl w:val="true"/>
        </w:rPr>
        <w:footnoteReference w:id="593"/>
      </w:r>
      <w:r>
        <w:rPr>
          <w:rFonts w:ascii="Amiri" w:hAnsi="Amiri" w:eastAsia="Amiri" w:cs="Amiri"/>
          <w:color w:val="111111"/>
          <w:sz w:val="28"/>
          <w:sz w:val="28"/>
          <w:szCs w:val="28"/>
          <w:rtl w:val="true"/>
          <w:lang w:bidi="ar-SA"/>
        </w:rPr>
        <w:t>، أو معنویّا</w:t>
      </w:r>
      <w:r>
        <w:rPr>
          <w:rStyle w:val="FootnoteAnchor"/>
          <w:rtl w:val="true"/>
        </w:rPr>
        <w:footnoteReference w:id="594"/>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فیما هو مفادها عندنا، نشیر أوّلا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أنّها أجنبیّة عمّا هو المطلوب و هو کشف الأمر فی موارد الاحتیاط؛ لاختصاص موردها بمواقع بلوغ الثواب علی عمل، فاتی به رجاء ذلک الثواب، و فیما نحن فیه لیس البحث حول الاحتیاط فی موارد بلوغ الثواب، بل المبحوث عنه أمر آخر أجنبیّ عنه؛ و لو کان یکشف فرضا وجود الأمر فی موارد الرجاء و الاحتیاط البالغ علیه الثواب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یمکن کشف صحّة العبادة الرجائیّة بهذه الأخبار؛ لأنّ موردها فرض بلوغ الثواب، و ما نحن فیه غیر مربوط بذلک، و سیظهر إن شاء اللّه مفاد هذه الأخبار</w:t>
      </w:r>
    </w:p>
    <w:p>
      <w:pPr>
        <w:pStyle w:val="BookText"/>
        <w:rPr/>
      </w:pPr>
      <w:r>
        <w:rPr>
          <w:rFonts w:ascii="IRNazanin" w:hAnsi="IRNazanin" w:eastAsia="IRNazanin"/>
          <w:color w:val="111111"/>
          <w:sz w:val="28"/>
          <w:sz w:val="28"/>
          <w:szCs w:val="28"/>
          <w:rtl w:val="true"/>
          <w:lang w:bidi="fa-IR"/>
        </w:rPr>
        <w:t>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إطالة الکلام حول هذه الأخبار هنا، غیر جیّدة، و إیجاد الاحتمالات الکثیرة المختلفة إلی 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بصدد حجّیة الضعاف من الأخبار فی المسنونات، و إنّه لا حاجة إلی الإسناد فیها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بصدد إلغاء قیود معتبرة فی حجّیة الخبر الواحد، سواء فیه المسنونات و المکروهات البالغ الثواب علی ترکها؛ لعدم خصوصیّة لها فی جانب المندوبات و الأفعال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هی تعمّ موارد الأخبار المتضمّنة لوجوب شی‌ء، و لزوم فعل مجعول علیه الثواب، فتکون دلیلا علی حجّیة سندها، فیکون لازمها وجوب ذلک الشی‌ء حسب الإطلاق المشاهد فیها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هی بصدد إحداث الأمر متعلّقا بالفعل، أو النهی متعلّقا بالترک واقعا، فیکون الثواب المجعول بالغا إلیه فی موارد الکذب، و غیر بالغ ذلک الثواب فی موارد وصول الخبر بالسند المعتبر؛ لأنّها بصدد الأخبار الضعیفة ذاتا غیر ذات السند رأسا، أو ذات سند ضعیف، فلا تعمّ المندوبات الثابتة بالحجج الشرعیّة، و لا یبلغ إلیهم الثواب المجعول فیها؛ لاختصاصها بغیرها، کما هو صریح کلامهم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غیر ذلک </w:t>
      </w:r>
      <w:r>
        <w:rPr>
          <w:rStyle w:val="FootnoteAnchor"/>
          <w:rtl w:val="true"/>
        </w:rPr>
        <w:footnoteReference w:id="599"/>
      </w:r>
      <w:r>
        <w:rPr>
          <w:rFonts w:ascii="IRNazanin" w:hAnsi="IRNazanin" w:eastAsia="IRNazanin"/>
          <w:color w:val="111111"/>
          <w:sz w:val="28"/>
          <w:sz w:val="28"/>
          <w:szCs w:val="28"/>
          <w:rtl w:val="true"/>
          <w:lang w:bidi="fa-IR"/>
        </w:rPr>
        <w:t>، فکلّه الغفلة عن حقیقة الحال و المقال، و تبعید للمسافة، و انصراف عن هذه المآثیر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لی یتبیّن بعد التوجّه و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عقلیّة؛ و هی أنّ مقتضی طائفة من البراهین و جملة من الأخبار، أنّ الثواب یتبع النیّات، حتّی أنّ الخلود فی الجنّة و النار تابعها</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هذه الأخبار من جملة الأخبار الشاهدة علی أنّ النیّة و القصد و الرجاء و الآمال، دخیلة فی وصول الثواب إلیه، و أنّ الإنسان یثاب علی النیّات؛ و لو کان أقلّ من الثواب البالغ إلیه من النیّة المقرونة بالعمل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حکایة و إخبار عن تلک القضیّة، فلو أتی بفعل برجاء ثواب کذائیّ، و کان ذلک فی نیّته و قصده عند الإتیان بذلک العمل، فیصل إلیه ذلک و إن لم یقل به الرسول الأعظم صلّی اللّه علیه و آله و سلّم لأنّ المناط لیس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منه الجزاف؛ لأنّ تلک النیّة الصالحة تستتبع ذلک الثواب المأمول حسب اطلاع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إمضاء الشرع الطرق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الظواهر إلی خبر الواحد، و غیر ذلک ممّا یختلف إصابة 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لمناقشة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موارد التخلّف و الخطأ، تضییعا لحقّ العاملین السالکین تلک السبل و المسالک، و لو کان الشرع أوجب الاحتیاط فی الجملة مثلا، لما وقعت الامّة فی تفویت المصالح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الالتفات إلی هذه القضیّة مع ما سلف، نرجع إلی الأخبار الواردة فی المسألة، فنجد أن فیها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أنّ البلوغ، لا بدّ و أن یکون علی وجه متعارف، و إلّا فمجرّد سماع الحدیث لو کان بلوغا، للزم أن تشمل هذه الأخبار صورة العلم بالکذب؛ لأنّ فی الخبرین المذکورین، لیس إلّا الإتیان بالفعل بعد البلوغ، و یحصل له الرجاء إذا کان یشمل الخبران صورة العلم بالکذب، کما فیما یقول به العامّة من التصویب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قوله علیه السّلام فی الخبر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النبیّ صلّی اللّه علیه و آله و سلّم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إن کان النبیّ لم یقل بالثواب جزاء لذلک الفعل، لا أنّه و إن کان النبیّ صلّی اللّه علیه و آله و سلّم لم یقل أصل الفعل و الصنع و العمل، و لذلک تری فی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ما أتی به علی ما بلغه من الثواب، و لکن کان الفعل ممّا قاله؛ و أتی به و هو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روایة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علی عمل، فعمل ذلک العمل التماس ذلک الثواب، اوتیه و إن لم یکن الحدیث کما بلغه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أی متضمّنا لذلک الثواب، و لکنّه حدیث صادر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الخوض فی هذه الطائفة من الأخبار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فیها إلی أنّ وصول الثواب، لیس تابعا لقوله صلّی اللّه علیه و آله و سلّم و أمّا العمل الذی یأتی به و قد بلغه، فلا بدّ و أن یکون بالغا إلیه بنحو متعارف من البلوغ، و یکون المفروض فی هذه الأخبار؛ أنّ ذلک الفعل قد بلغ مطابقا للواقع، دون ثوابه، فإنّه بلغ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الفعل مطابقا للواقع، فهو خارج ظاهرا عن نطاق هذه الأخبار، کما أنّ من أتی فی الشبهات البدویّة غیر البالغ إلیه شی‌ء عن رسول اللّه صلّی اللّه علیه و آله و سلّم و لکنّه أتی برجاء المطلوبیّة یثاب، و لکنّه أیضا خارج عن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تثبت بها حجّیة الخبر، فیجوز الإفتاء علی طبقه</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بها الأمر الخاصّ</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فهو بعید عنها، أجنبیّ جدّا منها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إلی إطالة البحث حولها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أجنبیّة عن المسألة</w:t>
      </w:r>
    </w:p>
    <w:p>
      <w:pPr>
        <w:pStyle w:val="BookText"/>
        <w:rPr/>
      </w:pPr>
      <w:r>
        <w:rPr>
          <w:rFonts w:ascii="IRNazanin" w:hAnsi="IRNazanin" w:eastAsia="IRNazanin"/>
          <w:color w:val="111111"/>
          <w:sz w:val="28"/>
          <w:sz w:val="28"/>
          <w:szCs w:val="28"/>
          <w:rtl w:val="true"/>
          <w:lang w:bidi="fa-IR"/>
        </w:rPr>
        <w:t>الاصولیّة؛ و هی صحّة العبادة فی موارد احتمال الأمر، فإنّ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التحقیق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عند الاحتمال و إن لم یکن أمر واقعا، و لکن ذلک لأجل الجهات المحرّرة الاخر</w:t>
      </w:r>
      <w:r>
        <w:rPr>
          <w:rStyle w:val="FootnoteAnchor"/>
          <w:rtl w:val="true"/>
        </w:rPr>
        <w:footnoteReference w:id="604"/>
      </w:r>
      <w:r>
        <w:rPr>
          <w:rFonts w:ascii="IRNazanin" w:hAnsi="IRNazanin" w:eastAsia="IRNazanin"/>
          <w:color w:val="111111"/>
          <w:sz w:val="28"/>
          <w:sz w:val="28"/>
          <w:szCs w:val="28"/>
          <w:rtl w:val="true"/>
          <w:lang w:bidi="fa-IR"/>
        </w:rPr>
        <w:t>، دون هذه الأخبار الواردة فی جهة خاصّة،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البلوغ الصحیحة غیر المجعول علیها الثواب، یثاب المکلّف لأجل ما ورد من الثواب علی النیّات، أو قامت البراهین العقلیّة، و أمّا هذه الأخبار فهی مخصوصة بموارد جعل الثواب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قصد الثواب و إن لم یصل إلیه معنی مجعول، لا یکفی شمول هذه الأخبار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تبیّن فی هذه الخلاصة من البحث، یظهر مواضع کثیرة من الضعف و الخلط فی کلمات القوم صدرا و ذیلا</w:t>
      </w:r>
      <w:r>
        <w:rPr>
          <w:rFonts w:eastAsia="IRNazanin" w:cs="IRNazanin"/>
          <w:color w:val="111111"/>
          <w:sz w:val="28"/>
          <w:szCs w:val="28"/>
          <w:rtl w:val="true"/>
          <w:lang w:bidi="fa-IR"/>
        </w:rPr>
        <w:t>.</w:t>
      </w:r>
      <w:bookmarkStart w:id="454" w:name="pg13173_324896"/>
    </w:p>
    <w:p>
      <w:pPr>
        <w:pStyle w:val="Heading4"/>
        <w:numPr>
          <w:ilvl w:val="3"/>
          <w:numId w:val="1"/>
        </w:numPr>
        <w:rPr/>
      </w:pPr>
      <w:bookmarkStart w:id="455" w:name="__RefHeading___Toc734993_3244359995"/>
      <w:bookmarkStart w:id="456" w:name="_Toc171"/>
      <w:bookmarkEnd w:id="454"/>
      <w:bookmarkEnd w:id="455"/>
      <w:r>
        <w:rPr>
          <w:rtl w:val="true"/>
        </w:rPr>
        <w:t>التنبیه الخامس فی حکم دوران الأمر بین التعیین و التخییر</w:t>
      </w:r>
      <w:bookmarkEnd w:id="456"/>
    </w:p>
    <w:p>
      <w:pPr>
        <w:pStyle w:val="Heading5"/>
        <w:numPr>
          <w:ilvl w:val="4"/>
          <w:numId w:val="1"/>
        </w:numPr>
        <w:rPr/>
      </w:pPr>
      <w:bookmarkStart w:id="457" w:name="__RefHeading___Toc734995_3244359995"/>
      <w:bookmarkStart w:id="458" w:name="_Toc172"/>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و قبل الخوض فیما هو المقصود و المهمّ فی المقام، نشیر إلی امور</w:t>
      </w:r>
      <w:r>
        <w:rPr>
          <w:rFonts w:eastAsia="IRNazanin" w:cs="IRNazanin"/>
          <w:color w:val="111111"/>
          <w:sz w:val="28"/>
          <w:szCs w:val="28"/>
          <w:rtl w:val="true"/>
          <w:lang w:bidi="fa-IR"/>
        </w:rPr>
        <w:t>:</w:t>
      </w:r>
    </w:p>
    <w:p>
      <w:pPr>
        <w:pStyle w:val="Heading5"/>
        <w:numPr>
          <w:ilvl w:val="4"/>
          <w:numId w:val="1"/>
        </w:numPr>
        <w:rPr/>
      </w:pPr>
      <w:bookmarkStart w:id="459" w:name="__RefHeading___Toc734997_3244359995"/>
      <w:bookmarkStart w:id="460" w:name="_Toc173"/>
      <w:bookmarkEnd w:id="459"/>
      <w:r>
        <w:rPr>
          <w:rtl w:val="true"/>
        </w:rPr>
        <w:t>أحدها</w:t>
      </w:r>
      <w:r>
        <w:rPr>
          <w:rtl w:val="true"/>
        </w:rPr>
        <w:t xml:space="preserve">: </w:t>
      </w:r>
      <w:r>
        <w:rPr>
          <w:rtl w:val="true"/>
        </w:rPr>
        <w:t>حول جریان البراءة عن التکلیف التخییریّ</w:t>
      </w:r>
      <w:bookmarkEnd w:id="460"/>
    </w:p>
    <w:p>
      <w:pPr>
        <w:pStyle w:val="Heading6"/>
        <w:numPr>
          <w:ilvl w:val="5"/>
          <w:numId w:val="1"/>
        </w:numPr>
        <w:rPr/>
      </w:pPr>
      <w:bookmarkStart w:id="461" w:name="__RefHeading___Toc734999_3244359995"/>
      <w:bookmarkStart w:id="462" w:name="_Toc174"/>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لا شبهة بعد ما تبیّن الحقّ، فی جریان 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العقلائیّة، و الشرعیّة فی الشکّ فی التکلیف التعیینیّ، و أمّا فی الوجوب التخییریّ، فربّما یشکل جریان البراءة، من غیر فرق بین کون طرف احتمال الوجوب التخییریّ، إباحة ذلک المشکوک، أو إباحته و وجوبه العینیّ معا؛ و ذلک لأنّ کلّ واحد من أطراف الواجب التخییریّ الاحتمالیّ، لیس صالحا فی حدّ نفسه للبراءة؛ للقطع بعدم العقاب علی ترکه فی ذاته، و أمّا احتمال العقوبة بالنسبة إلی ترک المجموع فصحیح، و لکنّ المجموع لیس مورد احتمال الوجوب؛ لأنّ المفروض أنّ الوجوب تخییریّ مردّد بین الطرفین أو الأطراف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العقاب بحدیث الرفع، لا یعقل بالنسبة إلی کلّ واحد من الأطراف فی حدّ ذاته؛ إذ لا عقاب علیه، و أمّا رفع العقاب عن المجموع، فهو فی حدّ نفسه ممکن، و لکنّه خلف، فما هو مبنی الشیخ </w:t>
      </w:r>
      <w:r>
        <w:rPr>
          <w:rStyle w:val="FootnoteAnchor"/>
          <w:rtl w:val="true"/>
        </w:rPr>
        <w:footnoteReference w:id="605"/>
      </w:r>
      <w:r>
        <w:rPr>
          <w:rFonts w:ascii="IRNazanin" w:hAnsi="IRNazanin" w:eastAsia="IRNazanin"/>
          <w:color w:val="111111"/>
          <w:sz w:val="28"/>
          <w:sz w:val="28"/>
          <w:szCs w:val="28"/>
          <w:rtl w:val="true"/>
          <w:lang w:bidi="fa-IR"/>
        </w:rPr>
        <w:t xml:space="preserve">و أتباعه </w:t>
      </w:r>
      <w:r>
        <w:rPr>
          <w:rStyle w:val="FootnoteAnchor"/>
          <w:rtl w:val="true"/>
        </w:rPr>
        <w:footnoteReference w:id="606"/>
      </w:r>
      <w:r>
        <w:rPr>
          <w:rFonts w:ascii="Amiri" w:hAnsi="Amiri" w:eastAsia="Amiri" w:cs="Amiri"/>
          <w:color w:val="111111"/>
          <w:sz w:val="28"/>
          <w:sz w:val="28"/>
          <w:szCs w:val="28"/>
          <w:rtl w:val="true"/>
          <w:lang w:bidi="ar-SA"/>
        </w:rPr>
        <w:t xml:space="preserve">من رفع العقوبة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463" w:name="pg13173_324897"/>
    </w:p>
    <w:p>
      <w:pPr>
        <w:pStyle w:val="BookText"/>
        <w:rPr/>
      </w:pPr>
      <w:bookmarkEnd w:id="463"/>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عدم جریان الحدیث فیما نحن فیه، و النتیجة لزوم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الحرام التخییریّ متصوّرا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فی المجلّد الأوّل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المزبور أیضا متوجّه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ینحلّ الإشکال بالنسبة إلی البراءة الشرعیّة حسبما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المرفوع نفس المجهول </w:t>
      </w:r>
      <w:r>
        <w:rPr>
          <w:rStyle w:val="FootnoteAnchor"/>
          <w:rtl w:val="true"/>
        </w:rPr>
        <w:footnoteReference w:id="608"/>
      </w:r>
      <w:r>
        <w:rPr>
          <w:rFonts w:ascii="IRNazanin" w:hAnsi="IRNazanin" w:eastAsia="IRNazanin"/>
          <w:color w:val="111111"/>
          <w:sz w:val="28"/>
          <w:sz w:val="28"/>
          <w:szCs w:val="28"/>
          <w:rtl w:val="true"/>
          <w:lang w:bidi="fa-IR"/>
        </w:rPr>
        <w:t>، فالوجوب التخییریّ فی کلّ واحد من الأطراف مرفوع، و یکفی لصحّة جریانه جواز العقوبة علی ترک المجموع فی مرحلة العصیان، فلو کان فی الواقع وجوب تخییریّ، یستحقّ العقوبة بترک المجموع، و لکن فی مقام الشکّ و عدم تمامیّة البیان، یرتفع التکلیف التخییریّ عن کلّ واحد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ترتّب العقاب علی ترک کل واحد فی ذاته و لو کان صحیحا، و لکن ترتّب العقاب علی ترک المجموع، یصحّح إسناد الرفع إلی کلّ واحد مستقلّا</w:t>
      </w:r>
      <w:r>
        <w:rPr>
          <w:rFonts w:eastAsia="IRNazanin" w:cs="IRNazanin"/>
          <w:color w:val="111111"/>
          <w:sz w:val="28"/>
          <w:szCs w:val="28"/>
          <w:rtl w:val="true"/>
          <w:lang w:bidi="fa-IR"/>
        </w:rPr>
        <w:t>.</w:t>
      </w:r>
    </w:p>
    <w:p>
      <w:pPr>
        <w:pStyle w:val="Heading6"/>
        <w:numPr>
          <w:ilvl w:val="5"/>
          <w:numId w:val="1"/>
        </w:numPr>
        <w:rPr/>
      </w:pPr>
      <w:bookmarkStart w:id="464" w:name="__RefHeading___Toc735001_3244359995"/>
      <w:bookmarkStart w:id="465" w:name="_Toc175"/>
      <w:bookmarkEnd w:id="464"/>
      <w:r>
        <w:rPr>
          <w:rtl w:val="true"/>
        </w:rPr>
        <w:t>بقی شی‌ء</w:t>
      </w:r>
      <w:r>
        <w:rPr>
          <w:rtl w:val="true"/>
        </w:rPr>
        <w:t xml:space="preserve">: </w:t>
      </w:r>
      <w:r>
        <w:rPr>
          <w:rtl w:val="true"/>
        </w:rPr>
        <w:t>فی کفایة رفع أحد أطراف الوجوب التخییریّ</w:t>
      </w:r>
      <w:bookmarkEnd w:id="465"/>
    </w:p>
    <w:p>
      <w:pPr>
        <w:pStyle w:val="BookText"/>
        <w:rPr/>
      </w:pPr>
      <w:r>
        <w:rPr>
          <w:rFonts w:ascii="IRNazanin" w:hAnsi="IRNazanin" w:eastAsia="IRNazanin"/>
          <w:color w:val="111111"/>
          <w:sz w:val="28"/>
          <w:sz w:val="28"/>
          <w:szCs w:val="28"/>
          <w:rtl w:val="true"/>
          <w:lang w:bidi="fa-IR"/>
        </w:rPr>
        <w:t>و هو أنّ رفع الوجوب التخییریّ عن أحد الأطراف، یکفی للرفع عن الطرف الآخر، أم لا بدّ من جریان حدیث الرفع مرارا بعدد الأطراف؛ بناء علی أنّ کلّ واحد یوصف بالوجوب التخییریّ، کما یوصف الشی‌ء بالوجوب التعیینیّ فی موارد الواجبات التعیینیّة؟</w:t>
      </w:r>
    </w:p>
    <w:p>
      <w:pPr>
        <w:pStyle w:val="BookText"/>
        <w:rPr/>
      </w:pPr>
      <w:r>
        <w:rPr>
          <w:rFonts w:ascii="IRNazanin" w:hAnsi="IRNazanin" w:eastAsia="IRNazanin"/>
          <w:color w:val="111111"/>
          <w:sz w:val="28"/>
          <w:sz w:val="28"/>
          <w:szCs w:val="28"/>
          <w:rtl w:val="true"/>
          <w:lang w:bidi="fa-IR"/>
        </w:rPr>
        <w:t>احتمالان، و الأوّل متعیّن؛ لأنّ حقیقة الوجوب التخییریّ نحو ملازمة بین وجوب الطرفین علی التخییر، و لا یعقل رفع وجوب أحد الأطراف مع بقاء الطرف الآخر علی الوجوب، فلا نحتاج بعد ذلک إلی حدیث الرفع، فلیتأمّل جیّدا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عجز مثلا عن الأطراف، و کان أحد الأطراف مقدورا</w:t>
      </w:r>
    </w:p>
    <w:p>
      <w:pPr>
        <w:pStyle w:val="BookText"/>
        <w:rPr/>
      </w:pPr>
      <w:r>
        <w:rPr>
          <w:rFonts w:ascii="IRNazanin" w:hAnsi="IRNazanin" w:eastAsia="IRNazanin"/>
          <w:color w:val="111111"/>
          <w:sz w:val="28"/>
          <w:sz w:val="28"/>
          <w:szCs w:val="28"/>
          <w:rtl w:val="true"/>
          <w:lang w:bidi="fa-IR"/>
        </w:rPr>
        <w:t>فی مفروض المسألة، لا یلزم تعیّن الوجوب و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بالذات، و لا بالعرض، بل الواجب التخییریّ باق علی حاله، و لو کان العجز موجبا للرفع، فیلزم رفعه عن جمیع الأطراف؛ لتلک الملازمة</w:t>
      </w:r>
      <w:r>
        <w:rPr>
          <w:rStyle w:val="FootnoteAnchor"/>
          <w:rtl w:val="true"/>
        </w:rPr>
        <w:footnoteReference w:id="609"/>
      </w:r>
      <w:r>
        <w:rPr>
          <w:rFonts w:ascii="Amiri" w:hAnsi="Amiri" w:eastAsia="Amiri" w:cs="Amiri"/>
          <w:color w:val="111111"/>
          <w:sz w:val="28"/>
          <w:sz w:val="28"/>
          <w:szCs w:val="28"/>
          <w:rtl w:val="true"/>
          <w:lang w:bidi="ar-SA"/>
        </w:rPr>
        <w:t xml:space="preserve">، فما أفاده العلّامة الأراکیّ قدّس سرّه </w:t>
      </w:r>
      <w:r>
        <w:rPr>
          <w:rStyle w:val="FootnoteAnchor"/>
          <w:rtl w:val="true"/>
        </w:rPr>
        <w:footnoteReference w:id="610"/>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من أنّ العقل یحکم فی موارد العجز بتعیّن الطرف الآخر، شاهد علی أنّ التکلیف لا یدور وجوده و عدمه، مدار القدرة و العجز فی الخطابات القانونیّة، بل الوجوب التخییریّ باق علی إطلاقه و لو عجز عن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التکلیف فی موارد العجز و اللاطاقة، و لازمه عدم وجوب الطرف الآخر، و هو ممنوع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علی أحد الطرفین، لا یکون لحدیث الرفع فی الطرف المعجّز عنه وجه و مجری؛ لما لا منّة فی رفعه، ضرورة أنّه یستحقّ العقوبة بترک الطرف المقدور علی الوجوب التخییریّ،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بناء علی ما هو الحقّ </w:t>
      </w:r>
      <w:r>
        <w:rPr>
          <w:rStyle w:val="FootnoteAnchor"/>
          <w:rtl w:val="true"/>
        </w:rPr>
        <w:footnoteReference w:id="611"/>
      </w:r>
      <w:r>
        <w:rPr>
          <w:rFonts w:ascii="IRNazanin" w:hAnsi="IRNazanin" w:eastAsia="IRNazanin"/>
          <w:color w:val="111111"/>
          <w:sz w:val="28"/>
          <w:sz w:val="28"/>
          <w:szCs w:val="28"/>
          <w:rtl w:val="true"/>
          <w:lang w:bidi="fa-IR"/>
        </w:rPr>
        <w:t>فی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یرجع إلی التعیینیّ </w:t>
      </w:r>
      <w:r>
        <w:rPr>
          <w:rStyle w:val="FootnoteAnchor"/>
          <w:rtl w:val="true"/>
        </w:rPr>
        <w:footnoteReference w:id="612"/>
      </w:r>
      <w:r>
        <w:rPr>
          <w:rFonts w:ascii="IRNazanin" w:hAnsi="IRNazanin" w:eastAsia="IRNazanin"/>
          <w:color w:val="111111"/>
          <w:sz w:val="28"/>
          <w:sz w:val="28"/>
          <w:szCs w:val="28"/>
          <w:rtl w:val="true"/>
          <w:lang w:bidi="fa-IR"/>
        </w:rPr>
        <w:t>، و لا إلی المشروط و المقیّد</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تلک الآراء فلا مشکلة، کما هو الواضح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 حال البراءة الشرعیّة، یظهر وجه جریان البراءة العقلیّة</w:t>
      </w:r>
      <w:bookmarkStart w:id="466" w:name="pg13173_324899"/>
    </w:p>
    <w:p>
      <w:pPr>
        <w:pStyle w:val="BookText"/>
        <w:rPr/>
      </w:pPr>
      <w:bookmarkEnd w:id="466"/>
      <w:r>
        <w:rPr>
          <w:rFonts w:ascii="IRNazanin" w:hAnsi="IRNazanin" w:eastAsia="IRNazanin"/>
          <w:color w:val="111111"/>
          <w:sz w:val="28"/>
          <w:sz w:val="28"/>
          <w:szCs w:val="28"/>
          <w:rtl w:val="true"/>
          <w:lang w:bidi="fa-IR"/>
        </w:rPr>
        <w:t>و العقلائیّة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حدیث الرفع، هو الوجوب التخییریّ المحتمل بین الثلاث، فیندفع الإشکال حتّی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المرفوع هو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الأمر سهل، و من هنا یظهر وجه احتمال کون الشیخ قائلا بالاحتیاط فی المسألة</w:t>
      </w:r>
      <w:r>
        <w:rPr>
          <w:rStyle w:val="FootnoteAnchor"/>
          <w:rtl w:val="true"/>
        </w:rPr>
        <w:footnoteReference w:id="614"/>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5"/>
        <w:numPr>
          <w:ilvl w:val="4"/>
          <w:numId w:val="1"/>
        </w:numPr>
        <w:rPr/>
      </w:pPr>
      <w:bookmarkStart w:id="467" w:name="__RefHeading___Toc735003_3244359995"/>
      <w:bookmarkStart w:id="468" w:name="_Toc176"/>
      <w:bookmarkEnd w:id="467"/>
      <w:r>
        <w:rPr>
          <w:rtl w:val="true"/>
        </w:rPr>
        <w:t>ثانیها</w:t>
      </w:r>
      <w:r>
        <w:rPr>
          <w:rtl w:val="true"/>
        </w:rPr>
        <w:t xml:space="preserve">: </w:t>
      </w:r>
      <w:r>
        <w:rPr>
          <w:rtl w:val="true"/>
        </w:rPr>
        <w:t>فی أقسام دوران الأمر بین التعیین و التخییر</w:t>
      </w:r>
      <w:bookmarkEnd w:id="468"/>
    </w:p>
    <w:p>
      <w:pPr>
        <w:pStyle w:val="BookText"/>
        <w:rPr/>
      </w:pPr>
      <w:r>
        <w:rPr>
          <w:rFonts w:ascii="IRNazanin" w:hAnsi="IRNazanin" w:eastAsia="IRNazanin"/>
          <w:color w:val="111111"/>
          <w:sz w:val="28"/>
          <w:sz w:val="28"/>
          <w:szCs w:val="28"/>
          <w:rtl w:val="true"/>
          <w:lang w:bidi="fa-IR"/>
        </w:rPr>
        <w:t>ینقسم دوران الأمر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الأقسام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الأمر دائرا بین التعیین و التخییر فی التکالیف النفسیّة، کصلاة الظهر و الجمعة، و فی هذا القسم فروع اخر تظهر مسألتها فی طیّ البحث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أیضا فی التکلیف النفسیّ، إلّا أنّ منشأ الإشکال و الشبهة فی الأوّل اختلاف الأخبار، و إجمال الأدلّة، و منشأ الثانی احتمالات خارجیّة، کما إذا علم بوجوب حفظ نفس المسلم، و احتمل تعیّن المؤمن عند المزاحمة، أو کان یعلم تعیّن المؤمن عند المزاحمة، و احتمل إیمان أحدهما المعیّن، فإنّه یلزم دوران أمره بین التعیین و التخییر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العلّامة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فی القسم الأوّل، یکون الشکّ فی حال الخطاب، و فی الثانی فی فعلیّة التکلیف</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یرجع إلی المحصّل؛ لما تحرّر</w:t>
      </w:r>
    </w:p>
    <w:p>
      <w:pPr>
        <w:pStyle w:val="BookText"/>
        <w:rPr/>
      </w:pPr>
      <w:r>
        <w:rPr>
          <w:rFonts w:ascii="IRNazanin" w:hAnsi="IRNazanin" w:eastAsia="IRNazanin"/>
          <w:color w:val="111111"/>
          <w:sz w:val="28"/>
          <w:sz w:val="28"/>
          <w:szCs w:val="28"/>
          <w:rtl w:val="true"/>
          <w:lang w:bidi="fa-IR"/>
        </w:rPr>
        <w:t xml:space="preserve">من أنّ التکلیف فعلیّ فی الفرض الثانی، و إنّما العبد معذور، و تفصیله فی مباحث الترتّب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یتردّد الأمر فی الحجج العرفیّة العقلائیّة الإمضائیّة، و من ذلک دوران الأمر بین تعیّن الرجوع إلی الأعلم، أو التخییر بین الرجوع إلیه و إلی المفضول، بعد معلومیّة الحکم بحسب حکم العقلاء مثلا؛ و هو التخییر، و لکنّه یحتمل تصرّف الشرع فی ذلک، و لیس دلیل اجتهادیّ یرفع ذلک الاحتمال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یتردّد الأمر فی الحجج التأسیسیّة الشرعیّة، کحجّیة أحد الخبرین بعد التساقط، فإنّه لو احتمل تعیّن أحدهما لأمر من الامور، بعد کون حکم العقلاء سقوطهما عن الحجّیة، فإنّه یدور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فتوی الفقیه، فإنّ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حجّة عقلائیّة لکونه أهل خبرة</w:t>
      </w:r>
      <w:r>
        <w:rPr>
          <w:rStyle w:val="FootnoteAnchor"/>
          <w:rtl w:val="true"/>
        </w:rPr>
        <w:footnoteReference w:id="617"/>
      </w:r>
      <w:r>
        <w:rPr>
          <w:rFonts w:ascii="IRNazanin" w:hAnsi="IRNazanin" w:eastAsia="IRNazanin"/>
          <w:color w:val="111111"/>
          <w:sz w:val="28"/>
          <w:sz w:val="28"/>
          <w:szCs w:val="28"/>
          <w:rtl w:val="true"/>
          <w:lang w:bidi="fa-IR"/>
        </w:rPr>
        <w:t>، باطلة؛ ضرورة أنّه لا توجد فتوی من الفقیه فی المسائل المتعارفة، إلّا و تعارضها الفتاوی الاخری الکثیرة من الأحیاء و الأموات، و معارضة الآراء من الأموات للآراء من الأحیاء، قطعیّة عند العقلاء؛ لأنّ شرطیّة الحیاة لو کانت معتبرة فهی شرعیّة، فلا تقاس نظریّة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یرجعون إلیهم فی کلّ یوم مئات المرّات فی المسائل المختلفة غیر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بمسائل إسلامیّة التی کانت معنونة من لدن تألیف الکتاب إلی عصرنا هذا، و التفصیل فی محلّه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إذا دار الأمر بین فتوی الفقیه الحیّ تعیینا، و بین فتواه و فتوی المیّت تخییرا، فهل الاحتیاط یتعیّن، أم لا؟ و هکذا سائر الشکوک الممکنة فی مثل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فاصول الأقسام أربعة، و یأتی بعض فروعها فی طیّ البحوث الآتیة إن شاء</w:t>
      </w:r>
      <w:bookmarkStart w:id="469" w:name="pg13173_324901"/>
    </w:p>
    <w:p>
      <w:pPr>
        <w:pStyle w:val="BookText"/>
        <w:rPr/>
      </w:pPr>
      <w:bookmarkEnd w:id="469"/>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أقسام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التعیین و التخییر فی الواجبات الغیریّة مثلا فی بلدة الکوفة أو کربلاء المقدّسة، بل و فی زیارات المدینة المنوّرة و مکّة المکرّمة، یدور الأمر بین التعیین و التخییر؛ أی تعیین القصر، أو التخییر بینه و بین الإتمام للمسافر، و لا شبهة فی أنّ الأمر بالقصر أو الإتمام، لیس من الأوامر النفسیّة، بل الواجب النفسیّ هو الأمر بالظهرین و العشاء، و أمّا لزوم القصر فهو أمر یرشد إلی حدود المأمور به، فتدبّر</w:t>
      </w:r>
      <w:r>
        <w:rPr>
          <w:rFonts w:eastAsia="IRNazanin" w:cs="IRNazanin"/>
          <w:color w:val="111111"/>
          <w:sz w:val="28"/>
          <w:szCs w:val="28"/>
          <w:rtl w:val="true"/>
          <w:lang w:bidi="fa-IR"/>
        </w:rPr>
        <w:t>.</w:t>
      </w:r>
    </w:p>
    <w:p>
      <w:pPr>
        <w:pStyle w:val="Heading5"/>
        <w:numPr>
          <w:ilvl w:val="4"/>
          <w:numId w:val="1"/>
        </w:numPr>
        <w:rPr/>
      </w:pPr>
      <w:bookmarkStart w:id="470" w:name="__RefHeading___Toc735005_3244359995"/>
      <w:bookmarkStart w:id="471" w:name="_Toc177"/>
      <w:bookmarkEnd w:id="470"/>
      <w:r>
        <w:rPr>
          <w:rtl w:val="true"/>
        </w:rPr>
        <w:t>ثالثها</w:t>
      </w:r>
      <w:r>
        <w:rPr>
          <w:rtl w:val="true"/>
        </w:rPr>
        <w:t xml:space="preserve">: </w:t>
      </w:r>
      <w:r>
        <w:rPr>
          <w:rtl w:val="true"/>
        </w:rPr>
        <w:t>فی حکومة الاصول الرافعة للشکّ علی التخییر</w:t>
      </w:r>
      <w:bookmarkEnd w:id="471"/>
    </w:p>
    <w:p>
      <w:pPr>
        <w:pStyle w:val="Heading6"/>
        <w:numPr>
          <w:ilvl w:val="5"/>
          <w:numId w:val="1"/>
        </w:numPr>
        <w:rPr/>
      </w:pPr>
      <w:bookmarkStart w:id="472" w:name="__RefHeading___Toc735007_3244359995"/>
      <w:bookmarkStart w:id="473" w:name="_Toc178"/>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فی موارد الدوران التی یجری أصل من الاصول الرافعة للشکّ فیها، لا یبقی موضوع هذه المسألة طبعا، مثلا فیما إذا کان مقتضی الاستصحاب الحکمیّ فی القسم الأوّل التعیین، أو الموضوعیّ فی القسم الثانی التخییر، أو التعیین، لا تصل النوبة إلی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المذکور غیر جار، تصل النوبة إلی البحث فی المقام،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یتمسّک بالاستصحاب لإثبات التعیین، و یعدّ ذلک من وجوه لزوم الاحتیاط فی موارد دوران الأمر بین التعیین و التخییر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غیر محلّه؛ لأنّه لو کان جاریا، یکون رافعا لموضوع مسألتنا، فلا تجوز صناعة عدّه من أدلّة الاحتیاط</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ما فی کلام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استظهار التعیین؛ من جهة أنّ الواجب</w:t>
      </w:r>
      <w:bookmarkStart w:id="474" w:name="pg13173_324902"/>
    </w:p>
    <w:p>
      <w:pPr>
        <w:pStyle w:val="BookText"/>
        <w:rPr/>
      </w:pPr>
      <w:bookmarkEnd w:id="474"/>
      <w:r>
        <w:rPr>
          <w:rFonts w:ascii="IRNazanin" w:hAnsi="IRNazanin" w:eastAsia="IRNazanin"/>
          <w:color w:val="111111"/>
          <w:sz w:val="28"/>
          <w:sz w:val="28"/>
          <w:szCs w:val="28"/>
          <w:rtl w:val="true"/>
          <w:lang w:bidi="fa-IR"/>
        </w:rPr>
        <w:t>التخییریّ، یحتاج إلی المؤونة الزائدة فی مقامی الثبوت و الإثبات، ضرورة أنّه فی الوجوب التخییریّ، نحتاج إلی ملاحظة العدل؛ و تعلیق التکلیف بالجامع بینه و بین الطرف الآخر، و فی مرحلة الإثبات نحتاج إلی ذکر العدل، فما لم یثبت ذلک الزائد نحکم بالتعیین؛ لعدم قیام الحجّة علی تلک المؤونة الزائدة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تمسّک المتمسّک الأوّل بالاستصحاب، و فی استظهار المستظهر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المناقشة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الخروج عن الجهة المبحوث عنها فی المسألة کما لا یخفی؛ ضرورة أنّ البحث هنا حول أنّ مقتضی العقل أو النقل، هی البراءة، أو الاشتغال و الاحتیاط، فلو اقتضی دلیل تعیین المأمور به فهو خارج؛ لأنّه به یثبت الخروج قهرا، و یکون من قبیل اقتضاء دلیل اجتهادیّ تعیین المأمور به أو تخییریّته</w:t>
      </w:r>
      <w:r>
        <w:rPr>
          <w:rFonts w:eastAsia="IRNazanin" w:cs="IRNazanin"/>
          <w:color w:val="111111"/>
          <w:sz w:val="28"/>
          <w:szCs w:val="28"/>
          <w:rtl w:val="true"/>
          <w:lang w:bidi="fa-IR"/>
        </w:rPr>
        <w:t>.</w:t>
      </w:r>
    </w:p>
    <w:p>
      <w:pPr>
        <w:pStyle w:val="Heading6"/>
        <w:numPr>
          <w:ilvl w:val="5"/>
          <w:numId w:val="1"/>
        </w:numPr>
        <w:rPr/>
      </w:pPr>
      <w:bookmarkStart w:id="475" w:name="__RefHeading___Toc735009_3244359995"/>
      <w:bookmarkStart w:id="476" w:name="_Toc179"/>
      <w:bookmarkEnd w:id="475"/>
      <w:r>
        <w:rPr>
          <w:rtl w:val="true"/>
        </w:rPr>
        <w:t>بقی شی‌ء</w:t>
      </w:r>
      <w:r>
        <w:rPr>
          <w:rtl w:val="true"/>
        </w:rPr>
        <w:t xml:space="preserve">: </w:t>
      </w:r>
      <w:r>
        <w:rPr>
          <w:rtl w:val="true"/>
        </w:rPr>
        <w:t>فی عدم کفایة استصحاب التعیینیّة أو التخییریّة</w:t>
      </w:r>
      <w:bookmarkEnd w:id="476"/>
    </w:p>
    <w:p>
      <w:pPr>
        <w:pStyle w:val="BookText"/>
        <w:rPr/>
      </w:pPr>
      <w:r>
        <w:rPr>
          <w:rFonts w:ascii="IRNazanin" w:hAnsi="IRNazanin" w:eastAsia="IRNazanin"/>
          <w:color w:val="111111"/>
          <w:sz w:val="28"/>
          <w:sz w:val="28"/>
          <w:szCs w:val="28"/>
          <w:rtl w:val="true"/>
          <w:lang w:bidi="fa-IR"/>
        </w:rPr>
        <w:t>مجرّد استصحاب بقاء وجوب الظهر أو الجمعة؛ فیما دار الأمر بین الظهر و الجمعة، و کانت الحالة السابقة مثلا هی وجوب الجمعة، لا یکفی لرفع الغائلة فی المقام؛ لأنّ الجمعة علی التقدیرین واجب لا شکّ فیه، فلا بدّ من إجراء الاستصحاب بالنسبة إلی تعیینیّة الجمعة؛ و أنّها کانت واجبا تعیینیّا، و لیست التعیینیّة إلّا من الانتزاعیّات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کانت الحالة السابقة، التخییریّة بالحمل الشائع، فإثبات الوجوب التخییریّ، عین حال العلم الإجمالیّ بإجراء استصحاب فی أحد الأطراف؛ موضوعیّا کان، أو حکمیّا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التعیینیّة و التخییریّة بالحمل الأوّلی و بعنوانها الانتزاعیّ،</w:t>
      </w:r>
      <w:bookmarkStart w:id="477" w:name="pg13173_324903"/>
    </w:p>
    <w:p>
      <w:pPr>
        <w:pStyle w:val="BookText"/>
        <w:rPr/>
      </w:pPr>
      <w:bookmarkEnd w:id="477"/>
      <w:r>
        <w:rPr>
          <w:rFonts w:ascii="IRNazanin" w:hAnsi="IRNazanin" w:eastAsia="IRNazanin"/>
          <w:color w:val="111111"/>
          <w:sz w:val="28"/>
          <w:sz w:val="28"/>
          <w:szCs w:val="28"/>
          <w:rtl w:val="true"/>
          <w:lang w:bidi="fa-IR"/>
        </w:rPr>
        <w:t>غیر جار؛ لما لا ثمرة فیه، و استصحاب الوجوب التعیینیّ لا معنی له؛ لما أنّه لیس مورد الجعل؛ بخلاف استصحاب الوجوب التخییریّ، فإنّه قابل للجعل؛ لأنّ جعله لیس إلّا علی نحو التردید المذکور فی الخصال مثلا، أو فی أماکن التخییر،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حلّ المشکلة بالاستصحاب فیما إذا کانت الحالة السابقة التخییر، دون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کلام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التخییریّة 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إلّا أنّ الوجوب التخییریّ بالحمل الشائع، قابل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الاستصحاب الجاری فی الوجوب التخییریّ، کافیا لرفع الغائلة، یکون الأمر کذلک فی ناحیة کون المستصحب، هو الوجوب بلا عدل؛ ضرورة أنّ ما هو المتیقّن سابقا هو الوجوب، و یکفی نفس التعبّد بعدم العدل بضمیمة التعبّد الأوّل أیضا، فلاحظ جیّدا</w:t>
      </w:r>
      <w:r>
        <w:rPr>
          <w:rFonts w:eastAsia="IRNazanin" w:cs="IRNazanin"/>
          <w:color w:val="111111"/>
          <w:sz w:val="28"/>
          <w:szCs w:val="28"/>
          <w:rtl w:val="true"/>
          <w:lang w:bidi="fa-IR"/>
        </w:rPr>
        <w:t>.</w:t>
      </w:r>
    </w:p>
    <w:p>
      <w:pPr>
        <w:pStyle w:val="Heading6"/>
        <w:numPr>
          <w:ilvl w:val="5"/>
          <w:numId w:val="1"/>
        </w:numPr>
        <w:rPr/>
      </w:pPr>
      <w:bookmarkStart w:id="478" w:name="__RefHeading___Toc735011_3244359995"/>
      <w:bookmarkStart w:id="479" w:name="_Toc180"/>
      <w:bookmarkEnd w:id="478"/>
      <w:r>
        <w:rPr>
          <w:rtl w:val="true"/>
        </w:rPr>
        <w:t>أحکام أقسام دوران الأمر بین التعیین و التخییر</w:t>
      </w:r>
      <w:bookmarkEnd w:id="479"/>
    </w:p>
    <w:p>
      <w:pPr>
        <w:pStyle w:val="Heading6"/>
        <w:numPr>
          <w:ilvl w:val="5"/>
          <w:numId w:val="1"/>
        </w:numPr>
        <w:rPr/>
      </w:pPr>
      <w:bookmarkStart w:id="480" w:name="__RefHeading___Toc735013_3244359995"/>
      <w:bookmarkStart w:id="481" w:name="_Toc181"/>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إذا تبیّنت هذه الامور، فالبحث یقع فی تلک الأقسام و أصنافها</w:t>
      </w:r>
      <w:r>
        <w:rPr>
          <w:rFonts w:eastAsia="IRNazanin" w:cs="IRNazanin"/>
          <w:color w:val="111111"/>
          <w:sz w:val="28"/>
          <w:szCs w:val="28"/>
          <w:rtl w:val="true"/>
          <w:lang w:bidi="fa-IR"/>
        </w:rPr>
        <w:t>:</w:t>
      </w:r>
    </w:p>
    <w:p>
      <w:pPr>
        <w:pStyle w:val="Heading6"/>
        <w:numPr>
          <w:ilvl w:val="5"/>
          <w:numId w:val="1"/>
        </w:numPr>
        <w:rPr/>
      </w:pPr>
      <w:bookmarkStart w:id="482" w:name="__RefHeading___Toc735015_3244359995"/>
      <w:bookmarkStart w:id="483" w:name="_Toc182"/>
      <w:bookmarkEnd w:id="482"/>
      <w:r>
        <w:rPr>
          <w:rtl w:val="true"/>
        </w:rPr>
        <w:t>أمّا القسم الأوّل</w:t>
      </w:r>
      <w:r>
        <w:rPr>
          <w:rtl w:val="true"/>
        </w:rPr>
        <w:t>:</w:t>
      </w:r>
      <w:bookmarkEnd w:id="483"/>
    </w:p>
    <w:p>
      <w:pPr>
        <w:pStyle w:val="Heading6"/>
        <w:numPr>
          <w:ilvl w:val="5"/>
          <w:numId w:val="1"/>
        </w:numPr>
        <w:rPr/>
      </w:pPr>
      <w:bookmarkStart w:id="484" w:name="__RefHeading___Toc735017_3244359995"/>
      <w:bookmarkStart w:id="485" w:name="_Toc183"/>
      <w:bookmarkEnd w:id="484"/>
      <w:r>
        <w:rPr>
          <w:rtl w:val="true"/>
        </w:rPr>
        <w:t>اشارة</w:t>
      </w:r>
      <w:bookmarkEnd w:id="48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فالفرض الرئیسیّ فیه ما لو کان الأمر، دائرا بین التعیین و التخییر من جانب واحد، کما لو کان صوم شهرین متتابعین واجبا تعیینا، أو یکون طرف وجوب تخییریّ بینه و بین عتق رقبة، فالحقّ المحض الذی لا یمکن الفرار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یدور مدار المبنی فی الوجوب التخییریّ،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الوجوب التخییریّ یرجع إلی التعیینیّ، و أنّ الجامع هو الواجب؛ سواء کان جامعا انتزاعیّا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قریبا ذاتیّا، أو بعیدا یشار إلیه، فلا محیص عن البراءة؛ لأنّ المسألة تندرج فی</w:t>
      </w:r>
    </w:p>
    <w:p>
      <w:pPr>
        <w:pStyle w:val="BookText"/>
        <w:rPr/>
      </w:pPr>
      <w:r>
        <w:rPr>
          <w:rFonts w:ascii="IRNazanin" w:hAnsi="IRNazanin" w:eastAsia="IRNazanin"/>
          <w:color w:val="111111"/>
          <w:sz w:val="28"/>
          <w:sz w:val="28"/>
          <w:szCs w:val="28"/>
          <w:rtl w:val="true"/>
          <w:lang w:bidi="fa-IR"/>
        </w:rPr>
        <w:t>مسألة دوران الأمر بین کون الواجب مطلقا، أو مقیّدا، و لا شبهة فی جواز رفع القید، فتجری البراءات الثلاث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إلی الاحتیاط، مع أنّ مبناهم فی التخییریّ هو الرجوع إلی التعیینیّ، و أنّ التخییر شرعیّ، و أوامره إرشادیّة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لو کان الوجوب التخییریّ راجعا إلی الوجوب المشروط، کما فی کلام العلّامة النائینیّ </w:t>
      </w:r>
      <w:r>
        <w:rPr>
          <w:rStyle w:val="FootnoteAnchor"/>
          <w:rtl w:val="true"/>
        </w:rPr>
        <w:footnoteReference w:id="624"/>
      </w:r>
      <w:r>
        <w:rPr>
          <w:rFonts w:ascii="IRNazanin" w:hAnsi="IRNazanin" w:eastAsia="IRNazanin"/>
          <w:color w:val="111111"/>
          <w:sz w:val="28"/>
          <w:sz w:val="28"/>
          <w:szCs w:val="28"/>
          <w:rtl w:val="true"/>
          <w:lang w:bidi="fa-IR"/>
        </w:rPr>
        <w:t>، أو إلی الوجوب التعلیقیّ، أو ما یشبه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الحصّة عند کذا و کذا، کما یستظهر من العلّامة الأراکیّ قدّس سرّه </w:t>
      </w:r>
      <w:r>
        <w:rPr>
          <w:rStyle w:val="FootnoteAnchor"/>
          <w:rtl w:val="true"/>
        </w:rPr>
        <w:footnoteReference w:id="625"/>
      </w:r>
      <w:r>
        <w:rPr>
          <w:rFonts w:ascii="IRNazanin" w:hAnsi="IRNazanin" w:eastAsia="IRNazanin"/>
          <w:color w:val="111111"/>
          <w:sz w:val="28"/>
          <w:sz w:val="28"/>
          <w:szCs w:val="28"/>
          <w:rtl w:val="true"/>
          <w:lang w:bidi="fa-IR"/>
        </w:rPr>
        <w:t>ضرورة أنّه فی صورة إیجاد الطرف الآخر یمنع عن تنجّز التکلیف فی الطرف الآخر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ذهب إلیه الاستاذان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Style w:val="FootnoteAnchor"/>
          <w:rtl w:val="true"/>
        </w:rPr>
        <w:footnoteReference w:id="626"/>
      </w:r>
      <w:r>
        <w:rPr>
          <w:rFonts w:ascii="Amiri" w:hAnsi="Amiri" w:eastAsia="Amiri" w:cs="Amiri"/>
          <w:color w:val="111111"/>
          <w:sz w:val="28"/>
          <w:sz w:val="28"/>
          <w:szCs w:val="28"/>
          <w:rtl w:val="true"/>
          <w:lang w:bidi="ar-SA"/>
        </w:rPr>
        <w:t>، و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فربّما یشکل البراءة؛ نظرا إلی أنّ الخصوصیّة علی کلّ تقدیر متعلّق الأمر؛ سواء کان الوجوب تعیینیّا، أو تخییریّا؛ لأنّه سنخ وجوب لا یرجع إلی سائر الوجوبات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مشکلة الوجوب التخییریّ منحلّة فی محلّه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فی صورة الإتیان بالطرف الآخر، یشکّ فی سقوط أمر المتعلّق بالطرف الذی هو القدر المتیقّن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المولی فی الصورة المذکور تامّة، فلا بدّ من الجواب، و یشکّ فی کفایة الطرف الآخر جوابا عمّا توجّه إلیه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قصور من ناحیة الهیئة؛ لأنّها هیئة مطلقة منجّزة، و لا من ناحیة المادّة؛ لأنّ ذات الخاصّ مورد الأمر، لا الجامع، فلا بدّ من الالتزام بالاحتیاط عقلا، بل و شرعا؛ لأنّ الوجوب التخییریّ لا یکون مورد الرفع؛ لما لا منّة فیه، و أمّا الوجوب التعیینیّ فهو لأجل أنّ التعینیّة، ممّا لا تقع تحت الجعل، بل هی أمر یعتبر و ینتزع عن الجعل بلا بدیل و عدیل، فلا یمکن رفع التعینیّة،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ممنوع؛ و ذلک لأنّ مجرّد تمامیّة الأمر المتعلّق بالخاصّ، لا یکفی لتمامیّة الحجّة علی الخاصّ؛ ضرورة أنّه فی موارد دوران الأمر بین الوجوب و الندب، یکون الأمر معلوما، و الخصوصیّة معلومة، و لکن لا یلزم منه لزوم الخاصّ بالضرورة، و أنّ فی موارد الوجوب التخییریّ، لا یکون إتیان أحدهما، موجبا لسقوط الأمر المتعلّق بالطرف و مسقطا له، بل الوجوب التخییریّ معناه سقوطه بإتیان أحد الأطراف؛ من غیر أن یکون أحد الطرفین مسقطا للأمر المتعلّق بالآخر؛ لأنّه اعتبار آخر یجی‌ء فی طی البحوث و التنبیهات الآتیة إن شاء اللّه تعالی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إتیان الطرف الآخر، موجب للشکّ فی سقوط الأمر المتعلّق بذاک الطرف</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لیست تامّة علی الخاصّ؛ بمعنی أنّ ترکه موجب للقطع بالاستحقاق و العقوبة، ضرورة أنّ فی ظرف الإتیان بالآخر لا یستحقّ احتمالا، و لا تتمّ الحجّة علی الخاصّ بالضرورة، فإنّ مدار الاشتغال علی أن یکون فی ترک الخاصّ، غیر مأمون من استحقاق العقوبة، و العقوبة هنا غیر قائمة علیها الحجّة؛ لأنّ</w:t>
      </w:r>
      <w:bookmarkStart w:id="486" w:name="pg13173_324906"/>
    </w:p>
    <w:p>
      <w:pPr>
        <w:pStyle w:val="BookText"/>
        <w:rPr/>
      </w:pPr>
      <w:bookmarkEnd w:id="486"/>
      <w:r>
        <w:rPr>
          <w:rFonts w:ascii="IRNazanin" w:hAnsi="IRNazanin" w:eastAsia="IRNazanin"/>
          <w:color w:val="111111"/>
          <w:sz w:val="28"/>
          <w:sz w:val="28"/>
          <w:szCs w:val="28"/>
          <w:rtl w:val="true"/>
          <w:lang w:bidi="fa-IR"/>
        </w:rPr>
        <w:t>الحجّة تامّة بالنسبة إلی ترک الکلّ، لا 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البراءة بعد ذلک واضحة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التکلیف فی مورد تعلّق الأمر قطعا، منجّزا و مستتبعا للعقوبة إلّا عند ترک الآخر، و الاحتیاط العقلیّ یستتبع تنجیز التکلیف، و معنی تنجیز التکلیف هو استحقاق العقوبة، و هو هنا ممنوع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عدم جریان البراءة الشرعیّة</w:t>
      </w:r>
      <w:r>
        <w:rPr>
          <w:rStyle w:val="FootnoteAnchor"/>
          <w:rtl w:val="true"/>
        </w:rPr>
        <w:footnoteReference w:id="631"/>
      </w:r>
      <w:r>
        <w:rPr>
          <w:rFonts w:ascii="IRNazanin" w:hAnsi="IRNazanin" w:eastAsia="IRNazanin"/>
          <w:color w:val="111111"/>
          <w:sz w:val="28"/>
          <w:sz w:val="28"/>
          <w:szCs w:val="28"/>
          <w:rtl w:val="true"/>
          <w:lang w:bidi="fa-IR"/>
        </w:rPr>
        <w:t>، فهو لا یضرّ، عکس ما قیل فی الأقل و الأکثر</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الوجوب التعیینیّ ربّما یمکن إفادته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تخییرا بینه و بین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التعیین عنوانا مورد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إذا کان عنوان التعیین، منتزعا عن الأمر المتعلّق بشی‌ء؛ و عدم ذکر العدل له بالسلب المحصّل، فهو و إن لم یکن مورد الأمر و تحت دائرة الجعل، إلّا أنّه یکفی لرفعة کونه من تبعات تعلّق الأمر بشی‌ء؛ لما لا یعتبر أکثر من ذلک فی الرفع المثمر، و لا شبهة فی أنّ کیفیّة تعلّق الطلب و الإرادة المتعلّقة بالواجب و المندوب و الواجب التخییریّ، مختلفة من حیث التأکید، و هذا یکفی لإجرائه،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Heading6"/>
        <w:numPr>
          <w:ilvl w:val="5"/>
          <w:numId w:val="1"/>
        </w:numPr>
        <w:rPr/>
      </w:pPr>
      <w:bookmarkStart w:id="487" w:name="__RefHeading___Toc735019_3244359995"/>
      <w:bookmarkStart w:id="488" w:name="_Toc184"/>
      <w:bookmarkEnd w:id="487"/>
      <w:r>
        <w:rPr>
          <w:rtl w:val="true"/>
        </w:rPr>
        <w:t>بقی شی‌ء</w:t>
      </w:r>
      <w:r>
        <w:rPr>
          <w:rtl w:val="true"/>
        </w:rPr>
        <w:t xml:space="preserve">: </w:t>
      </w:r>
      <w:r>
        <w:rPr>
          <w:rtl w:val="true"/>
        </w:rPr>
        <w:t>حول مختار المحقّق العراقی من الاشتغال وردّه</w:t>
      </w:r>
      <w:bookmarkEnd w:id="4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کلام العلّامة الأراکیّ التزامه بالاشتغال </w:t>
      </w:r>
      <w:r>
        <w:rPr>
          <w:rStyle w:val="FootnoteAnchor"/>
          <w:rtl w:val="true"/>
        </w:rPr>
        <w:footnoteReference w:id="633"/>
      </w:r>
      <w:r>
        <w:rPr>
          <w:rFonts w:ascii="IRNazanin" w:hAnsi="IRNazanin" w:eastAsia="IRNazanin"/>
          <w:color w:val="111111"/>
          <w:sz w:val="28"/>
          <w:sz w:val="28"/>
          <w:szCs w:val="28"/>
          <w:rtl w:val="true"/>
          <w:lang w:bidi="fa-IR"/>
        </w:rPr>
        <w:t>نظرا إلی أنّ حقیقة الوجوب التعیینیّ، هو لزوم سدّ جمیع الأعدام، و فی التخییریّ سدّ جمع من الأعدام،</w:t>
      </w:r>
      <w:bookmarkStart w:id="489" w:name="pg13173_324907"/>
    </w:p>
    <w:p>
      <w:pPr>
        <w:pStyle w:val="BookText"/>
        <w:rPr/>
      </w:pPr>
      <w:bookmarkEnd w:id="489"/>
      <w:r>
        <w:rPr>
          <w:rFonts w:ascii="IRNazanin" w:hAnsi="IRNazanin" w:eastAsia="IRNazanin"/>
          <w:color w:val="111111"/>
          <w:sz w:val="28"/>
          <w:sz w:val="28"/>
          <w:szCs w:val="28"/>
          <w:rtl w:val="true"/>
          <w:lang w:bidi="fa-IR"/>
        </w:rPr>
        <w:t>و لا منع من عدم سدّ عدمه عند الإتیان بالطرف، و لذلک یحصل هنا علم إجمالیّ بحرمة الأعدام علی الإطلاق فی هذه الناحیة، و حرمتها فی الطرف فی الجملة، و لازمه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فمضافا إلی أصل تفسیر التعیینیّة و التخییریّة، و أنّ فی ناحیة الوجوب لا حرمة متعلّقة بالعدم، فإنّ کلّ حکم لا ینحلّ إلی حکمین، أنّ هذا العلم الإجمالیّ لا یؤثّر فی الاحتیاط؛ لأنّ سدّ الأعدام فی تلک الناحیة، لازم عند عدم سدّ العدم فی الطرف، فإذا لم ینسدّ و اتی به، فلا تنجیز فی ذاک الطرف بالضرورة</w:t>
      </w:r>
      <w:r>
        <w:rPr>
          <w:rFonts w:eastAsia="IRNazanin" w:cs="IRNazanin"/>
          <w:color w:val="111111"/>
          <w:sz w:val="28"/>
          <w:szCs w:val="28"/>
          <w:rtl w:val="true"/>
          <w:lang w:bidi="fa-IR"/>
        </w:rPr>
        <w:t>.</w:t>
      </w:r>
    </w:p>
    <w:p>
      <w:pPr>
        <w:pStyle w:val="Heading6"/>
        <w:numPr>
          <w:ilvl w:val="5"/>
          <w:numId w:val="1"/>
        </w:numPr>
        <w:rPr/>
      </w:pPr>
      <w:bookmarkStart w:id="490" w:name="__RefHeading___Toc735021_3244359995"/>
      <w:bookmarkStart w:id="491" w:name="_Toc185"/>
      <w:bookmarkEnd w:id="490"/>
      <w:r>
        <w:rPr>
          <w:rtl w:val="true"/>
        </w:rPr>
        <w:t>حکم الفرض غیر الرئیسی من القسم الأوّل</w:t>
      </w:r>
      <w:bookmarkEnd w:id="491"/>
    </w:p>
    <w:p>
      <w:pPr>
        <w:pStyle w:val="BookText"/>
        <w:rPr/>
      </w:pPr>
      <w:r>
        <w:rPr>
          <w:rFonts w:ascii="IRNazanin" w:hAnsi="IRNazanin" w:eastAsia="IRNazanin"/>
          <w:color w:val="111111"/>
          <w:sz w:val="28"/>
          <w:sz w:val="28"/>
          <w:szCs w:val="28"/>
          <w:rtl w:val="true"/>
          <w:lang w:bidi="fa-IR"/>
        </w:rPr>
        <w:t>و أمّا الفرض غیر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لو دار الأمر بین التعیین و التخییر من طرفین، فلا بحث بعد ذلک؛ لأنّ القائل بالاحتیاط یتعیّن علیه الجمع، و القائلین بالبراءة یقولون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بین القائلین بالاحتیاط فی الفرض الأوّل، و یقول بالبراءة فی الثانی؛ هو العلّامة الأراکیّ قدّس سرّه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أنّک عرفت ما فی أصل تقریبه، و عدم تمامیّة مطلوبه به أیضا، و أعجب منه تفصیله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492" w:name="__RefHeading___Toc735023_3244359995"/>
      <w:bookmarkStart w:id="493" w:name="_Toc186"/>
      <w:bookmarkEnd w:id="492"/>
      <w:r>
        <w:rPr>
          <w:rtl w:val="true"/>
        </w:rPr>
        <w:t>بیان آخر لوجوب الاحتیاط عند الدوران بین التعیین و التخییر</w:t>
      </w:r>
      <w:bookmarkEnd w:id="4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یتوهّم فی موارد التعیین و التخییر، وجوب الجمع بینهما فی ظرف الامتثال؛ لامتناع کون العلم الإجمالیّ موجبا لتنجیز أحد الطرفین، دون</w:t>
      </w:r>
      <w:bookmarkStart w:id="494" w:name="pg13173_324908"/>
    </w:p>
    <w:p>
      <w:pPr>
        <w:pStyle w:val="BookText"/>
        <w:rPr/>
      </w:pPr>
      <w:bookmarkEnd w:id="494"/>
      <w:r>
        <w:rPr>
          <w:rFonts w:ascii="IRNazanin" w:hAnsi="IRNazanin" w:eastAsia="IRNazanin"/>
          <w:color w:val="111111"/>
          <w:sz w:val="28"/>
          <w:sz w:val="28"/>
          <w:szCs w:val="28"/>
          <w:rtl w:val="true"/>
          <w:lang w:bidi="fa-IR"/>
        </w:rPr>
        <w:t xml:space="preserve">الطرف الآخر، و هکذا یمتنع أن ینجّز الطرفین، و یکفی امتثال المعیّن، و کأنّ هذا من تبعات القول بالاحتیاط هنا من جهة العلم الإجمالیّ </w:t>
      </w:r>
      <w:r>
        <w:rPr>
          <w:rStyle w:val="FootnoteAnchor"/>
          <w:rtl w:val="true"/>
        </w:rPr>
        <w:footnoteReference w:id="635"/>
      </w:r>
      <w:r>
        <w:rPr>
          <w:rFonts w:ascii="IRNazanin" w:hAnsi="IRNazanin" w:eastAsia="IRNazanin"/>
          <w:color w:val="111111"/>
          <w:sz w:val="28"/>
          <w:sz w:val="28"/>
          <w:szCs w:val="28"/>
          <w:rtl w:val="true"/>
          <w:lang w:bidi="fa-IR"/>
        </w:rPr>
        <w:t>، فافهم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حالا ممّا مرّ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اکتفی بالمعیّن فلا شکّ فی البقاء، و لو أتی بالطرف المشکوک وجوبه یشکّ فی البقاء بعد العلم بأصل التکلیف، و نتیجة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لزوم الاحتیاط بإتیان الطرف المعلوم،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الاستصحاب لزوم الإتیان بالطرف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 لزوم الاحتیاط ممنوع؛ لأنّ العقل لا یجد إلّا تمامیّة الحجّة بالنسبة إلی الوجوب التعیینیّ أو التخییریّ، و أمّا تمامیّة الحجّة بالنسبة إلی أحد الأطراف معیّنا، فممنوع کما مرّ، فالطرف الآخر و لو کان مشکوک الوجوب، و لکنّه لا یستلزم کون الحجّة تامّة بالقیاس إلی الطرف الآخر؛ لأنّه مشکوک وجوبه شرعا، و لازم عقلا إتیانه عند ترک الطرف الآخر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فما هو المتیقّن هو الجامع الانتزاعیّ من الوجوبین،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البراءة الشرعیّة لو کانت جاریة، تمنع عن الشکّ الاستصحابیّ، و تفصیله فی الأقلّ و الأکثر</w:t>
      </w:r>
      <w:r>
        <w:rPr>
          <w:rFonts w:eastAsia="IRNazanin" w:cs="IRNazanin"/>
          <w:color w:val="111111"/>
          <w:sz w:val="28"/>
          <w:szCs w:val="28"/>
          <w:rtl w:val="true"/>
          <w:lang w:bidi="fa-IR"/>
        </w:rPr>
        <w:t>.</w:t>
      </w:r>
    </w:p>
    <w:p>
      <w:pPr>
        <w:pStyle w:val="Heading6"/>
        <w:numPr>
          <w:ilvl w:val="5"/>
          <w:numId w:val="1"/>
        </w:numPr>
        <w:rPr/>
      </w:pPr>
      <w:bookmarkStart w:id="495" w:name="__RefHeading___Toc735025_3244359995"/>
      <w:bookmarkStart w:id="496" w:name="_Toc187"/>
      <w:bookmarkEnd w:id="495"/>
      <w:r>
        <w:rPr>
          <w:rtl w:val="true"/>
        </w:rPr>
        <w:t>تقریبنا للزوم الاحتیاط فی المقام</w:t>
      </w:r>
      <w:bookmarkEnd w:id="4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کلام و تقریب ثالث لنا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وجوب الطرف مرفوع بحدیث الرفع، و لا یجری الحدیث فی ذاک الطرف المحتمل تعیّنه، فلا تتعارض البراءتان الشرعیّتان، و لا یثبت الوجوب التعیینیّ؛ لأنّ رفع الوجوب عن الطرف المشکوک یثبت بالنسبة إلی کون هذا الطرف تعیینا، فلا یرفع به إلّا رفع تبعات التکلیف، و هو المطلوب</w:t>
      </w:r>
      <w:r>
        <w:rPr>
          <w:rFonts w:eastAsia="IRNazanin" w:cs="IRNazanin"/>
          <w:color w:val="111111"/>
          <w:sz w:val="28"/>
          <w:szCs w:val="28"/>
          <w:rtl w:val="true"/>
          <w:lang w:bidi="fa-IR"/>
        </w:rPr>
        <w:t>.</w:t>
      </w:r>
      <w:bookmarkStart w:id="497" w:name="pg13173_324909"/>
    </w:p>
    <w:p>
      <w:pPr>
        <w:pStyle w:val="BookText"/>
        <w:rPr/>
      </w:pPr>
      <w:bookmarkEnd w:id="497"/>
      <w:r>
        <w:rPr>
          <w:rFonts w:ascii="IRNazanin" w:hAnsi="IRNazanin" w:eastAsia="IRNazanin"/>
          <w:color w:val="111111"/>
          <w:sz w:val="28"/>
          <w:sz w:val="28"/>
          <w:szCs w:val="28"/>
          <w:rtl w:val="true"/>
          <w:lang w:bidi="fa-IR"/>
        </w:rPr>
        <w:t>بل للشرع رفع أحد طرفی التکلیف التخییریّ ظاهرا، بل و واقعا، و یکون الطرف الآخر متعیّنا بالعرض و قهرا، من غیر أن یلزم سقوط التکلیف التعیینیّ و التخییریّ المحتملین، و حدوث تکلیف آخر معیّن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المشکوک فی الطرف مرفوع، و الوجوب التخییریّ فی الطرف المعیّن و هکذا التعیینیّ، کلّ واحد مجری البراءة الشرعیّة، و ما هو المعلوم هو الوجوب الانتزاعیّ غیر المجعول و غیر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قلتات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محوّلة إلی المتأخّرین، فتدبّروا تعرفوا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 الوجوب بحدیث الرفع فی الطرف لامنّة فیه </w:t>
      </w:r>
      <w:r>
        <w:rPr>
          <w:rStyle w:val="FootnoteAnchor"/>
          <w:rtl w:val="true"/>
        </w:rPr>
        <w:footnoteReference w:id="636"/>
      </w:r>
      <w:r>
        <w:rPr>
          <w:rFonts w:ascii="IRNazanin" w:hAnsi="IRNazanin" w:eastAsia="IRNazanin"/>
          <w:color w:val="111111"/>
          <w:sz w:val="28"/>
          <w:sz w:val="28"/>
          <w:szCs w:val="28"/>
          <w:rtl w:val="true"/>
          <w:lang w:bidi="fa-IR"/>
        </w:rPr>
        <w:t>، ففی غیر محلّه؛ لأنّه برفعه و رفع التعیینیّة المجهولة منّة، و هذا یکفی لجریانه الموقوف علی کونه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التعارض، فلا تخلط</w:t>
      </w:r>
      <w:r>
        <w:rPr>
          <w:rFonts w:eastAsia="IRNazanin" w:cs="IRNazanin"/>
          <w:color w:val="111111"/>
          <w:sz w:val="28"/>
          <w:szCs w:val="28"/>
          <w:rtl w:val="true"/>
          <w:lang w:bidi="fa-IR"/>
        </w:rPr>
        <w:t>.</w:t>
      </w:r>
    </w:p>
    <w:p>
      <w:pPr>
        <w:pStyle w:val="Heading6"/>
        <w:numPr>
          <w:ilvl w:val="5"/>
          <w:numId w:val="1"/>
        </w:numPr>
        <w:rPr/>
      </w:pPr>
      <w:bookmarkStart w:id="498" w:name="__RefHeading___Toc735027_3244359995"/>
      <w:bookmarkStart w:id="499" w:name="_Toc188"/>
      <w:bookmarkEnd w:id="498"/>
      <w:r>
        <w:rPr>
          <w:rtl w:val="true"/>
        </w:rPr>
        <w:t>القسم الثانی</w:t>
      </w:r>
      <w:r>
        <w:rPr>
          <w:rtl w:val="true"/>
        </w:rPr>
        <w:t>:</w:t>
      </w:r>
      <w:bookmarkEnd w:id="499"/>
    </w:p>
    <w:p>
      <w:pPr>
        <w:pStyle w:val="BookText"/>
        <w:rPr/>
      </w:pPr>
      <w:r>
        <w:rPr>
          <w:rFonts w:ascii="IRNazanin" w:hAnsi="IRNazanin" w:eastAsia="IRNazanin"/>
          <w:color w:val="111111"/>
          <w:sz w:val="28"/>
          <w:sz w:val="28"/>
          <w:szCs w:val="28"/>
          <w:rtl w:val="true"/>
          <w:lang w:bidi="fa-IR"/>
        </w:rPr>
        <w:t>دوران تکلیف النفسیّ بین التعیین و التخییر، مع کون منشئه الامور الاخر الخارجة عن إجمال النصّ، أو تعارض الأخبار و الأقوال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فی موارد التزاحم مع کون القدرة واحدة، فإنّه فی موارد کون الغریقین متساویی الملاک یکون المکلّف مخیّرا، و أمّا لو احتمل أهمیّة أحدهما المعیّن لاحتمال کونه مؤمنا أو یعلم بسیادة أحدهما المعیّن، و یحتمل کون السیادة سببا للأهمیّة، فهل فی هذه الصورة یجب الاحتیاط</w:t>
      </w:r>
      <w:r>
        <w:rPr>
          <w:rStyle w:val="FootnoteAnchor"/>
          <w:rtl w:val="true"/>
        </w:rPr>
        <w:footnoteReference w:id="637"/>
      </w:r>
      <w:r>
        <w:rPr>
          <w:rFonts w:ascii="IRNazanin" w:hAnsi="IRNazanin" w:eastAsia="IRNazanin"/>
          <w:color w:val="111111"/>
          <w:sz w:val="28"/>
          <w:sz w:val="28"/>
          <w:szCs w:val="28"/>
          <w:rtl w:val="true"/>
          <w:lang w:bidi="fa-IR"/>
        </w:rPr>
        <w:t xml:space="preserve">، أو هو بالخیار، و لا اشتغال </w:t>
      </w:r>
      <w:r>
        <w:rPr>
          <w:rStyle w:val="FootnoteAnchor"/>
          <w:rtl w:val="true"/>
        </w:rPr>
        <w:footnoteReference w:id="6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جهان ناشئان عمّا بنوا علیه فی باب التزاحم من التخییر الشرعیّ فی هذه الصورة إمّا بتقیید إطلاق کلّ واحد، فلازمه التخییر، أو کشف التکلیف التخییریّ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المحرّر عندنا إمکان کون کلّ واحد مع العجز المطلق مورد التکلیف الفعلیّ، فضلا عمّا إذا کان له القدرة علی واحد منهما، فلا تخییر شرعا، فلا دوران بین التعیین و التخییر الشرعیّین، فیسقط هذا القسم عن الأقسام المذکورة فی هذه المسألة، و تفصیله یطلب من بحث الترتّب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نتیجة ما ذکرناه هو البراءة، مع أنّ الظاهر عندهم اتفاقهم علی الاحتیاط فی هذه الصورة،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تعیّن الاحتیاط علی مبناهم أیضا قابل للمنع؛ ضرورة أنّه فی صورة کون التخییر شرعیّا، لا یمکن کشف الخطاب التعیینیّ إلّا احتمالا، فیندرج فی القسم الأوّل و أمّا علی کون التخییر عقلیّا فالأمر کما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لو کان هذا القسم خارجا عن مسألة دوران الأمر بین التعیین و التخییر رأسا؛ لأنّ فعلیّة کلّ واحد من الإنقاذین، لا تنافی کون القدرة واحدة، و لکن لا بدّ من الاحتیاط؛ لأنّه فی صورة صرف القدرة فی الطرف، یشکّ فی کون المکلّف معذورا فی ترک محتمل الأهمیّة، مع أنّ العقل یستقلّ بلزوم کونه معذورا عند ترک التکلیف فی کلّ مورد، فإذا صرف القدرة فی محتمل الأهمیّة، یعلم بالعذر المقبول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تحرّر لو لا أنّ إثبات الأهمیّة فی باب التزاحم، علی عهدة الشرع و بیانه، فالشکّ فی مقبولیّة العذر، مسبّب عن الشکّ فی تمامیّة البیان من قبله، و حیث لا یکون بیان، فلا تصحّ العقوبة علی ترک محتمل الأهمیّة، فتأمّل</w:t>
      </w:r>
      <w:r>
        <w:rPr>
          <w:rFonts w:eastAsia="IRNazanin" w:cs="IRNazanin"/>
          <w:color w:val="111111"/>
          <w:sz w:val="28"/>
          <w:szCs w:val="28"/>
          <w:rtl w:val="true"/>
          <w:lang w:bidi="fa-IR"/>
        </w:rPr>
        <w:t>.</w:t>
      </w:r>
      <w:bookmarkStart w:id="500" w:name="pg13173_324911"/>
    </w:p>
    <w:p>
      <w:pPr>
        <w:pStyle w:val="BookText"/>
        <w:rPr/>
      </w:pPr>
      <w:bookmarkEnd w:id="50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القسم قطعا علی ما سلکناه فی باب التزاحم </w:t>
      </w:r>
      <w:r>
        <w:rPr>
          <w:rStyle w:val="FootnoteAnchor"/>
          <w:rtl w:val="true"/>
        </w:rPr>
        <w:footnoteReference w:id="640"/>
      </w:r>
      <w:r>
        <w:rPr>
          <w:rFonts w:ascii="IRNazanin" w:hAnsi="IRNazanin" w:eastAsia="IRNazanin"/>
          <w:color w:val="111111"/>
          <w:sz w:val="28"/>
          <w:sz w:val="28"/>
          <w:szCs w:val="28"/>
          <w:rtl w:val="true"/>
          <w:lang w:bidi="fa-IR"/>
        </w:rPr>
        <w:t>، خارج عن مسائل دوران الأمر بین التعیین و التخییر، و أمّا جریان الاحتیاط المسلّم عندهم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قابل للمناقشة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صورة دوران الأمر فی هذا القسم بین کون الدوران من طرف واحد، أو من طرفین، و قد عرفت ذلک، و لو کان هذا القسم من صغریاته فالنتیجة هی التخییر؛ لعدم القدرة إلّا علی الواحد فرضا</w:t>
      </w:r>
      <w:r>
        <w:rPr>
          <w:rFonts w:eastAsia="IRNazanin" w:cs="IRNazanin"/>
          <w:color w:val="111111"/>
          <w:sz w:val="28"/>
          <w:szCs w:val="28"/>
          <w:rtl w:val="true"/>
          <w:lang w:bidi="fa-IR"/>
        </w:rPr>
        <w:t>.</w:t>
      </w:r>
    </w:p>
    <w:p>
      <w:pPr>
        <w:pStyle w:val="Heading6"/>
        <w:numPr>
          <w:ilvl w:val="5"/>
          <w:numId w:val="1"/>
        </w:numPr>
        <w:rPr/>
      </w:pPr>
      <w:bookmarkStart w:id="501" w:name="__RefHeading___Toc735029_3244359995"/>
      <w:bookmarkStart w:id="502" w:name="_Toc189"/>
      <w:bookmarkEnd w:id="501"/>
      <w:r>
        <w:rPr>
          <w:rtl w:val="true"/>
        </w:rPr>
        <w:t>القسم الثالث</w:t>
      </w:r>
      <w:r>
        <w:rPr>
          <w:rtl w:val="true"/>
        </w:rPr>
        <w:t>:</w:t>
      </w:r>
      <w:bookmarkEnd w:id="502"/>
    </w:p>
    <w:p>
      <w:pPr>
        <w:pStyle w:val="BookText"/>
        <w:rPr/>
      </w:pPr>
      <w:r>
        <w:rPr>
          <w:rFonts w:ascii="IRNazanin" w:hAnsi="IRNazanin" w:eastAsia="IRNazanin"/>
          <w:color w:val="111111"/>
          <w:sz w:val="28"/>
          <w:sz w:val="28"/>
          <w:szCs w:val="28"/>
          <w:rtl w:val="true"/>
          <w:lang w:bidi="fa-IR"/>
        </w:rPr>
        <w:t>ما لو دار الأمر بین التعیین و التخییر، و کان الأمر المردّد من الأوامر الإرشادیّة إلی حدود المأمور به و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دوران أمر المسافر إلی بلدة الکوفة، و کربلاء، و المدینة، و مکّة المکرّمة علی مشرّفها السلام، فإنّه یدور أمره بین تعیّن القصر، أو التخییر بین التمام و القصر، بعد عدم کون الأمر بالإتمام و التقصیر أمرا تکلیفیّا نفسیّا بالضرورة، بل هو أمر إرشادیّ إلی حدّ المأمور به فی السفر و الحضر؛ و أنّ الأمر التخییریّ فی أماکنه، لیس إلّا إرشادا إلی جواز القصر أو الإتمام، من غیر کونه واجبا علی حدة حتّی یعاقب علی ترک الوجوب التخییریّ، بل العقاب مترتّب عند ترکهما علی ترک الظهر و العصر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 هذا القسم یتعیّن القصر، أو یتخیّر بینه و بین التمام؛ حسب القواعد العقلیّة و البراءة الشرعیّة؟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قطع النظر عن الاستصحاب الحکمیّ و الموضوعیّ، فإنّه قد مرّ إمکان</w:t>
      </w:r>
    </w:p>
    <w:p>
      <w:pPr>
        <w:pStyle w:val="BookText"/>
        <w:rPr/>
      </w:pPr>
      <w:r>
        <w:rPr>
          <w:rFonts w:ascii="Amiri" w:hAnsi="Amiri" w:eastAsia="Amiri" w:cs="Amiri"/>
          <w:color w:val="111111"/>
          <w:sz w:val="28"/>
          <w:sz w:val="28"/>
          <w:szCs w:val="28"/>
          <w:rtl w:val="true"/>
          <w:lang w:bidi="ar-SA"/>
        </w:rPr>
        <w:t>إجراء الاستصحاب الرافع للغائلة</w:t>
      </w:r>
      <w:r>
        <w:rPr>
          <w:rStyle w:val="FootnoteAnchor"/>
          <w:rtl w:val="true"/>
        </w:rPr>
        <w:footnoteReference w:id="641"/>
      </w:r>
      <w:r>
        <w:rPr>
          <w:rFonts w:ascii="IRNazanin" w:hAnsi="IRNazanin" w:eastAsia="IRNazanin"/>
          <w:color w:val="111111"/>
          <w:sz w:val="28"/>
          <w:sz w:val="28"/>
          <w:szCs w:val="28"/>
          <w:rtl w:val="true"/>
          <w:lang w:bidi="fa-IR"/>
        </w:rPr>
        <w:t>، و تنحلّ به المشکلة، فیتعیّن القصر فی صورة سبق تعیّنه، و التخییر فی صورة سبق التخییر، کما إذا ورد کربلاء المقدّسة، و أتی إلی الحرم و البقعة المبارکة، ثمّ خرج منها إلی نفس البلدة، فإنّه بعد درک التخییر القطعیّ یشکّ فی بقائه، و لا یجری الاستصحاب الموضوعیّ؛ لکونه ناشئا عن الشبهة المفهومیّة، و المفروض عدم وجود الإطلاق فرضا حتّی تکون المسألة من صغریات التمسّک بالعام، دون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 الجهة المبحوث عنها هنا، هل مقتضی العقل هی البراءة، أو البراءة الشرعیّة تجری، أم یتعیّن الاحتیاط؟</w:t>
      </w:r>
    </w:p>
    <w:p>
      <w:pPr>
        <w:pStyle w:val="BookText"/>
        <w:rPr/>
      </w:pPr>
      <w:r>
        <w:rPr>
          <w:rFonts w:ascii="IRNazanin" w:hAnsi="IRNazanin" w:eastAsia="IRNazanin"/>
          <w:color w:val="111111"/>
          <w:sz w:val="28"/>
          <w:sz w:val="28"/>
          <w:szCs w:val="28"/>
          <w:rtl w:val="true"/>
          <w:lang w:bidi="fa-IR"/>
        </w:rPr>
        <w:t xml:space="preserve">لا یبعد دعوی تعیّن الاحتیاط؛ ضرورة أنّ صلاة الظهر واجبة تعیینا علیه بالضرورة، و إنّما القصر و الإتمام من عوارضه، و لذلک لا یکونان قصدیّین، فإن اکتفی بالأربع یشکّ فی سقوط الأمر التعیینیّ، بخلاف صورة الإتیان برکعتین، فالأمر الشرعیّ الإرشادیّ یدور بین التعیین و التخییر بحسب الصورة، و هذا صحیح، و لکن بحسب مقام الاشتغال و البراءة، لا بدّ من ملاحظة ما هو الواجب النفسیّ المعلوم،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أنّه من غیر أن یتنوّع بنوعی القصر و الإتمام، یکون باقیا بعنوانه تحت الأمر التعیینیّ، و إنّما یطرؤه القصر و الإتمام باختیار المکلّف، و معنی ذلک هو الاحتیاط</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القصر و الإتمام من المنوّعات لطبیعة الظهر</w:t>
      </w:r>
      <w:r>
        <w:rPr>
          <w:rStyle w:val="FootnoteAnchor"/>
          <w:rtl w:val="true"/>
        </w:rPr>
        <w:footnoteReference w:id="642"/>
      </w:r>
      <w:r>
        <w:rPr>
          <w:rFonts w:ascii="IRNazanin" w:hAnsi="IRNazanin" w:eastAsia="IRNazanin"/>
          <w:color w:val="111111"/>
          <w:sz w:val="28"/>
          <w:sz w:val="28"/>
          <w:szCs w:val="28"/>
          <w:rtl w:val="true"/>
          <w:lang w:bidi="fa-IR"/>
        </w:rPr>
        <w:t>، حتّی یصیر الوجوب تخییریّا، فتکون المسألة من صغریات القسم الأوّل، و قد مضی ما فیه بتفصیل لا مزید علیه</w:t>
      </w:r>
      <w:r>
        <w:rPr>
          <w:rFonts w:eastAsia="IRNazanin" w:cs="IRNazanin"/>
          <w:color w:val="111111"/>
          <w:sz w:val="28"/>
          <w:szCs w:val="28"/>
          <w:rtl w:val="true"/>
          <w:lang w:bidi="fa-IR"/>
        </w:rPr>
        <w:t>.</w:t>
      </w:r>
      <w:bookmarkStart w:id="503" w:name="pg13173_324913"/>
    </w:p>
    <w:p>
      <w:pPr>
        <w:pStyle w:val="Heading6"/>
        <w:numPr>
          <w:ilvl w:val="5"/>
          <w:numId w:val="1"/>
        </w:numPr>
        <w:rPr/>
      </w:pPr>
      <w:bookmarkStart w:id="504" w:name="__RefHeading___Toc735031_3244359995"/>
      <w:bookmarkStart w:id="505" w:name="_Toc190"/>
      <w:bookmarkEnd w:id="503"/>
      <w:bookmarkEnd w:id="504"/>
      <w:r>
        <w:rPr>
          <w:rtl w:val="true"/>
        </w:rPr>
        <w:t>القسم الرابع</w:t>
      </w:r>
      <w:r>
        <w:rPr>
          <w:rtl w:val="true"/>
        </w:rPr>
        <w:t>:</w:t>
      </w:r>
      <w:bookmarkEnd w:id="505"/>
    </w:p>
    <w:p>
      <w:pPr>
        <w:pStyle w:val="BookText"/>
        <w:rPr/>
      </w:pPr>
      <w:r>
        <w:rPr>
          <w:rFonts w:ascii="IRNazanin" w:hAnsi="IRNazanin" w:eastAsia="IRNazanin"/>
          <w:color w:val="111111"/>
          <w:sz w:val="28"/>
          <w:sz w:val="28"/>
          <w:szCs w:val="28"/>
          <w:rtl w:val="true"/>
          <w:lang w:bidi="fa-IR"/>
        </w:rPr>
        <w:t xml:space="preserve">فی موارد دوران الأمر بین التعیین و التخییر فی الأوامر الغیریّة؛ بناء علی القول بها، مثلا إذا ابتلی بالإناءین المعلومة نجاسة أحدهما، و قلنا باحتمال التخییر بین التیمّم و الوضوء، کما استظهره بعض الأصحاب فی محلّه </w:t>
      </w:r>
      <w:r>
        <w:rPr>
          <w:rStyle w:val="FootnoteAnchor"/>
          <w:rtl w:val="true"/>
        </w:rPr>
        <w:footnoteReference w:id="643"/>
      </w:r>
      <w:r>
        <w:rPr>
          <w:rFonts w:ascii="IRNazanin" w:hAnsi="IRNazanin" w:eastAsia="IRNazanin"/>
          <w:color w:val="111111"/>
          <w:sz w:val="28"/>
          <w:sz w:val="28"/>
          <w:szCs w:val="28"/>
          <w:rtl w:val="true"/>
          <w:lang w:bidi="fa-IR"/>
        </w:rPr>
        <w:t>، فإنّه یلزم دوران الأمر بین تعیّن التیمّم و الترابیّة، و بین التخییر بین المائیّة و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من عجز عن تعلّم القراءة، یدور أمره بین تعیّن الجماعة علیه، أو یکون بالتخییر بین الجماعة و 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القسم واضح علی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الغیریّ متوجّه إلی ذات المقدّمة</w:t>
      </w:r>
      <w:r>
        <w:rPr>
          <w:rStyle w:val="FootnoteAnchor"/>
          <w:rtl w:val="true"/>
        </w:rPr>
        <w:footnoteReference w:id="644"/>
      </w:r>
      <w:r>
        <w:rPr>
          <w:rFonts w:ascii="IRNazanin" w:hAnsi="IRNazanin" w:eastAsia="IRNazanin"/>
          <w:color w:val="111111"/>
          <w:sz w:val="28"/>
          <w:sz w:val="28"/>
          <w:szCs w:val="28"/>
          <w:rtl w:val="true"/>
          <w:lang w:bidi="fa-IR"/>
        </w:rPr>
        <w:t xml:space="preserve">، لا إلی العنوان المنطبق علیها،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علیها</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فإنّه یترشّح من أمر الصلاة أمر غیریّ إمّا متعلّق بنحو التعیین بالترابیّة، أو بنحو التخییر بالترابیّة و المائیّة، و هکذا فی صلاة العاجز عن القراءة الصحیحة، فإنّ الأمر الغیریّ بالنسبة إلی ذات الجماعة معلوم؛ لکونها ممّا یتوقّف علیها الإتیان بالمأمور به تامّا، و یحتمل التخییر بینه و بین القراءة الناقصة التی یتعلّق بها الأمر الغیریّ المتصوّر بالنسبة إلی الأجزاء الداخلیّة، و یظهر وجه کونه من صغریات دوران الأمر بین التعیین و التخییر، و هذا هو الفرض الصحیح فی المسألة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إدراج الجماعة فی أنّها إحدی طرفی الواجب التخییریّ رأسا</w:t>
      </w:r>
      <w:r>
        <w:rPr>
          <w:rStyle w:val="FootnoteAnchor"/>
          <w:rtl w:val="true"/>
        </w:rPr>
        <w:footnoteReference w:id="646"/>
      </w:r>
      <w:r>
        <w:rPr>
          <w:rFonts w:ascii="IRNazanin" w:hAnsi="IRNazanin" w:eastAsia="IRNazanin"/>
          <w:color w:val="111111"/>
          <w:sz w:val="28"/>
          <w:sz w:val="28"/>
          <w:szCs w:val="28"/>
          <w:rtl w:val="true"/>
          <w:lang w:bidi="fa-IR"/>
        </w:rPr>
        <w:t>، فمن الغلط بالضرورة؛ فإنّ مفروض ذهن المسلمین، لیس إلّا وجوب الظهر علیه، من</w:t>
      </w:r>
    </w:p>
    <w:p>
      <w:pPr>
        <w:pStyle w:val="BookText"/>
        <w:rPr/>
      </w:pPr>
      <w:r>
        <w:rPr>
          <w:rFonts w:ascii="IRNazanin" w:hAnsi="IRNazanin" w:eastAsia="IRNazanin"/>
          <w:color w:val="111111"/>
          <w:sz w:val="28"/>
          <w:sz w:val="28"/>
          <w:szCs w:val="28"/>
          <w:rtl w:val="true"/>
          <w:lang w:bidi="fa-IR"/>
        </w:rPr>
        <w:t>غیر کون الفرادی و الجماعة داخلة تحت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مقام الامتثال إذا اتی بها جماعة، فلها أحکام خاصّة، و لیست الفرادی و الجماعة من العوارض المنوّعة، کما تحرّر فی محلّه </w:t>
      </w:r>
      <w:r>
        <w:rPr>
          <w:rStyle w:val="FootnoteAnchor"/>
          <w:rtl w:val="true"/>
        </w:rPr>
        <w:footnoteReference w:id="647"/>
      </w:r>
      <w:r>
        <w:rPr>
          <w:rFonts w:ascii="IRNazanin" w:hAnsi="IRNazanin" w:eastAsia="IRNazanin"/>
          <w:color w:val="111111"/>
          <w:sz w:val="28"/>
          <w:sz w:val="28"/>
          <w:szCs w:val="28"/>
          <w:rtl w:val="true"/>
          <w:lang w:bidi="fa-IR"/>
        </w:rPr>
        <w:t>، بل المسألة من قبیل المطلق و المقیّد، و یکون المقیّد ندبیّا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المفروض یلزم الدوران؛ لأجل ما یأتی إن شاء اللّه تعالی،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الفرادی لیست إلّا معتبرة عن عدم اتصاف الصلاة بالجماعة، و لیست قصدیّة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فمقتضی القاعدة فی المثال الأوّل و أشباهه، یختلف حسب اختلاف المبانی، فإنّ الطهور المسبّبی لو کان قیدا</w:t>
      </w:r>
      <w:r>
        <w:rPr>
          <w:rStyle w:val="FootnoteAnchor"/>
          <w:rtl w:val="true"/>
        </w:rPr>
        <w:footnoteReference w:id="648"/>
      </w:r>
      <w:r>
        <w:rPr>
          <w:rFonts w:ascii="IRNazanin" w:hAnsi="IRNazanin" w:eastAsia="IRNazanin"/>
          <w:color w:val="111111"/>
          <w:sz w:val="28"/>
          <w:sz w:val="28"/>
          <w:szCs w:val="28"/>
          <w:rtl w:val="true"/>
          <w:lang w:bidi="fa-IR"/>
        </w:rPr>
        <w:t>، فلا شبهة فی لزوم الاحتیاط؛ لما یشکّ فی حصوله بالتوضّؤ فی المثال المذکور، و هکذا فی سائر الموارد التی ترجع إلی العلم بالأمر و بحدود المأمور به، و الشکّ فی سقوطه، مع عدم وجود أصل یتّکئ علیه فی الرتبة السابقة، فلو علم إجمالا أنّه إمّا یباح له الصلاة فی هذا المکان معیّنا، أو هو بالخیار بینه و بین المکان الآخر، أو لا یعلم ذلک إلّا بنحو التردید، فإنّه یحتاط؛ لما یلزم العلم بحصول الشرط المعتبر فی العبادة و المأمور به، و هکذا فی التوصّلیات، فلا فرق بین أنحاء الواجبات التعبّدیة و التوصّلیة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جریان البراءة الشرعیّة عن التعینیّة، و لازمه التخییر بالوجدان؛ لأنّ احتمال التعینیّة موجب للشکّ، فیکفی نفیه، و لا یلزم کونه مثبتا</w:t>
      </w:r>
      <w:r>
        <w:rPr>
          <w:rStyle w:val="FootnoteAnchor"/>
          <w:rtl w:val="true"/>
        </w:rPr>
        <w:footnoteReference w:id="649"/>
      </w:r>
      <w:r>
        <w:rPr>
          <w:rFonts w:ascii="IRNazanin" w:hAnsi="IRNazanin" w:eastAsia="IRNazanin"/>
          <w:color w:val="111111"/>
          <w:sz w:val="28"/>
          <w:sz w:val="28"/>
          <w:szCs w:val="28"/>
          <w:rtl w:val="true"/>
          <w:lang w:bidi="fa-IR"/>
        </w:rPr>
        <w:t>، فهی غیر نافعة لو سلّمنا أنّه غیر مثبت؛ و ذلک لأنّ الوجوب التخییریّ أیضا قابل للرفع، و فیه</w:t>
      </w:r>
    </w:p>
    <w:p>
      <w:pPr>
        <w:pStyle w:val="BookText"/>
        <w:rPr/>
      </w:pPr>
      <w:r>
        <w:rPr>
          <w:rFonts w:ascii="IRNazanin" w:hAnsi="IRNazanin" w:eastAsia="IRNazanin"/>
          <w:color w:val="111111"/>
          <w:sz w:val="28"/>
          <w:sz w:val="28"/>
          <w:szCs w:val="28"/>
          <w:rtl w:val="true"/>
          <w:lang w:bidi="fa-IR"/>
        </w:rPr>
        <w:t>المنّة فی حدّ نفسه، فالوجوب الغیریّ التعیینیّ و التخییریّ، کلّ فی حدّ ذاته فی رفعه المنّة، فتقع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لرفع الوجوب عن الطرف؛ إمّا لأنّه یستلزم رفع الوجوب التخییریّ، فیلزم التعارض، أو لا یکون فی رفعه المنّة فی نفسه،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بالوجوب الشرعیّ الغیریّ، مع کون الطهور المسبّبی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الترابیّ و المائیّ متعلّق الأمر، و لا شی‌ء وراء ذلک، فلازمه أیضا اعتبار کون المصلّی إمّا متیمّما، أو متوضّئا، و هذا أیضا ممّا لا یمکن تحصیله فی مفروض البحث، و لا تجری البراءة الشرعیّة إلّا معارضة بمثلها أیضا، و لا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إلّا أن یتوضّأ أو یتیمّم، و لا یصدر منه أحد النواقض و یصلّی، فهو غیر صحیح إلّا علی القول بکونهما واجبین نفسیّین، و إلّا فالمندوب یجوز ترکه، فعلی هذا یلزم تقیید الصلاة، و عندئذ لا یحصل العلم بالفراغ بعد العلم بالأمر و حدود المأمور به، مع أنّ الأمر دائر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البحث حول المثال الثانی، و الذی هو منشأ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فی صورة التعذّر عن القراءة، یحتمل بقاء جزئیّة القراءة أیضا؛ باعتبار تمکّن المکلّف من الاستنابة، کما قیل به فی الحجّ </w:t>
      </w:r>
      <w:r>
        <w:rPr>
          <w:rStyle w:val="FootnoteAnchor"/>
          <w:rtl w:val="true"/>
        </w:rPr>
        <w:footnoteReference w:id="650"/>
      </w:r>
      <w:r>
        <w:rPr>
          <w:rFonts w:ascii="IRNazanin" w:hAnsi="IRNazanin" w:eastAsia="IRNazanin"/>
          <w:color w:val="111111"/>
          <w:sz w:val="28"/>
          <w:sz w:val="28"/>
          <w:szCs w:val="28"/>
          <w:rtl w:val="true"/>
          <w:lang w:bidi="fa-IR"/>
        </w:rPr>
        <w:t>، و أنّ التعذّر عن صلاة الطواف مثلا أو قراءتها، لا یوجب الخروج عن الاستطاعة؛ لإمکان الاستنابة شرعا، و الجماعة مثلا، و علی هذا یدعو الأمر النفسیّ المتعلّق بالصلاة فی تلک الحال، إلی الجماعة، فتکون الجماعة لازمة؛ للتوقّف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تکون القراءة فی الجماعة ساقطة، و لا یکون الإمام نائبا و ضامنا</w:t>
      </w:r>
    </w:p>
    <w:p>
      <w:pPr>
        <w:pStyle w:val="BookText"/>
        <w:rPr/>
      </w:pPr>
      <w:r>
        <w:rPr>
          <w:rFonts w:ascii="IRNazanin" w:hAnsi="IRNazanin" w:eastAsia="IRNazanin"/>
          <w:color w:val="111111"/>
          <w:sz w:val="28"/>
          <w:sz w:val="28"/>
          <w:szCs w:val="28"/>
          <w:rtl w:val="true"/>
          <w:lang w:bidi="fa-IR"/>
        </w:rPr>
        <w:t>للمأموم فیها، کما هو الأقرب عندنا، و علی هذا لیست الجماعة متعیّنة علیه، فیدعوه الأمر الغیریّ إلی القراءة الناقصة أو الجماعة علی التخییر؛ للتوقّف، ضرورة أنّ الأمر النفسیّ، سقوطه موقوف علی هذا أو ذاک، و إذا شکّ فی ذلک یلزم الدوران بین التعیین و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فی کلام العلّامة النائینیّ </w:t>
      </w:r>
      <w:r>
        <w:rPr>
          <w:rStyle w:val="FootnoteAnchor"/>
          <w:rtl w:val="true"/>
        </w:rPr>
        <w:footnoteReference w:id="651"/>
      </w:r>
      <w:r>
        <w:rPr>
          <w:rFonts w:ascii="IRNazanin" w:hAnsi="IRNazanin" w:eastAsia="IRNazanin"/>
          <w:color w:val="111111"/>
          <w:sz w:val="28"/>
          <w:sz w:val="28"/>
          <w:szCs w:val="28"/>
          <w:rtl w:val="true"/>
          <w:lang w:bidi="fa-IR"/>
        </w:rPr>
        <w:t xml:space="preserve">و غیره </w:t>
      </w:r>
      <w:r>
        <w:rPr>
          <w:rStyle w:val="FootnoteAnchor"/>
          <w:rtl w:val="true"/>
        </w:rPr>
        <w:footnoteReference w:id="6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فی مورد التعذّر تتعیّن الجماعة؛ لأنّ التخییر بین الفرادی و الجماعة، من التخییر الأصلیّ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تکون الجماعة مستحبّا یسقط به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ضرورة أنّ الجماعة و الفرادی، لیستا إلّا من تبعات الطبیعة المتنوّعة، و لا تتنوّع تلک الطبیعة ثانیة بهما، فإنّ الفرادی عدمیّة، و لا تکون 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جماعة الإمام أیضا قد تحصل، و لا تکون قصدیّة؛ لإمکان عدم اطلاعه علی اقتداء المأموم به، و إنّ فی مورد تعذّر أحد طرفی لتخییر، لا یتعیّن الطرف الآخر شرعا، و لا عقلا فی المقام؛ لإمکان 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أمثال البحث، کما أشرنا إلیه فی محلّه </w:t>
      </w:r>
      <w:r>
        <w:rPr>
          <w:rStyle w:val="FootnoteAnchor"/>
          <w:rtl w:val="true"/>
        </w:rPr>
        <w:footnoteReference w:id="653"/>
      </w:r>
      <w:r>
        <w:rPr>
          <w:rFonts w:ascii="IRNazanin" w:hAnsi="IRNazanin" w:eastAsia="IRNazanin"/>
          <w:color w:val="111111"/>
          <w:sz w:val="28"/>
          <w:sz w:val="28"/>
          <w:szCs w:val="28"/>
          <w:rtl w:val="true"/>
          <w:lang w:bidi="fa-IR"/>
        </w:rPr>
        <w:t>، فیجوز حینئذ اختیار الفرادی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کون الجماعة مستحبّة یسقط بها الواجب، غلط؛ لأنّها صفة تعرض المصداق، و لیست شیئا آخر مباینا للصلاة، بل هما متّحدان، و یکون من الأفراد المستحبّة بطروّ الکمالیّات الخارجة عن الطبیعة، و التفصیل فی محلّه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قضیّة القواعد فی صورة الشکّ فی أنّ جزئیّة القراءة بالنسبة إلی المتعذّر، ثابتة لأجل أحد الاحتمالین، فمقتضی القاعدة هی البراءة؛ للشکّ فی أنّه یجب علیه</w:t>
      </w:r>
    </w:p>
    <w:p>
      <w:pPr>
        <w:pStyle w:val="BookText"/>
        <w:rPr/>
      </w:pPr>
      <w:r>
        <w:rPr>
          <w:rFonts w:ascii="IRNazanin" w:hAnsi="IRNazanin" w:eastAsia="IRNazanin"/>
          <w:color w:val="111111"/>
          <w:sz w:val="28"/>
          <w:sz w:val="28"/>
          <w:szCs w:val="28"/>
          <w:rtl w:val="true"/>
          <w:lang w:bidi="fa-IR"/>
        </w:rPr>
        <w:t>الأکثر ممّا یقدر علیه، فلا أمر غیریّ تعیینیّ بالنسبة إلی الجماعة؛ لأجل أنّ مقتضی البراءة فی الأقلّ و الأکثر، عدم وجوب القراءة الکاملة فی صورة التعذّر، ضرورة أنّ احتمال الوجوب، کان منشؤه إمکان الاستنابة، و أنّه کان یکفی لاعتبار الجزئیّة، کما لا یخفی و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أمر غیر ثابت، فیلزم منه الشکّ فی الجزئیّة فی هذا الحال، و الأصل الجاری السابق یوجب رفع التحیّر بین التعیین و التخییر، و تکون النتیجة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المسلک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الجزئیّة المعتبرة للقراءة مثلا، لیست بلحاظ الحالات الشخصیّة، و تکون هی کاعتبار نجاسة الکلب، فإنّ الکلب یعتبر نجسا قانونا؛ من غیر ملاحظة القطر الخاصّ و ابتلاء الناس، حتّی یکون الکلب فی بطون الغابات طاهرا، و الدم فی العروق طاهرا، بل الکلّ نجس قانونا، و ما مرّ من وقوع الخلط بین الخطابات التکلیفیّة القانونیّة و الشخصیّة</w:t>
      </w:r>
      <w:r>
        <w:rPr>
          <w:rStyle w:val="FootnoteAnchor"/>
          <w:rtl w:val="true"/>
        </w:rPr>
        <w:footnoteReference w:id="655"/>
      </w:r>
      <w:r>
        <w:rPr>
          <w:rFonts w:ascii="IRNazanin" w:hAnsi="IRNazanin" w:eastAsia="IRNazanin"/>
          <w:color w:val="111111"/>
          <w:sz w:val="28"/>
          <w:sz w:val="28"/>
          <w:szCs w:val="28"/>
          <w:rtl w:val="true"/>
          <w:lang w:bidi="fa-IR"/>
        </w:rPr>
        <w:t>، یجری فی الوضعیّات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فالقراءة جزء الصلاة من غیر النظر إلی تعذّر فرد، و اقتدار فرد، بل بعد کون المکلّفین فی الجملة قادرین، یکفی ذلک لاعتبار الجزئیّة، و تکون القراءة جزء بالنسبة إلی التعذّر، و لا شکّ فی ذلک بعد وجود الإطلاق فی دلیله، و علی هذا یترشّح من الأمر النفسیّ، أمر تعیینیّ غیریّ، و تصیر النتیجة لزوم الجماعة، و تخرج المسألة عن دوران الأمر بین التعیین و التخییر إلی التعیین، بناء علی القول بأنّ الإمام ضامن </w:t>
      </w:r>
      <w:r>
        <w:rPr>
          <w:rStyle w:val="FootnoteAnchor"/>
          <w:rtl w:val="true"/>
        </w:rPr>
        <w:footnoteReference w:id="656"/>
      </w:r>
      <w:r>
        <w:rPr>
          <w:rFonts w:ascii="Amiri" w:hAnsi="Amiri" w:eastAsia="Amiri" w:cs="Amiri"/>
          <w:color w:val="111111"/>
          <w:sz w:val="28"/>
          <w:sz w:val="28"/>
          <w:szCs w:val="28"/>
          <w:rtl w:val="true"/>
          <w:lang w:bidi="ar-SA"/>
        </w:rPr>
        <w:t>، و إلّا فالتعیّن محلّ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نذکر من الأمر الغیریّ مجرّد فرض، و إلّا فلا أساس للوجوب الغیریّ، إلّا أنّ مسألتنا هذه أعمّ من التعیین و التخییر العقلیّ، أو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القراءة حال التعذّر، باقیة علی الجزئیّة حسب القانون العامّ، فیدور أمره بین التعیین علی المسلک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الإتیان بالصلاة جماعة</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التخییر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الجماعة لیست للقراءة جزئیّة، و إذا شکّ فی ذلک یدور أمره بینهما، فلا بدّ من الاحتیاط طبعا؛ لأنّ العلم بالجزئیّة یوجب القطع بالفراغ منها، و هو لا یحصل إلّا بانقلاب حاله من الفرادی إلی الجماعة حتّی یعلم بعدم الجزئیّة،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وجه آخر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مقتضی ما احتملناه و قرّبناه، عدم اختصاص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بما لا یطاق عرفا، المقدور عقلا، و تفصیله فی محلّه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المعجوز عنه عقلا مرفوع شرعا، و لا سیّما ذلک بالقیاس إلی المسلک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فعلیّة الجزئیّة حال التعذّر، فعندئذ ترتفع الجزئیّة هنا، کما ترتفع حال الجهالة و السهو و الخطأ و النسیان، فإذا شکّ فی هذه المسألة، یرجع إلی حدیث رفع الجزئیّة کما مرّ</w:t>
      </w:r>
      <w:r>
        <w:rPr>
          <w:rStyle w:val="FootnoteAnchor"/>
          <w:rtl w:val="true"/>
        </w:rPr>
        <w:footnoteReference w:id="660"/>
      </w:r>
      <w:r>
        <w:rPr>
          <w:rFonts w:ascii="IRNazanin" w:hAnsi="IRNazanin" w:eastAsia="IRNazanin"/>
          <w:color w:val="111111"/>
          <w:sz w:val="28"/>
          <w:sz w:val="28"/>
          <w:szCs w:val="28"/>
          <w:rtl w:val="true"/>
          <w:lang w:bidi="fa-IR"/>
        </w:rPr>
        <w:t>، و تصیر النتیجة فی حال الدوران البراءة؛ لأنّ أصالة البراءة عن وجوب السورة، مقدّمة علی مقتضی الأمر المعلوم المتعلّق بالصلاة، و إذا أتی بها منفردا یعلم بالفراغ بضمیمة الأصل المذکور، و قد خرجنا عن طور المسألة، فلیعذرنی الإخوان</w:t>
      </w:r>
      <w:r>
        <w:rPr>
          <w:rFonts w:eastAsia="IRNazanin" w:cs="IRNazanin"/>
          <w:color w:val="111111"/>
          <w:sz w:val="28"/>
          <w:szCs w:val="28"/>
          <w:rtl w:val="true"/>
          <w:lang w:bidi="fa-IR"/>
        </w:rPr>
        <w:t>.</w:t>
      </w:r>
      <w:bookmarkStart w:id="506" w:name="pg13173_324919"/>
    </w:p>
    <w:p>
      <w:pPr>
        <w:pStyle w:val="Heading6"/>
        <w:numPr>
          <w:ilvl w:val="5"/>
          <w:numId w:val="1"/>
        </w:numPr>
        <w:rPr/>
      </w:pPr>
      <w:bookmarkStart w:id="507" w:name="__RefHeading___Toc735033_3244359995"/>
      <w:bookmarkStart w:id="508" w:name="_Toc191"/>
      <w:bookmarkEnd w:id="506"/>
      <w:bookmarkEnd w:id="507"/>
      <w:r>
        <w:rPr>
          <w:rtl w:val="true"/>
        </w:rPr>
        <w:t>القسم الخامس</w:t>
      </w:r>
      <w:r>
        <w:rPr>
          <w:rtl w:val="true"/>
        </w:rPr>
        <w:t>:</w:t>
      </w:r>
      <w:bookmarkEnd w:id="508"/>
    </w:p>
    <w:p>
      <w:pPr>
        <w:pStyle w:val="BookText"/>
        <w:rPr/>
      </w:pPr>
      <w:r>
        <w:rPr>
          <w:rFonts w:ascii="IRNazanin" w:hAnsi="IRNazanin" w:eastAsia="IRNazanin"/>
          <w:color w:val="111111"/>
          <w:sz w:val="28"/>
          <w:sz w:val="28"/>
          <w:szCs w:val="28"/>
          <w:rtl w:val="true"/>
          <w:lang w:bidi="fa-IR"/>
        </w:rPr>
        <w:t>لو دار الأمر بین التعیین و التخییر فی الأوامر الترخیصیّة، و ذلک مثل ما إذا علمنا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المالک إمّا رخّص لی و أمرنی بالتصرّف فی الثوب الکذائیّ، أو أمرنی تخییرا بین التصرّف فیه، أو فی الثوب الآخر؛ علی وجه لا یکون ترخیصه فی صورة الترک بالنسبة إلی المجموع، بل هو بنحو المنفصلة المانعة الجمع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إباحة إحیاء الأراضی، ربّما یوجد مورد یدور فیه الأمر بین تجویز الاستملاک من الأراضی الخاصّة، أو إباحة ذلک بنحو التخییر؛ بحیث لا یجوز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الاحتیاط؛ لأنّ التصرّف الممنوع منوط بإحراز الترخیص، و هو فی الطرف غیر ممکن، و لا أصل یحرز به طیب المالک، بل قضیّة الأصل فی الطرف خلافه، فتأمّل</w:t>
      </w:r>
      <w:r>
        <w:rPr>
          <w:rFonts w:eastAsia="IRNazanin" w:cs="IRNazanin"/>
          <w:color w:val="111111"/>
          <w:sz w:val="28"/>
          <w:szCs w:val="28"/>
          <w:rtl w:val="true"/>
          <w:lang w:bidi="fa-IR"/>
        </w:rPr>
        <w:t>.</w:t>
      </w:r>
    </w:p>
    <w:p>
      <w:pPr>
        <w:pStyle w:val="Heading6"/>
        <w:numPr>
          <w:ilvl w:val="5"/>
          <w:numId w:val="1"/>
        </w:numPr>
        <w:rPr/>
      </w:pPr>
      <w:bookmarkStart w:id="509" w:name="__RefHeading___Toc735035_3244359995"/>
      <w:bookmarkStart w:id="510" w:name="_Toc192"/>
      <w:bookmarkEnd w:id="509"/>
      <w:r>
        <w:rPr>
          <w:rtl w:val="true"/>
        </w:rPr>
        <w:t>القسم السادس</w:t>
      </w:r>
      <w:r>
        <w:rPr>
          <w:rtl w:val="true"/>
        </w:rPr>
        <w:t>:</w:t>
      </w:r>
      <w:bookmarkEnd w:id="510"/>
    </w:p>
    <w:p>
      <w:pPr>
        <w:pStyle w:val="BookText"/>
        <w:rPr/>
      </w:pPr>
      <w:r>
        <w:rPr>
          <w:rFonts w:ascii="IRNazanin" w:hAnsi="IRNazanin" w:eastAsia="IRNazanin"/>
          <w:color w:val="111111"/>
          <w:sz w:val="28"/>
          <w:sz w:val="28"/>
          <w:szCs w:val="28"/>
          <w:rtl w:val="true"/>
          <w:lang w:bidi="fa-IR"/>
        </w:rPr>
        <w:t>فی دوران الأمر بین التعیین و التخییر فی الأوامر الطریقیّة الإمضائیّة، و ذلک مثل ما إذا دار الأمر بین حجّیة قول الثقة الإمامیّ، أو حجّیة قول مطلق الثقة، ففی موارد التعارض یقع الأمر بین التعیین و التخییر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الموارد الراجعة إلی فتوی الفقهاء، و احتمال دخالة الأعلمیّة و الأورعیّة و الأشجعیّة، و الأعرفیّة بالامور، و الأخبریّة بالمسائل الاجتماعیّة، أو کانت هذه الامور دخیلة بحسب الکبری الکلّیة، و لکن شکّ فی أنّ الفقیه الموجود، هل هو واجد لتلک الصفة فی قبال من لیس فیه تلک الصفة قطعا؟ فیدور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الأمر هنا؛ من جهة أنّ مقتضی ما تحرّر فی محلّه هو تساقط الطرق فی مقام المعارضة، فلا تخییر بحسب الموازین العقلائیّة، فلا یوجد فی باب الطرق الإمضائیّة، مورد یدور الأمر فیه بین التعیین و التخییر؛ لأنّ فی مقام معارضة قول الثقة الإمامیّ و غیر الإمامیّ، یکون الخبران ساقطین، و ذلک من غیر فرق بین بابی الإفتاء و الإخبار، فإنّ الحقّ سقوط کلّ واحد منهما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 الواقع فی الطرف،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 المتعیّن، فیشکّ فی حجّیته حال المعارضة فیسقط، فلا صغری لهذا الدوران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الوظیفة الشرعیّة المقرّرة للعلاج، فهی من التعبّدیات عندنا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مراجعة العقلاء إلی أحد الطریقین فی مورد الحاجة و الاضطرار، بحث آخر أجنبیّ عمّا نحن فیه؛ لما لا اضطرار لنا بالنسبة إلی مفاد الطرق بعد وجود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باب الطرق یکون ذو المزیّة حجّة عند العقلاء، و باقیا علی الطریقیّة حین المعارضة، بخلاف الآخر، و أنّ التساقط مخصوص بصورة التعارض مع کونهما متساویین بحسب المزایا</w:t>
      </w:r>
      <w:r>
        <w:rPr>
          <w:rStyle w:val="FootnoteAnchor"/>
          <w:rtl w:val="true"/>
        </w:rPr>
        <w:footnoteReference w:id="661"/>
      </w:r>
      <w:r>
        <w:rPr>
          <w:rFonts w:ascii="IRNazanin" w:hAnsi="IRNazanin" w:eastAsia="IRNazanin"/>
          <w:color w:val="111111"/>
          <w:sz w:val="28"/>
          <w:sz w:val="28"/>
          <w:szCs w:val="28"/>
          <w:rtl w:val="true"/>
          <w:lang w:bidi="fa-IR"/>
        </w:rPr>
        <w:t xml:space="preserve">، غیر جید، و التفصیل فی باب التعادل و الترجیح إن شاء اللّه تعالی </w:t>
      </w:r>
      <w:r>
        <w:rPr>
          <w:rStyle w:val="FootnoteAnchor"/>
          <w:rtl w:val="true"/>
        </w:rPr>
        <w:footnoteReference w:id="662"/>
      </w:r>
      <w:r>
        <w:rPr>
          <w:rFonts w:ascii="IRNazanin" w:hAnsi="IRNazanin" w:eastAsia="IRNazanin"/>
          <w:color w:val="111111"/>
          <w:sz w:val="28"/>
          <w:sz w:val="28"/>
          <w:szCs w:val="28"/>
          <w:rtl w:val="true"/>
          <w:lang w:bidi="fa-IR"/>
        </w:rPr>
        <w:t>، ففی الأوامر الإمضائیّة لا توجد صغری لدوران الأمر بین التعیین و التخییر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بقی الکلام فی الأوامر الطریقیّة التعبّدیة، و قد فرغنا من تصویرها</w:t>
      </w:r>
      <w:r>
        <w:rPr>
          <w:rStyle w:val="FootnoteAnchor"/>
          <w:rtl w:val="true"/>
        </w:rPr>
        <w:footnoteReference w:id="663"/>
      </w:r>
      <w:r>
        <w:rPr>
          <w:rFonts w:ascii="Amiri" w:hAnsi="Amiri" w:eastAsia="Amiri" w:cs="Amiri"/>
          <w:color w:val="111111"/>
          <w:sz w:val="28"/>
          <w:sz w:val="28"/>
          <w:szCs w:val="28"/>
          <w:rtl w:val="true"/>
          <w:lang w:bidi="ar-SA"/>
        </w:rPr>
        <w:t>، و أنّه</w:t>
      </w:r>
    </w:p>
    <w:p>
      <w:pPr>
        <w:pStyle w:val="BookText"/>
        <w:rPr/>
      </w:pPr>
      <w:r>
        <w:rPr>
          <w:rFonts w:ascii="IRNazanin" w:hAnsi="IRNazanin" w:eastAsia="IRNazanin"/>
          <w:color w:val="111111"/>
          <w:sz w:val="28"/>
          <w:sz w:val="28"/>
          <w:szCs w:val="28"/>
          <w:rtl w:val="true"/>
          <w:lang w:bidi="fa-IR"/>
        </w:rPr>
        <w:t>فی هذه الصورة یمکن أن یدور الأمر بین التعیین و التخییر، کما هو الواقع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المعروف عنهم هو التعیین </w:t>
      </w:r>
      <w:r>
        <w:rPr>
          <w:rStyle w:val="FootnoteAnchor"/>
          <w:rtl w:val="true"/>
        </w:rPr>
        <w:footnoteReference w:id="664"/>
      </w:r>
      <w:r>
        <w:rPr>
          <w:rFonts w:ascii="IRNazanin" w:hAnsi="IRNazanin" w:eastAsia="IRNazanin"/>
          <w:color w:val="111111"/>
          <w:sz w:val="28"/>
          <w:sz w:val="28"/>
          <w:szCs w:val="28"/>
          <w:rtl w:val="true"/>
          <w:lang w:bidi="fa-IR"/>
        </w:rPr>
        <w:t xml:space="preserve">و ذلک إمّا لأنّ الشکّ فی حجّیة الطرف، مساوق للقطع بعدم الحجّیة، کما مرّ تفصیله فی أوائل بحوث الظنّ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لأنّ الشکّ فی حجّیة الطرف یخرج عن التخییر، و یرجع إلی حجّیة الطریق المحتمل، و معذّریته و منجّزیته، و محرزیّته التعبّدیة القطعیّة، و الشکّ البدویّ بالنسبة إلی حجّیة ذاک الطرف، و هو کاف لعدم جواز الاعتماد علیه؛ و إن لم یحصل منه القطع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بالقدر المتیقّن هنا لازم؛ لأنّ التخییر هنا یوجب العلم بالقدر المتیقّن، بخلاف بعض الأقسام السابقة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وصول النوبة إلی اعتبار الحجّیة التعبّدیة، کما فی التخییر الوارد فی أخبار التخییر، أو بالنسبة إلی مطلق المرجّحات بعد التعارض و السقوط، فالشکّ فی حجّیة قول الثقة، ناشئ من احتمال دخالة الإمامیّة الاثنی عشریّة فی الحجّیة شرعا، و إلّا فهی غیر دخیلة عرفا، و إذا وصلت النوبة إلی هنا یرجع إلی البراءة عن ذلک، أو یستصحب عدم جعل الشرع شیئا زائدا عمّا هو 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التعیین و التخییر بعد تصرّف الشرع فی محیط الطرق و اعتبار الحجّة تعبّدا، و لو کان مرجع الشکّ فی دخالة کلّ محتمل الدخالة إلی السقوط فی باب الطرق، للزم سقوط کثیر منها؛ و لو لم یکن من صغریات مسألتنا هذه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الحجّیة یقتضی رفع المشکوک، مسموعة، و لکنّه ربّما</w:t>
      </w:r>
    </w:p>
    <w:p>
      <w:pPr>
        <w:pStyle w:val="BookText"/>
        <w:rPr/>
      </w:pPr>
      <w:r>
        <w:rPr>
          <w:rFonts w:ascii="IRNazanin" w:hAnsi="IRNazanin" w:eastAsia="IRNazanin"/>
          <w:color w:val="111111"/>
          <w:sz w:val="28"/>
          <w:sz w:val="28"/>
          <w:szCs w:val="28"/>
          <w:rtl w:val="true"/>
          <w:lang w:bidi="fa-IR"/>
        </w:rPr>
        <w:t>یشکل الدلیل أحیانا، و نجد أنّ احتمال تدخّل الشرع فی اعتبار شی‌ء، موجود جدّا، و لا إطلاق للدلیل اللبّی و هو بناء العقلاء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تقدیر رفع القید الزائد هنا، کرفعه فی سائر المسائل الوضعیّة و الجعلیّة الشرعیّة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للشرع جعل حجّیة أحد الخبرین، و اعتبار المزیّة للمزایا المذکورة فی الأخبار العلاجیّة</w:t>
      </w:r>
      <w:r>
        <w:rPr>
          <w:rStyle w:val="FootnoteAnchor"/>
          <w:rtl w:val="true"/>
        </w:rPr>
        <w:footnoteReference w:id="666"/>
      </w:r>
      <w:r>
        <w:rPr>
          <w:rFonts w:ascii="IRNazanin" w:hAnsi="IRNazanin" w:eastAsia="IRNazanin"/>
          <w:color w:val="111111"/>
          <w:sz w:val="28"/>
          <w:sz w:val="28"/>
          <w:szCs w:val="28"/>
          <w:rtl w:val="true"/>
          <w:lang w:bidi="fa-IR"/>
        </w:rPr>
        <w:t xml:space="preserve">، و بعد تساوی الخبرین تعتبر حجّیة أحدهما، کذلک له نفی اعتبار الشی‌ء المشکوکة دخالته فی الحجّیة التعبّدیة؛ حتّی فی باب الأمارات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کسائر الأمارات، فلاحظ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المثبتیّة قابل للدفع بما مرّ فی باب جریانه فی الأسباب و المسبّبات، بل و فی کافّة المرکّبات </w:t>
      </w:r>
      <w:r>
        <w:rPr>
          <w:rStyle w:val="FootnoteAnchor"/>
          <w:rtl w:val="true"/>
        </w:rPr>
        <w:footnoteReference w:id="667"/>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bookmarkStart w:id="511" w:name="pg13173_324923"/>
    </w:p>
    <w:p>
      <w:pPr>
        <w:pStyle w:val="Heading4"/>
        <w:numPr>
          <w:ilvl w:val="3"/>
          <w:numId w:val="1"/>
        </w:numPr>
        <w:rPr/>
      </w:pPr>
      <w:bookmarkStart w:id="512" w:name="__RefHeading___Toc735037_3244359995"/>
      <w:bookmarkStart w:id="513" w:name="_Toc193"/>
      <w:bookmarkEnd w:id="511"/>
      <w:bookmarkEnd w:id="512"/>
      <w:r>
        <w:rPr>
          <w:rtl w:val="true"/>
        </w:rPr>
        <w:t>التنبیه السادس فی إجمال النص للشکّ فی أنّ المتعلق صرف الوجود أو الوجود الساری</w:t>
      </w:r>
      <w:bookmarkEnd w:id="513"/>
    </w:p>
    <w:p>
      <w:pPr>
        <w:pStyle w:val="BookText"/>
        <w:rPr/>
      </w:pPr>
      <w:r>
        <w:rPr>
          <w:rFonts w:ascii="IRNazanin" w:hAnsi="IRNazanin" w:eastAsia="IRNazanin"/>
          <w:color w:val="111111"/>
          <w:sz w:val="28"/>
          <w:sz w:val="28"/>
          <w:szCs w:val="28"/>
          <w:rtl w:val="true"/>
          <w:lang w:bidi="fa-IR"/>
        </w:rPr>
        <w:t>من موارد ابتلاء الفقیه بالشکّ لأجل إجمال النصّ؛ الشکّ فی أنّ متعلّق الأمر أو النهی صرف الوجود، أو الوجود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أنّ الخطاب و الجعل، یتعلّق بنفس الطبیعة فلا ینحلّ، أو یکون متعلّقا بها علی وجه ینحلّ إلی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ورد النهی عن الصلاة فی النجس، یشکّ فی أنّه من القسم الأوّل، فلا یلزم تقلیل النجس فی الصلاة؛ إذا کان صرف وجوده ممّا لا بدّ منه، أو هو من القسم الثانی؛ حتّی یجب التقلیل بمقدار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موارد نذر ترک شرب الدخان، بل و شرب کلّ دخان، هل یکون متعلّق النذر علی الوجه الأوّل، فلا یجب الوفاء إلّا بمقدار ناقض العدم، فلو حنث مرّة واحدة فلا یجب، کما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Style w:val="FootnoteAnchor"/>
          <w:rtl w:val="true"/>
        </w:rPr>
        <w:footnoteReference w:id="668"/>
      </w:r>
      <w:r>
        <w:rPr>
          <w:rFonts w:ascii="IRNazanin" w:hAnsi="IRNazanin" w:eastAsia="IRNazanin"/>
          <w:color w:val="111111"/>
          <w:sz w:val="28"/>
          <w:sz w:val="28"/>
          <w:szCs w:val="28"/>
          <w:rtl w:val="true"/>
          <w:lang w:bidi="fa-IR"/>
        </w:rPr>
        <w:t>، أم هو من القسم الثانی، أو من القسم الثانی فی الصورة الثانیة، فیجب الوفاء بعدد الأفراد، کما لا یبعد ذلک؟ و تحقیقه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الشکّ، فالبراءة محکّمة فی الفرضین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لعدم العلم بالتکلیف من الأوّل</w:t>
      </w:r>
      <w:r>
        <w:rPr>
          <w:rFonts w:eastAsia="IRNazanin" w:cs="IRNazanin"/>
          <w:color w:val="111111"/>
          <w:sz w:val="28"/>
          <w:szCs w:val="28"/>
          <w:rtl w:val="true"/>
          <w:lang w:bidi="fa-IR"/>
        </w:rPr>
        <w:t>.</w:t>
      </w:r>
      <w:bookmarkStart w:id="514" w:name="pg13173_324924"/>
    </w:p>
    <w:p>
      <w:pPr>
        <w:pStyle w:val="BookText"/>
        <w:rPr/>
      </w:pPr>
      <w:bookmarkEnd w:id="514"/>
      <w:r>
        <w:rPr>
          <w:rFonts w:ascii="IRNazanin" w:hAnsi="IRNazanin" w:eastAsia="IRNazanin"/>
          <w:color w:val="111111"/>
          <w:sz w:val="28"/>
          <w:sz w:val="28"/>
          <w:szCs w:val="28"/>
          <w:rtl w:val="true"/>
          <w:lang w:bidi="fa-IR"/>
        </w:rPr>
        <w:t>و 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عدم وجوب الاحتیاط فی المطلق و المقیّد، و القلیل و الکثیر، عقلا و عرفا و شرعا، کما هو المختار، فالأمر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استشکل فیه شرعا فلا وجه للإشکال فیه عقلا، کما هو الواضح</w:t>
      </w:r>
      <w:r>
        <w:rPr>
          <w:rFonts w:eastAsia="IRNazanin" w:cs="IRNazanin"/>
          <w:color w:val="111111"/>
          <w:sz w:val="28"/>
          <w:szCs w:val="28"/>
          <w:rtl w:val="true"/>
          <w:lang w:bidi="fa-IR"/>
        </w:rPr>
        <w:t>.</w:t>
      </w:r>
    </w:p>
    <w:p>
      <w:pPr>
        <w:pStyle w:val="Heading4"/>
        <w:numPr>
          <w:ilvl w:val="3"/>
          <w:numId w:val="1"/>
        </w:numPr>
        <w:rPr/>
      </w:pPr>
      <w:bookmarkStart w:id="515" w:name="__RefHeading___Toc735039_3244359995"/>
      <w:bookmarkStart w:id="516" w:name="_Toc194"/>
      <w:bookmarkEnd w:id="515"/>
      <w:r>
        <w:rPr>
          <w:rtl w:val="true"/>
        </w:rPr>
        <w:t>التنبیه السابع فی دوران الأمر بین العینیّ و الکفائیّ</w:t>
      </w:r>
      <w:bookmarkEnd w:id="516"/>
    </w:p>
    <w:p>
      <w:pPr>
        <w:pStyle w:val="Heading5"/>
        <w:numPr>
          <w:ilvl w:val="4"/>
          <w:numId w:val="1"/>
        </w:numPr>
        <w:rPr/>
      </w:pPr>
      <w:bookmarkStart w:id="517" w:name="__RefHeading___Toc735041_3244359995"/>
      <w:bookmarkStart w:id="518" w:name="_Toc195"/>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 xml:space="preserve">و أنت قد أحطت خبرا فیما مرّ فی دوران الأمر بین التعیینیّ و التخییریّ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بأنّه لو شکّ فی أصل التکلیف الکفائیّ، تجری البراءات الثلاث، إلّا إذا علم بأنّ من المسلمین من یحتاط، فإنّه لو کان وجوب کفائیّ لکان ساقطا، فلا وجه لإطلاق کلام الأصحاب رحمهم اللّه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لو کان أصل یحرز به العینیّة أو الکفائیّة فلا غائلة، و لا مشکلة، کما عرفت تحقیقه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لا ینبغی الارتیاب فیه، أنّ فی صورة ترک الآخرین یجب الاحتیاط؛ ضرورة أنّه إمّا یجب علیه عینا أو کفایة، و علی کلّ تقدیر یستحقّ العقوبة فی تلک الصورة، فما هو محطّ النزاع صورة إتیان واحد من المکلّفین، فإنّه فی هذه الصورة تدور المسألة بین العینیّ و الکفائیّ، و یجوز البحث حول البراءة و الاحتیاط</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الامور الثلاثة، و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البحث مخصوص</w:t>
      </w:r>
    </w:p>
    <w:p>
      <w:pPr>
        <w:pStyle w:val="BookText"/>
        <w:rPr/>
      </w:pPr>
      <w:r>
        <w:rPr>
          <w:rFonts w:ascii="IRNazanin" w:hAnsi="IRNazanin" w:eastAsia="IRNazanin"/>
          <w:color w:val="111111"/>
          <w:sz w:val="28"/>
          <w:sz w:val="28"/>
          <w:szCs w:val="28"/>
          <w:rtl w:val="true"/>
          <w:lang w:bidi="fa-IR"/>
        </w:rPr>
        <w:t>بمورد یمکن فیه حمل الوجوب الکفائیّ علی جمیع محتملاته،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المسألة فی المقام تنشأ کما سلف، عن اختلاف المبانی فی کیفیّة اعتبار الوجوب الکفائیّ </w:t>
      </w:r>
      <w:r>
        <w:rPr>
          <w:rStyle w:val="FootnoteAnchor"/>
          <w:rtl w:val="true"/>
        </w:rPr>
        <w:footnoteReference w:id="672"/>
      </w:r>
      <w:r>
        <w:rPr>
          <w:rFonts w:ascii="IRNazanin" w:hAnsi="IRNazanin" w:eastAsia="IRNazanin"/>
          <w:color w:val="111111"/>
          <w:sz w:val="28"/>
          <w:sz w:val="28"/>
          <w:szCs w:val="28"/>
          <w:rtl w:val="true"/>
          <w:lang w:bidi="fa-IR"/>
        </w:rPr>
        <w:t>ضرورة أنّه علی بعض التقادیر تجری البراءة، دون بعض کما سیظهر، و لا أقلّ من اختفاء المسألة علی بعض المبانی،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فی کلام العلّامة النائینیّ رحمه اللّه </w:t>
      </w:r>
      <w:r>
        <w:rPr>
          <w:rStyle w:val="FootnoteAnchor"/>
          <w:rtl w:val="true"/>
        </w:rPr>
        <w:footnoteReference w:id="673"/>
      </w:r>
      <w:r>
        <w:rPr>
          <w:rFonts w:ascii="IRNazanin" w:hAnsi="IRNazanin" w:eastAsia="IRNazanin"/>
          <w:color w:val="111111"/>
          <w:sz w:val="28"/>
          <w:sz w:val="28"/>
          <w:szCs w:val="28"/>
          <w:rtl w:val="true"/>
          <w:lang w:bidi="fa-IR"/>
        </w:rPr>
        <w:t>و بعض اتباعه من الاحتیاط علی بعض المبانی التی تجری فیها البراءة</w:t>
      </w:r>
      <w:r>
        <w:rPr>
          <w:rStyle w:val="FootnoteAnchor"/>
          <w:rtl w:val="true"/>
        </w:rPr>
        <w:footnoteReference w:id="674"/>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کان معنی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الواجب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البراءة واضحة؛ ضرورة أنّه فی صورة کون الوجوب عینیّا، یکون الموضوع أیضا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الخصوصیّة الشخصیّة، و إذا شکّ فی ذلک یلزم الشکّ فی أخذ تلک الخصوصیّة فی الموضوع، و الأصل علی خلافه، و العقاب بلا بیان، و الشکّ یرجع إلی الشکّ فی الثبوت، لا السقوط، فما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من الشکّ فی التقیید بقاء</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غیر راجع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صورة قیام واحد بالطبیعة، کما إذا شکّ فی صورة السلام علی جمیع الأفراد بصیغة واحدة،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کلّ واحد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من قبل واحد منهم، یلزم الشکّ فی تنجّز الخطاب بالنسبة إلیه؛ لأنّ الأمر مردّد بین کلّ واحد علی البدلیّة، فلا یعلم تنجیز التکلیف عند إتیان أحدهم و جوابه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میزان الاحتیاط العلم بالخطاب، و یکفی ذلک لاستحقاق العقوبة، کان للقول بالاحتیاط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هنا یدور بین أنّه فی المثال المذکور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کلّ واحد منهم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واحد منهم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القدر المتیقّن فیما هو الموضوع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 فی السرایة و السریان، و ترجع المسألة من هذه الجهة إلی التنبیه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الاعتبار فی الوجوب الکفائیّ، لیس فعل واحد من المکلّفین، موجبا لسقوطه عن الآخرین، بل لازمه سقوط التکلیف عن موضوعه، فلا علم من المکلّف بالتکلیف حتّی یشکّ فی السقوط؛ لأنّه علی تقدیر الوجوب الکفائیّ، لم یکن التکلیف منجّزا بالنسبة إلیه،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تقریب البراءة علی الوجه الأوّل أمتن، و ما فی کلام العلّامة الأراکیّ رحمه اللّه </w:t>
      </w:r>
      <w:r>
        <w:rPr>
          <w:rStyle w:val="FootnoteAnchor"/>
          <w:rtl w:val="true"/>
        </w:rPr>
        <w:footnoteReference w:id="676"/>
      </w:r>
      <w:r>
        <w:rPr>
          <w:rFonts w:ascii="IRNazanin" w:hAnsi="IRNazanin" w:eastAsia="IRNazanin"/>
          <w:color w:val="111111"/>
          <w:sz w:val="28"/>
          <w:sz w:val="28"/>
          <w:szCs w:val="28"/>
          <w:rtl w:val="true"/>
          <w:lang w:bidi="fa-IR"/>
        </w:rPr>
        <w:t xml:space="preserve">غیر معلومة کفایته للبراءة فی هذه الصورة فی الواجب الکفائیّ، و ما فی کلام العلّامة النائینیّ من الوجهین فی اعتبار الکفائیّ </w:t>
      </w:r>
      <w:r>
        <w:rPr>
          <w:rStyle w:val="FootnoteAnchor"/>
          <w:rtl w:val="true"/>
        </w:rPr>
        <w:footnoteReference w:id="677"/>
      </w:r>
      <w:r>
        <w:rPr>
          <w:rFonts w:ascii="IRNazanin" w:hAnsi="IRNazanin" w:eastAsia="IRNazanin"/>
          <w:color w:val="111111"/>
          <w:sz w:val="28"/>
          <w:sz w:val="28"/>
          <w:szCs w:val="28"/>
          <w:rtl w:val="true"/>
          <w:lang w:bidi="fa-IR"/>
        </w:rPr>
        <w:t>، تکون البراءة علی الوجه الأوّل واضحة لا مریة فیها، نعم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فی هذه الصورة التی أشرنا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تقریبها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الواجب العینیّ، لیس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الأفراد الذاتیّة من الناس و المؤمنین، فلا علم بأنّ ما هو الموضوع فی العینیّ و الکفائیّ،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عینیّا یکون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الخصوصیّة غیر القابلة للانطباق، فلا یتمّ تقریب البراءة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للتکلیف فی الکفائیّ علی البدل، و فی العینیّ هو أیضا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 و لازمه الاشتغال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الخلط بین ما هی الجهة المبحوث عنها فی هذه المرحلة، و بین ما</w:t>
      </w:r>
    </w:p>
    <w:p>
      <w:pPr>
        <w:pStyle w:val="BookText"/>
        <w:rPr/>
      </w:pPr>
      <w:r>
        <w:rPr>
          <w:rFonts w:ascii="IRNazanin" w:hAnsi="IRNazanin" w:eastAsia="IRNazanin"/>
          <w:color w:val="111111"/>
          <w:sz w:val="28"/>
          <w:sz w:val="28"/>
          <w:szCs w:val="28"/>
          <w:rtl w:val="true"/>
          <w:lang w:bidi="fa-IR"/>
        </w:rPr>
        <w:t xml:space="preserve">هی الجهة المبحوث عنها فی أقسام الواجب، فإنّ من الممکن امتناع بعض هذه المبانی فی الوجوب الکفائیّ، و لکنّه موکول إلی محلّه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المحرّر عندنا أنّ الانحلال إلی الأفراد الذاتیّة، من الأغلاط و لو کان واقعا فی کلام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تفصیله فی محلّه </w:t>
      </w:r>
      <w:r>
        <w:rPr>
          <w:rStyle w:val="FootnoteAnchor"/>
          <w:rtl w:val="true"/>
        </w:rPr>
        <w:footnoteReference w:id="679"/>
      </w:r>
      <w:r>
        <w:rPr>
          <w:rFonts w:ascii="IRNazanin" w:hAnsi="IRNazanin" w:eastAsia="IRNazanin"/>
          <w:color w:val="111111"/>
          <w:sz w:val="28"/>
          <w:sz w:val="28"/>
          <w:szCs w:val="28"/>
          <w:rtl w:val="true"/>
          <w:lang w:bidi="fa-IR"/>
        </w:rPr>
        <w:t>، فلا بدّ و أن تکون خصوصیّة فی الانحلال إلی الأفراد، و عند ذلک یمکن جریان البراءة بالنسبة إلی التکلیف المحتمل، و بالنسبة إلی الخصوصیّة التی تلزم فی موضوع التکلیف،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للعینیّ، یستلزم سریان التکلیف إلی الأفراد، و فی الکفائیّ یکون صرف وجوده موضوعا، و قد عرفت فی التنبیه السابق جریان البراءة فی هذا الفرض،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 فی الواجب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یشبه الوجوب التخییریّ، إلّا أنّ اختلافهما فی مصبّ الوجوب و موضوعه، فعلی هذا لو کان الوجوب الکفائیّ راجعا إلی التخییریّ، فإن کان التخییریّ راجعا إلی العینیّ، أو المشروط، أو المعلّق و ما بحکمه، فالبراءة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مرجع الکفائیّ إلی العینیّ، یوجب الإشکال فی دوران الأمر بین العینیّ و الکفائیّ، بل یرجع ذلک إلی المسألة السابقة أیضا، و قد عرفت البراءة فیها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کان التخییر فی مرجع الکفائیّ، هو التخییر الذی ذکرناه </w:t>
      </w:r>
      <w:r>
        <w:rPr>
          <w:rStyle w:val="FootnoteAnchor"/>
          <w:rtl w:val="true"/>
        </w:rPr>
        <w:footnoteReference w:id="681"/>
      </w:r>
      <w:r>
        <w:rPr>
          <w:rFonts w:ascii="IRNazanin" w:hAnsi="IRNazanin" w:eastAsia="IRNazanin"/>
          <w:color w:val="111111"/>
          <w:sz w:val="28"/>
          <w:sz w:val="28"/>
          <w:szCs w:val="28"/>
          <w:rtl w:val="true"/>
          <w:lang w:bidi="fa-IR"/>
        </w:rPr>
        <w:t xml:space="preserve">، فالاشتغال کما عرفت قویّ </w:t>
      </w:r>
      <w:r>
        <w:rPr>
          <w:rStyle w:val="FootnoteAnchor"/>
          <w:rtl w:val="true"/>
        </w:rPr>
        <w:footnoteReference w:id="682"/>
      </w:r>
      <w:r>
        <w:rPr>
          <w:rFonts w:ascii="IRNazanin" w:hAnsi="IRNazanin" w:eastAsia="IRNazanin"/>
          <w:color w:val="111111"/>
          <w:sz w:val="28"/>
          <w:sz w:val="28"/>
          <w:szCs w:val="28"/>
          <w:rtl w:val="true"/>
          <w:lang w:bidi="fa-IR"/>
        </w:rPr>
        <w:t>، إلّا أنّه قد عرفت وجه المناقشة فیه أیضا، و لازم ذلک التخییر هو</w:t>
      </w:r>
    </w:p>
    <w:p>
      <w:pPr>
        <w:pStyle w:val="BookText"/>
        <w:rPr/>
      </w:pPr>
      <w:r>
        <w:rPr>
          <w:rFonts w:ascii="IRNazanin" w:hAnsi="IRNazanin" w:eastAsia="IRNazanin"/>
          <w:color w:val="111111"/>
          <w:sz w:val="28"/>
          <w:sz w:val="28"/>
          <w:szCs w:val="28"/>
          <w:rtl w:val="true"/>
          <w:lang w:bidi="fa-IR"/>
        </w:rPr>
        <w:t xml:space="preserve">أنّ خصوصیّة کلّ واحد من أفراد الموضوع، مصبّ الوجوب علی التخییر، فلا یتمّ فی هذه الصورة وجه البراءة السابق </w:t>
      </w:r>
      <w:r>
        <w:rPr>
          <w:rStyle w:val="FootnoteAnchor"/>
          <w:rtl w:val="true"/>
        </w:rPr>
        <w:footnoteReference w:id="683"/>
      </w:r>
      <w:r>
        <w:rPr>
          <w:rFonts w:ascii="IRNazanin" w:hAnsi="IRNazanin" w:eastAsia="IRNazanin"/>
          <w:color w:val="111111"/>
          <w:sz w:val="28"/>
          <w:sz w:val="28"/>
          <w:szCs w:val="28"/>
          <w:rtl w:val="true"/>
          <w:lang w:bidi="fa-IR"/>
        </w:rPr>
        <w:t>لأنّ خصوصیّة کلّ واحد من المکلّفین، مصبّ الخطاب العامّ القانونیّ عقلا و عرفا، فالحجّة تامّة، و لا بدّ من الجواب، و سقوط التکلیف بإتیان واحد منهم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صحّة الاعتذار بعد تمامیّة الحجّة؛ سواء کانت علی العینیّ، أو الکفائیّ، و قد مرّ وجه الإشکال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الفرق بین الوجوب العینیّ و الکفائیّ، غیر موجود فی مرحلة الجعل و الحکم، و إنّما الفرق بینهما فی مرحلة السقوط و الامتثال، و أنّ انتفاء الحکم فی الوجوب العینیّ، یمکن بفعل الآخر؛ و ذلک لما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الموجود فی الشریعة، ضرورة أنّ صلاة الولیّ، واجبة علی الأولی بالإرث وجوبا عینیّا، و أداء الدین واجب علی المدیون بعد الطلب وجوبا عینیّا، و لکنّه مع ذلک یسقط بفعل الآخرین، فیکفی فی اعتبار الوجوب العینیّ، استحقاق الکلّ للعقاب فی صورة 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مناط الوجوب العینیّ الحاصل فی الوجوب الکفائیّ، و إنّما الفرق بین المثالین و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صورة ترک الکلّ یستحقّ الولیّ و المدیون فقط، و فی هذه الصورة یستحقّ الکلّ العقوبة، و لأجل ما اشیر إلیه قسّمنا الوجوب العینیّ إلی العینیّ المباشریّ، کصلاة الصبح، و الأعمّ منه و من التسبیبیّ، کصلاة الولیّ عن أبیه، فراجع المجلّد الأوّل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یدور الأمر بین الوجوب العینیّ و الکفائیّ، یرجع البحث إلی سقوط الوجوب المعلوم عینا بفعل الغیر، فلا بدّ من الاحتیاط بالضرورة؛ لأنّ التکلیف</w:t>
      </w:r>
      <w:bookmarkStart w:id="519" w:name="pg13173_324929"/>
    </w:p>
    <w:p>
      <w:pPr>
        <w:pStyle w:val="BookText"/>
        <w:rPr/>
      </w:pPr>
      <w:bookmarkEnd w:id="519"/>
      <w:r>
        <w:rPr>
          <w:rFonts w:ascii="IRNazanin" w:hAnsi="IRNazanin" w:eastAsia="IRNazanin"/>
          <w:color w:val="111111"/>
          <w:sz w:val="28"/>
          <w:sz w:val="28"/>
          <w:szCs w:val="28"/>
          <w:rtl w:val="true"/>
          <w:lang w:bidi="fa-IR"/>
        </w:rPr>
        <w:t>معلوم، و الخروج عنه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التقریب قریبا ممّا فی کلام العلّامة الأراکیّ </w:t>
      </w:r>
      <w:r>
        <w:rPr>
          <w:rStyle w:val="FootnoteAnchor"/>
          <w:rtl w:val="true"/>
        </w:rPr>
        <w:footnoteReference w:id="685"/>
      </w:r>
      <w:r>
        <w:rPr>
          <w:rFonts w:ascii="IRNazanin" w:hAnsi="IRNazanin" w:eastAsia="IRNazanin"/>
          <w:color w:val="111111"/>
          <w:sz w:val="28"/>
          <w:sz w:val="28"/>
          <w:szCs w:val="28"/>
          <w:rtl w:val="true"/>
          <w:lang w:bidi="fa-IR"/>
        </w:rPr>
        <w:t>، فضلا عن کونه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لما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الاحتیاط هنا لازم؛ لکونه من 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جهة أنّ الاشتغال الیقینیّ، یستلزم البراءة الیقینیّة، و الحجّة التفصیلیّة تستدعی الجواب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تحصّل اختلاف مقتضیات المبانی فی الوجوب الکفائیّ، و أنّ ما هو المحرّر عندنا هو الوجه الأخیر، و لازمه إنکار الکفائیّ إلّا بالمعنی المذکور،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امتناع ذلک، ناشئ عن غفلة میزان العینیّ، فراجع</w:t>
      </w:r>
      <w:r>
        <w:rPr>
          <w:rFonts w:eastAsia="IRNazanin" w:cs="IRNazanin"/>
          <w:color w:val="111111"/>
          <w:sz w:val="28"/>
          <w:szCs w:val="28"/>
          <w:rtl w:val="true"/>
          <w:lang w:bidi="fa-IR"/>
        </w:rPr>
        <w:t>.</w:t>
      </w:r>
    </w:p>
    <w:p>
      <w:pPr>
        <w:pStyle w:val="Heading5"/>
        <w:numPr>
          <w:ilvl w:val="4"/>
          <w:numId w:val="1"/>
        </w:numPr>
        <w:rPr/>
      </w:pPr>
      <w:bookmarkStart w:id="520" w:name="__RefHeading___Toc735043_3244359995"/>
      <w:bookmarkStart w:id="521" w:name="_Toc196"/>
      <w:bookmarkEnd w:id="520"/>
      <w:r>
        <w:rPr>
          <w:rtl w:val="true"/>
        </w:rPr>
        <w:t>تذنیب</w:t>
      </w:r>
      <w:r>
        <w:rPr>
          <w:rtl w:val="true"/>
        </w:rPr>
        <w:t xml:space="preserve">: </w:t>
      </w:r>
      <w:r>
        <w:rPr>
          <w:rtl w:val="true"/>
        </w:rPr>
        <w:t>حول أمثلة الدوران بین العینیّ و الکفائیّ</w:t>
      </w:r>
      <w:bookmarkEnd w:id="521"/>
    </w:p>
    <w:p>
      <w:pPr>
        <w:pStyle w:val="BookText"/>
        <w:rPr/>
      </w:pPr>
      <w:r>
        <w:rPr>
          <w:rFonts w:ascii="IRNazanin" w:hAnsi="IRNazanin" w:eastAsia="IRNazanin"/>
          <w:color w:val="111111"/>
          <w:sz w:val="28"/>
          <w:sz w:val="28"/>
          <w:szCs w:val="28"/>
          <w:rtl w:val="true"/>
          <w:lang w:bidi="fa-IR"/>
        </w:rPr>
        <w:t xml:space="preserve">قلّما یتّفق فی الفقه دوران الأمر بین العینیّ و الکفائیّ، و قد مرّ منّا مثال له </w:t>
      </w:r>
      <w:r>
        <w:rPr>
          <w:rStyle w:val="FootnoteAnchor"/>
          <w:rtl w:val="true"/>
        </w:rPr>
        <w:footnoteReference w:id="686"/>
      </w:r>
      <w:r>
        <w:rPr>
          <w:rFonts w:ascii="IRNazanin" w:hAnsi="IRNazanin" w:eastAsia="IRNazanin"/>
          <w:color w:val="111111"/>
          <w:sz w:val="28"/>
          <w:sz w:val="28"/>
          <w:szCs w:val="28"/>
          <w:rtl w:val="true"/>
          <w:lang w:bidi="fa-IR"/>
        </w:rPr>
        <w:t>، و هناک مثال آخر یرجع إلی مشکلة فی الأدلّة، و ذلک الأمر بالمعروف و النهی عن المنکر، فإنّه فی موارد الأمر بالمعروف و النهی عن المنکر و تأثیر الأمر و النهی، لا یبقی موضوع و لا بحث، و إنّما البحث فی أنّ من المحتمل أن لا یکون الأمر بالمعروف و النهی عن المنکر من الواجبات العینیّة؛ بمعنی أنّه لا یجب ذلک و لو کان یری المکلّف منکرا، و یجد ترک معروف؛ لاحتمال اختصاص ذلک بطائفة معیّنة من قبل السلطات الحکومیّة و الحاکم الشرعیّ، و ذلک لأنّ تصدّی هذا الأمر ربّما یستلزم المفاسد الکثیرة، کما نشاهد أحیانا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یستظهر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w:t>
      </w:r>
      <w:r>
        <w:rPr>
          <w:rStyle w:val="FootnoteAnchor"/>
          <w:rtl w:val="true"/>
        </w:rPr>
        <w:footnoteReference w:id="687"/>
      </w:r>
      <w:bookmarkStart w:id="522" w:name="pg13173_324930"/>
    </w:p>
    <w:p>
      <w:pPr>
        <w:pStyle w:val="BookText"/>
        <w:rPr/>
      </w:pPr>
      <w:bookmarkEnd w:id="522"/>
      <w:r>
        <w:rPr>
          <w:rFonts w:ascii="IRNazanin" w:hAnsi="IRNazanin" w:eastAsia="IRNazanin"/>
          <w:color w:val="111111"/>
          <w:sz w:val="28"/>
          <w:sz w:val="28"/>
          <w:szCs w:val="28"/>
          <w:rtl w:val="true"/>
          <w:lang w:bidi="fa-IR"/>
        </w:rPr>
        <w:t>فإنّ الصریح منه أنّ الأمر موکول إلی طائفة خاصّة من الامّة، و هذا لیس معنی الکفائیّ، بل هو أمر متعلّق بجماعة خاصّة من الامّة، موکول تعیینها إلی الحکومة، فإذا لاحظنا الأدلّة الاخر، یلزم الشکّ فی أنّ ذلک من الواجب العینیّ، أم هو من الواجب المخصوص بطائفة اختیار تعیینها بید الحاکم، فیکون کلّ مکلّف متحمّلا فی حقّه علی البدل، وجوب الأمر بالمعروف و النهی عن المنکر، مع فرض موضوعهما، فیدور الأمر لأجل هذه الجهة بین العینیّ و الکفائیّ القابل للانطباق علی کلّ واحد علی البدلیّة، فتکون الحجّة تامّة فی مرحلة الجعل، و إذا شکّ فی مرحلة الامتثال لا بدّ من الاحتیاط، فلیلاحظ جیّدا</w:t>
      </w:r>
      <w:r>
        <w:rPr>
          <w:rFonts w:eastAsia="IRNazanin" w:cs="IRNazanin"/>
          <w:color w:val="111111"/>
          <w:sz w:val="28"/>
          <w:szCs w:val="28"/>
          <w:rtl w:val="true"/>
          <w:lang w:bidi="fa-IR"/>
        </w:rPr>
        <w:t>.</w:t>
      </w:r>
    </w:p>
    <w:p>
      <w:pPr>
        <w:pStyle w:val="Heading5"/>
        <w:numPr>
          <w:ilvl w:val="4"/>
          <w:numId w:val="1"/>
        </w:numPr>
        <w:rPr/>
      </w:pPr>
      <w:bookmarkStart w:id="523" w:name="__RefHeading___Toc735045_3244359995"/>
      <w:bookmarkStart w:id="524" w:name="_Toc197"/>
      <w:bookmarkEnd w:id="523"/>
      <w:r>
        <w:rPr>
          <w:rtl w:val="true"/>
        </w:rPr>
        <w:t>تنبیه</w:t>
      </w:r>
      <w:r>
        <w:rPr>
          <w:rtl w:val="true"/>
        </w:rPr>
        <w:t xml:space="preserve">: </w:t>
      </w:r>
      <w:r>
        <w:rPr>
          <w:rtl w:val="true"/>
        </w:rPr>
        <w:t>فی حکم الدوران بین العینیّ المباشریّ و الأعمّ</w:t>
      </w:r>
      <w:bookmarkEnd w:id="524"/>
    </w:p>
    <w:p>
      <w:pPr>
        <w:pStyle w:val="BookText"/>
        <w:rPr/>
      </w:pPr>
      <w:r>
        <w:rPr>
          <w:rFonts w:ascii="IRNazanin" w:hAnsi="IRNazanin" w:eastAsia="IRNazanin"/>
          <w:color w:val="111111"/>
          <w:sz w:val="28"/>
          <w:sz w:val="28"/>
          <w:szCs w:val="28"/>
          <w:rtl w:val="true"/>
          <w:lang w:bidi="fa-IR"/>
        </w:rPr>
        <w:t xml:space="preserve">هذا فیما إذا دار الأمر بین الکفائیّ و العینیّ المباشریّ؛ بناء علی ما عرفت منّا من انقسام الوجوب العینیّ إلی المباشریّ و التسبیبیّ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دار الأمر بین العینیّ المباشریّ و الأعمّ، فالبراءة محکّمة بالنسبة إلی القید الزائد، و هکذا لو دار الأمر بین الکفائیّ و العینیّ المباشریّ و الأعمّ منه و من التسبیبیّ، کما لا یخفی</w:t>
      </w:r>
      <w:r>
        <w:rPr>
          <w:rFonts w:eastAsia="IRNazanin" w:cs="IRNazanin"/>
          <w:color w:val="111111"/>
          <w:sz w:val="28"/>
          <w:szCs w:val="28"/>
          <w:rtl w:val="true"/>
          <w:lang w:bidi="fa-IR"/>
        </w:rPr>
        <w:t>.</w:t>
      </w:r>
      <w:bookmarkStart w:id="525" w:name="pg13173_324931"/>
    </w:p>
    <w:p>
      <w:pPr>
        <w:pStyle w:val="Heading4"/>
        <w:numPr>
          <w:ilvl w:val="3"/>
          <w:numId w:val="1"/>
        </w:numPr>
        <w:rPr/>
      </w:pPr>
      <w:bookmarkStart w:id="526" w:name="__RefHeading___Toc735047_3244359995"/>
      <w:bookmarkStart w:id="527" w:name="_Toc198"/>
      <w:bookmarkEnd w:id="525"/>
      <w:bookmarkEnd w:id="526"/>
      <w:r>
        <w:rPr>
          <w:rtl w:val="true"/>
        </w:rPr>
        <w:t>التنبیه الثامن فی دوران الأمر بین الوجوب الأوّلیّ و الثانویّ</w:t>
      </w:r>
      <w:bookmarkEnd w:id="527"/>
    </w:p>
    <w:p>
      <w:pPr>
        <w:pStyle w:val="BookText"/>
        <w:rPr/>
      </w:pPr>
      <w:r>
        <w:rPr>
          <w:rFonts w:ascii="IRNazanin" w:hAnsi="IRNazanin" w:eastAsia="IRNazanin"/>
          <w:color w:val="111111"/>
          <w:sz w:val="28"/>
          <w:sz w:val="28"/>
          <w:szCs w:val="28"/>
          <w:rtl w:val="true"/>
          <w:lang w:bidi="fa-IR"/>
        </w:rPr>
        <w:t>لو دار الأمر بین کون الشی‌ء واجبا بالذات، أو بالعرض؛ حسبما اصطلحنا علیه فی الاصول، أو یعبّر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دار الأمر بین کون الشی‌ء واجبا بالوجوب الأوّلی، أو الثانویّ، فهل تجری البراءة، أم یتعیّن الاحتیاط؟</w:t>
      </w:r>
    </w:p>
    <w:p>
      <w:pPr>
        <w:pStyle w:val="BookText"/>
        <w:rPr/>
      </w:pPr>
      <w:r>
        <w:rPr>
          <w:rFonts w:ascii="IRNazanin" w:hAnsi="IRNazanin" w:eastAsia="IRNazanin"/>
          <w:color w:val="111111"/>
          <w:sz w:val="28"/>
          <w:sz w:val="28"/>
          <w:szCs w:val="28"/>
          <w:rtl w:val="true"/>
          <w:lang w:bidi="fa-IR"/>
        </w:rPr>
        <w:t>و ذلک مثل ما إذا شکّ فی أنّ صلاة الجمعة واجبة بالذات، و تکون أحد طرفی الواجب التخییریّ، کسائر الواجبات التخییریّة، أو یکون الواجب بالذات و المجعول أوّلا صلاة الظهر، و إنّما تکون صلاة الجمعة مجزیة عن صلاة الظهر، فتکون فی طول الواجب الأوّل و عرضیّا و ثانویّا، و إن کان بحسب الصورة عرضیّة، و مخیّر بینها و بین الأولی، إلّا أنّها اعتبرت بدلا عنها و مجزیة عنها، و هکذا فی مثل الغسل المعتبر بدلا عن الوضوء، أو التیمّم المعتبر بدلا فی بعض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قوّیناه فی تحریراتنا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صلاة شرعت علی فرض کونها فی عرض الواجب الآخر؛ و هی صلاة الظهر، و لکنّها شرعت مجزیة عنها، و ما هو الأصل هی صلاة الظهر</w:t>
      </w:r>
      <w:r>
        <w:rPr>
          <w:rStyle w:val="FootnoteAnchor"/>
          <w:rtl w:val="true"/>
        </w:rPr>
        <w:footnoteReference w:id="689"/>
      </w:r>
      <w:r>
        <w:rPr>
          <w:rFonts w:ascii="IRNazanin" w:hAnsi="IRNazanin" w:eastAsia="IRNazanin"/>
          <w:color w:val="111111"/>
          <w:sz w:val="28"/>
          <w:sz w:val="28"/>
          <w:szCs w:val="28"/>
          <w:rtl w:val="true"/>
          <w:lang w:bidi="fa-IR"/>
        </w:rPr>
        <w:t>، و لذلک عند فقد الشرائط و فی موارد الاستثناء، یکون المجعول الأوّلی هی صلاة الظهر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تعابیر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الجمعة تجزئ عن الظهر</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الإجزاء</w:t>
      </w:r>
      <w:r>
        <w:rPr>
          <w:rStyle w:val="FootnoteAnchor"/>
          <w:rtl w:val="true"/>
        </w:rPr>
        <w:footnoteReference w:id="691"/>
      </w:r>
      <w:r>
        <w:rPr>
          <w:rFonts w:ascii="IRNazanin" w:hAnsi="IRNazanin" w:eastAsia="IRNazanin"/>
          <w:color w:val="111111"/>
          <w:sz w:val="28"/>
          <w:sz w:val="28"/>
          <w:szCs w:val="28"/>
          <w:rtl w:val="true"/>
          <w:lang w:bidi="fa-IR"/>
        </w:rPr>
        <w:t>و هذا التعبیر غیر جائز فی الواجب التخییریّ، کما هو المعلوم، و تکون النتیجة فی موارد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کونها واجبا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 لأنّه یشبه الشکّ فی المحصّل و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إذا شکّ فی شی‌ء أنّه واجب أوّلی، أو ثانویّ، أو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واجب بالذات، أم بالعرض، کما هو کذلک علی احتمالنا فی صلاة الجمعة، و هو ظاهرهم فی مثل الغسل و التیمّم بالنسبة إلی الوضوء، و غیر ذلک، کالقنوت فی الرکعة الاولی تبعا للإمام بالنسبة إلیه فی الرکعة الثانیة، فإنّه ربّما یستظهر من دلیله أنّه یجزئ عن القنوت المشروع أوّلا فی الرکعة الثانیة، و هکذا فی إجزاء قراءة الإمام عن قراءة المأموم؛ بناء علی کونه من صغریات هذه المسألة، و غیر ذلک ممّا یطلع علیه الفقیه، فإنّه هل تجری البراءة نظرا إلی الشکّ فی الأقلّ و الأکثر و إلی القید الزائد؟ فلو شکّ فی صلاة الجمعة؛ أنّه هل تجب فیها سورة الجمعة، أم یکفی مطلق السورة، تجری البراءة، أم یحتاط؛ لرجوع الشکّ فیه إلی الشکّ فی سقوط الأمر النفسیّ المعلوم المتعلّق بصلاة الظهر، فلا بدّ من البراءة الیقینیّة، فلا تجری البراءة العقلیّة قطعا، و أمّا الشرعیّة فهی تکون من المثبت؛ لما لا تدلّ إلّا علی نفی جزئیّة السورة الخاصّة و نفی اعتبار السورة الخاصّة، و أمّا کونه کافیا فلا یکون من حدود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هذه الأمثلة و هذه المسألة، تجری البراءة؛ لأنّ تحدید حدود الواجب الثانی و بالعرض بید الشرع، و لا سبیل للعقل إلیه، فلا تجوز العقوبة علی ترک الواجب الذاتیّ من جهة الإخلال بهذه الجهة فی الواجب الغیریّ، و هکذا فی سائر الأمثلة التی تکون بید الشرع حدودها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للشرع الاتکال علی حکم العقل بالاحتیاط فی هذه</w:t>
      </w:r>
    </w:p>
    <w:p>
      <w:pPr>
        <w:pStyle w:val="BookText"/>
        <w:rPr/>
      </w:pPr>
      <w:r>
        <w:rPr>
          <w:rFonts w:ascii="IRNazanin" w:hAnsi="IRNazanin" w:eastAsia="IRNazanin"/>
          <w:color w:val="111111"/>
          <w:sz w:val="28"/>
          <w:sz w:val="28"/>
          <w:szCs w:val="28"/>
          <w:rtl w:val="true"/>
          <w:lang w:bidi="fa-IR"/>
        </w:rPr>
        <w:t>الموارد، فلا یتکفّل لتوضیح حدوده؛ نظرا إلی وصوله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أنّ هنا تجری البراءة، أم لا، فلا بدّ أیضا من الاحتیاط؛ لعدم جریان البراءة العقلیّة قهرا و طبعا؛ لما لا شکّ من جهة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الشکّ فی درکه؛ لاختلاف الجهات، و قصور الاطلاع، فالقاعدة المقتضیة للاحتیاط أیضا مشکوکة الجریان، فیبقی استصحاب بقاء التکلیف الثابت بالنسبة إلی الظهر بعد الفراغ عن الجمعة، و تکون النتیجة لزوم الاحتیاط أیضا، فلیلاحظ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لم یکن أصل آخر وراء الاحتیاط أو البراءة، فلا تبعد أصالة البراءة؛ لأنّ نتیجة التردّد فی المسألة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العقاب محتاجا إلی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البراءة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المؤمّن من العقاب، فتصیر النتیجة الاحتیاط، و سیأتی فی أواخر مباحث الاشتغال ما ینفعک إن شاء اللّه تعالی</w:t>
      </w:r>
      <w:r>
        <w:rPr>
          <w:rFonts w:eastAsia="IRNazanin" w:cs="IRNazanin"/>
          <w:color w:val="111111"/>
          <w:sz w:val="28"/>
          <w:szCs w:val="28"/>
          <w:rtl w:val="true"/>
          <w:lang w:bidi="fa-IR"/>
        </w:rPr>
        <w:t>.</w:t>
      </w:r>
      <w:bookmarkStart w:id="528" w:name="pg13173_324934"/>
    </w:p>
    <w:p>
      <w:pPr>
        <w:pStyle w:val="Heading4"/>
        <w:numPr>
          <w:ilvl w:val="3"/>
          <w:numId w:val="1"/>
        </w:numPr>
        <w:rPr/>
      </w:pPr>
      <w:bookmarkStart w:id="529" w:name="__RefHeading___Toc735049_3244359995"/>
      <w:bookmarkStart w:id="530" w:name="_Toc199"/>
      <w:bookmarkEnd w:id="528"/>
      <w:bookmarkEnd w:id="529"/>
      <w:r>
        <w:rPr>
          <w:rtl w:val="true"/>
        </w:rPr>
        <w:t>التنبیه التاسع فی دوران الأمر بین المحذورین</w:t>
      </w:r>
      <w:bookmarkEnd w:id="530"/>
    </w:p>
    <w:p>
      <w:pPr>
        <w:pStyle w:val="Heading5"/>
        <w:numPr>
          <w:ilvl w:val="4"/>
          <w:numId w:val="1"/>
        </w:numPr>
        <w:rPr/>
      </w:pPr>
      <w:bookmarkStart w:id="531" w:name="__RefHeading___Toc735051_3244359995"/>
      <w:bookmarkStart w:id="532" w:name="_Toc200"/>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و قبل الخوض فی مسائله نشیر إلی امور</w:t>
      </w:r>
      <w:r>
        <w:rPr>
          <w:rFonts w:eastAsia="IRNazanin" w:cs="IRNazanin"/>
          <w:color w:val="111111"/>
          <w:sz w:val="28"/>
          <w:szCs w:val="28"/>
          <w:rtl w:val="true"/>
          <w:lang w:bidi="fa-IR"/>
        </w:rPr>
        <w:t>:</w:t>
      </w:r>
    </w:p>
    <w:p>
      <w:pPr>
        <w:pStyle w:val="Heading5"/>
        <w:numPr>
          <w:ilvl w:val="4"/>
          <w:numId w:val="1"/>
        </w:numPr>
        <w:rPr/>
      </w:pPr>
      <w:bookmarkStart w:id="533" w:name="__RefHeading___Toc735053_3244359995"/>
      <w:bookmarkStart w:id="534" w:name="_Toc201"/>
      <w:bookmarkEnd w:id="533"/>
      <w:r>
        <w:rPr>
          <w:rtl w:val="true"/>
        </w:rPr>
        <w:t>الأمر الأوّل</w:t>
      </w:r>
      <w:r>
        <w:rPr>
          <w:rtl w:val="true"/>
        </w:rPr>
        <w:t xml:space="preserve">: </w:t>
      </w:r>
      <w:r>
        <w:rPr>
          <w:rtl w:val="true"/>
        </w:rPr>
        <w:t>فی شمول البحث للدوران بین الحرامین</w:t>
      </w:r>
      <w:bookmarkEnd w:id="534"/>
    </w:p>
    <w:p>
      <w:pPr>
        <w:pStyle w:val="BookText"/>
        <w:rPr/>
      </w:pPr>
      <w:r>
        <w:rPr>
          <w:rFonts w:ascii="IRNazanin" w:hAnsi="IRNazanin" w:eastAsia="IRNazanin"/>
          <w:color w:val="111111"/>
          <w:sz w:val="28"/>
          <w:sz w:val="28"/>
          <w:szCs w:val="28"/>
          <w:rtl w:val="true"/>
          <w:lang w:bidi="fa-IR"/>
        </w:rPr>
        <w:t>کما یتصوّر 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الحرام، فیکون فعل شی‌ء واجبا، أو حراما، یتصوّر بین الواجبین، فیکون فعل شی‌ء واجبا، أو ترکه واجبا، و هکذا بین الحرامین، فیکون فعل شی‌ء حراما، أو ترکه حراما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 لا یعقل وجوبه و لا حرمته؛ لأنّ الأحکام تابعة للمصالح و المفاسد، و لا یعقل أن یکون فی الترک مصلحة أو مفسدة، لأنّه عدم و لا شی‌ء، و لا یعقل فیه ذلک بالضرورة</w:t>
      </w:r>
      <w:r>
        <w:rPr>
          <w:rStyle w:val="FootnoteAnchor"/>
          <w:rtl w:val="true"/>
        </w:rPr>
        <w:footnoteReference w:id="692"/>
      </w:r>
      <w:r>
        <w:rPr>
          <w:rFonts w:ascii="IRNazanin" w:hAnsi="IRNazanin" w:eastAsia="IRNazanin"/>
          <w:color w:val="111111"/>
          <w:sz w:val="28"/>
          <w:sz w:val="28"/>
          <w:szCs w:val="28"/>
          <w:rtl w:val="true"/>
          <w:lang w:bidi="fa-IR"/>
        </w:rPr>
        <w:t xml:space="preserve">، مدفوع بما مرّ فی محالّ من هذا الکتاب </w:t>
      </w:r>
      <w:r>
        <w:rPr>
          <w:rStyle w:val="FootnoteAnchor"/>
          <w:rtl w:val="true"/>
        </w:rPr>
        <w:footnoteReference w:id="693"/>
      </w:r>
      <w:r>
        <w:rPr>
          <w:rFonts w:ascii="IRNazanin" w:hAnsi="IRNazanin" w:eastAsia="IRNazanin"/>
          <w:color w:val="111111"/>
          <w:sz w:val="28"/>
          <w:sz w:val="28"/>
          <w:szCs w:val="28"/>
          <w:rtl w:val="true"/>
          <w:lang w:bidi="fa-IR"/>
        </w:rPr>
        <w:t>، فإنّ فی مثل تروک الإحرام، لا بأس بالالتزام بکونها واجبة فی الاعتبار؛ نظرا إلی المفسدة فی وجود المضاف إلیه، و هذا یکفی لاعتبار وجوب الترک باعتبار ذاک، و لا یعتبر أزید من ذلک؛ حسب نظر العدلّیة الذی ینتهی إلی أنّه لا بدّ و أن لا تکون الأحکام جزافیّة، فلا تخلط و اغتنم</w:t>
      </w:r>
      <w:r>
        <w:rPr>
          <w:rFonts w:eastAsia="IRNazanin" w:cs="IRNazanin"/>
          <w:color w:val="111111"/>
          <w:sz w:val="28"/>
          <w:szCs w:val="28"/>
          <w:rtl w:val="true"/>
          <w:lang w:bidi="fa-IR"/>
        </w:rPr>
        <w:t>.</w:t>
      </w:r>
      <w:bookmarkStart w:id="535" w:name="pg13173_324935"/>
    </w:p>
    <w:p>
      <w:pPr>
        <w:pStyle w:val="Heading5"/>
        <w:numPr>
          <w:ilvl w:val="4"/>
          <w:numId w:val="1"/>
        </w:numPr>
        <w:rPr/>
      </w:pPr>
      <w:bookmarkStart w:id="536" w:name="__RefHeading___Toc735055_3244359995"/>
      <w:bookmarkStart w:id="537" w:name="_Toc202"/>
      <w:bookmarkEnd w:id="535"/>
      <w:bookmarkEnd w:id="536"/>
      <w:r>
        <w:rPr>
          <w:rtl w:val="true"/>
        </w:rPr>
        <w:t>الأمر الثانی</w:t>
      </w:r>
      <w:r>
        <w:rPr>
          <w:rtl w:val="true"/>
        </w:rPr>
        <w:t xml:space="preserve">: </w:t>
      </w:r>
      <w:r>
        <w:rPr>
          <w:rtl w:val="true"/>
        </w:rPr>
        <w:t>فی الخروج عن محل النزاع مع وجود ما یعین أحد الطرفین</w:t>
      </w:r>
      <w:bookmarkEnd w:id="537"/>
    </w:p>
    <w:p>
      <w:pPr>
        <w:pStyle w:val="BookText"/>
        <w:rPr/>
      </w:pPr>
      <w:r>
        <w:rPr>
          <w:rFonts w:ascii="IRNazanin" w:hAnsi="IRNazanin" w:eastAsia="IRNazanin"/>
          <w:color w:val="111111"/>
          <w:sz w:val="28"/>
          <w:sz w:val="28"/>
          <w:szCs w:val="28"/>
          <w:rtl w:val="true"/>
          <w:lang w:bidi="fa-IR"/>
        </w:rPr>
        <w:t>محلّ النزاع دوران الأمر بین المحذورین، فلو کان هناک أصل یعیّن أحد الحکمین من الوجوب أو الحرمة، فلا محذور، و هکذا فی صورة احتمال الإباحة، فإنّه یخرج به عن موضوع المسألة، و لا یبقی وجه حینئذ لتوهّم امتناع جعل الإباحة بعد احتمال الإباحة الواقعیّة، فالمفروض دوران الأمر بین الحرمة و الوجوب مثلا، و لا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الامور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فی مورد لا یعقل الموافقة القطعیّة بالنسبة إلی الواقعة الواحدة، و أمّا إمکان المخالفة القطعیّة فلا یضرّ بما 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لا ینبغی اختفاؤه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موارد إمکان المخالفة القطعیّة، تکون المخالفة بالنسبة إلی النهی المعلوم بالتفصیل، و هو غیر النهی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العبادات، إذا اتی بعبادة بلا قربة، أو بعبادة ریائیّة، تکون هی محرّمة لأجل التشریع، و لأجل حرمة الریاء الذاتیّة المعلومة بالتفصیل، فلا تلزم المخالفة القطعیّة بالنسبة إلی ما هو المعلوم بالإجمال؛ ضرورة أنّه فی صورة الإتیان بالعبادة بلا قصد القربة یحتمل الموافقة؛ لأجل کونها محرّمة، فترک المنهیّ عنه بإتیان الفعل بلا قربة، کما لو لم یأت به رأسا، 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التوصّلیات و التعبّدیات؛ لإمکان المخالفة القطعیّة فی الاولی أیضا بإتیان التوصّلی تعبّدا و تدیّنا، فیصیر محرّما قطعا تشریعا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اشیر إلیه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دوران الأمر بین المحرّم التشریعیّ و الواجب، یمکن الفرار من المخالفة الاحتمالیّة؛ بإتیان العبادة قربة إلی اللّه، و لا یکون فی قصده التدیّن و التشریع، فإنّه إن کان حراما فلا یکون آتیا به؛ لما لم یقصد</w:t>
      </w:r>
    </w:p>
    <w:p>
      <w:pPr>
        <w:pStyle w:val="BookText"/>
        <w:rPr/>
      </w:pPr>
      <w:r>
        <w:rPr>
          <w:rFonts w:ascii="IRNazanin" w:hAnsi="IRNazanin" w:eastAsia="IRNazanin"/>
          <w:color w:val="111111"/>
          <w:sz w:val="28"/>
          <w:sz w:val="28"/>
          <w:szCs w:val="28"/>
          <w:rtl w:val="true"/>
          <w:lang w:bidi="fa-IR"/>
        </w:rPr>
        <w:t>التشریع، و إن کان واجبا فقد 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الموارد تکون خارجة عن محطّ النزاع؛ لأنّ من شرائطه المقوّمة عدم تمکّن العبد من الفرار عن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النزاع فی صورة عجزه عن الموافقة القطعیّة، و لأجل ذلک یشکل دخول العبادات فی محطّ النزاع؛ لأنّ العبادات کلّها تکون حرمتها تشریعیّة، علی ما یظهر من بعضهم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علی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محرّمة ذاتیّة</w:t>
      </w:r>
      <w:r>
        <w:rPr>
          <w:rStyle w:val="FootnoteAnchor"/>
          <w:rtl w:val="true"/>
        </w:rPr>
        <w:footnoteReference w:id="695"/>
      </w:r>
      <w:r>
        <w:rPr>
          <w:rFonts w:ascii="IRNazanin" w:hAnsi="IRNazanin" w:eastAsia="IRNazanin"/>
          <w:color w:val="111111"/>
          <w:sz w:val="28"/>
          <w:sz w:val="28"/>
          <w:szCs w:val="28"/>
          <w:rtl w:val="true"/>
          <w:lang w:bidi="fa-IR"/>
        </w:rPr>
        <w:t xml:space="preserve">هی داخلة فی محلّ النزاع، و لعلّ لأجل هذه النکتة یظهر أنّ الجهة المبحوث عنها هنا کانت أوّلا فی التوصّلیات، ثمّ بعد ذلک أدرج فیها المتأخّرون العبادات </w:t>
      </w:r>
      <w:r>
        <w:rPr>
          <w:rStyle w:val="FootnoteAnchor"/>
          <w:rtl w:val="true"/>
        </w:rPr>
        <w:footnoteReference w:id="696"/>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محطّ البحث هنا حول اشتباه المکلّف و ابتلائه من ناحیة اشتباهه بین المحذورین، و أمّا مسألة تعارض النصوص، فیأتی تحقیقها فی التعادل و الترجیح </w:t>
      </w:r>
      <w:r>
        <w:rPr>
          <w:rStyle w:val="FootnoteAnchor"/>
          <w:rtl w:val="true"/>
        </w:rPr>
        <w:footnoteReference w:id="697"/>
      </w:r>
      <w:r>
        <w:rPr>
          <w:rFonts w:ascii="IRNazanin" w:hAnsi="IRNazanin" w:eastAsia="IRNazanin"/>
          <w:color w:val="111111"/>
          <w:sz w:val="28"/>
          <w:sz w:val="28"/>
          <w:szCs w:val="28"/>
          <w:rtl w:val="true"/>
          <w:lang w:bidi="fa-IR"/>
        </w:rPr>
        <w:t>، و لو کان فی توضیح الأمر بعض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کالتمثیل بصلاة الجمعة و صلاة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توجیه الطلّاب إلی ما هو المرام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إنّها مسألة قلیلة الجدوی، طویلة الذیل، متشتّتة الأطراف، إلّا أنّ تشحیذ الأذهان بأمثالها، لازم أحیانا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أنّ البحث هنا أجنبیّ عن البحث فی مسألة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تعرّضهم لصور التزاحم و ذی المزایا فی کلام العلّامة الأراکیّ هنا</w:t>
      </w:r>
      <w:r>
        <w:rPr>
          <w:rStyle w:val="FootnoteAnchor"/>
          <w:rtl w:val="true"/>
        </w:rPr>
        <w:footnoteReference w:id="698"/>
      </w:r>
      <w:r>
        <w:rPr>
          <w:rFonts w:ascii="Amiri" w:hAnsi="Amiri" w:eastAsia="Amiri" w:cs="Amiri"/>
          <w:color w:val="111111"/>
          <w:sz w:val="28"/>
          <w:sz w:val="28"/>
          <w:szCs w:val="28"/>
          <w:rtl w:val="true"/>
          <w:lang w:bidi="ar-SA"/>
        </w:rPr>
        <w:t>، غیر تامّ جدّا</w:t>
      </w:r>
      <w:r>
        <w:rPr>
          <w:rFonts w:eastAsia="Amiri" w:cs="Amiri" w:ascii="Amiri" w:hAnsi="Amiri"/>
          <w:color w:val="111111"/>
          <w:sz w:val="28"/>
          <w:szCs w:val="28"/>
          <w:rtl w:val="true"/>
          <w:lang w:bidi="ar-SA"/>
        </w:rPr>
        <w:t>.</w:t>
      </w:r>
      <w:bookmarkStart w:id="538" w:name="pg13173_324937"/>
    </w:p>
    <w:p>
      <w:pPr>
        <w:pStyle w:val="Heading5"/>
        <w:numPr>
          <w:ilvl w:val="4"/>
          <w:numId w:val="1"/>
        </w:numPr>
        <w:rPr/>
      </w:pPr>
      <w:bookmarkStart w:id="539" w:name="__RefHeading___Toc735057_3244359995"/>
      <w:bookmarkStart w:id="540" w:name="_Toc203"/>
      <w:bookmarkEnd w:id="538"/>
      <w:bookmarkEnd w:id="539"/>
      <w:r>
        <w:rPr>
          <w:rtl w:val="true"/>
        </w:rPr>
        <w:t>الأمر الثالث</w:t>
      </w:r>
      <w:r>
        <w:rPr>
          <w:rtl w:val="true"/>
        </w:rPr>
        <w:t xml:space="preserve">: </w:t>
      </w:r>
      <w:r>
        <w:rPr>
          <w:rtl w:val="true"/>
        </w:rPr>
        <w:t>فی أقسام دوران الأمر بین محذورین</w:t>
      </w:r>
      <w:bookmarkEnd w:id="540"/>
    </w:p>
    <w:p>
      <w:pPr>
        <w:pStyle w:val="Heading6"/>
        <w:numPr>
          <w:ilvl w:val="5"/>
          <w:numId w:val="1"/>
        </w:numPr>
        <w:rPr/>
      </w:pPr>
      <w:bookmarkStart w:id="541" w:name="__RefHeading___Toc735059_3244359995"/>
      <w:bookmarkStart w:id="542" w:name="_Toc204"/>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أنّ أقسام دوران الأمر بین المحذورین کثیرة؛ و ذلک 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مورد لا یمکن التکرّر فیه، و تکون واقعة واحدة، کما إذا تردّد فی أنّ صوم یوم الجمعة الاولی من الشهر الکذائیّ من السنة الکذائیّة، مورد النذر فعله أو ترکه، أو ذبح الشاة الخاصّة الجزئیّة، مورد النذر فی الیوم المعیّن، أم عدم ذبحها؛ بناء علی کون کلّ واحد من الاحتمالین، قابلا للتصدیق؛ لإمکان کونه مورد الرجحان لجهة من الجهات اللاحقة و العارضة علیه،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مورد یمکن ذلک فی التوصّلیات و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تکرار الواقعة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وجه التدریج، کما فی موارد العلم الإجمالیّ بوجوب الظهر أو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وجه الدفع، کما لو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یجب علیه إکرام کلّ واحد من زید و عمرو، أو یحرم علیه، فإنّه یمکن له إکرامهما دفعة واحدة، کما یمکن له إکرام احدهما، و ترک إکرام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ذلک و هکذا مثال الظهر و الجمعة، من صغریات هذه المسألة؛ لأجل مفروضیّة العلم بعدم جواز الجمع بینهما مثلا، و إلّا فیخرج عمّا هو مورد البحث هنا صلاة الجمعة من الأمثلة؛ لإمکان فعلها فی جمعة، و ترکها فی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أحد المحذورین معلوم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المحاذیر العقلیّة و الشرعیّة، ففیما إذا علم بأنّه إمّا نذر فعل شی‌ء أو ترکه، و إن لم یلزم حرمة الفعل أو الترک</w:t>
      </w:r>
      <w:bookmarkStart w:id="543" w:name="pg13173_324938"/>
    </w:p>
    <w:p>
      <w:pPr>
        <w:pStyle w:val="BookText"/>
        <w:rPr/>
      </w:pPr>
      <w:bookmarkEnd w:id="543"/>
      <w:r>
        <w:rPr>
          <w:rFonts w:ascii="IRNazanin" w:hAnsi="IRNazanin" w:eastAsia="IRNazanin"/>
          <w:color w:val="111111"/>
          <w:sz w:val="28"/>
          <w:sz w:val="28"/>
          <w:szCs w:val="28"/>
          <w:rtl w:val="true"/>
          <w:lang w:bidi="fa-IR"/>
        </w:rPr>
        <w:t>شرعا بناء علی بعض المبانی؛ نظرا إلی أنّ دلیل النذر لا یقتضی أزید من وجوب الوفاء بالنذر، فلا حرمة و لا وجوب بالنسبة إلی ذات المنذور</w:t>
      </w:r>
      <w:r>
        <w:rPr>
          <w:rStyle w:val="FootnoteAnchor"/>
          <w:rtl w:val="true"/>
        </w:rPr>
        <w:footnoteReference w:id="699"/>
      </w:r>
      <w:r>
        <w:rPr>
          <w:rFonts w:ascii="IRNazanin" w:hAnsi="IRNazanin" w:eastAsia="IRNazanin"/>
          <w:color w:val="111111"/>
          <w:sz w:val="28"/>
          <w:sz w:val="28"/>
          <w:szCs w:val="28"/>
          <w:rtl w:val="true"/>
          <w:lang w:bidi="fa-IR"/>
        </w:rPr>
        <w:t>، و لکن یلزم دوران الأمر بین المحذورین عقلا،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فیما هو المهمّ فی هذه التقاسیم یقع فی مسائل</w:t>
      </w:r>
      <w:r>
        <w:rPr>
          <w:rFonts w:eastAsia="IRNazanin" w:cs="IRNazanin"/>
          <w:color w:val="111111"/>
          <w:sz w:val="28"/>
          <w:szCs w:val="28"/>
          <w:rtl w:val="true"/>
          <w:lang w:bidi="fa-IR"/>
        </w:rPr>
        <w:t>:</w:t>
      </w:r>
    </w:p>
    <w:p>
      <w:pPr>
        <w:pStyle w:val="Heading6"/>
        <w:numPr>
          <w:ilvl w:val="5"/>
          <w:numId w:val="1"/>
        </w:numPr>
        <w:rPr/>
      </w:pPr>
      <w:bookmarkStart w:id="544" w:name="__RefHeading___Toc735061_3244359995"/>
      <w:bookmarkStart w:id="545" w:name="_Toc205"/>
      <w:bookmarkEnd w:id="544"/>
      <w:r>
        <w:rPr>
          <w:rtl w:val="true"/>
        </w:rPr>
        <w:t>المسألة الاولی</w:t>
      </w:r>
      <w:r>
        <w:rPr>
          <w:rtl w:val="true"/>
        </w:rPr>
        <w:t xml:space="preserve">: </w:t>
      </w:r>
      <w:r>
        <w:rPr>
          <w:rtl w:val="true"/>
        </w:rPr>
        <w:t>فی تساوی المحذورین من حیث الأهمیّة</w:t>
      </w:r>
      <w:bookmarkEnd w:id="545"/>
    </w:p>
    <w:p>
      <w:pPr>
        <w:pStyle w:val="Heading6"/>
        <w:numPr>
          <w:ilvl w:val="5"/>
          <w:numId w:val="1"/>
        </w:numPr>
        <w:rPr/>
      </w:pPr>
      <w:bookmarkStart w:id="546" w:name="__RefHeading___Toc735063_3244359995"/>
      <w:bookmarkStart w:id="547" w:name="_Toc206"/>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إذا کان کلّ من الفعل و الترک متساویین، سواء فیه التوصّلیات و التعبّدیات علی المفروض، کما اشیر إلیه، و کان غیر قابل للتکرار، فهل هناک تخییر شرعیّ محض، أم عقلیّ محض، أو شرعیّ و عقلیّ؟</w:t>
      </w:r>
    </w:p>
    <w:p>
      <w:pPr>
        <w:pStyle w:val="BookText"/>
        <w:rPr/>
      </w:pPr>
      <w:r>
        <w:rPr>
          <w:rFonts w:ascii="IRNazanin" w:hAnsi="IRNazanin" w:eastAsia="IRNazanin"/>
          <w:color w:val="111111"/>
          <w:sz w:val="28"/>
          <w:sz w:val="28"/>
          <w:szCs w:val="28"/>
          <w:rtl w:val="true"/>
          <w:lang w:bidi="fa-IR"/>
        </w:rPr>
        <w:t>و هل تجری البراءة العقلیّة و العقلائیّة، و الشرعیّة، أم لا تجری مطلقا، أو هناک تفصیل؟</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جعل الإباحة شرعا أم لا؟</w:t>
      </w:r>
    </w:p>
    <w:p>
      <w:pPr>
        <w:pStyle w:val="BookText"/>
        <w:rPr/>
      </w:pPr>
      <w:r>
        <w:rPr>
          <w:rFonts w:ascii="IRNazanin" w:hAnsi="IRNazanin" w:eastAsia="IRNazanin"/>
          <w:color w:val="111111"/>
          <w:sz w:val="28"/>
          <w:sz w:val="28"/>
          <w:szCs w:val="28"/>
          <w:rtl w:val="true"/>
          <w:lang w:bidi="fa-IR"/>
        </w:rPr>
        <w:t>وجوه و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جعل الإباحة، مع أنّ التخییر عقلیّ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تقریرات بعض المعاصرین کالعلّامة النائینیّ رحمه اللّه أنّ الإباحة غیر معقولة، مع أنّ التخییر عقلیّ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إجراء البراءة عقلا، و شرعا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جریان البراءة الشرعیّة، دون العقلیّة</w:t>
      </w:r>
    </w:p>
    <w:p>
      <w:pPr>
        <w:pStyle w:val="BookText"/>
        <w:rPr/>
      </w:pPr>
      <w:r>
        <w:rPr>
          <w:rFonts w:ascii="IRNazanin" w:hAnsi="IRNazanin" w:eastAsia="IRNazanin"/>
          <w:color w:val="111111"/>
          <w:sz w:val="28"/>
          <w:sz w:val="28"/>
          <w:szCs w:val="28"/>
          <w:rtl w:val="true"/>
          <w:lang w:bidi="fa-IR"/>
        </w:rPr>
        <w:t>و العقلائیّة، و لا سبیل إلی 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صحّة الحکم بالتخییر؛ فلأنّه خارج عن محطّ أخبار التخییر، کما هو المفروض، و لا معنی لأن یحکم العقل بشی‌ء، کما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العقل التخییر</w:t>
      </w:r>
      <w:r>
        <w:rPr>
          <w:rStyle w:val="FootnoteAnchor"/>
          <w:rtl w:val="true"/>
        </w:rPr>
        <w:footnoteReference w:id="703"/>
      </w:r>
      <w:r>
        <w:rPr>
          <w:rFonts w:ascii="IRNazanin" w:hAnsi="IRNazanin" w:eastAsia="IRNazanin"/>
          <w:color w:val="111111"/>
          <w:sz w:val="28"/>
          <w:sz w:val="28"/>
          <w:szCs w:val="28"/>
          <w:rtl w:val="true"/>
          <w:lang w:bidi="fa-IR"/>
        </w:rPr>
        <w:t>غیر صحیح إلّا بمعنی درک الاختیار، ضرورة أنّ درک التخییر منوط بالاطلاع علی الواقعیّات، فلو کان هو واجبا مثلا، فهو مطلوب منه الفعل بحسب الواقع و نفس الأمر، فکیف یعقل درک التخییر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منه أنّه یدرک التخییر الظاهریّ؛ لأجل عدم صحّة العقوبة، فهو أیضا غیر صحیح؛ فإنّ العقل قبل أن یدرک التخییر، یدرک امتناع العقوبة علیه تعالی فی الواقعة المذکورة؛ لأجل امتناع الاحتیاط علیه و عجزه، فلا یدرک التخییر مستقلّا إلّا بدرک امتناع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عدم جریان البراءة العقلیّة و العقلائیّة؛ أی قاعدة قبح العقاب بلا بیان، لأنّه قبل أن تجری هنا تلک القاعدة، تجری قاعدة عقلیّة اخری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امتناع عقاب العاجز؛ لأنّه أیضا قبیح، و هو أیضا ممنوع عند العقلاء بالضرورة، فلا تجری البراءة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أعمّ من مفاد تلک القاعدة فهو، و لکنّه خلاف مرامهم هنا، کما لا یخفی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التساوی، لا فرق بین التعبّدیات و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الجهات، و إذا کان المفروض عدم إمکان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الشکّ و الشبهة فی وجوب الصوم غدا و حرمته، أو وجوب ذبح شاة غدا؛ لأمر الوالد، أو حرمته؛ لنهی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البراءة العقلیّة، و لا العقلائیّة، و لا معنی لحکم العقل بالتخییر، و لا درکه التخییر الواقعیّ أو الظاهریّ، فیسقط ما فی کلام</w:t>
      </w:r>
    </w:p>
    <w:p>
      <w:pPr>
        <w:pStyle w:val="BookText"/>
        <w:rPr/>
      </w:pPr>
      <w:r>
        <w:rPr>
          <w:rFonts w:ascii="Amiri" w:hAnsi="Amiri" w:eastAsia="Amiri" w:cs="Amiri"/>
          <w:color w:val="111111"/>
          <w:sz w:val="28"/>
          <w:sz w:val="28"/>
          <w:szCs w:val="28"/>
          <w:rtl w:val="true"/>
          <w:lang w:bidi="ar-SA"/>
        </w:rPr>
        <w:t xml:space="preserve">العلّامة الخراسانیّ </w:t>
      </w:r>
      <w:r>
        <w:rPr>
          <w:rStyle w:val="FootnoteAnchor"/>
          <w:rtl w:val="true"/>
        </w:rPr>
        <w:footnoteReference w:id="704"/>
      </w:r>
      <w:r>
        <w:rPr>
          <w:rFonts w:ascii="IRNazanin" w:hAnsi="IRNazanin" w:eastAsia="IRNazanin"/>
          <w:color w:val="111111"/>
          <w:sz w:val="28"/>
          <w:sz w:val="28"/>
          <w:szCs w:val="28"/>
          <w:rtl w:val="true"/>
          <w:lang w:bidi="fa-IR"/>
        </w:rPr>
        <w:t xml:space="preserve">و أتباعه </w:t>
      </w:r>
      <w:r>
        <w:rPr>
          <w:rStyle w:val="FootnoteAnchor"/>
          <w:rtl w:val="true"/>
        </w:rPr>
        <w:footnoteReference w:id="705"/>
      </w:r>
      <w:r>
        <w:rPr>
          <w:rFonts w:ascii="IRNazanin" w:hAnsi="IRNazanin" w:eastAsia="IRNazanin"/>
          <w:color w:val="111111"/>
          <w:sz w:val="28"/>
          <w:sz w:val="28"/>
          <w:szCs w:val="28"/>
          <w:rtl w:val="true"/>
          <w:lang w:bidi="fa-IR"/>
        </w:rPr>
        <w:t xml:space="preserve">، حتّی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هذا کلّه حول ما هو المرام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البراءة الشرعیّة،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الذاتیّ؛ حسب موازین القوانین الکلّیة و الخطابات القانونیّة، فإنّ کلّ واحد من الحرمة و الوجوب، و کلّ واحد من الوجوبین و الحرمتین، قابلة للرفع ذاتا، و لا تلزم اللغویّة؛ لما تحرّر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الخطابات القانونیّة لیست لغویّتها ممنوعة، إلّا إذا کانت لغویّة کلّیة، و التفصیل فی محلّه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عن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جریانها ذاتا؛ بتوهّم سبق البراءة القطعیّة</w:t>
      </w:r>
      <w:r>
        <w:rPr>
          <w:rStyle w:val="FootnoteAnchor"/>
          <w:rtl w:val="true"/>
        </w:rPr>
        <w:footnoteReference w:id="708"/>
      </w:r>
      <w:r>
        <w:rPr>
          <w:rFonts w:ascii="IRNazanin" w:hAnsi="IRNazanin" w:eastAsia="IRNazanin"/>
          <w:color w:val="111111"/>
          <w:sz w:val="28"/>
          <w:sz w:val="28"/>
          <w:szCs w:val="28"/>
          <w:rtl w:val="true"/>
          <w:lang w:bidi="fa-IR"/>
        </w:rPr>
        <w:t>، غیر تامّ؛ فإنّه مضافا إلی أنّ مجرّد السبق غیر کاف، و إلّا یلزم منع جریانها فی غیر المقام، أنّ الدلیل الأقرب هی اللغویّة، و قد أشرنا آنفا إلی وجه عدم اللغویّة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تلزم المعارضة بین المصداقین من البراءة فیسقطان؛ بناء علی انحفاظ الحکم الواقعیّ فی مرحلة الحکم الظاهریّ </w:t>
      </w:r>
      <w:r>
        <w:rPr>
          <w:rStyle w:val="FootnoteAnchor"/>
          <w:rtl w:val="true"/>
        </w:rPr>
        <w:footnoteReference w:id="709"/>
      </w:r>
      <w:r>
        <w:rPr>
          <w:rFonts w:ascii="IRNazanin" w:hAnsi="IRNazanin" w:eastAsia="IRNazanin"/>
          <w:color w:val="111111"/>
          <w:sz w:val="28"/>
          <w:sz w:val="28"/>
          <w:szCs w:val="28"/>
          <w:rtl w:val="true"/>
          <w:lang w:bidi="fa-IR"/>
        </w:rPr>
        <w:t>، و أمّا بناء علی انعدام الحکم الفعلیّ واقعا فی مرحلة الشکّ و الشبهة</w:t>
      </w:r>
      <w:r>
        <w:rPr>
          <w:rStyle w:val="FootnoteAnchor"/>
          <w:rtl w:val="true"/>
        </w:rPr>
        <w:footnoteReference w:id="710"/>
      </w:r>
      <w:r>
        <w:rPr>
          <w:rFonts w:ascii="IRNazanin" w:hAnsi="IRNazanin" w:eastAsia="IRNazanin"/>
          <w:color w:val="111111"/>
          <w:sz w:val="28"/>
          <w:sz w:val="28"/>
          <w:szCs w:val="28"/>
          <w:rtl w:val="true"/>
          <w:lang w:bidi="fa-IR"/>
        </w:rPr>
        <w:t>، فلا یتعارضان؛ لأنّ أحد المصداقین مصیب للواقع، و یرفع الحکم الواقعیّ، و المصداق الآخر مخطئ فلا یجری، و لکن لا نعلم المصیب من المخطئ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مورد خلاف ینشأ بین الأصحاب رحمهم اللّه و تفصیله</w:t>
      </w:r>
    </w:p>
    <w:p>
      <w:pPr>
        <w:pStyle w:val="BookText"/>
        <w:rPr/>
      </w:pPr>
      <w:r>
        <w:rPr>
          <w:rFonts w:ascii="IRNazanin" w:hAnsi="IRNazanin" w:eastAsia="IRNazanin"/>
          <w:color w:val="111111"/>
          <w:sz w:val="28"/>
          <w:sz w:val="28"/>
          <w:szCs w:val="28"/>
          <w:rtl w:val="true"/>
          <w:lang w:bidi="fa-IR"/>
        </w:rPr>
        <w:t xml:space="preserve">مضی فی حدیث الرفع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جریانها شرعا بلا معارضة رأسا،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موارد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صوم الغد و ذبح الشاة غدا، إمّا واجب، أو حرام، فربّما یشکل جریان البراءة الشرعیّة؛ بناء علی أنّ متعلّق النذر و الحلف، و متعلّق أمر الوالدین و السیّد، لا ینقلب عمّا کان علیه من الحکم الأوّلی </w:t>
      </w:r>
      <w:r>
        <w:rPr>
          <w:rStyle w:val="FootnoteAnchor"/>
          <w:rtl w:val="true"/>
        </w:rPr>
        <w:footnoteReference w:id="712"/>
      </w:r>
      <w:r>
        <w:rPr>
          <w:rFonts w:ascii="IRNazanin" w:hAnsi="IRNazanin" w:eastAsia="IRNazanin"/>
          <w:color w:val="111111"/>
          <w:sz w:val="28"/>
          <w:sz w:val="28"/>
          <w:szCs w:val="28"/>
          <w:rtl w:val="true"/>
          <w:lang w:bidi="fa-IR"/>
        </w:rPr>
        <w:t xml:space="preserve">، فلا حرمة و لا وجوب بالنسبة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تجری فیهما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لنا أنّه إمّا یجب الوفاء بالنذر بإتیان الفعل عقلا، أو یجب علینا النذر بترکه عقلا، فکلّ واحد من الوجوبین محتمل قابل للرفع، و قد مضی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الأمر بین المحذورین علی ثلاث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الوجوب و الحرام، و بین الوجوبین، و بین الحرامین </w:t>
      </w:r>
      <w:r>
        <w:rPr>
          <w:rStyle w:val="FootnoteAnchor"/>
          <w:rtl w:val="true"/>
        </w:rPr>
        <w:footnoteReference w:id="713"/>
      </w:r>
      <w:r>
        <w:rPr>
          <w:rFonts w:ascii="IRNazanin" w:hAnsi="IRNazanin" w:eastAsia="IRNazanin"/>
          <w:color w:val="111111"/>
          <w:sz w:val="28"/>
          <w:sz w:val="28"/>
          <w:szCs w:val="28"/>
          <w:rtl w:val="true"/>
          <w:lang w:bidi="fa-IR"/>
        </w:rPr>
        <w:t>، إلّا أنّ المتعلّق فی الفرض الأوّل هو الفعل، و فی الفرضین الأخیرین هو الفعل و ترکه، فافهم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إلی هنا، تظهر مواضع الخلط و الاشتباه فی کلمات القوم رحمهم اللّه و لا نشیر إلیها صونالهم، و خوفا من الإطالة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تمسّکهم أحیانا بالاستصحاب أو البراءة</w:t>
      </w:r>
      <w:r>
        <w:rPr>
          <w:rStyle w:val="FootnoteAnchor"/>
          <w:rtl w:val="true"/>
        </w:rPr>
        <w:footnoteReference w:id="714"/>
      </w:r>
      <w:r>
        <w:rPr>
          <w:rFonts w:ascii="IRNazanin" w:hAnsi="IRNazanin" w:eastAsia="IRNazanin"/>
          <w:color w:val="111111"/>
          <w:sz w:val="28"/>
          <w:sz w:val="28"/>
          <w:szCs w:val="28"/>
          <w:rtl w:val="true"/>
          <w:lang w:bidi="fa-IR"/>
        </w:rPr>
        <w:t>، و التزامهم بصحّة کلّ واحد منهما بحسب إمکانه ظاهرا، و أنّه غیر مناف للحکم الإلزامیّ الواقعیّ، و نتیجة ذلک إمّا التخییر الشرعیّ، أو الإباحة الشرعیّة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التخییر الشرعیّ لا یحتاج دائما إلی جعله بعنوانه الأوّلی، أو جعله بالحمل الشائع، بل قضیّة فهم العرف بعد انحفاظ مرتبة الحکم الواقعیّ هنا،</w:t>
      </w:r>
    </w:p>
    <w:p>
      <w:pPr>
        <w:pStyle w:val="BookText"/>
        <w:rPr/>
      </w:pPr>
      <w:r>
        <w:rPr>
          <w:rFonts w:ascii="IRNazanin" w:hAnsi="IRNazanin" w:eastAsia="IRNazanin"/>
          <w:color w:val="111111"/>
          <w:sz w:val="28"/>
          <w:sz w:val="28"/>
          <w:szCs w:val="28"/>
          <w:rtl w:val="true"/>
          <w:lang w:bidi="fa-IR"/>
        </w:rPr>
        <w:t>و عدم التنافی بینه و بین البراءتین أو الاستصحابین ظاهرا،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 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الشرعیّ،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الإباحة؛ بمعنی إباحة الفعل مستقلّا، أو إباحة الترک مستقلّا، فهو یرجع إلی البراءة الشرعیّة إشکالا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إلی البراءة العقلیّة، و لا العقلائیّة، و لا التخییر العقلیّ، و أمّا الشرعیّ فلا بأس به ثبوتا، إلّا أنّه لا دلیل علیه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امتناع ذلک ثبوتا؛ لما لا أثر فی البعث التخییریّ </w:t>
      </w:r>
      <w:r>
        <w:rPr>
          <w:rStyle w:val="FootnoteAnchor"/>
          <w:rtl w:val="true"/>
        </w:rPr>
        <w:footnoteReference w:id="715"/>
      </w:r>
      <w:r>
        <w:rPr>
          <w:rFonts w:ascii="IRNazanin" w:hAnsi="IRNazanin" w:eastAsia="IRNazanin"/>
          <w:color w:val="111111"/>
          <w:sz w:val="28"/>
          <w:sz w:val="28"/>
          <w:szCs w:val="28"/>
          <w:rtl w:val="true"/>
          <w:lang w:bidi="fa-IR"/>
        </w:rPr>
        <w:t>، فی غیر محلّه؛ لأنّ المجعول هو التخییر المجعول فی موارد أعمّ، فیکون قانونا کلّیا یشمل المحذورین و غیرهما، فلا یلزم أن یکون البعث باعثا فی کلّ مورد، کما فی مورد العجز مع فعلیّة البعث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و الإباحة، ففی کلّ واحد من الطرفین بعنوانه جائز؛ نظرا إلی أنّ ما هو وجه المنع منحصر باللغویّة، و قد عرفت عدم مانعیّتها حسب الموازین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الاستظهارات الخاصّة من أدلّة البراءة و الحلّ و الاستصحاب أحیانا، فهی موکولة إلی اختلاف فی المبانی، فإنّ الحقّ عندنا عدم جریان استصحاب عدم جعل الوجوب، و لا الحرمة، و تفصیله فی محلّه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جعل الإباحة و الحلّ فی کلّ واحد فی حدّ ذاته، فهو یمکن، و ما لا یمکن هو جعل الإباحة الواحدة للفعل و الترک، فلا یلزم فی جعل الإباحة بالنسبة إلی کل واحد، خلاف العلم الإجمالیّ بالإلزام المعلوم فی البین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الفعل و الترک، موضوعا علی حدة لقاعدة الحلّ</w:t>
      </w:r>
      <w:bookmarkStart w:id="548" w:name="pg13173_324943"/>
    </w:p>
    <w:p>
      <w:pPr>
        <w:pStyle w:val="BookText"/>
        <w:rPr/>
      </w:pPr>
      <w:bookmarkEnd w:id="548"/>
      <w:r>
        <w:rPr>
          <w:rFonts w:ascii="IRNazanin" w:hAnsi="IRNazanin" w:eastAsia="IRNazanin"/>
          <w:color w:val="111111"/>
          <w:sz w:val="28"/>
          <w:sz w:val="28"/>
          <w:szCs w:val="28"/>
          <w:rtl w:val="true"/>
          <w:lang w:bidi="fa-IR"/>
        </w:rPr>
        <w:t>و لو کان الدوران بین الوجوب و الحرمة، فجعل الحلّیة لا ینافی الوجوب، لأنّها لیست معناها الرخصة، کما هو الواضح</w:t>
      </w:r>
      <w:r>
        <w:rPr>
          <w:rFonts w:eastAsia="IRNazanin" w:cs="IRNazanin"/>
          <w:color w:val="111111"/>
          <w:sz w:val="28"/>
          <w:szCs w:val="28"/>
          <w:rtl w:val="true"/>
          <w:lang w:bidi="fa-IR"/>
        </w:rPr>
        <w:t>.</w:t>
      </w:r>
    </w:p>
    <w:p>
      <w:pPr>
        <w:pStyle w:val="Heading6"/>
        <w:numPr>
          <w:ilvl w:val="5"/>
          <w:numId w:val="1"/>
        </w:numPr>
        <w:rPr/>
      </w:pPr>
      <w:bookmarkStart w:id="549" w:name="__RefHeading___Toc735065_3244359995"/>
      <w:bookmarkStart w:id="550" w:name="_Toc207"/>
      <w:bookmarkEnd w:id="549"/>
      <w:r>
        <w:rPr>
          <w:rtl w:val="true"/>
        </w:rPr>
        <w:t>بقی شی‌ء</w:t>
      </w:r>
      <w:r>
        <w:rPr>
          <w:rtl w:val="true"/>
        </w:rPr>
        <w:t xml:space="preserve">: </w:t>
      </w:r>
      <w:r>
        <w:rPr>
          <w:rtl w:val="true"/>
        </w:rPr>
        <w:t>حول إمکان الامتثال عند الدوران بین محذورین</w:t>
      </w:r>
      <w:bookmarkEnd w:id="550"/>
    </w:p>
    <w:p>
      <w:pPr>
        <w:pStyle w:val="BookText"/>
        <w:rPr/>
      </w:pPr>
      <w:r>
        <w:rPr>
          <w:rFonts w:ascii="IRNazanin" w:hAnsi="IRNazanin" w:eastAsia="IRNazanin"/>
          <w:color w:val="111111"/>
          <w:sz w:val="28"/>
          <w:sz w:val="28"/>
          <w:szCs w:val="28"/>
          <w:rtl w:val="true"/>
          <w:lang w:bidi="fa-IR"/>
        </w:rPr>
        <w:t xml:space="preserve">إنّ القول بامتناع الامتثال؛ لأجل أنّ العجز سابق علی قبح العقاب بلا بیان </w:t>
      </w:r>
      <w:r>
        <w:rPr>
          <w:rStyle w:val="FootnoteAnchor"/>
          <w:rtl w:val="true"/>
        </w:rPr>
        <w:footnoteReference w:id="717"/>
      </w:r>
      <w:r>
        <w:rPr>
          <w:rFonts w:ascii="IRNazanin" w:hAnsi="IRNazanin" w:eastAsia="IRNazanin"/>
          <w:color w:val="111111"/>
          <w:sz w:val="28"/>
          <w:sz w:val="28"/>
          <w:szCs w:val="28"/>
          <w:rtl w:val="true"/>
          <w:lang w:bidi="fa-IR"/>
        </w:rPr>
        <w:t xml:space="preserve">، قابل للمنع؛ و ذلک لأنّ ما هو الممتنع هو العلم بالامتثال، لا الامتثال الواقعیّ، ضرورة أنّه لو أتی بأحد المحذورین، و صادف الواقع، فإن کان من التوصّلیات فقد سقط أمر المولی، فیثبت الامتثال، و إن أتی به فی العبادات قربة إلی اللّه، و صادف الواقع، فقد امتثل الأمر؛ لما لا نعنی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الامتثال ممکن، و عقاب المولی علی التخلّف عمّا هو تکلیفه فی البین، ممکن لو لا القاعدة، فالتخییر الزائد علی درک الاختیار هنا، حاصل و یدرکه العقل؛ لأجل جریان القاعدة فی الطرفین فی حدّ ذاتهما، و نتیجة ذلک جریان البراءة العقلیّة، و العقلائیّة، و الشرعیّة، و أصالة الحلّ، و الإباحة، دون الاستصحاب، و دون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التخییر العقلیّ معنی درک العقل أمرا زائدا علی درک الاختیار، المشترک فیه جمیع الأفعال الاختیاریّة و الإرادة الاختیاریّة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تحرّر، إلّا أنّ فی موارد الشبهات البدویّة الوجوبیّة و التحریمیّة، لا یحتجّ العبد علی المولی إلّا بأنّ العقاب بلا بیان ممتنع و قبیح، و أمّا فی موارد الدوران بین المحذورین، فنجد صحّة اعتذاره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لا بدّ من أحد المحذورین، و الترجیح بلا مرجّح قبیح بالقیاس إلی مرام المولی، لا بالقیاس إلی مقاصده کما لا یخفی، فلا یعتذر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عقاب بلا بیان، و لا یحتجّ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مؤاخذة</w:t>
      </w:r>
    </w:p>
    <w:p>
      <w:pPr>
        <w:pStyle w:val="BookText"/>
        <w:rPr/>
      </w:pPr>
      <w:r>
        <w:rPr>
          <w:rFonts w:ascii="IRNazanin" w:hAnsi="IRNazanin" w:eastAsia="IRNazanin"/>
          <w:color w:val="111111"/>
          <w:sz w:val="28"/>
          <w:sz w:val="28"/>
          <w:szCs w:val="28"/>
          <w:rtl w:val="true"/>
          <w:lang w:bidi="fa-IR"/>
        </w:rPr>
        <w:t>بلا برهان؛ لأنّه قاعدة عقلائیّة، و یستظهر أنّ مصبّها موارد الاقتدار، دون مثل ما نحن فیه الذی لا بدّ فیه من أحد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بعد اللتیّا و التی، لا محیص عن الالتزام بجریان البراءتین أیضا، لأنّه فی صورة التخلّف عما هو التکلیف بینهما، یکون قادرا علی التکلیف، و جاهلا به، فالعقاب علیه بلا بیان، و لازم ذلک إدراک العقل تخییرا زائدا علی إدراک الاختیار، فلا یتمّ ما فی کلام العلّامتین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الأراکیّ، و النائینیّ </w:t>
      </w:r>
      <w:r>
        <w:rPr>
          <w:rStyle w:val="FootnoteAnchor"/>
          <w:rtl w:val="true"/>
        </w:rPr>
        <w:footnoteReference w:id="718"/>
      </w:r>
      <w:r>
        <w:rPr>
          <w:rFonts w:ascii="Amiri" w:hAnsi="Amiri" w:eastAsia="Amiri" w:cs="Amiri"/>
          <w:color w:val="111111"/>
          <w:sz w:val="28"/>
          <w:sz w:val="28"/>
          <w:szCs w:val="28"/>
          <w:rtl w:val="true"/>
          <w:lang w:bidi="ar-SA"/>
        </w:rPr>
        <w:t>، و یتمّ ما أفاده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اقتدار العبد علی الامتثال الواقعیّ، موجود واقعا، و الجهل إثباتا یوجب منع العقاب علی کلّ طرف، و لازمه التخییر الزائد المعلول من الترجیح بلا مرجّح و من التعارض، دون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الشبهة موضوعیّة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منع جریان البراءة العقلیّة؛ بتوهّم أنّ الإلزام معلوم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ففی غیر محلّه؛ لأنّ منع جریانها فی أطراف العلم الإجمالیّ؛ لتأثیره، و هو هنا غیر مؤثّر، فتجری فی کلّ طرف بحسب نوع التکلیف المجهول، و لا یکون العلم مؤثّرا بالنسبة إلی الجنس،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الاصول العقلیّة و النقلیّة، قابلة للجریان ذاتا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التخییر الشرعیّ غیر جار؛ لعدم الدلیل علیه إثباتا، و الاستصحاب أیضا غیر جار؛ لما تحرّر منّا فی محلّه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الشرعیّة علی المسلکین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bookmarkStart w:id="551" w:name="pg13173_324945"/>
    </w:p>
    <w:p>
      <w:pPr>
        <w:pStyle w:val="BookText"/>
        <w:rPr/>
      </w:pPr>
      <w:bookmarkEnd w:id="551"/>
      <w:r>
        <w:rPr>
          <w:rFonts w:ascii="IRNazanin" w:hAnsi="IRNazanin" w:eastAsia="IRNazanin"/>
          <w:color w:val="111111"/>
          <w:sz w:val="28"/>
          <w:sz w:val="28"/>
          <w:szCs w:val="28"/>
          <w:rtl w:val="true"/>
          <w:lang w:bidi="fa-IR"/>
        </w:rPr>
        <w:t>سواء کان الرفع واقعیّا</w:t>
      </w:r>
      <w:r>
        <w:rPr>
          <w:rStyle w:val="FootnoteAnchor"/>
          <w:rtl w:val="true"/>
        </w:rPr>
        <w:footnoteReference w:id="722"/>
      </w:r>
      <w:r>
        <w:rPr>
          <w:rFonts w:ascii="Amiri" w:hAnsi="Amiri" w:eastAsia="Amiri" w:cs="Amiri"/>
          <w:color w:val="111111"/>
          <w:sz w:val="28"/>
          <w:sz w:val="28"/>
          <w:szCs w:val="28"/>
          <w:rtl w:val="true"/>
          <w:lang w:bidi="ar-SA"/>
        </w:rPr>
        <w:t>، أو مجازیّا و ادعائیّا</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جاریة؛ لإمکان الالتزام بها ثبوتا، و عدم قصور فی أدلّتها إثباتا، کما مرّ الإیماء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 و قاعدة الحلّیة الظاهریّة، فقد مرّ منّا کیفیّة استنتاج جریانها فی الشبهات الحکمیّة، فلیلاحظ جیّدا</w:t>
      </w:r>
      <w:r>
        <w:rPr>
          <w:rFonts w:eastAsia="IRNazanin" w:cs="IRNazanin"/>
          <w:color w:val="111111"/>
          <w:sz w:val="28"/>
          <w:szCs w:val="28"/>
          <w:rtl w:val="true"/>
          <w:lang w:bidi="fa-IR"/>
        </w:rPr>
        <w:t>.</w:t>
      </w:r>
    </w:p>
    <w:p>
      <w:pPr>
        <w:pStyle w:val="Heading6"/>
        <w:numPr>
          <w:ilvl w:val="5"/>
          <w:numId w:val="1"/>
        </w:numPr>
        <w:rPr/>
      </w:pPr>
      <w:bookmarkStart w:id="552" w:name="__RefHeading___Toc735067_3244359995"/>
      <w:bookmarkStart w:id="553" w:name="_Toc208"/>
      <w:bookmarkEnd w:id="552"/>
      <w:r>
        <w:rPr>
          <w:rtl w:val="true"/>
        </w:rPr>
        <w:t>تذنیب</w:t>
      </w:r>
      <w:r>
        <w:rPr>
          <w:rtl w:val="true"/>
        </w:rPr>
        <w:t xml:space="preserve">: </w:t>
      </w:r>
      <w:r>
        <w:rPr>
          <w:rtl w:val="true"/>
        </w:rPr>
        <w:t>فی وجوب الموافقة الالتزامیّة فی المقام</w:t>
      </w:r>
      <w:bookmarkEnd w:id="553"/>
    </w:p>
    <w:p>
      <w:pPr>
        <w:pStyle w:val="BookText"/>
        <w:rPr/>
      </w:pPr>
      <w:r>
        <w:rPr>
          <w:rFonts w:ascii="IRNazanin" w:hAnsi="IRNazanin" w:eastAsia="IRNazanin"/>
          <w:color w:val="111111"/>
          <w:sz w:val="28"/>
          <w:sz w:val="28"/>
          <w:szCs w:val="28"/>
          <w:rtl w:val="true"/>
          <w:lang w:bidi="fa-IR"/>
        </w:rPr>
        <w:t>قد مرّ فی أثناء بحوث القطع، مسألة الموافقة الالتزامیّة و حدیث هذه الموافقة فی مسألة دوران الأمر بین المحذورین، و لا بأس بالإشارة الإجمالیّة إلی أنّ حدیث الموافقة الالتزامیّة و وجوبها، ممّا لا یرجع إلی محصّل ثبوتا علی ما یستظهر من القوم، و یمکن ثبوتا علی ما حرّرناه، و لکن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فهل فیما نحن فیه إذا لم یکن العبد قادرا علی الموافقة العملیّة، فهل یجب علیه الموافقة الالتزامیّة؛ بمعنی أنّه إذا ارتکب صوم الغد، تکون نیّته علی أنّه لو کان الفعل محرّما منجّزا، لما کان یرتکبه، و أنّه لو کان متمکّنا من الموافقة العملیّة، لصنع ذلک، و یمتثل الأمر أو النهی، و لا یجوز فی صورة المسافرة غدا أو الصوم غدا، أن یکون مسافرا و یصوم سواء کان محرّما أو محلّلا، و لو کان هکذا یجب علیه عقلا، تحصیل حسن السریرة بالجدّ و الاجتهاد؛ حتّی تنقدح فی نفسه هذه الموافقة الالتزامیّة؟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یجب علیه و إن کان لا یخلو من أحد النقضین، أن لا یکون کلّ طرف بالنسبة إلیه متساوی النسبة حراما کان، أو حلالا، بل لا بدّ و أن تختلف نسبته بالنسبة إلی فرض الحلّیة و الحرمة، و فرض الوجوب و خلافه، و أنّه فی</w:t>
      </w:r>
      <w:bookmarkStart w:id="554" w:name="pg13173_324946"/>
    </w:p>
    <w:p>
      <w:pPr>
        <w:pStyle w:val="BookText"/>
        <w:rPr/>
      </w:pPr>
      <w:bookmarkEnd w:id="554"/>
      <w:r>
        <w:rPr>
          <w:rFonts w:ascii="IRNazanin" w:hAnsi="IRNazanin" w:eastAsia="IRNazanin"/>
          <w:color w:val="111111"/>
          <w:sz w:val="28"/>
          <w:sz w:val="28"/>
          <w:szCs w:val="28"/>
          <w:rtl w:val="true"/>
          <w:lang w:bidi="fa-IR"/>
        </w:rPr>
        <w:t xml:space="preserve">هذه القضیّة لأجل الابتلاء بالمحذورین یرتکب، و لکنّه لو کان مطلقا حرام لما کان یرتکبه، و هکذا فی ناحیة الترک بالنسبة إلی احتمال الوجوب، و تفصیل المسألة یطلب من مسائل القطع </w:t>
      </w:r>
      <w:r>
        <w:rPr>
          <w:rStyle w:val="FootnoteAnchor"/>
          <w:rtl w:val="true"/>
        </w:rPr>
        <w:footnoteReference w:id="724"/>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6"/>
        <w:numPr>
          <w:ilvl w:val="5"/>
          <w:numId w:val="1"/>
        </w:numPr>
        <w:rPr/>
      </w:pPr>
      <w:bookmarkStart w:id="555" w:name="__RefHeading___Toc735069_3244359995"/>
      <w:bookmarkStart w:id="556" w:name="_Toc209"/>
      <w:bookmarkEnd w:id="555"/>
      <w:r>
        <w:rPr>
          <w:rtl w:val="true"/>
        </w:rPr>
        <w:t>تحقیق و تفصیل</w:t>
      </w:r>
      <w:r>
        <w:rPr>
          <w:rtl w:val="true"/>
        </w:rPr>
        <w:t xml:space="preserve">: </w:t>
      </w:r>
      <w:r>
        <w:rPr>
          <w:rtl w:val="true"/>
        </w:rPr>
        <w:t>فی عدم الفرق بین المحذورین الشرعیّین و العقلیّین و المختلفین</w:t>
      </w:r>
      <w:bookmarkEnd w:id="556"/>
    </w:p>
    <w:p>
      <w:pPr>
        <w:pStyle w:val="BookText"/>
        <w:rPr/>
      </w:pPr>
      <w:r>
        <w:rPr>
          <w:rFonts w:ascii="IRNazanin" w:hAnsi="IRNazanin" w:eastAsia="IRNazanin"/>
          <w:color w:val="111111"/>
          <w:sz w:val="28"/>
          <w:sz w:val="28"/>
          <w:szCs w:val="28"/>
          <w:rtl w:val="true"/>
          <w:lang w:bidi="fa-IR"/>
        </w:rPr>
        <w:t>بناء علی المشهور، لا فرق بین دوران الأمر بین المحذورین الشرعیّین، و العقلیّین، و المختلفین؛ و ذلک لأنّ فی موارد المحذور العقلیّ، یکون هناک أمر أو نهی شرعیّ قابل للرفع؛ و لو کان حاصلا بمقدّمات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الحقّ، فلو دار الأمر بینهما، و کان کلّ واحد عقلیّا، أو واحد منهما عقلیّا، فلا تجری بالنسبة إلیه البراءة الشرعیّة؛ لما لا وضع هناک شرعا حتّی یرفع، و ما هو قابل للرفع معلوم لا یمکن رفعه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السفر غدا حرام أو واجب، فبناء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الحلف و النذر، یوجب کون المحلوف علیه و المنذور، متعلّق الأمر</w:t>
      </w:r>
      <w:r>
        <w:rPr>
          <w:rStyle w:val="FootnoteAnchor"/>
          <w:rtl w:val="true"/>
        </w:rPr>
        <w:footnoteReference w:id="725"/>
      </w:r>
      <w:r>
        <w:rPr>
          <w:rFonts w:ascii="IRNazanin" w:hAnsi="IRNazanin" w:eastAsia="IRNazanin"/>
          <w:color w:val="111111"/>
          <w:sz w:val="28"/>
          <w:sz w:val="28"/>
          <w:szCs w:val="28"/>
          <w:rtl w:val="true"/>
          <w:lang w:bidi="fa-IR"/>
        </w:rPr>
        <w:t>، فیمکن رفع وجوب السفر، أو وجوب ترکه، أو حرمة فعله، و أمّا بناء علی ما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فیه أیضا إشکال محرّر عندنا فی محلّه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رفع الوجوب إلّا الحرمة؛ ضرورة أنّ الوفاء بالنذر، واجب بالنسبة إلی السفر، و هو معلوم لا یمکن رفعه، و لکنّه قابل لو شکّ فیه، و أمّا نفس السفر و ترکه فهما من المحذورین العقلیّین، فلا</w:t>
      </w:r>
      <w:bookmarkStart w:id="557" w:name="pg13173_324947"/>
    </w:p>
    <w:p>
      <w:pPr>
        <w:pStyle w:val="BookText"/>
        <w:rPr/>
      </w:pPr>
      <w:bookmarkEnd w:id="557"/>
      <w:r>
        <w:rPr>
          <w:rFonts w:ascii="IRNazanin" w:hAnsi="IRNazanin" w:eastAsia="IRNazanin"/>
          <w:color w:val="111111"/>
          <w:sz w:val="28"/>
          <w:sz w:val="28"/>
          <w:szCs w:val="28"/>
          <w:rtl w:val="true"/>
          <w:lang w:bidi="fa-IR"/>
        </w:rPr>
        <w:t>تجری البراءة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حکم سائر الموارد، 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أحدهما عقلیّا و الآخر شرعیّا، تجری البراءة بالنسبة إلی الشرعیّة، دون العقلیّة، و لکن لا منع من جریان البراءة بالنسبة إلی ما هو المنشأ لذلک المحذور العقلیّ؛ لما لا علم به قهرا، فیکون إدراک العقل التخییر المذکور سابقا، باقیا علی حاله</w:t>
      </w:r>
      <w:r>
        <w:rPr>
          <w:rFonts w:eastAsia="IRNazanin" w:cs="IRNazanin"/>
          <w:color w:val="111111"/>
          <w:sz w:val="28"/>
          <w:szCs w:val="28"/>
          <w:rtl w:val="true"/>
          <w:lang w:bidi="fa-IR"/>
        </w:rPr>
        <w:t>.</w:t>
      </w:r>
    </w:p>
    <w:p>
      <w:pPr>
        <w:pStyle w:val="Heading6"/>
        <w:numPr>
          <w:ilvl w:val="5"/>
          <w:numId w:val="1"/>
        </w:numPr>
        <w:rPr/>
      </w:pPr>
      <w:bookmarkStart w:id="558" w:name="__RefHeading___Toc735071_3244359995"/>
      <w:bookmarkStart w:id="559" w:name="_Toc210"/>
      <w:bookmarkEnd w:id="558"/>
      <w:r>
        <w:rPr>
          <w:rtl w:val="true"/>
        </w:rPr>
        <w:t>إیقاظ</w:t>
      </w:r>
      <w:r>
        <w:rPr>
          <w:rtl w:val="true"/>
        </w:rPr>
        <w:t xml:space="preserve">: </w:t>
      </w:r>
      <w:r>
        <w:rPr>
          <w:rtl w:val="true"/>
        </w:rPr>
        <w:t>فی ثمرة جریان القاعدة الشرعیّة</w:t>
      </w:r>
      <w:bookmarkEnd w:id="559"/>
    </w:p>
    <w:p>
      <w:pPr>
        <w:pStyle w:val="BookText"/>
        <w:rPr/>
      </w:pPr>
      <w:r>
        <w:rPr>
          <w:rFonts w:ascii="IRNazanin" w:hAnsi="IRNazanin" w:eastAsia="IRNazanin"/>
          <w:color w:val="111111"/>
          <w:sz w:val="28"/>
          <w:sz w:val="28"/>
          <w:szCs w:val="28"/>
          <w:rtl w:val="true"/>
          <w:lang w:bidi="fa-IR"/>
        </w:rPr>
        <w:t>إذا تردّد السفر غدا بین الحرمة و الوجوب، فالبراءة الشرعیّة جاریة، و لکن لا یلزم منها حلّیة السفر التی هی شرط القصر، و لا تثبت بها إباحته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قاعدة الإباحة جاریة، فالسفر یکون مباحا، و یثبت بها القصر، و إلّا فیستصحب حکم التمام الثابت قبله، إلّا علی إشکال فی جریانه، و تصیر النتیجة لزوم الاحتیاط، فلیلاحظ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جریان القاعدة؛ لأنّ إثبات الإباحة مخصوص بالطرفین، و لا یجری بالنسبة إلی کلّ من الفعل و الترک قاعدة الحلّیة</w:t>
      </w:r>
      <w:r>
        <w:rPr>
          <w:rStyle w:val="FootnoteAnchor"/>
          <w:rtl w:val="true"/>
        </w:rPr>
        <w:footnoteReference w:id="727"/>
      </w:r>
      <w:r>
        <w:rPr>
          <w:rFonts w:ascii="IRNazanin" w:hAnsi="IRNazanin" w:eastAsia="IRNazanin"/>
          <w:color w:val="111111"/>
          <w:sz w:val="28"/>
          <w:sz w:val="28"/>
          <w:szCs w:val="28"/>
          <w:rtl w:val="true"/>
          <w:lang w:bidi="fa-IR"/>
        </w:rPr>
        <w:t>، فاسد کما أشرنا إلیه، بل غیر معقول؛ لأنّ النقیضین لا یجمعهما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إباحة الفعل تستلزم إباحة الترک و بالعکس، و لا وجه لاختصاص أحدهما بالجریان، فیجری بالنسبة إلی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لغویّة الجریان </w:t>
      </w:r>
      <w:r>
        <w:rPr>
          <w:rStyle w:val="FootnoteAnchor"/>
          <w:rtl w:val="true"/>
        </w:rPr>
        <w:footnoteReference w:id="728"/>
      </w:r>
      <w:r>
        <w:rPr>
          <w:rFonts w:ascii="IRNazanin" w:hAnsi="IRNazanin" w:eastAsia="IRNazanin"/>
          <w:color w:val="111111"/>
          <w:sz w:val="28"/>
          <w:sz w:val="28"/>
          <w:szCs w:val="28"/>
          <w:rtl w:val="true"/>
          <w:lang w:bidi="fa-IR"/>
        </w:rPr>
        <w:t>ممنوعة فی القوانین العامّة الکلّیة؛ أی لا بأس بها کما تحرّر مرارا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فرق بین الاصول الشرعیّة فی حدّ نفسها، نعم فی خصوص الاستصحاب قد منعنا جریانه؛ لأجل جهة مخصوصة بإجرائها فی الشبهات الحکمیّة الکلّیة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560" w:name="pg13173_324948"/>
    </w:p>
    <w:p>
      <w:pPr>
        <w:pStyle w:val="BookText"/>
        <w:rPr/>
      </w:pPr>
      <w:bookmarkEnd w:id="560"/>
      <w:r>
        <w:rPr>
          <w:rFonts w:ascii="IRNazanin" w:hAnsi="IRNazanin" w:eastAsia="IRNazanin"/>
          <w:color w:val="111111"/>
          <w:sz w:val="28"/>
          <w:sz w:val="28"/>
          <w:szCs w:val="28"/>
          <w:rtl w:val="true"/>
          <w:lang w:bidi="fa-IR"/>
        </w:rPr>
        <w:t xml:space="preserve">نعم، فیما إذا کان من قبیل السفر غدا، فلا منع من جریانهما معا، إلّا علی وجه یستلزم ممنوعیّة جریانه حتّی فی أطراف العلم الإجمالیّ و إن لم یلزم منه المخالفة العملیّة، و ذلک غیر ما فی کلام بعض المعاصرین </w:t>
      </w:r>
      <w:r>
        <w:rPr>
          <w:rStyle w:val="FootnoteAnchor"/>
          <w:rtl w:val="true"/>
        </w:rPr>
        <w:footnoteReference w:id="730"/>
      </w:r>
      <w:r>
        <w:rPr>
          <w:rFonts w:ascii="IRNazanin" w:hAnsi="IRNazanin" w:eastAsia="IRNazanin"/>
          <w:color w:val="111111"/>
          <w:sz w:val="28"/>
          <w:sz w:val="28"/>
          <w:szCs w:val="28"/>
          <w:rtl w:val="true"/>
          <w:lang w:bidi="fa-IR"/>
        </w:rPr>
        <w:t xml:space="preserve">تبعا لاستاذه </w:t>
      </w:r>
      <w:r>
        <w:rPr>
          <w:rStyle w:val="FootnoteAnchor"/>
          <w:rtl w:val="true"/>
        </w:rPr>
        <w:footnoteReference w:id="731"/>
      </w:r>
      <w:r>
        <w:rPr>
          <w:rFonts w:ascii="IRNazanin" w:hAnsi="IRNazanin" w:eastAsia="IRNazanin"/>
          <w:color w:val="111111"/>
          <w:sz w:val="28"/>
          <w:sz w:val="28"/>
          <w:szCs w:val="28"/>
          <w:rtl w:val="true"/>
          <w:lang w:bidi="fa-IR"/>
        </w:rPr>
        <w:t>،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بتقدیم جانب الحرمة الشرعیّة؛ و ذلک لأنّ دفع المفسدة أولی من جلب المنفعة بحکم العرف و العقلاء، أو لقیام السیرة العقلائیّة علیه، أو لبناء من المتشرّعة علیه، و یکفی ذلک لکونه خارجا عن فرض التساوی </w:t>
      </w:r>
      <w:r>
        <w:rPr>
          <w:rStyle w:val="FootnoteAnchor"/>
          <w:rtl w:val="true"/>
        </w:rPr>
        <w:footnoteReference w:id="732"/>
      </w:r>
      <w:r>
        <w:rPr>
          <w:rFonts w:ascii="IRNazanin" w:hAnsi="IRNazanin" w:eastAsia="IRNazanin"/>
          <w:color w:val="111111"/>
          <w:sz w:val="28"/>
          <w:sz w:val="28"/>
          <w:szCs w:val="28"/>
          <w:rtl w:val="true"/>
          <w:lang w:bidi="fa-IR"/>
        </w:rPr>
        <w:t>، کما سیظهر تفصیله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الأدلّة و إن لم تکن ناهضة علی شی‌ء، و حجّة علی أمر قطعیّ، و لکنّها توجب الشکّ و الشبهة، و لازم ذلک خروج المتساویین فی المسألة الاولی عن التساوی المفروض من جمیع الجهات، فتکون المسألة الاولی بلا صغری، کما لا یخفی</w:t>
      </w:r>
      <w:r>
        <w:rPr>
          <w:rFonts w:eastAsia="IRNazanin" w:cs="IRNazanin"/>
          <w:color w:val="111111"/>
          <w:sz w:val="28"/>
          <w:szCs w:val="28"/>
          <w:rtl w:val="true"/>
          <w:lang w:bidi="fa-IR"/>
        </w:rPr>
        <w:t>.</w:t>
      </w:r>
    </w:p>
    <w:p>
      <w:pPr>
        <w:pStyle w:val="Heading6"/>
        <w:numPr>
          <w:ilvl w:val="5"/>
          <w:numId w:val="1"/>
        </w:numPr>
        <w:rPr/>
      </w:pPr>
      <w:bookmarkStart w:id="561" w:name="__RefHeading___Toc735073_3244359995"/>
      <w:bookmarkStart w:id="562" w:name="_Toc211"/>
      <w:bookmarkEnd w:id="561"/>
      <w:r>
        <w:rPr>
          <w:rtl w:val="true"/>
        </w:rPr>
        <w:t>المسألة الثانیة</w:t>
      </w:r>
      <w:r>
        <w:rPr>
          <w:rtl w:val="true"/>
        </w:rPr>
        <w:t xml:space="preserve">: </w:t>
      </w:r>
      <w:r>
        <w:rPr>
          <w:rtl w:val="true"/>
        </w:rPr>
        <w:t>فی اختلاف المحذورین من حیث الأهمّیة</w:t>
      </w:r>
      <w:bookmarkEnd w:id="562"/>
    </w:p>
    <w:p>
      <w:pPr>
        <w:pStyle w:val="Heading6"/>
        <w:numPr>
          <w:ilvl w:val="5"/>
          <w:numId w:val="1"/>
        </w:numPr>
        <w:rPr/>
      </w:pPr>
      <w:bookmarkStart w:id="563" w:name="__RefHeading___Toc735075_3244359995"/>
      <w:bookmarkStart w:id="564" w:name="_Toc212"/>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فالکلام یتمّ بالإشارة إلی جهات</w:t>
      </w:r>
      <w:r>
        <w:rPr>
          <w:rFonts w:eastAsia="IRNazanin" w:cs="IRNazanin"/>
          <w:color w:val="111111"/>
          <w:sz w:val="28"/>
          <w:szCs w:val="28"/>
          <w:rtl w:val="true"/>
          <w:lang w:bidi="fa-IR"/>
        </w:rPr>
        <w:t>:</w:t>
      </w:r>
    </w:p>
    <w:p>
      <w:pPr>
        <w:pStyle w:val="Heading6"/>
        <w:numPr>
          <w:ilvl w:val="5"/>
          <w:numId w:val="1"/>
        </w:numPr>
        <w:rPr/>
      </w:pPr>
      <w:bookmarkStart w:id="565" w:name="__RefHeading___Toc735077_3244359995"/>
      <w:bookmarkStart w:id="566" w:name="_Toc213"/>
      <w:bookmarkEnd w:id="565"/>
      <w:r>
        <w:rPr>
          <w:rtl w:val="true"/>
        </w:rPr>
        <w:t>اولاها</w:t>
      </w:r>
      <w:r>
        <w:rPr>
          <w:rtl w:val="true"/>
        </w:rPr>
        <w:t xml:space="preserve">: </w:t>
      </w:r>
      <w:r>
        <w:rPr>
          <w:rtl w:val="true"/>
        </w:rPr>
        <w:t>فی میزان ترجح أحد المحذورین</w:t>
      </w:r>
      <w:bookmarkEnd w:id="5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الخروج عن التساوی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أنّ احتمال الحرمة، أکثر من احتمال الوجوب، مثلا فی المتساویین یکون کلّ من الوجوب و الحرمة، احتمالهما متساویان؛ أی خمسون بالمائة، و أمّا إذا کان احتمال الحرمة ستّین بالمائة،</w:t>
      </w:r>
      <w:bookmarkStart w:id="567" w:name="pg13173_324949"/>
    </w:p>
    <w:p>
      <w:pPr>
        <w:pStyle w:val="BookText"/>
        <w:rPr/>
      </w:pPr>
      <w:bookmarkEnd w:id="567"/>
      <w:r>
        <w:rPr>
          <w:rFonts w:ascii="IRNazanin" w:hAnsi="IRNazanin" w:eastAsia="IRNazanin"/>
          <w:color w:val="111111"/>
          <w:sz w:val="28"/>
          <w:sz w:val="28"/>
          <w:szCs w:val="28"/>
          <w:rtl w:val="true"/>
          <w:lang w:bidi="fa-IR"/>
        </w:rPr>
        <w:t>و الوجوب أربعین بالمائة، فیخرج المحذوران عن التساوی فی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أقوائیّة المحتمل فی جانب الحرمة إذا صادف الواقع من المحتمل فی جانب الوجوب، کموارد دوران الأمر بین الشبهات المهتمّ بها و الوجوب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من الاحتمال و المحتمل فی جانب الحرمة، أکثر و أقوی من جانب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الخروج لأجل احتمال کون بناء العقلاء و المتشرّعة علی تقدیم جانب الفرار من المفسدة علی جانب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ذلک مجتمعا فی أحد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یختلف الأمر، و نتیجته الشکّ</w:t>
      </w:r>
      <w:r>
        <w:rPr>
          <w:rFonts w:eastAsia="IRNazanin" w:cs="IRNazanin"/>
          <w:color w:val="111111"/>
          <w:sz w:val="28"/>
          <w:szCs w:val="28"/>
          <w:rtl w:val="true"/>
          <w:lang w:bidi="fa-IR"/>
        </w:rPr>
        <w:t>.</w:t>
      </w:r>
    </w:p>
    <w:p>
      <w:pPr>
        <w:pStyle w:val="Heading6"/>
        <w:numPr>
          <w:ilvl w:val="5"/>
          <w:numId w:val="1"/>
        </w:numPr>
        <w:rPr/>
      </w:pPr>
      <w:bookmarkStart w:id="568" w:name="__RefHeading___Toc735079_3244359995"/>
      <w:bookmarkStart w:id="569" w:name="_Toc214"/>
      <w:bookmarkEnd w:id="568"/>
      <w:r>
        <w:rPr>
          <w:rtl w:val="true"/>
        </w:rPr>
        <w:t>ثانیتها</w:t>
      </w:r>
      <w:r>
        <w:rPr>
          <w:rtl w:val="true"/>
        </w:rPr>
        <w:t xml:space="preserve">: </w:t>
      </w:r>
      <w:r>
        <w:rPr>
          <w:rtl w:val="true"/>
        </w:rPr>
        <w:t>حول دخول هذه المسألة فی الدوران بین التعیین و التخییر</w:t>
      </w:r>
      <w:bookmarkEnd w:id="569"/>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 بعض أتباعه إلی أنّ المسألة فی هذه الصورة، تندرج فی مسألة دوران الأمر بین التعیین و التخییر</w:t>
      </w:r>
      <w:r>
        <w:rPr>
          <w:rStyle w:val="FootnoteAnchor"/>
          <w:rtl w:val="true"/>
        </w:rPr>
        <w:footnoteReference w:id="734"/>
      </w:r>
      <w:r>
        <w:rPr>
          <w:rFonts w:ascii="IRNazanin" w:hAnsi="IRNazanin" w:eastAsia="IRNazanin"/>
          <w:color w:val="111111"/>
          <w:sz w:val="28"/>
          <w:sz w:val="28"/>
          <w:szCs w:val="28"/>
          <w:rtl w:val="true"/>
          <w:lang w:bidi="fa-IR"/>
        </w:rPr>
        <w:t>، فإن قلنا بجریان الاصول النافیة فلا فرق بین المسألتین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الأخذ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العلّامة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وجه التخییر هو فقد المرجّح</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و لازمه تعیین الخارج عن التساوی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من موضع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ذلک </w:t>
      </w:r>
      <w:r>
        <w:rPr>
          <w:rStyle w:val="FootnoteAnchor"/>
          <w:rtl w:val="true"/>
        </w:rPr>
        <w:footnoteReference w:id="736"/>
      </w:r>
      <w:r>
        <w:rPr>
          <w:rFonts w:ascii="Amiri" w:hAnsi="Amiri" w:eastAsia="Amiri" w:cs="Amiri"/>
          <w:color w:val="111111"/>
          <w:sz w:val="28"/>
          <w:sz w:val="28"/>
          <w:szCs w:val="28"/>
          <w:rtl w:val="true"/>
          <w:lang w:bidi="ar-SA"/>
        </w:rPr>
        <w:t>لأنّ منشأ</w:t>
      </w:r>
      <w:bookmarkStart w:id="570" w:name="pg13173_324950"/>
    </w:p>
    <w:p>
      <w:pPr>
        <w:pStyle w:val="BookText"/>
        <w:rPr/>
      </w:pPr>
      <w:bookmarkEnd w:id="570"/>
      <w:r>
        <w:rPr>
          <w:rFonts w:ascii="IRNazanin" w:hAnsi="IRNazanin" w:eastAsia="IRNazanin"/>
          <w:color w:val="111111"/>
          <w:sz w:val="28"/>
          <w:sz w:val="28"/>
          <w:szCs w:val="28"/>
          <w:rtl w:val="true"/>
          <w:lang w:bidi="fa-IR"/>
        </w:rPr>
        <w:t>حکمه بالتخییر جریان البراءة العقلیّة فی الطرفین و الاحتمالین، و امتناع الترجیح بلا مرجّح،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کان عقلیّا هنا، و فی مسألة دوران الأمر بین التعیین و التخییر، کان ذلک شرعیّا، و لا منع من الشکّ و التحیّر فی التخییر و التعیین حسب حکم الشرع، دون العقل و إدراکه؛ لأنّ العقل ینتهی بالأخرة إلی إدراک لزوم الأخذ بالمعیّن، أو إدراک التخییر، و لیس ذلک لکونه من قبیل تلک المسألة، فالقیاس فی غیر محلّه؛ لما لا یتردّد العقل فی درکه؛ لأنّه إمّا یدرک التخییر، أو یدرک التعیین من الأوّل؛ لعدم حصول المؤمّن من العقاب فی ناحیة خاصّة، و لا بدّ من العلم بالمؤمّن منه</w:t>
      </w:r>
      <w:r>
        <w:rPr>
          <w:rFonts w:eastAsia="IRNazanin" w:cs="IRNazanin"/>
          <w:color w:val="111111"/>
          <w:sz w:val="28"/>
          <w:szCs w:val="28"/>
          <w:rtl w:val="true"/>
          <w:lang w:bidi="fa-IR"/>
        </w:rPr>
        <w:t>.</w:t>
      </w:r>
    </w:p>
    <w:p>
      <w:pPr>
        <w:pStyle w:val="Heading6"/>
        <w:numPr>
          <w:ilvl w:val="5"/>
          <w:numId w:val="1"/>
        </w:numPr>
        <w:rPr/>
      </w:pPr>
      <w:bookmarkStart w:id="571" w:name="__RefHeading___Toc735081_3244359995"/>
      <w:bookmarkStart w:id="572" w:name="_Toc215"/>
      <w:bookmarkEnd w:id="571"/>
      <w:r>
        <w:rPr>
          <w:rtl w:val="true"/>
        </w:rPr>
        <w:t>ثالثتها</w:t>
      </w:r>
      <w:r>
        <w:rPr>
          <w:rtl w:val="true"/>
        </w:rPr>
        <w:t xml:space="preserve">: </w:t>
      </w:r>
      <w:r>
        <w:rPr>
          <w:rtl w:val="true"/>
        </w:rPr>
        <w:t>فی ترجّح ما لا تجری البراءة فیه خاصّة علی الآخر</w:t>
      </w:r>
      <w:bookmarkEnd w:id="572"/>
    </w:p>
    <w:p>
      <w:pPr>
        <w:pStyle w:val="BookText"/>
        <w:rPr/>
      </w:pPr>
      <w:r>
        <w:rPr>
          <w:rFonts w:ascii="IRNazanin" w:hAnsi="IRNazanin" w:eastAsia="IRNazanin"/>
          <w:color w:val="111111"/>
          <w:sz w:val="28"/>
          <w:sz w:val="28"/>
          <w:szCs w:val="28"/>
          <w:rtl w:val="true"/>
          <w:lang w:bidi="fa-IR"/>
        </w:rPr>
        <w:t>یجوز منع جریان البراءة العقلیّة و الشرعیّة أحیانا فی الشبهات البدویّة، کما أنّه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بإطلاق دلیل رفع الاضطرار و الاستکراه، غیر جائز فما إذا کان المکره علیه من الامور المهتمّ بها، کهدم الکعبة، وردّ الدین و الإسلام، و لا سیّما بالنسبة إلی بعض رؤساء الطائفة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الدوران، إن کان أحد الطرفین ممّا لا تجری فیه البراءة العقلیّة أو الشرعیّة، کما لو کانت فی الشبهات البدویّة؛ لأجل الأکثریّة المقرونة بالأقوائیّة مثلا و هکذا، فلا بدّ أن یتعیّن الطرف الآخر و هو الترک مثلا، و إلّا فالبراءتان جاریتان، و الاصول النافیة باقیة علی حالها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إدراک التخییر؛ لأنّ الخروج عن التساوی بمجرّد أکثریّة الاحتمال، و أقوائیّة الملاک عند الإصابة، لا یکفی لعدم درک التخییر</w:t>
      </w:r>
      <w:r>
        <w:rPr>
          <w:rFonts w:eastAsia="IRNazanin" w:cs="IRNazanin"/>
          <w:color w:val="111111"/>
          <w:sz w:val="28"/>
          <w:szCs w:val="28"/>
          <w:rtl w:val="true"/>
          <w:lang w:bidi="fa-IR"/>
        </w:rPr>
        <w:t>.</w:t>
      </w:r>
      <w:bookmarkStart w:id="573" w:name="pg13173_324951"/>
    </w:p>
    <w:p>
      <w:pPr>
        <w:pStyle w:val="Heading6"/>
        <w:numPr>
          <w:ilvl w:val="5"/>
          <w:numId w:val="1"/>
        </w:numPr>
        <w:rPr/>
      </w:pPr>
      <w:bookmarkStart w:id="574" w:name="__RefHeading___Toc735083_3244359995"/>
      <w:bookmarkStart w:id="575" w:name="_Toc216"/>
      <w:bookmarkEnd w:id="573"/>
      <w:bookmarkEnd w:id="574"/>
      <w:r>
        <w:rPr>
          <w:rtl w:val="true"/>
        </w:rPr>
        <w:t>تحقیق و إفاضة</w:t>
      </w:r>
      <w:bookmarkEnd w:id="575"/>
    </w:p>
    <w:p>
      <w:pPr>
        <w:pStyle w:val="BookText"/>
        <w:rPr/>
      </w:pPr>
      <w:r>
        <w:rPr>
          <w:rFonts w:ascii="IRNazanin" w:hAnsi="IRNazanin" w:eastAsia="IRNazanin"/>
          <w:color w:val="111111"/>
          <w:sz w:val="28"/>
          <w:sz w:val="28"/>
          <w:szCs w:val="28"/>
          <w:rtl w:val="true"/>
          <w:lang w:bidi="fa-IR"/>
        </w:rPr>
        <w:t>إذا کان جریان البراءات الثلاث، ممنوعا فی موارد الشبهات المهتمّ بها، فلمنع جریانها فی الشبهات البدویّة وجه؛ لاحتمال کونها من الامور المهتمّ بها الخارجة لبّا عن مصبّ القاعدة العقلیّة، و إذن فیما نحن فیه فمنع جریان البراءة العقلیّة و العقلائیّة واضح؛ لأنّ العقل یدرک لزوم الأمن من العقاب، و هو لا یحصل إلّا فی موارد القطع بعدم کون الشبهة ممّا یهتمّ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البراءتین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فهی و ان کانت لفظیّة، فتجری فی موارد الشکّ؛ لأنّ الخارج لبّا عن إطلاقها، لا یضرّ بصحّة التمسّک به عند الشکّ و الشبهة، و لکن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الشرعیّة بما هی هی، لا أساس لها إلّا بالنسبة إلی مناشئ العقاب، کالأحکام التکلیفیّة، أو الوضعیّة</w:t>
      </w:r>
      <w:r>
        <w:rPr>
          <w:rStyle w:val="FootnoteAnchor"/>
          <w:rtl w:val="true"/>
        </w:rPr>
        <w:footnoteReference w:id="738"/>
      </w:r>
      <w:r>
        <w:rPr>
          <w:rFonts w:ascii="IRNazanin" w:hAnsi="IRNazanin" w:eastAsia="IRNazanin"/>
          <w:color w:val="111111"/>
          <w:sz w:val="28"/>
          <w:sz w:val="28"/>
          <w:szCs w:val="28"/>
          <w:rtl w:val="true"/>
          <w:lang w:bidi="fa-IR"/>
        </w:rPr>
        <w:t>، و أمّا بالنسبة إلی العقاب و لزوم القطع بالأمن، فلا معنی لجریانها؛ لأنّ جعل حجّیة الخبر الواحد و الظواهر، لا ینافی تخلّفها عن الواقع، فلا یحصل القطع بالأمن من العقاب بالدلیل اللفظیّ؛ ما دام لم یرجع إلی العقل المدرک لقبح العقاب و امتناعه مع قیام الدلیل علی البراءة لفظا، فالبراءة اللفظیّة بالنسبة إلی التأمین من العقاب، لا أصل لها مادام لم تنضمّ إلیها البراءة الشرعیّة، و نتیجة هذه الشبهة هو الاحتیاط علی الإطلاق، و لا سیّما فیما نحن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أمکن دفع الشبهة فی مطلق الشبهات البدویّة؛ نظرا إلی کشف عدم الأهمیّة بعدم وصول البیان من الشرع، و عدم اتضاحها؛ ضرورة أنّها لو کانت ممّا یهتمّ بها لکان یصل إلینا ذلک الحکم، لا یمکن ذلک فیما نحن فیه بعد تراکم هذه الامور الموجهة للاهتمام الاحتمالیّ، فلو دار المحذوران بین الحرمة التی هی من الکبائر لو کانت واقعیّة، و بین الوجوب الذی یکون ترکه من الصغائر إذا أصاب،</w:t>
      </w:r>
    </w:p>
    <w:p>
      <w:pPr>
        <w:pStyle w:val="BookText"/>
        <w:rPr/>
      </w:pPr>
      <w:r>
        <w:rPr>
          <w:rFonts w:ascii="IRNazanin" w:hAnsi="IRNazanin" w:eastAsia="IRNazanin"/>
          <w:color w:val="111111"/>
          <w:sz w:val="28"/>
          <w:sz w:val="28"/>
          <w:szCs w:val="28"/>
          <w:rtl w:val="true"/>
          <w:lang w:bidi="fa-IR"/>
        </w:rPr>
        <w:t>و کانت الشبهة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البراءات الثلاث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جریان البراءة اللفظیّة؛ لأجل أنّ مفاد حدیث الرفع نفی المنشأ للعقاب، و هو الحکم الواقعیّ، و أمّا نفی العقاب و التنجیز، فلا یمکن إلّا برجوعه إلی البراءة العقلیّة؛ و أنّه إذا کان العقاب بلا بیان قبیحا، فالعقاب مع البیان علی خلاف الحکم الواقعیّ، یکون أقبح عقلا، و فی موارد البراءة اللفظیّة یکون سندها البراءة العقلیّة بالمعنی الأخیر، فافهم و تدبّر جیّدا، و تأمّل؛ فإنّه حقیق به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قبیح و ممتنع علی المولی فی مورد کان له المرام الجدّی، و لم یصل البیان، و فی مورد وصول البیان و مخالفته للواقع، و فی مورد وصول البیان و موافقته للواقع، و فی موارد الرفع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یجمعها أنّ العقاب جزافا ممتنع و قبیح، و لا یختصّ بالمورد الأوّل، و لا یأمن الإنسان من العقاب عقلا إلّا بذلک؛ سواء وصل البیان علی عدم العقاب، أو علی عدم التکلیف؛ لإمکان صدوره فی الموردین، کما فی مورد عدم البیان، فما دام لم ینسدّ هذا الإمکان لا یحصل الأمان، فالبراءة اللفظیّة من غیر کونها متّکئة أو مستندة إلی العقلیّة، لا أساس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بعد اعتضادها بالبراءة العقلیّة، یتمسّک باللفظیّة و الشرعیّة لرفع مناشئ العقاب، کالتکلیف و الوضع، کما مرّ فی محلّه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نتیجة هذا البیان؛ عدم جواز التفکیک بین البراءة الشرعیّة و العقلیّة، بإجراء الاولی دون الثانیة؛ لأنّ حقیقة البراءة فی الثانیة، ترجع إلی المعنی الأعمّ، و ما مرّ فی هذا الکتاب من التفکیک </w:t>
      </w:r>
      <w:r>
        <w:rPr>
          <w:rStyle w:val="FootnoteAnchor"/>
          <w:rtl w:val="true"/>
        </w:rPr>
        <w:footnoteReference w:id="740"/>
      </w:r>
      <w:r>
        <w:rPr>
          <w:rFonts w:ascii="IRNazanin" w:hAnsi="IRNazanin" w:eastAsia="IRNazanin"/>
          <w:color w:val="111111"/>
          <w:sz w:val="28"/>
          <w:sz w:val="28"/>
          <w:szCs w:val="28"/>
          <w:rtl w:val="true"/>
          <w:lang w:bidi="fa-IR"/>
        </w:rPr>
        <w:t>، فهو فی غیر محلّه، أو محمول علی التسامح</w:t>
      </w:r>
      <w:r>
        <w:rPr>
          <w:rFonts w:eastAsia="IRNazanin" w:cs="IRNazanin"/>
          <w:color w:val="111111"/>
          <w:sz w:val="28"/>
          <w:szCs w:val="28"/>
          <w:rtl w:val="true"/>
          <w:lang w:bidi="fa-IR"/>
        </w:rPr>
        <w:t>.</w:t>
      </w:r>
      <w:bookmarkStart w:id="576" w:name="pg13173_324953"/>
    </w:p>
    <w:p>
      <w:pPr>
        <w:pStyle w:val="Heading6"/>
        <w:numPr>
          <w:ilvl w:val="5"/>
          <w:numId w:val="1"/>
        </w:numPr>
        <w:rPr/>
      </w:pPr>
      <w:bookmarkStart w:id="577" w:name="__RefHeading___Toc735085_3244359995"/>
      <w:bookmarkStart w:id="578" w:name="_Toc217"/>
      <w:bookmarkEnd w:id="576"/>
      <w:bookmarkEnd w:id="577"/>
      <w:r>
        <w:rPr>
          <w:rtl w:val="true"/>
        </w:rPr>
        <w:t>المسألة الثالثة</w:t>
      </w:r>
      <w:r>
        <w:rPr>
          <w:rtl w:val="true"/>
        </w:rPr>
        <w:t xml:space="preserve">: </w:t>
      </w:r>
      <w:r>
        <w:rPr>
          <w:rtl w:val="true"/>
        </w:rPr>
        <w:t>فی تعدّد الوقائع المقتضی لتعدّد التکلیف</w:t>
      </w:r>
      <w:bookmarkEnd w:id="578"/>
    </w:p>
    <w:p>
      <w:pPr>
        <w:pStyle w:val="Heading6"/>
        <w:numPr>
          <w:ilvl w:val="5"/>
          <w:numId w:val="1"/>
        </w:numPr>
        <w:rPr/>
      </w:pPr>
      <w:bookmarkStart w:id="579" w:name="__RefHeading___Toc735087_3244359995"/>
      <w:bookmarkStart w:id="580" w:name="_Toc218"/>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إذا تعدّدت الوقائع، و اقتضی ذلک تعدّد التکلیف، کما فیما إذا علم إجمالا بأمر والده بالنسبة إلی صوم جمعات شهر رجب، أو نهیه عنه، أو امر بشرب أحد الإناءین، و نهی عن شرب الآخر، و لا یدری المأمور به المنهیّ عنه، أو تردّد فی أنّه امر بالسفر غدا، و نهی عنه بعد غد، أو یکون بالعکس، فإنّ فی جمیع هذه الصور یمکن الموافقة الاحتمالیّة، و یمکن المخالفة القطعیّة، و الموافقة القطعیّة، و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هنا حول صور إمکان الجمع بین القطعیّتین، المنتهی إلی البحث عن أنّه هل یکون التخییر بدویّا، أو استمراریّا؟</w:t>
      </w:r>
    </w:p>
    <w:p>
      <w:pPr>
        <w:pStyle w:val="BookText"/>
        <w:rPr/>
      </w:pPr>
      <w:r>
        <w:rPr>
          <w:rFonts w:ascii="IRNazanin" w:hAnsi="IRNazanin" w:eastAsia="IRNazanin"/>
          <w:color w:val="111111"/>
          <w:sz w:val="28"/>
          <w:sz w:val="28"/>
          <w:szCs w:val="28"/>
          <w:rtl w:val="true"/>
          <w:lang w:bidi="fa-IR"/>
        </w:rPr>
        <w:t>و أمّا فیما إذا کان الحکم واحدا غیر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بنحو العامّ المجموعیّ، کصیام جمعات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مندرج فی المسألة الاولی، و البحث عن الامتیاز هنا غیر مخصوص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بعد الفراغ من تنجیز العلم الإجمالیّ فی التدریجیّات، کما هو کذلک فی الدفعیّات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 جمیع الصور هو بالخیار دائما، کما هو مختار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الأراکیّ </w:t>
      </w:r>
      <w:r>
        <w:rPr>
          <w:rStyle w:val="FootnoteAnchor"/>
          <w:rtl w:val="true"/>
        </w:rPr>
        <w:footnoteReference w:id="742"/>
      </w:r>
      <w:r>
        <w:rPr>
          <w:rFonts w:ascii="IRNazanin" w:hAnsi="IRNazanin" w:eastAsia="IRNazanin"/>
          <w:color w:val="111111"/>
          <w:sz w:val="28"/>
          <w:sz w:val="28"/>
          <w:szCs w:val="28"/>
          <w:rtl w:val="true"/>
          <w:lang w:bidi="fa-IR"/>
        </w:rPr>
        <w:t xml:space="preserve">و النائینیّ رحمهما اللّه </w:t>
      </w:r>
      <w:r>
        <w:rPr>
          <w:rStyle w:val="FootnoteAnchor"/>
          <w:rtl w:val="true"/>
        </w:rPr>
        <w:footnoteReference w:id="743"/>
      </w: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یکون التخییر بدویّا، فلا تجوز المخالفة القطعیّة و إن کانت تلازم الموافقة</w:t>
      </w:r>
    </w:p>
    <w:p>
      <w:pPr>
        <w:pStyle w:val="BookText"/>
        <w:rPr/>
      </w:pPr>
      <w:r>
        <w:rPr>
          <w:rFonts w:ascii="IRNazanin" w:hAnsi="IRNazanin" w:eastAsia="IRNazanin"/>
          <w:color w:val="111111"/>
          <w:sz w:val="28"/>
          <w:sz w:val="28"/>
          <w:szCs w:val="28"/>
          <w:rtl w:val="true"/>
          <w:lang w:bidi="fa-IR"/>
        </w:rPr>
        <w:t xml:space="preserve">القطعیّة، کما علیه بعض المعاصرین </w:t>
      </w:r>
      <w:r>
        <w:rPr>
          <w:rStyle w:val="FootnoteAnchor"/>
          <w:rtl w:val="true"/>
        </w:rPr>
        <w:footnoteReference w:id="7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هو الوجه لکون التخییر بدویّا؛ أنّ العلم الإجمالیّ کما یقتضی عقلا ممنوعیّة المخالفة القطعیّة عند الإمکان، یقتضی الموافقة الاحتمالیّة، و إذا علم إجمالا بحرمة شرب هذا الإناء و وجوب ذاک، یعلم إجمالا بحرمة شرب هذا الإناء، أو وجوب ذاک الإناء، و هذا العلم الإجمالیّ یقتضی الموافقة الاحتمالیّة الدائمیّة، و یمنع عن التخییر الاستمراریّ المستلزم للمخالفة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بالنسبة إلی أحد الأیّام أو أحد الإناءین، لا یؤثّر فی شی‌ء، و لکن هناک علم إجمالیّ آخر بحرمة شرب هذا الإناء، و وجوب شرب الإناء الآخر، أو حرمة صوم هذا الیوم، أو وجوب صوم الجمعة الآتیة، و هذا و إن لم یؤثّر بالنسبة إلی الموافقة القطعیّة، و لکنّه یؤثّر بالنسبة إلی المخالفة القطعیّة الممکن الفرار منها بالاختیار البدویّ، لا الدائمیّ، فلا یجوز خلط الإناءین و شربهما؛ و لو کانت فیه الموافقة القطعیّة، و لا شرب أحدهما أوّلا، ثمّ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الدفعیّات و التدریجیّات العرضیّة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واضح؛ ضرورة أنّ من الأقوال فی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بالنسبة إلی المخالفة القطعیّة تامّ الاقتضاء و علّة تامّة، دون الموافقة القطعیّة</w:t>
      </w:r>
      <w:r>
        <w:rPr>
          <w:rStyle w:val="FootnoteAnchor"/>
          <w:rtl w:val="true"/>
        </w:rPr>
        <w:footnoteReference w:id="745"/>
      </w:r>
      <w:r>
        <w:rPr>
          <w:rFonts w:ascii="IRNazanin" w:hAnsi="IRNazanin" w:eastAsia="IRNazanin"/>
          <w:color w:val="111111"/>
          <w:sz w:val="28"/>
          <w:sz w:val="28"/>
          <w:szCs w:val="28"/>
          <w:rtl w:val="true"/>
          <w:lang w:bidi="fa-IR"/>
        </w:rPr>
        <w:t>، فعندئذ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الثانی، یؤثّر بالنسبة إلی المخالفة القطعیّة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هو المعروف عند أبناء التحقیق؛ من عدم الفرق بین آثاره </w:t>
      </w:r>
      <w:r>
        <w:rPr>
          <w:rStyle w:val="FootnoteAnchor"/>
          <w:rtl w:val="true"/>
        </w:rPr>
        <w:footnoteReference w:id="746"/>
      </w:r>
      <w:r>
        <w:rPr>
          <w:rFonts w:ascii="IRNazanin" w:hAnsi="IRNazanin" w:eastAsia="IRNazanin"/>
          <w:color w:val="111111"/>
          <w:sz w:val="28"/>
          <w:sz w:val="28"/>
          <w:szCs w:val="28"/>
          <w:rtl w:val="true"/>
          <w:lang w:bidi="fa-IR"/>
        </w:rPr>
        <w:t>، فالعلم الإجمالیّ الثانی علّة تامّة بالنسبة إلی الموافقة القطعیّة، و هی أیضا ممکنة</w:t>
      </w:r>
    </w:p>
    <w:p>
      <w:pPr>
        <w:pStyle w:val="BookText"/>
        <w:rPr/>
      </w:pPr>
      <w:r>
        <w:rPr>
          <w:rFonts w:ascii="IRNazanin" w:hAnsi="IRNazanin" w:eastAsia="IRNazanin"/>
          <w:color w:val="111111"/>
          <w:sz w:val="28"/>
          <w:sz w:val="28"/>
          <w:szCs w:val="28"/>
          <w:rtl w:val="true"/>
          <w:lang w:bidi="fa-IR"/>
        </w:rPr>
        <w:t xml:space="preserve">بالضرورة فیلزم، و النتیجة هی التخییر الاستمراریّ، و لأجل هذه الجهة ذهب المعظم إلی التخییر و عدم الترجیح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ذکرنا فی موضع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بعض الموازین العقلیّة الخارجة عن نطاق طلّاب العلوم الاعتباریّة؛ أن الاشتغال الیقینیّ لا یقتضی إلّا ممنوعیّة المخالفة القطعیّة، و أمّا الموافقة العلمیّة فلا أثر لها</w:t>
      </w:r>
      <w:r>
        <w:rPr>
          <w:rStyle w:val="FootnoteAnchor"/>
          <w:rtl w:val="true"/>
        </w:rPr>
        <w:footnoteReference w:id="748"/>
      </w:r>
      <w:r>
        <w:rPr>
          <w:rFonts w:ascii="IRNazanin" w:hAnsi="IRNazanin" w:eastAsia="IRNazanin"/>
          <w:color w:val="111111"/>
          <w:sz w:val="28"/>
          <w:sz w:val="28"/>
          <w:szCs w:val="28"/>
          <w:rtl w:val="true"/>
          <w:lang w:bidi="fa-IR"/>
        </w:rPr>
        <w:t>، و ما هو موجب للآثار السیّئة هی المخالفة القطعیّة للمولی، فلو شکّ مثلا فی أنّه أتی بما هو الواجب علیه، و احتمل إتیانه، فلا یبعد جریان البراءة الشرعیّة، علی تأمّل فیه جدّا، و علی هذا لا تجوز المخالفة القطعیّة؛ لأنّها تستتبع الآثار السیّئة فی تبعات الأعمال، بخلاف الموافقة القطعیّة، فإنّه لا أثر لها فی حدّ ذاتها، و علی هذا لا بدّ من اختیار التخییر البدویّ، دون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التخییر استمراریّا و لو کان العلم الإجمالیّ مقتضیا بالنسبة إلی الموافقة القطعیّة، و علّة بالنسبة إلی المخالفة القطعیّة؛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إمکان الترخیص الشرعیّ، و هو هنا مفقود، فما فی کلام العلّامة الأراکیّ </w:t>
      </w:r>
      <w:r>
        <w:rPr>
          <w:rStyle w:val="FootnoteAnchor"/>
          <w:rtl w:val="true"/>
        </w:rPr>
        <w:footnoteReference w:id="749"/>
      </w:r>
      <w:r>
        <w:rPr>
          <w:rFonts w:ascii="IRNazanin" w:hAnsi="IRNazanin" w:eastAsia="IRNazanin"/>
          <w:color w:val="111111"/>
          <w:sz w:val="28"/>
          <w:sz w:val="28"/>
          <w:szCs w:val="28"/>
          <w:rtl w:val="true"/>
          <w:lang w:bidi="fa-IR"/>
        </w:rPr>
        <w:t>غیر واقع فی محلّه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یمکن دعوی أنّ الفرق بین الاقتضاء و العلّیة، کما یظهر فی ذاک المورد، یظهر هنا أیضا، و یکون العلم الإجمالیّ مؤثّرا بالقیاس إلی المخالفة، دون الموافقة، فلا تخلط</w:t>
      </w:r>
      <w:r>
        <w:rPr>
          <w:rFonts w:eastAsia="IRNazanin" w:cs="IRNazanin"/>
          <w:color w:val="111111"/>
          <w:sz w:val="28"/>
          <w:szCs w:val="28"/>
          <w:rtl w:val="true"/>
          <w:lang w:bidi="fa-IR"/>
        </w:rPr>
        <w:t>.</w:t>
      </w:r>
      <w:bookmarkStart w:id="581" w:name="pg13173_324956"/>
    </w:p>
    <w:p>
      <w:pPr>
        <w:pStyle w:val="Heading6"/>
        <w:numPr>
          <w:ilvl w:val="5"/>
          <w:numId w:val="1"/>
        </w:numPr>
        <w:rPr/>
      </w:pPr>
      <w:bookmarkStart w:id="582" w:name="__RefHeading___Toc735089_3244359995"/>
      <w:bookmarkStart w:id="583" w:name="_Toc219"/>
      <w:bookmarkEnd w:id="581"/>
      <w:bookmarkEnd w:id="582"/>
      <w:r>
        <w:rPr>
          <w:rtl w:val="true"/>
        </w:rPr>
        <w:t>تتمیم</w:t>
      </w:r>
      <w:r>
        <w:rPr>
          <w:rtl w:val="true"/>
        </w:rPr>
        <w:t xml:space="preserve">: </w:t>
      </w:r>
      <w:r>
        <w:rPr>
          <w:rtl w:val="true"/>
        </w:rPr>
        <w:t>فی بیان کیفیّة الموافقة الاحتمالیّة فی المقام</w:t>
      </w:r>
      <w:bookmarkEnd w:id="583"/>
    </w:p>
    <w:p>
      <w:pPr>
        <w:pStyle w:val="BookText"/>
        <w:rPr/>
      </w:pPr>
      <w:r>
        <w:rPr>
          <w:rFonts w:ascii="IRNazanin" w:hAnsi="IRNazanin" w:eastAsia="IRNazanin"/>
          <w:color w:val="111111"/>
          <w:sz w:val="28"/>
          <w:sz w:val="28"/>
          <w:szCs w:val="28"/>
          <w:rtl w:val="true"/>
          <w:lang w:bidi="fa-IR"/>
        </w:rPr>
        <w:t xml:space="preserve">قد عرفت فی المقدّمات السابقة، عدم الفرق بین التوصّلیات و التعبّدیات </w:t>
      </w:r>
      <w:r>
        <w:rPr>
          <w:rStyle w:val="FootnoteAnchor"/>
          <w:rtl w:val="true"/>
        </w:rPr>
        <w:footnoteReference w:id="750"/>
      </w:r>
      <w:r>
        <w:rPr>
          <w:rFonts w:ascii="IRNazanin" w:hAnsi="IRNazanin" w:eastAsia="IRNazanin"/>
          <w:color w:val="111111"/>
          <w:sz w:val="28"/>
          <w:sz w:val="28"/>
          <w:szCs w:val="28"/>
          <w:rtl w:val="true"/>
          <w:lang w:bidi="fa-IR"/>
        </w:rPr>
        <w:t>و أنّ إتیان الفریضة بلا قصد القربة، أو بلا رکوع أو سجود، أو بلا وضوء، یکون فیه احتمال الموافقة لحرمتها، فقد امتثل النهی المعلوم بالإجمال احتمالا؛ و إن عصی النهی المعلوم بالتفصیل، و هو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یجری فی التوصّلیات إذا أتی بالفعل تدیّنا به و تشریعا، فإنّه قد امتثل الأمر التوصّلی احتمالا، و خالف المولی قطعا بالنسبة إلی النهی المعلوم عن البدعة و التشریع، فما فی کلام الأعلام صدرا و ذیلا</w:t>
      </w:r>
      <w:r>
        <w:rPr>
          <w:rStyle w:val="FootnoteAnchor"/>
          <w:rtl w:val="true"/>
        </w:rPr>
        <w:footnoteReference w:id="751"/>
      </w:r>
      <w:r>
        <w:rPr>
          <w:rFonts w:ascii="IRNazanin" w:hAnsi="IRNazanin" w:eastAsia="IRNazanin"/>
          <w:color w:val="111111"/>
          <w:sz w:val="28"/>
          <w:sz w:val="28"/>
          <w:szCs w:val="28"/>
          <w:rtl w:val="true"/>
          <w:lang w:bidi="fa-IR"/>
        </w:rPr>
        <w:t>، لا یرجع إلی محصّل، فافهم</w:t>
      </w:r>
      <w:r>
        <w:rPr>
          <w:rFonts w:eastAsia="IRNazanin" w:cs="IRNazanin"/>
          <w:color w:val="111111"/>
          <w:sz w:val="28"/>
          <w:szCs w:val="28"/>
          <w:rtl w:val="true"/>
          <w:lang w:bidi="fa-IR"/>
        </w:rPr>
        <w:t>.</w:t>
      </w:r>
    </w:p>
    <w:p>
      <w:pPr>
        <w:pStyle w:val="Heading6"/>
        <w:numPr>
          <w:ilvl w:val="5"/>
          <w:numId w:val="1"/>
        </w:numPr>
        <w:rPr/>
      </w:pPr>
      <w:bookmarkStart w:id="584" w:name="__RefHeading___Toc735091_3244359995"/>
      <w:bookmarkStart w:id="585" w:name="_Toc220"/>
      <w:bookmarkEnd w:id="584"/>
      <w:r>
        <w:rPr>
          <w:rtl w:val="true"/>
        </w:rPr>
        <w:t>تذنیب</w:t>
      </w:r>
      <w:r>
        <w:rPr>
          <w:rtl w:val="true"/>
        </w:rPr>
        <w:t xml:space="preserve">: </w:t>
      </w:r>
      <w:r>
        <w:rPr>
          <w:rtl w:val="true"/>
        </w:rPr>
        <w:t>فی دوران الأحکام الوضعیّة بین محذورین</w:t>
      </w:r>
      <w:bookmarkEnd w:id="585"/>
    </w:p>
    <w:p>
      <w:pPr>
        <w:pStyle w:val="BookText"/>
        <w:rPr/>
      </w:pPr>
      <w:r>
        <w:rPr>
          <w:rFonts w:ascii="IRNazanin" w:hAnsi="IRNazanin" w:eastAsia="IRNazanin"/>
          <w:color w:val="111111"/>
          <w:sz w:val="28"/>
          <w:sz w:val="28"/>
          <w:szCs w:val="28"/>
          <w:rtl w:val="true"/>
          <w:lang w:bidi="fa-IR"/>
        </w:rPr>
        <w:t>ربّما یبتلی المکلّف فی الأحکام الوضعیّة بین المحذورین، فیدور أمره بین وجوب رعایة شی‌ء؛ لکونه شرطا، أو ترکه؛ لکونه مانعا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النهوض فی القیام، و شکّ فی السجدة، و لم یثبت أنّه من التجاوز، فإنّه هل یجب علیه المضیّ، أو یجب علیه العود، فیکون المحذوران دائرین بین الوجوبین، أو یجب علیه المضیّ أم یحرم علیه العود، فیکون المحذوران بین الوجوب و الحرمة، إلّا أنّهما عقلیّان، و لیسا شرعیّین، کما أنّهما عقلیّان فی الصورة الاولی؟</w:t>
      </w:r>
      <w:bookmarkStart w:id="586" w:name="pg13173_324957"/>
    </w:p>
    <w:p>
      <w:pPr>
        <w:pStyle w:val="BookText"/>
        <w:rPr/>
      </w:pPr>
      <w:bookmarkEnd w:id="586"/>
      <w:r>
        <w:rPr>
          <w:rFonts w:ascii="IRNazanin" w:hAnsi="IRNazanin" w:eastAsia="IRNazanin"/>
          <w:color w:val="111111"/>
          <w:sz w:val="28"/>
          <w:sz w:val="28"/>
          <w:szCs w:val="28"/>
          <w:rtl w:val="true"/>
          <w:lang w:bidi="fa-IR"/>
        </w:rPr>
        <w:t>فعلی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الشیخ رحمه اللّه إلی التخییر</w:t>
      </w:r>
      <w:r>
        <w:rPr>
          <w:rStyle w:val="FootnoteAnchor"/>
          <w:rtl w:val="true"/>
        </w:rPr>
        <w:footnoteReference w:id="752"/>
      </w:r>
      <w:r>
        <w:rPr>
          <w:rFonts w:ascii="IRNazanin" w:hAnsi="IRNazanin" w:eastAsia="IRNazanin"/>
          <w:color w:val="111111"/>
          <w:sz w:val="28"/>
          <w:sz w:val="28"/>
          <w:szCs w:val="28"/>
          <w:rtl w:val="true"/>
          <w:lang w:bidi="fa-IR"/>
        </w:rPr>
        <w:t>، و استشکل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خروج عن البحث؛ إمّا لجواز إبطال الصلاة لقصور دلیل حرمته، أو لإمکان الاحتیاط بالتکرار</w:t>
      </w:r>
      <w:r>
        <w:rPr>
          <w:rStyle w:val="FootnoteAnchor"/>
          <w:rtl w:val="true"/>
        </w:rPr>
        <w:footnoteReference w:id="753"/>
      </w:r>
      <w:r>
        <w:rPr>
          <w:rFonts w:ascii="IRNazanin" w:hAnsi="IRNazanin" w:eastAsia="IRNazanin"/>
          <w:color w:val="111111"/>
          <w:sz w:val="28"/>
          <w:sz w:val="28"/>
          <w:szCs w:val="28"/>
          <w:rtl w:val="true"/>
          <w:lang w:bidi="fa-IR"/>
        </w:rPr>
        <w:t>، و الأوّل وجیه، و لکنّه ممّا لا یلتزمون به، و الثانی غیر وجیه لأنّه علی تقدیر إمکان الاحتیاط یبقی الکلام فی الصلاة التی هی بیده أنّه بالتخییر بین العود و المضیّ، أم فی خصوص ذلک الذی بیده یتعیّن علیه العود، فیثبت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أشرنا فی مطاوی ما مرّ إلی أنّ هذه الأمثلة و مثال صلاة الحائض، خارجة عن البحث </w:t>
      </w:r>
      <w:r>
        <w:rPr>
          <w:rStyle w:val="FootnoteAnchor"/>
          <w:rtl w:val="true"/>
        </w:rPr>
        <w:footnoteReference w:id="754"/>
      </w:r>
      <w:r>
        <w:rPr>
          <w:rFonts w:ascii="IRNazanin" w:hAnsi="IRNazanin" w:eastAsia="IRNazanin"/>
          <w:color w:val="111111"/>
          <w:sz w:val="28"/>
          <w:sz w:val="28"/>
          <w:szCs w:val="28"/>
          <w:rtl w:val="true"/>
          <w:lang w:bidi="fa-IR"/>
        </w:rPr>
        <w:t>لجریان استصحاب بقاء محلّ العود؛ لو کان یجری فی المفهومیّة من الشبهات، أو استصحاب بقاء الأمر الضمنیّ، أو لحکم العقل بالاشتغال؛ و أنّ الاشتغال الیقینیّ یقتضی البراءة الیقینیّة، فلا بدّ من العود، فاغتنم</w:t>
      </w:r>
      <w:r>
        <w:rPr>
          <w:rFonts w:eastAsia="IRNazanin" w:cs="IRNazanin"/>
          <w:color w:val="111111"/>
          <w:sz w:val="28"/>
          <w:szCs w:val="28"/>
          <w:rtl w:val="true"/>
          <w:lang w:bidi="fa-IR"/>
        </w:rPr>
        <w:t>.</w:t>
      </w:r>
    </w:p>
    <w:p>
      <w:pPr>
        <w:pStyle w:val="Heading6"/>
        <w:numPr>
          <w:ilvl w:val="5"/>
          <w:numId w:val="1"/>
        </w:numPr>
        <w:rPr/>
      </w:pPr>
      <w:bookmarkStart w:id="587" w:name="__RefHeading___Toc735093_3244359995"/>
      <w:bookmarkStart w:id="588" w:name="_Toc221"/>
      <w:bookmarkEnd w:id="587"/>
      <w:r>
        <w:rPr>
          <w:rtl w:val="true"/>
        </w:rPr>
        <w:t>إعادة و إفادة</w:t>
      </w:r>
      <w:r>
        <w:rPr>
          <w:rtl w:val="true"/>
        </w:rPr>
        <w:t xml:space="preserve">: </w:t>
      </w:r>
      <w:r>
        <w:rPr>
          <w:rtl w:val="true"/>
        </w:rPr>
        <w:t>فی تعیّن التخییر البدوی فی المقام</w:t>
      </w:r>
      <w:bookmarkEnd w:id="588"/>
    </w:p>
    <w:p>
      <w:pPr>
        <w:pStyle w:val="BookText"/>
        <w:rPr/>
      </w:pPr>
      <w:r>
        <w:rPr>
          <w:rFonts w:ascii="IRNazanin" w:hAnsi="IRNazanin" w:eastAsia="IRNazanin"/>
          <w:color w:val="111111"/>
          <w:sz w:val="28"/>
          <w:sz w:val="28"/>
          <w:szCs w:val="28"/>
          <w:rtl w:val="true"/>
          <w:lang w:bidi="fa-IR"/>
        </w:rPr>
        <w:t>لا شبهة فی أنّ العقل یدرک قبح المخالفة القطعیّة، و یدرک استحقاق العقوبة علیها، فعلی هذا فی الوقائع المتعدّدة إذا کان التخییر بدویّا، فلا یدرک استحقاق العقوبة، و یحتمل الموافقة حتّی فی العبادات إذا أتی بها رجاء، فیستحقّ المثوبة حتّی فی التوصّلیات مطلقا، أو إذا اختار التخییر البدویّ برجاء الإصابة، و فرارا عن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التخییر استمراریّا، فلا یدرک إلّا وجوب الجنّة و المثوبة، و هذا ممّا لا یجب علی العقل تحصیله، بخلاف إدراک استحقاق العقوبة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فیدور الأمر بین درک عدم استحقاق العقوبة قطعا فی التخییر البدویّ، و بین</w:t>
      </w:r>
      <w:bookmarkStart w:id="589" w:name="pg13173_324958"/>
    </w:p>
    <w:p>
      <w:pPr>
        <w:pStyle w:val="BookText"/>
        <w:rPr/>
      </w:pPr>
      <w:bookmarkEnd w:id="589"/>
      <w:r>
        <w:rPr>
          <w:rFonts w:ascii="IRNazanin" w:hAnsi="IRNazanin" w:eastAsia="IRNazanin"/>
          <w:color w:val="111111"/>
          <w:sz w:val="28"/>
          <w:sz w:val="28"/>
          <w:szCs w:val="28"/>
          <w:rtl w:val="true"/>
          <w:lang w:bidi="fa-IR"/>
        </w:rPr>
        <w:t xml:space="preserve">درک استحقاق العقوبة الملازم لدرک استحقاق المثوبة، و لا شبهة فی عدم استقلال العقل فی الثانی، کما فی المستحبّات، فالتخییر علی هذا بدویّ قطعا؛ و إن ذهب الأکثر إلی استمراریّته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735095_3244359995"/>
      <w:bookmarkStart w:id="591" w:name="_Toc222"/>
      <w:bookmarkEnd w:id="590"/>
      <w:r>
        <w:rPr>
          <w:rtl w:val="true"/>
        </w:rPr>
        <w:t>بقی شی‌ء</w:t>
      </w:r>
      <w:r>
        <w:rPr>
          <w:rtl w:val="true"/>
        </w:rPr>
        <w:t xml:space="preserve">: </w:t>
      </w:r>
      <w:r>
        <w:rPr>
          <w:rtl w:val="true"/>
        </w:rPr>
        <w:t>فی تردّد صوم شهر ما بین الحرمة و الوجوب</w:t>
      </w:r>
      <w:bookmarkEnd w:id="591"/>
    </w:p>
    <w:p>
      <w:pPr>
        <w:pStyle w:val="BookText"/>
        <w:rPr/>
      </w:pPr>
      <w:r>
        <w:rPr>
          <w:rFonts w:ascii="IRNazanin" w:hAnsi="IRNazanin" w:eastAsia="IRNazanin"/>
          <w:color w:val="111111"/>
          <w:sz w:val="28"/>
          <w:sz w:val="28"/>
          <w:szCs w:val="28"/>
          <w:rtl w:val="true"/>
          <w:lang w:bidi="fa-IR"/>
        </w:rPr>
        <w:t>بناء علی کون التخییر استمراریّا، فهل فی صورة تردّد صوم شهر رجب بین الحرمة و الوجوب، هو بالخیار علی الإطلاق، أو هو بالخیار بین صوم الأیّام، و ترک الأیّام بمقدار الأیّام التی صام فیها؛ حتّی تتساوی الموافقة القطعیّة و المخالفة القطعیّة؟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حراما کلّه، فصام إلی الیوم الآخر، فترک ذلک الیوم، فإنّه یعلم بالموافقة القطعیّة، و المخالفة القطعیّة، و یحتمل ازدیاد المخالفة علی الموافقة زیادة معتدّا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الحکم فی کلّ یوم، غیر الحکم فی الیوم الآخر، غیر کاف، بعد دخالة العقل فی حدود الإطاعة و العصیان؛ و أنّهما بید العقل، فتأمّل</w:t>
      </w:r>
      <w:r>
        <w:rPr>
          <w:rFonts w:eastAsia="IRNazanin" w:cs="IRNazanin"/>
          <w:color w:val="111111"/>
          <w:sz w:val="28"/>
          <w:szCs w:val="28"/>
          <w:rtl w:val="true"/>
          <w:lang w:bidi="fa-IR"/>
        </w:rPr>
        <w:t>.</w:t>
      </w:r>
      <w:bookmarkStart w:id="592" w:name="pg13173_324959"/>
    </w:p>
    <w:p>
      <w:pPr>
        <w:pStyle w:val="Heading2"/>
        <w:numPr>
          <w:ilvl w:val="1"/>
          <w:numId w:val="1"/>
        </w:numPr>
        <w:rPr/>
      </w:pPr>
      <w:bookmarkStart w:id="593" w:name="__RefHeading___Toc735097_3244359995"/>
      <w:bookmarkStart w:id="594" w:name="_Toc223"/>
      <w:bookmarkEnd w:id="592"/>
      <w:bookmarkEnd w:id="593"/>
      <w:r>
        <w:rPr>
          <w:rtl w:val="true"/>
        </w:rPr>
        <w:t>المقصد العاشر فی الاشتغال</w:t>
      </w:r>
      <w:bookmarkEnd w:id="59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5" w:name="__RefHeading___Toc735099_3244359995"/>
      <w:bookmarkStart w:id="596" w:name="_Toc224"/>
      <w:bookmarkEnd w:id="595"/>
      <w:r>
        <w:rPr>
          <w:rtl w:val="true"/>
        </w:rPr>
        <w:t>اشارة</w:t>
      </w:r>
      <w:bookmarkStart w:id="597" w:name="pg13173_324961"/>
      <w:bookmarkEnd w:id="596"/>
    </w:p>
    <w:p>
      <w:pPr>
        <w:pStyle w:val="Heading3"/>
        <w:numPr>
          <w:ilvl w:val="2"/>
          <w:numId w:val="1"/>
        </w:numPr>
        <w:rPr/>
      </w:pPr>
      <w:bookmarkStart w:id="598" w:name="__RefHeading___Toc735101_3244359995"/>
      <w:bookmarkStart w:id="599" w:name="_Toc225"/>
      <w:bookmarkEnd w:id="597"/>
      <w:bookmarkEnd w:id="598"/>
      <w:r>
        <w:rPr>
          <w:rtl w:val="true"/>
        </w:rPr>
        <w:t>تمهید حول الشکّ فی المکلّف به</w:t>
      </w:r>
      <w:bookmarkEnd w:id="599"/>
    </w:p>
    <w:p>
      <w:pPr>
        <w:pStyle w:val="Heading4"/>
        <w:numPr>
          <w:ilvl w:val="3"/>
          <w:numId w:val="1"/>
        </w:numPr>
        <w:rPr/>
      </w:pPr>
      <w:bookmarkStart w:id="600" w:name="__RefHeading___Toc735103_3244359995"/>
      <w:bookmarkStart w:id="601" w:name="_Toc226"/>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کان البحث فی المقصد السابق، حول مقتضی العقل و العقلاء و الشرع فی صورة الشکّ فی التکلیف، و قد عرفت أنّ ذلک هی البراءة</w:t>
      </w:r>
      <w:r>
        <w:rPr>
          <w:rStyle w:val="FootnoteAnchor"/>
          <w:rtl w:val="true"/>
        </w:rPr>
        <w:footnoteReference w:id="756"/>
      </w:r>
      <w:r>
        <w:rPr>
          <w:rFonts w:ascii="IRNazanin" w:hAnsi="IRNazanin" w:eastAsia="IRNazanin"/>
          <w:color w:val="111111"/>
          <w:sz w:val="28"/>
          <w:sz w:val="28"/>
          <w:szCs w:val="28"/>
          <w:rtl w:val="true"/>
          <w:lang w:bidi="fa-IR"/>
        </w:rPr>
        <w:t>، و ما ذکرناه أخیرا کان ینبغی ذکره فی تنبیهات الاشتغال، إلّا أنّ موافقة الأبرار و الأخیار أوقعتنا فیما لا ینبغی، و الأمر سهل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هذا المقصد، فیدور حول مقتضی العقل و العقلاء و الشرع، بعد العلم بالتکلیف و الإلزام، و أنّه هل یمکن الالتزام بالبراءة أیضا فی هذه الصورة؛ لأصل وجود الشکّ فی جهة من الجهات المربوطة بالتکلیف، أم لا؟ بعد معلومیّة لزوم الإطاعة و ممنوعیّة العصیان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التکلیف معلوما، و لم یکن شکّ فی جهة من تلک الجهات الآتیة، و بعد حرمة المخالفة القطعیّة حرمة عقلیّة، لا شرعیّة، و وجوب الموافقة القطعیّة مثلا وجوبا عقلیّا فی هذه الصورة، و یکفی درک ممنوعیّة المخالفة القطعیّة فی هذه الصورة لحصول الموافقة</w:t>
      </w:r>
      <w:bookmarkStart w:id="602" w:name="pg13173_324962"/>
    </w:p>
    <w:p>
      <w:pPr>
        <w:pStyle w:val="BookText"/>
        <w:rPr/>
      </w:pPr>
      <w:bookmarkEnd w:id="602"/>
      <w:r>
        <w:rPr>
          <w:rFonts w:ascii="IRNazanin" w:hAnsi="IRNazanin" w:eastAsia="IRNazanin"/>
          <w:color w:val="111111"/>
          <w:sz w:val="28"/>
          <w:sz w:val="28"/>
          <w:szCs w:val="28"/>
          <w:rtl w:val="true"/>
          <w:lang w:bidi="fa-IR"/>
        </w:rPr>
        <w:t>القطعیّة؛ لما لا شکّ فی شی‌ء ممّا یرتبط بالتکلیف المعلوم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ذکر بعض جهات قبل الخوض فی مباحث هذا المقصد</w:t>
      </w:r>
      <w:r>
        <w:rPr>
          <w:rFonts w:eastAsia="IRNazanin" w:cs="IRNazanin"/>
          <w:color w:val="111111"/>
          <w:sz w:val="28"/>
          <w:szCs w:val="28"/>
          <w:rtl w:val="true"/>
          <w:lang w:bidi="fa-IR"/>
        </w:rPr>
        <w:t>:</w:t>
      </w:r>
    </w:p>
    <w:p>
      <w:pPr>
        <w:pStyle w:val="Heading4"/>
        <w:numPr>
          <w:ilvl w:val="3"/>
          <w:numId w:val="1"/>
        </w:numPr>
        <w:rPr/>
      </w:pPr>
      <w:bookmarkStart w:id="603" w:name="__RefHeading___Toc735105_3244359995"/>
      <w:bookmarkStart w:id="604" w:name="_Toc227"/>
      <w:bookmarkEnd w:id="603"/>
      <w:r>
        <w:rPr>
          <w:rtl w:val="true"/>
        </w:rPr>
        <w:t>الجهة الاولی</w:t>
      </w:r>
      <w:r>
        <w:rPr>
          <w:rtl w:val="true"/>
        </w:rPr>
        <w:t xml:space="preserve">: </w:t>
      </w:r>
      <w:r>
        <w:rPr>
          <w:rtl w:val="true"/>
        </w:rPr>
        <w:t>فی أنحاء الشکوک فی المقام</w:t>
      </w:r>
      <w:bookmarkEnd w:id="604"/>
    </w:p>
    <w:p>
      <w:pPr>
        <w:pStyle w:val="BookText"/>
        <w:rPr/>
      </w:pPr>
      <w:r>
        <w:rPr>
          <w:rFonts w:ascii="IRNazanin" w:hAnsi="IRNazanin" w:eastAsia="IRNazanin"/>
          <w:color w:val="111111"/>
          <w:sz w:val="28"/>
          <w:sz w:val="28"/>
          <w:szCs w:val="28"/>
          <w:rtl w:val="true"/>
          <w:lang w:bidi="fa-IR"/>
        </w:rPr>
        <w:t>بعد العلم بالتکلیف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فی نوع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التکلیف مع العلم بنوعه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 متعلّقه المعبّر عنه أحیانا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تعبیر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الثانی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الشبهة 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بین الأمرین أو الامور المتباینة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 الاستقلالیّین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المحصّل و المحصّل الراجع إلی الشکّ فی الشبهة المفهومیّة، بعد العلم بالتکلیف و حدود المکلّف به، و لکنّه یکون الشکّ فی الجهة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حصول ذلک المحصّل المعلوم بهذا المحصّل، أم 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هذا المقصد، یرجع إلی جهة من الجهات الراجعة إلی التکلیف نفسه، أو متعلّقه، أو متعلّق متعلّقه، أو محصّل متعلّقه، أو غیر ذلک</w:t>
      </w:r>
      <w:r>
        <w:rPr>
          <w:rFonts w:eastAsia="IRNazanin" w:cs="IRNazanin"/>
          <w:color w:val="111111"/>
          <w:sz w:val="28"/>
          <w:szCs w:val="28"/>
          <w:rtl w:val="true"/>
          <w:lang w:bidi="fa-IR"/>
        </w:rPr>
        <w:t>.</w:t>
      </w:r>
      <w:bookmarkStart w:id="605" w:name="pg13173_324963"/>
    </w:p>
    <w:p>
      <w:pPr>
        <w:pStyle w:val="Heading4"/>
        <w:numPr>
          <w:ilvl w:val="3"/>
          <w:numId w:val="1"/>
        </w:numPr>
        <w:rPr/>
      </w:pPr>
      <w:bookmarkStart w:id="606" w:name="__RefHeading___Toc735107_3244359995"/>
      <w:bookmarkStart w:id="607" w:name="_Toc228"/>
      <w:bookmarkEnd w:id="605"/>
      <w:bookmarkEnd w:id="606"/>
      <w:r>
        <w:rPr>
          <w:rtl w:val="true"/>
        </w:rPr>
        <w:t>الجهة الثانیة</w:t>
      </w:r>
      <w:r>
        <w:rPr>
          <w:rtl w:val="true"/>
        </w:rPr>
        <w:t xml:space="preserve">: </w:t>
      </w:r>
      <w:r>
        <w:rPr>
          <w:rtl w:val="true"/>
        </w:rPr>
        <w:t>حول العناوین المذکورة فی المقام</w:t>
      </w:r>
      <w:bookmarkEnd w:id="607"/>
    </w:p>
    <w:p>
      <w:pPr>
        <w:pStyle w:val="Heading5"/>
        <w:numPr>
          <w:ilvl w:val="4"/>
          <w:numId w:val="1"/>
        </w:numPr>
        <w:rPr/>
      </w:pPr>
      <w:bookmarkStart w:id="608" w:name="__RefHeading___Toc735109_3244359995"/>
      <w:bookmarkStart w:id="609" w:name="_Toc229"/>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ربّما یعنون البحث هنا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فی المکلّف به</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و فیه أنّ فی موارد الشکّ فی نوع التکلیف، لیس الشکّ فی المکلّف به، بل و فی موارد الشکّ فی المحصّل، أیضا لا یکون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یعنون البحث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الاشتغال</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و هذا غیر تامّ؛ لعدم التزام جماعة بالاشتغال فی هذا المقصد، حتّی قیل بجواز ارتکاب جمیع الأطراف </w:t>
      </w:r>
      <w:r>
        <w:rPr>
          <w:rStyle w:val="FootnoteAnchor"/>
          <w:rtl w:val="true"/>
        </w:rPr>
        <w:footnoteReference w:id="759"/>
      </w:r>
      <w:r>
        <w:rPr>
          <w:rFonts w:ascii="IRNazanin" w:hAnsi="IRNazanin" w:eastAsia="IRNazanin"/>
          <w:color w:val="111111"/>
          <w:sz w:val="28"/>
          <w:sz w:val="28"/>
          <w:szCs w:val="28"/>
          <w:rtl w:val="true"/>
          <w:lang w:bidi="fa-IR"/>
        </w:rPr>
        <w:t>، فلیس الاشتغال أمرا مفروغا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الجهة المبحوث عنها هنا الجامعة لجمیع شتات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إن کان الشکّ فی الثبوت فالمرجع البراءة، و إن کان فی السقوط فالمرجع الاشتغال، و فیما نحن فیه یدور الأمر حول سقوط ما ثبت، و هذا هو الجامع بین تلک المسائل المختلفة؛ لأنّ التکلیف معلوم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معلومیّة التکلیف لیست مورد الخلاف، و إنّما الخلاف فی تنجّزه بالعلم الإجمالیّ، فعلی هذا یلزم الشکّ حینئذ فی التکلیف المنجّز و لو کان معلوما إجمالا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المیزان هو أنّه إذا علم المکلّف بجنس التکلیف أو نوعه و تردّد فی متعلّقه بین شیئین أو أزید، و أمکن له الاحتیاط، یصیر</w:t>
      </w:r>
    </w:p>
    <w:p>
      <w:pPr>
        <w:pStyle w:val="BookText"/>
        <w:rPr/>
      </w:pPr>
      <w:r>
        <w:rPr>
          <w:rFonts w:ascii="Amiri" w:hAnsi="Amiri" w:eastAsia="Amiri" w:cs="Amiri"/>
          <w:color w:val="111111"/>
          <w:sz w:val="28"/>
          <w:sz w:val="28"/>
          <w:szCs w:val="28"/>
          <w:rtl w:val="true"/>
          <w:lang w:bidi="ar-SA"/>
        </w:rPr>
        <w:t>الشکّ فی المکلّف به</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انتهی، غیر تامّ؛ لأنّ فی مورد العلم بالجنس، لیس المشکوک مکلّفا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الشکّ فی المحصّل، أیضا لیس الأمر کما تحرّر، فلا بدّ من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کما مرّ فی أوّل بحوث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هذه العناوین رموز إلی البحوث إجمالا، و لا ینبغی أن یجعل کلّ مفکّر عنوانا علی حدة حسب تفکیره فی المسألة، فکلّ واحد من العناوین جائز</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یعقل الجامع بین بحوث الاشتغال و المکلّف به؛ لأنّ أخذ کلّ عنوان یستلزم إشکالا، کما اشیر إلیه، و لا بدّ من عقد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الشکّ فی التکلیف لا یقتضی الاشتغال، خلافا للأخباریّین </w:t>
      </w:r>
      <w:r>
        <w:rPr>
          <w:rStyle w:val="FootnoteAnchor"/>
          <w:rtl w:val="true"/>
        </w:rPr>
        <w:footnoteReference w:id="762"/>
      </w:r>
      <w:r>
        <w:rPr>
          <w:rFonts w:ascii="IRNazanin" w:hAnsi="IRNazanin" w:eastAsia="IRNazanin"/>
          <w:color w:val="111111"/>
          <w:sz w:val="28"/>
          <w:sz w:val="28"/>
          <w:szCs w:val="28"/>
          <w:rtl w:val="true"/>
          <w:lang w:bidi="fa-IR"/>
        </w:rPr>
        <w:t>، فهل العلم الإجمالیّ بحکم الشکّ، کما عن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الخونساریّ، و القمّی </w:t>
      </w:r>
      <w:r>
        <w:rPr>
          <w:rStyle w:val="FootnoteAnchor"/>
          <w:rtl w:val="true"/>
        </w:rPr>
        <w:footnoteReference w:id="763"/>
      </w:r>
      <w:r>
        <w:rPr>
          <w:rFonts w:ascii="IRNazanin" w:hAnsi="IRNazanin" w:eastAsia="IRNazanin"/>
          <w:color w:val="111111"/>
          <w:sz w:val="28"/>
          <w:sz w:val="28"/>
          <w:szCs w:val="28"/>
          <w:rtl w:val="true"/>
          <w:lang w:bidi="fa-IR"/>
        </w:rPr>
        <w:t>، أم هو بحکم العلم التفصیلیّ؟</w:t>
      </w:r>
    </w:p>
    <w:p>
      <w:pPr>
        <w:pStyle w:val="BookText"/>
        <w:rPr/>
      </w:pPr>
      <w:r>
        <w:rPr>
          <w:rFonts w:ascii="IRNazanin" w:hAnsi="IRNazanin" w:eastAsia="IRNazanin"/>
          <w:color w:val="111111"/>
          <w:sz w:val="28"/>
          <w:sz w:val="28"/>
          <w:szCs w:val="28"/>
          <w:rtl w:val="true"/>
          <w:lang w:bidi="fa-IR"/>
        </w:rPr>
        <w:t>ثمّ بعد ذلک یقع فی المقام الثانی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علی التقدیر الثانی هل مثله علی الإطلاق، أم فیه تفصیل، کما تری الخلاف الکثیر فیه،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الأقوال أحیانا إلی أکثر من ستّة 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یقع الکلام فی سائر بحوث المرام فی المقصد العاشر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إمّا ذیل لمباحث البراءة، و مفتاح لمباحث الاشتغال،</w:t>
      </w:r>
    </w:p>
    <w:p>
      <w:pPr>
        <w:pStyle w:val="BookText"/>
        <w:rPr/>
      </w:pPr>
      <w:r>
        <w:rPr>
          <w:rFonts w:ascii="IRNazanin" w:hAnsi="IRNazanin" w:eastAsia="IRNazanin"/>
          <w:color w:val="111111"/>
          <w:sz w:val="28"/>
          <w:sz w:val="28"/>
          <w:szCs w:val="28"/>
          <w:rtl w:val="true"/>
          <w:lang w:bidi="fa-IR"/>
        </w:rPr>
        <w:t>فیکون بحثا متوسّطا بینهما، أو ملحقا بالأوّل، کما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البحث الجامع بجعل البحث فی البراءة حول أنّ الشکّ البدویّ یوجب الاحتیاط، أم لا، و البحث هنا حول أنّ الشکّ المقرون بالعلم الإجمالیّ بالإلزام الأعمّ من الجنس و النوع، یوجب الاحتیاط علی الإطلاق عقلا و شرعا، أم لا، سواء أوجب الاحتیاط فی موارد الشکّ فی المکلّف به، أو فی موارد الشکّ فی المحصّل و نوع التکلیف،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فرغنا من تنجیز العلم الإجمالیّ فی بحوث القطع؛ و أنّ العلم الإجمالیّ کالتفصیلیّ </w:t>
      </w:r>
      <w:r>
        <w:rPr>
          <w:rStyle w:val="FootnoteAnchor"/>
          <w:rtl w:val="true"/>
        </w:rPr>
        <w:footnoteReference w:id="764"/>
      </w:r>
      <w:r>
        <w:rPr>
          <w:rFonts w:ascii="IRNazanin" w:hAnsi="IRNazanin" w:eastAsia="IRNazanin"/>
          <w:color w:val="111111"/>
          <w:sz w:val="28"/>
          <w:sz w:val="28"/>
          <w:szCs w:val="28"/>
          <w:rtl w:val="true"/>
          <w:lang w:bidi="fa-IR"/>
        </w:rPr>
        <w:t>، فلا وجه للبحث عنه هنا ثانیا إلّا لأجل الجهات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جریان الأدلّة المرخّصة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تحرّر، لتوجّه إلی القوم من إطالة البحث هنا، و ذکر الأقوال حوله، و کأنّ ما نحن فیه محطّ هذه المسألة، دون بحوث القطع، و هذا إشکال یتوجّه إلی جمیع الأعلام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الجهة المبحوث عنها فی بحوث القطع، مخصوصة بمرحلة الثبوت؛ و أنّه بحسب الثبوت هل یعقل جریان الاصول،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بحث تصوّری، و هنا مرحلة التصدیق؛ و أنّه هل العلم الإجمالیّ یکون منجّزا، أم لا؟ و علی تقدیر تنجیزه، یمکن رفع الأثر بجریان البراءة فی أطرافه، أم 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البحث هناک حول مقتضی العقل فی أطراف العلم الإجمالیّ، و هنا حول أنّ الشرع هل رخّص فی تلک الأطراف علی الإطلاق، أم لا، أو رخّص فی الجملة؟</w:t>
      </w:r>
      <w:bookmarkStart w:id="610" w:name="pg13173_324966"/>
    </w:p>
    <w:p>
      <w:pPr>
        <w:pStyle w:val="BookText"/>
        <w:rPr/>
      </w:pPr>
      <w:bookmarkEnd w:id="610"/>
      <w:r>
        <w:rPr>
          <w:rFonts w:ascii="IRNazanin" w:hAnsi="IRNazanin" w:eastAsia="IRNazanin"/>
          <w:color w:val="111111"/>
          <w:sz w:val="28"/>
          <w:sz w:val="28"/>
          <w:szCs w:val="28"/>
          <w:rtl w:val="true"/>
          <w:lang w:bidi="fa-IR"/>
        </w:rPr>
        <w:t xml:space="preserve">و هذا الأخیر هو الذی اخترنا فی بحوث القطع </w:t>
      </w:r>
      <w:r>
        <w:rPr>
          <w:rStyle w:val="FootnoteAnchor"/>
          <w:rtl w:val="true"/>
        </w:rPr>
        <w:footnoteReference w:id="765"/>
      </w:r>
      <w:r>
        <w:rPr>
          <w:rFonts w:ascii="IRNazanin" w:hAnsi="IRNazanin" w:eastAsia="IRNazanin"/>
          <w:color w:val="111111"/>
          <w:sz w:val="28"/>
          <w:sz w:val="28"/>
          <w:szCs w:val="28"/>
          <w:rtl w:val="true"/>
          <w:lang w:bidi="fa-IR"/>
        </w:rPr>
        <w:t>ضرورة أنّ فی مسائل القطع، بحوثا عن موازین عقلیّة، و حجّیة القطع، و أحکامه عقلا،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فی صورة إجماله، و أمّا فی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البراءة، و الفحص عن حدیث الحلّ و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أنّ قواعد الترخیص الشرعیّة، قابلة للجریان حول المعلوم بالإجمال ذاتا و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تکون قابلة ذاتا؛ للمحذور الثبوتیّ، أو الإثباتیّ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تکون قابلة للجریان ذاتا، و لکنّه لا علی الإطلاق، بل هی تجری فی بعض الأطراف دون بعض، فیلزم ممنوعیّة المخالفة القطعیّة، و لا یلزم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 هو أساس البحث، من غیر فرق بین صورة العلم الإجمالیّ بالحکم، أو العلم الإجمالیّ بالحجّة، کما سنشیر إلیه، و مرّ فی بحوث القطع </w:t>
      </w:r>
      <w:r>
        <w:rPr>
          <w:rStyle w:val="FootnoteAnchor"/>
          <w:rtl w:val="true"/>
        </w:rPr>
        <w:footnoteReference w:id="766"/>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735111_3244359995"/>
      <w:bookmarkStart w:id="612" w:name="_Toc230"/>
      <w:bookmarkEnd w:id="611"/>
      <w:r>
        <w:rPr>
          <w:rtl w:val="true"/>
        </w:rPr>
        <w:t>تذییل</w:t>
      </w:r>
      <w:r>
        <w:rPr>
          <w:rtl w:val="true"/>
        </w:rPr>
        <w:t xml:space="preserve">: </w:t>
      </w:r>
      <w:r>
        <w:rPr>
          <w:rtl w:val="true"/>
        </w:rPr>
        <w:t>تحقیق حول العلم الإجمالی هنا و ما مرّ فی القطع</w:t>
      </w:r>
      <w:bookmarkEnd w:id="612"/>
    </w:p>
    <w:p>
      <w:pPr>
        <w:pStyle w:val="Heading6"/>
        <w:numPr>
          <w:ilvl w:val="5"/>
          <w:numId w:val="1"/>
        </w:numPr>
        <w:rPr/>
      </w:pPr>
      <w:bookmarkStart w:id="613" w:name="__RefHeading___Toc735113_3244359995"/>
      <w:bookmarkStart w:id="614" w:name="_Toc231"/>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و الجهة المبحوث عنها فی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الإجمالیّ منه یکون بالنسبة إلی المخالفة القطعیّة مؤثّرا، أم لا، و هنا یکون البحث حول اقتضائه بالنسبة إلی الموافقة القطعیّة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صحیح؛ ضرورة أنّ ما هو اللائق بالاصولیّ هو البحث عن القطع الإجمالیّ، و حدوده، و آثاره و أحکامه، و التفکیک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العلّامة الأصفهانیّ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الجهة المبحوث عنها فی مسائل القطع، ترجع إلی حیثیّة العلم الإجمالیّ الموجود، و أنّه هل هو کالتفصیلیّ، أم لا؟</w:t>
      </w:r>
    </w:p>
    <w:p>
      <w:pPr>
        <w:pStyle w:val="BookText"/>
        <w:rPr/>
      </w:pPr>
      <w:r>
        <w:rPr>
          <w:rFonts w:ascii="IRNazanin" w:hAnsi="IRNazanin" w:eastAsia="IRNazanin"/>
          <w:color w:val="111111"/>
          <w:sz w:val="28"/>
          <w:sz w:val="28"/>
          <w:szCs w:val="28"/>
          <w:rtl w:val="true"/>
          <w:lang w:bidi="fa-IR"/>
        </w:rPr>
        <w:t>و فیما هاهنا ترجع إلی أنّ الشکّ المقرون به، 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الترخیص، أم لا؟ فیرجع البحث هنا إلی حیثیّة اخری</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 إن کان یستلزم النظرین، إلّا أنّ تلازمهما الخارجیّ یوجب تداخل أحکام العلم و الشکّ و تزاحمهما، و ینتهی البحث بالأخرة إلی ما جعلناه فارقا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البحث هناک حول مقتضی درک العقل مع قطع النظر عن الشرع، و هنا حول أنّ الشرع هل رخّص، أو یمکن ترخیصه و رخّص، أم لا؟ فیدور حول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إیجاد الفارق بین المسألتین، و إحداث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الإجمالیّ بروح الحکم و التکلیف الجدّی الواقعیّ، فقال بامتناع الترخیص هنا؛ حتّی یمتنع ذلک فی الشبهة البدویّة إذا کان یرتضی بترکه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الحجّة الإجمالیّة، و جعل المقام الثانی ذا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رضا الشرع بترک الواقع لو أصابت الحجّة الواقع، فقال بامتناع الترخیص، و لا یحتمل ذلک؛ لأنّه بحکم احتمال المناقضة و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الصورة الثانیة محور البحث هنا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غیر تامّ عندنا، کما مرّ تفصیله فی بحوث القطع </w:t>
      </w:r>
      <w:r>
        <w:rPr>
          <w:rStyle w:val="FootnoteAnchor"/>
          <w:rtl w:val="true"/>
        </w:rPr>
        <w:footnoteReference w:id="770"/>
      </w:r>
      <w:r>
        <w:rPr>
          <w:rFonts w:ascii="IRNazanin" w:hAnsi="IRNazanin" w:eastAsia="IRNazanin"/>
          <w:color w:val="111111"/>
          <w:sz w:val="28"/>
          <w:sz w:val="28"/>
          <w:szCs w:val="28"/>
          <w:rtl w:val="true"/>
          <w:lang w:bidi="fa-IR"/>
        </w:rPr>
        <w:t>و ذلک لأنّ ما جعله</w:t>
      </w:r>
    </w:p>
    <w:p>
      <w:pPr>
        <w:pStyle w:val="BookText"/>
        <w:rPr/>
      </w:pPr>
      <w:r>
        <w:rPr>
          <w:rFonts w:ascii="IRNazanin" w:hAnsi="IRNazanin" w:eastAsia="IRNazanin"/>
          <w:color w:val="111111"/>
          <w:sz w:val="28"/>
          <w:sz w:val="28"/>
          <w:szCs w:val="28"/>
          <w:rtl w:val="true"/>
          <w:lang w:bidi="fa-IR"/>
        </w:rPr>
        <w:t>محذورا فی المقام، هو المحذور الأساسی فی مسألة الجمع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و الظاهریّ، و لو کان حلّ مشکلة 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بمضیّ الشرع فی موارد الترخیص عن الواقع، کما ذکرناه فی مباحث الإجزاء</w:t>
      </w:r>
      <w:r>
        <w:rPr>
          <w:rStyle w:val="FootnoteAnchor"/>
          <w:rtl w:val="true"/>
        </w:rPr>
        <w:footnoteReference w:id="771"/>
      </w:r>
      <w:r>
        <w:rPr>
          <w:rFonts w:ascii="IRNazanin" w:hAnsi="IRNazanin" w:eastAsia="IRNazanin"/>
          <w:color w:val="111111"/>
          <w:sz w:val="28"/>
          <w:sz w:val="28"/>
          <w:szCs w:val="28"/>
          <w:rtl w:val="true"/>
          <w:lang w:bidi="fa-IR"/>
        </w:rPr>
        <w:t>، للزم اختصاص الأحکام طرّا و کلّا بالعالمین، و هذا خلاف ما هو المجمع علیه، و یکون فی الحقیقة قبولا لإشکال ابن قبة</w:t>
      </w:r>
      <w:r>
        <w:rPr>
          <w:rStyle w:val="FootnoteAnchor"/>
          <w:rtl w:val="true"/>
        </w:rPr>
        <w:footnoteReference w:id="772"/>
      </w:r>
      <w:r>
        <w:rPr>
          <w:rFonts w:ascii="IRNazanin" w:hAnsi="IRNazanin" w:eastAsia="IRNazanin"/>
          <w:color w:val="111111"/>
          <w:sz w:val="28"/>
          <w:sz w:val="28"/>
          <w:szCs w:val="28"/>
          <w:rtl w:val="true"/>
          <w:lang w:bidi="fa-IR"/>
        </w:rPr>
        <w:t>بوجه خارج عن توهّمه،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المحذور الحقیقیّ فی هذا الجمع؛ امتناع الالتزام بوجود الإرادة الإلزامیّة الفعلیّة، و الترخیص علی خلافها</w:t>
      </w:r>
      <w:r>
        <w:rPr>
          <w:rStyle w:val="FootnoteAnchor"/>
          <w:rtl w:val="true"/>
        </w:rPr>
        <w:footnoteReference w:id="773"/>
      </w:r>
      <w:r>
        <w:rPr>
          <w:rFonts w:ascii="IRNazanin" w:hAnsi="IRNazanin" w:eastAsia="IRNazanin"/>
          <w:color w:val="111111"/>
          <w:sz w:val="28"/>
          <w:sz w:val="28"/>
          <w:szCs w:val="28"/>
          <w:rtl w:val="true"/>
          <w:lang w:bidi="fa-IR"/>
        </w:rPr>
        <w:t>، و کثیر من الأعلام لم یصلوا إلی هذه المعضلة فی تلک المسألة، و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إلیها، و لکنّه التزم به، کما هو صریح کلامه هنا</w:t>
      </w:r>
      <w:r>
        <w:rPr>
          <w:rStyle w:val="FootnoteAnchor"/>
          <w:rtl w:val="true"/>
        </w:rPr>
        <w:footnoteReference w:id="774"/>
      </w:r>
      <w:r>
        <w:rPr>
          <w:rFonts w:ascii="Amiri" w:hAnsi="Amiri" w:eastAsia="Amiri" w:cs="Amiri"/>
          <w:color w:val="111111"/>
          <w:sz w:val="28"/>
          <w:sz w:val="28"/>
          <w:szCs w:val="28"/>
          <w:rtl w:val="true"/>
          <w:lang w:bidi="ar-SA"/>
        </w:rPr>
        <w:t xml:space="preserve">و فی محلّه </w:t>
      </w:r>
      <w:r>
        <w:rPr>
          <w:rStyle w:val="FootnoteAnchor"/>
          <w:rtl w:val="true"/>
        </w:rPr>
        <w:footnoteReference w:id="775"/>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قد فرغنا من إمکان الجمع بینهما فی مسائل الظنّ </w:t>
      </w:r>
      <w:r>
        <w:rPr>
          <w:rStyle w:val="FootnoteAnchor"/>
          <w:rtl w:val="true"/>
        </w:rPr>
        <w:footnoteReference w:id="776"/>
      </w:r>
      <w:r>
        <w:rPr>
          <w:rFonts w:ascii="IRNazanin" w:hAnsi="IRNazanin" w:eastAsia="IRNazanin"/>
          <w:color w:val="111111"/>
          <w:sz w:val="28"/>
          <w:sz w:val="28"/>
          <w:szCs w:val="28"/>
          <w:rtl w:val="true"/>
          <w:lang w:bidi="fa-IR"/>
        </w:rPr>
        <w:t>، فلا یلزم من الترخیص فی جمیع الأطراف فی صورة العلم الإجمالیّ بوجود الحکم الفعلیّ الإلزامیّ، إلّا مشکلة الجمع بینهما التی مرّت، و نشیر إلیها من ذی 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المقامین، و لا بین صورتی المقام الثانی؛ فی أنّ الکلّ داخل فی محلّ البحث هنا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البحث حول الأدلّة و قصورها، أو عدم قصورها، و نشیر فی خلاله إلی</w:t>
      </w:r>
      <w:bookmarkStart w:id="615" w:name="pg13173_324969"/>
    </w:p>
    <w:p>
      <w:pPr>
        <w:pStyle w:val="BookText"/>
        <w:rPr/>
      </w:pPr>
      <w:bookmarkEnd w:id="615"/>
      <w:r>
        <w:rPr>
          <w:rFonts w:ascii="IRNazanin" w:hAnsi="IRNazanin" w:eastAsia="IRNazanin"/>
          <w:color w:val="111111"/>
          <w:sz w:val="28"/>
          <w:sz w:val="28"/>
          <w:szCs w:val="28"/>
          <w:rtl w:val="true"/>
          <w:lang w:bidi="fa-IR"/>
        </w:rPr>
        <w:t>ما هو وجه توهّم المضادّة التی لا تزید علی ما مرّ فی مسألة المضادّة بین الأحکام الواقعیّة و الظاهریّة</w:t>
      </w:r>
      <w:r>
        <w:rPr>
          <w:rStyle w:val="FootnoteAnchor"/>
          <w:rtl w:val="true"/>
        </w:rPr>
        <w:footnoteReference w:id="777"/>
      </w:r>
      <w:r>
        <w:rPr>
          <w:rFonts w:ascii="IRNazanin" w:hAnsi="IRNazanin" w:eastAsia="IRNazanin"/>
          <w:color w:val="111111"/>
          <w:sz w:val="28"/>
          <w:sz w:val="28"/>
          <w:szCs w:val="28"/>
          <w:rtl w:val="true"/>
          <w:lang w:bidi="fa-IR"/>
        </w:rPr>
        <w:t>، و حیث إنّها مسألة صعبة و مشکلة إعضالیّة جدّا، لا بأس بالإیماء إلی ما هو الحقّ،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الصور الثلاث فی کونها داخلة فی محطّ البحث، فلا یحصل بما أفاده فرق بین المبحثین، و إنّما الفرق بینهما ما أشرنا إلیه بحمد اللّه، و من تأمّل فیه یجده سبیلا جیّدا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 أشرنا إلیه؛ من إمکان کون الحکم الواقعیّ، فعلیّا بجمیع مراتبه مع ترخیص الشرع، غیر ما أفاده العلّامة الخراسانیّ رحمه اللّه فإنّه التزام بالمرتبة الخاصّة للحکم فی موارد الترخیص </w:t>
      </w:r>
      <w:r>
        <w:rPr>
          <w:rStyle w:val="FootnoteAnchor"/>
          <w:rtl w:val="true"/>
        </w:rPr>
        <w:footnoteReference w:id="778"/>
      </w:r>
      <w:r>
        <w:rPr>
          <w:rFonts w:ascii="IRNazanin" w:hAnsi="IRNazanin" w:eastAsia="IRNazanin"/>
          <w:color w:val="111111"/>
          <w:sz w:val="28"/>
          <w:sz w:val="28"/>
          <w:szCs w:val="28"/>
          <w:rtl w:val="true"/>
          <w:lang w:bidi="fa-IR"/>
        </w:rPr>
        <w:t>، و هو أیضا فرار عن حلّ المشکلة و توهّم الالتزام بشبهة ابن قبة، فلا تخلط</w:t>
      </w:r>
      <w:r>
        <w:rPr>
          <w:rFonts w:eastAsia="IRNazanin" w:cs="IRNazanin"/>
          <w:color w:val="111111"/>
          <w:sz w:val="28"/>
          <w:szCs w:val="28"/>
          <w:rtl w:val="true"/>
          <w:lang w:bidi="fa-IR"/>
        </w:rPr>
        <w:t>.</w:t>
      </w:r>
    </w:p>
    <w:p>
      <w:pPr>
        <w:pStyle w:val="Heading6"/>
        <w:numPr>
          <w:ilvl w:val="5"/>
          <w:numId w:val="1"/>
        </w:numPr>
        <w:rPr/>
      </w:pPr>
      <w:bookmarkStart w:id="616" w:name="__RefHeading___Toc735115_3244359995"/>
      <w:bookmarkStart w:id="617" w:name="_Toc232"/>
      <w:bookmarkEnd w:id="616"/>
      <w:r>
        <w:rPr>
          <w:rtl w:val="true"/>
        </w:rPr>
        <w:t>تنبیه</w:t>
      </w:r>
      <w:r>
        <w:rPr>
          <w:rtl w:val="true"/>
        </w:rPr>
        <w:t xml:space="preserve">: </w:t>
      </w:r>
      <w:r>
        <w:rPr>
          <w:rtl w:val="true"/>
        </w:rPr>
        <w:t>حول خروج العلم الإجمالی بالامتثال عن محل النزاع</w:t>
      </w:r>
      <w:bookmarkEnd w:id="617"/>
    </w:p>
    <w:p>
      <w:pPr>
        <w:pStyle w:val="BookText"/>
        <w:rPr/>
      </w:pPr>
      <w:r>
        <w:rPr>
          <w:rFonts w:ascii="IRNazanin" w:hAnsi="IRNazanin" w:eastAsia="IRNazanin"/>
          <w:color w:val="111111"/>
          <w:sz w:val="28"/>
          <w:sz w:val="28"/>
          <w:szCs w:val="28"/>
          <w:rtl w:val="true"/>
          <w:lang w:bidi="fa-IR"/>
        </w:rPr>
        <w:t xml:space="preserve">یظهر ممّا نسب إلی العلّامة النائینیّ رحمه اللّه التفصیل بین موارد العلم الإجمالیّ بالتکلیف، و موارد العلم الإجمالیّ بالامتثال، و أنّ الثانی خارج عن محلّ النزاع، دون الأوّل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المسألتین بدخولهما فی محلّ النزاع، فلو صحّ الترخیص فی جمیع الأطراف فی الاولی، صحّ فی الثانیة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618" w:name="pg13173_324970"/>
    </w:p>
    <w:p>
      <w:pPr>
        <w:pStyle w:val="BookText"/>
        <w:rPr/>
      </w:pPr>
      <w:bookmarkEnd w:id="618"/>
      <w:r>
        <w:rPr>
          <w:rFonts w:ascii="IRNazanin" w:hAnsi="IRNazanin" w:eastAsia="IRNazanin"/>
          <w:color w:val="111111"/>
          <w:sz w:val="28"/>
          <w:sz w:val="28"/>
          <w:szCs w:val="28"/>
          <w:rtl w:val="true"/>
          <w:lang w:bidi="fa-IR"/>
        </w:rPr>
        <w:t>و أنت قد عرفت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الامتثال سعة و ضیقا، یستتبع مقام الجعل </w:t>
      </w:r>
      <w:r>
        <w:rPr>
          <w:rStyle w:val="FootnoteAnchor"/>
          <w:rtl w:val="true"/>
        </w:rPr>
        <w:footnoteReference w:id="781"/>
      </w:r>
      <w:r>
        <w:rPr>
          <w:rFonts w:ascii="IRNazanin" w:hAnsi="IRNazanin" w:eastAsia="IRNazanin"/>
          <w:color w:val="111111"/>
          <w:sz w:val="28"/>
          <w:sz w:val="28"/>
          <w:szCs w:val="28"/>
          <w:rtl w:val="true"/>
          <w:lang w:bidi="fa-IR"/>
        </w:rPr>
        <w:t>، و لا یعقل التزام المولی بالجزئیّة أو الشرطیّة و المانعیّة علی الإطلاق، و مع ذلک یلتزم بالصحّة حسب قاعدة الفراغ، فلو علم إجمالا ببطلان إحدی الصلاتین، و قلنا بجریانها فیهما، فهو لا بدّ و أن یرجع إلی أنّه قد تصرّف فی المأمور به، فیرجع إلی التکلیف و إلی العلم الإجمالیّ فی مقام الجعل،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الالتزام بفعلیّة التکالیف النفسیّة و الوضعیّة بفعلیّة قانونیّة حسبما تحرّر</w:t>
      </w:r>
      <w:r>
        <w:rPr>
          <w:rStyle w:val="FootnoteAnchor"/>
          <w:rtl w:val="true"/>
        </w:rPr>
        <w:footnoteReference w:id="782"/>
      </w:r>
      <w:r>
        <w:rPr>
          <w:rFonts w:ascii="IRNazanin" w:hAnsi="IRNazanin" w:eastAsia="IRNazanin"/>
          <w:color w:val="111111"/>
          <w:sz w:val="28"/>
          <w:sz w:val="28"/>
          <w:szCs w:val="28"/>
          <w:rtl w:val="true"/>
          <w:lang w:bidi="fa-IR"/>
        </w:rPr>
        <w:t>، و هی فی موارد قاعدة الفراغ غیر منجّزة للترخیص، فإنّ قاعده الفراغ أیضا قانون کلّی عامّ، یشمل موارد اشتمال المأتیّ به علی الأجزاء و الشرائط، و موارد فقدهما، فضرب هذا القانون الکلّی جائز، و یکون الجمع بین الترخیص الفعلیّ و فعلیّة الجزئیّة و الشرطیّة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ثمرات الخطابات القانونیّة، و إن کان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یلتزم به </w:t>
      </w:r>
      <w:r>
        <w:rPr>
          <w:rStyle w:val="FootnoteAnchor"/>
          <w:rtl w:val="true"/>
        </w:rPr>
        <w:footnoteReference w:id="783"/>
      </w:r>
      <w:r>
        <w:rPr>
          <w:rFonts w:ascii="IRNazanin" w:hAnsi="IRNazanin" w:eastAsia="IRNazanin"/>
          <w:color w:val="111111"/>
          <w:sz w:val="28"/>
          <w:sz w:val="28"/>
          <w:szCs w:val="28"/>
          <w:rtl w:val="true"/>
          <w:lang w:bidi="fa-IR"/>
        </w:rPr>
        <w:t>لعدم الالتفات إلیه، فاغتنم</w:t>
      </w:r>
      <w:r>
        <w:rPr>
          <w:rFonts w:eastAsia="IRNazanin" w:cs="IRNazanin"/>
          <w:color w:val="111111"/>
          <w:sz w:val="28"/>
          <w:szCs w:val="28"/>
          <w:rtl w:val="true"/>
          <w:lang w:bidi="fa-IR"/>
        </w:rPr>
        <w:t>.</w:t>
      </w:r>
    </w:p>
    <w:p>
      <w:pPr>
        <w:pStyle w:val="Heading4"/>
        <w:numPr>
          <w:ilvl w:val="3"/>
          <w:numId w:val="1"/>
        </w:numPr>
        <w:rPr/>
      </w:pPr>
      <w:bookmarkStart w:id="619" w:name="__RefHeading___Toc735117_3244359995"/>
      <w:bookmarkStart w:id="620" w:name="_Toc233"/>
      <w:bookmarkEnd w:id="619"/>
      <w:r>
        <w:rPr>
          <w:rtl w:val="true"/>
        </w:rPr>
        <w:t>الجهة الثالثة</w:t>
      </w:r>
      <w:r>
        <w:rPr>
          <w:rtl w:val="true"/>
        </w:rPr>
        <w:t xml:space="preserve">: </w:t>
      </w:r>
      <w:r>
        <w:rPr>
          <w:rtl w:val="true"/>
        </w:rPr>
        <w:t>و فیها إشارة إلی حقیقة العلم الإجمالی</w:t>
      </w:r>
      <w:bookmarkEnd w:id="620"/>
    </w:p>
    <w:p>
      <w:pPr>
        <w:pStyle w:val="Heading5"/>
        <w:numPr>
          <w:ilvl w:val="4"/>
          <w:numId w:val="1"/>
        </w:numPr>
        <w:rPr/>
      </w:pPr>
      <w:bookmarkStart w:id="621" w:name="__RefHeading___Toc735119_3244359995"/>
      <w:bookmarkStart w:id="622" w:name="_Toc234"/>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 xml:space="preserve">قد مرّ فی بحوث العلم الإجمالیّ من القطع، کیفیّة تعلّق العلم الإجمالیّ بالخارج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تقاس هذه المسألة بمسألة الوجوب التخییریّ، أو بیع أحدهما علی</w:t>
      </w:r>
    </w:p>
    <w:p>
      <w:pPr>
        <w:pStyle w:val="BookText"/>
        <w:rPr/>
      </w:pP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معنی العلم الإجمالیّ إجمالا فی العلم، و لا فی المعلوم بذلک العلم، بل خلط و اختلاط بین العلم بالشی‌ء من جهة، و الجهل به من جهة اخری، فإذا لم یکن الشی‌ء معلوما بحذافیر مقولاته، و بمجموع ضمائمه، یلزم منه الإجمال المنضمّ إلی العلم، و تفصیله یطلب من محلّه </w:t>
      </w:r>
      <w:r>
        <w:rPr>
          <w:rStyle w:val="FootnoteAnchor"/>
          <w:rtl w:val="true"/>
        </w:rPr>
        <w:footnoteReference w:id="78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تلک الجهات، فالکلام یتمّ فی هذا المقصد فی طیّ مسائل</w:t>
      </w:r>
      <w:r>
        <w:rPr>
          <w:rFonts w:eastAsia="IRNazanin" w:cs="IRNazanin"/>
          <w:color w:val="111111"/>
          <w:sz w:val="28"/>
          <w:szCs w:val="28"/>
          <w:rtl w:val="true"/>
          <w:lang w:bidi="fa-IR"/>
        </w:rPr>
        <w:t>:</w:t>
      </w:r>
      <w:bookmarkStart w:id="623" w:name="pg13173_324973"/>
    </w:p>
    <w:p>
      <w:pPr>
        <w:pStyle w:val="Heading5"/>
        <w:numPr>
          <w:ilvl w:val="4"/>
          <w:numId w:val="1"/>
        </w:numPr>
        <w:rPr/>
      </w:pPr>
      <w:bookmarkStart w:id="624" w:name="__RefHeading___Toc735121_3244359995"/>
      <w:bookmarkStart w:id="625" w:name="_Toc235"/>
      <w:bookmarkEnd w:id="623"/>
      <w:bookmarkEnd w:id="624"/>
      <w:r>
        <w:rPr>
          <w:rtl w:val="true"/>
        </w:rPr>
        <w:t>المسألة الاولی إمکان الترخیص فی أطراف الشبهة الحکمیة</w:t>
      </w:r>
      <w:bookmarkEnd w:id="62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6" w:name="__RefHeading___Toc735123_3244359995"/>
      <w:bookmarkStart w:id="627" w:name="_Toc236"/>
      <w:bookmarkEnd w:id="626"/>
      <w:r>
        <w:rPr>
          <w:rtl w:val="true"/>
        </w:rPr>
        <w:t>اشارة</w:t>
      </w:r>
      <w:bookmarkStart w:id="628" w:name="pg13173_324975"/>
      <w:bookmarkEnd w:id="627"/>
    </w:p>
    <w:p>
      <w:pPr>
        <w:pStyle w:val="Heading6"/>
        <w:numPr>
          <w:ilvl w:val="5"/>
          <w:numId w:val="1"/>
        </w:numPr>
        <w:rPr/>
      </w:pPr>
      <w:bookmarkStart w:id="629" w:name="__RefHeading___Toc735125_3244359995"/>
      <w:bookmarkStart w:id="630" w:name="_Toc237"/>
      <w:bookmarkEnd w:id="628"/>
      <w:bookmarkEnd w:id="629"/>
      <w:r>
        <w:rPr>
          <w:rtl w:val="true"/>
        </w:rPr>
        <w:t>تمهید حول تقریب بدیع لوجوب الاحتیاط</w:t>
      </w:r>
      <w:bookmarkEnd w:id="630"/>
    </w:p>
    <w:p>
      <w:pPr>
        <w:pStyle w:val="BookText"/>
        <w:rPr/>
      </w:pPr>
      <w:r>
        <w:rPr>
          <w:rFonts w:ascii="IRNazanin" w:hAnsi="IRNazanin" w:eastAsia="IRNazanin"/>
          <w:color w:val="111111"/>
          <w:sz w:val="28"/>
          <w:sz w:val="28"/>
          <w:szCs w:val="28"/>
          <w:rtl w:val="true"/>
          <w:lang w:bidi="fa-IR"/>
        </w:rPr>
        <w:t xml:space="preserve">إذا علم إجمالا بالحکم أو الحجّة فی الشبهات الحکمیّة التحریمیّة، أو الإیجابیّة، و هکذا لو کان یعلم بجنس الالتزام، و تردّد فی فصله، فمقتضی ما تحرّر فی بحوث القطع </w:t>
      </w:r>
      <w:r>
        <w:rPr>
          <w:rStyle w:val="FootnoteAnchor"/>
          <w:rtl w:val="true"/>
        </w:rPr>
        <w:footnoteReference w:id="786"/>
      </w:r>
      <w:r>
        <w:rPr>
          <w:rFonts w:ascii="IRNazanin" w:hAnsi="IRNazanin" w:eastAsia="IRNazanin"/>
          <w:color w:val="111111"/>
          <w:sz w:val="28"/>
          <w:sz w:val="28"/>
          <w:szCs w:val="28"/>
          <w:rtl w:val="true"/>
          <w:lang w:bidi="fa-IR"/>
        </w:rPr>
        <w:t>أنّ هذا العلم علّة تامّة لتمامیّة الحجّة علی وجوب الموافقة القطعیّة، و حرمة المخالفة القطعیّة، و أنّ العقاب هناک لیس بلا بیان، و لا یمتنع صدوره عن المولی الحکیم؛ لأنّه لیس عقابا جزافا و بلا جهة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ترجع إلی قاعدة اخری أوسع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قبح العقاب جزافا و بلا سبب </w:t>
      </w:r>
      <w:r>
        <w:rPr>
          <w:rStyle w:val="FootnoteAnchor"/>
          <w:rtl w:val="true"/>
        </w:rPr>
        <w:footnoteReference w:id="787"/>
      </w:r>
      <w:r>
        <w:rPr>
          <w:rFonts w:ascii="IRNazanin" w:hAnsi="IRNazanin" w:eastAsia="IRNazanin"/>
          <w:color w:val="111111"/>
          <w:sz w:val="28"/>
          <w:sz w:val="28"/>
          <w:szCs w:val="28"/>
          <w:rtl w:val="true"/>
          <w:lang w:bidi="fa-IR"/>
        </w:rPr>
        <w:t>، و هذا فی موارد العلم الإجمالیّ لیس بلا علّة و سبب، و لا یعدّ جزافا و قبیحا، فلا تجری قاعدة البراءة العقلیّة، و العقلائیّة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الشبهات البدویّة، یصحّ الاعتذار بالجهالة، فإنّ الجهل عذر عند العقلاء فی الشبهات الحکمیّة بعد الفحص و هذا الجهل المقرون بالعلم لیس عذرا، و لا أقلّ من الشکّ فی کونه عذرا عند العرف و العقلاء، فلا بدّ من</w:t>
      </w:r>
      <w:bookmarkStart w:id="631" w:name="pg13173_324976"/>
    </w:p>
    <w:p>
      <w:pPr>
        <w:pStyle w:val="BookText"/>
        <w:rPr/>
      </w:pPr>
      <w:bookmarkEnd w:id="631"/>
      <w:r>
        <w:rPr>
          <w:rFonts w:ascii="IRNazanin" w:hAnsi="IRNazanin" w:eastAsia="IRNazanin"/>
          <w:color w:val="111111"/>
          <w:sz w:val="28"/>
          <w:sz w:val="28"/>
          <w:szCs w:val="28"/>
          <w:rtl w:val="true"/>
          <w:lang w:bidi="fa-IR"/>
        </w:rPr>
        <w:t>الاحتیاط حتّی یأمن من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أنّ العلم الإجمالیّ لیس له شأن، لا بدّ أن یدّعی جریان البراءتین العقلیّة و العقلائیّة فی الأطراف و هذا واضح ممنوعیّته عندهم و لا أظنّ التزام أحد بذلک و ما نسب إلی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الخونساریّ، و القمّی، یرجع إلی الشرعیّة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علی 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الجهل عذر فی البدویّات، و لیس عذرا فی صورة اقترانه بالعلم، فلیس العلم شیئا، و لا علّة لتنجیز الحکم، أو لإیجاب الموافقة القطعیّة، أو حرمة المخالفة القطعیّة، بل الاحتیاط بحکم العقل و درکه لازم، إلّا إذا کان له العذر فی صورة التخلّف عن المرام و مطلوب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یحصل فیما نحن فیه، سواء کان العلم بالحکم، أو بالحجّة، و سواء کان المعلوم جنس التکلیف، أو فصله، و سواء کان المجهول متعلّق التکلیف، أو متعلّق المتعلّق فی الشبهات الحکمیّة علی أصنافها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فإلغاء العلم الإجمالیّ عن المنجّزیة و العلّیة و السببیّة و الاقتضاء، ممکن علی التقریب الثانی</w:t>
      </w:r>
      <w:r>
        <w:rPr>
          <w:rFonts w:eastAsia="IRNazanin" w:cs="IRNazanin"/>
          <w:color w:val="111111"/>
          <w:sz w:val="28"/>
          <w:szCs w:val="28"/>
          <w:rtl w:val="true"/>
          <w:lang w:bidi="fa-IR"/>
        </w:rPr>
        <w:t>.</w:t>
      </w:r>
    </w:p>
    <w:p>
      <w:pPr>
        <w:pStyle w:val="Heading6"/>
        <w:numPr>
          <w:ilvl w:val="5"/>
          <w:numId w:val="1"/>
        </w:numPr>
        <w:rPr/>
      </w:pPr>
      <w:bookmarkStart w:id="632" w:name="__RefHeading___Toc735127_3244359995"/>
      <w:bookmarkStart w:id="633" w:name="_Toc238"/>
      <w:bookmarkEnd w:id="632"/>
      <w:r>
        <w:rPr>
          <w:rtl w:val="true"/>
        </w:rPr>
        <w:t>بقی شی‌ء</w:t>
      </w:r>
      <w:r>
        <w:rPr>
          <w:rtl w:val="true"/>
        </w:rPr>
        <w:t xml:space="preserve">: </w:t>
      </w:r>
      <w:r>
        <w:rPr>
          <w:rtl w:val="true"/>
        </w:rPr>
        <w:t>فی بیان ما یوجب الاحتیاط عند العلم الإجمالی</w:t>
      </w:r>
      <w:bookmarkEnd w:id="633"/>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موارد العلم الإجمالیّ، لیس وجه الاحتیاط العلم بالعقاب؛ لإمکان انتفائه لأجل سعة رحمته تعالی، أو نیل شفاعة الشافعین، فما هو الوجه انتفاء المؤمّن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سعة رحمته و شفاعة الشافعین، لا تنافی العقاب حسبما تحرّر فی الکتب العقلیّة، و لا ینبغی للاصولیّ غیر العارف بالمسائل الإسلامیّة العقلیّة تخلیط المسائل الاعتباریّه و الواقعیّة</w:t>
      </w:r>
      <w:r>
        <w:rPr>
          <w:rFonts w:eastAsia="IRNazanin" w:cs="IRNazanin"/>
          <w:color w:val="111111"/>
          <w:sz w:val="28"/>
          <w:szCs w:val="28"/>
          <w:rtl w:val="true"/>
          <w:lang w:bidi="fa-IR"/>
        </w:rPr>
        <w:t>.</w:t>
      </w:r>
      <w:bookmarkStart w:id="634" w:name="pg13173_324977"/>
    </w:p>
    <w:p>
      <w:pPr>
        <w:pStyle w:val="Heading6"/>
        <w:numPr>
          <w:ilvl w:val="5"/>
          <w:numId w:val="1"/>
        </w:numPr>
        <w:rPr/>
      </w:pPr>
      <w:bookmarkStart w:id="635" w:name="__RefHeading___Toc735129_3244359995"/>
      <w:bookmarkStart w:id="636" w:name="_Toc239"/>
      <w:bookmarkEnd w:id="634"/>
      <w:bookmarkEnd w:id="635"/>
      <w:r>
        <w:rPr>
          <w:rtl w:val="true"/>
        </w:rPr>
        <w:t>تنبیه</w:t>
      </w:r>
      <w:bookmarkEnd w:id="636"/>
    </w:p>
    <w:p>
      <w:pPr>
        <w:pStyle w:val="BookText"/>
        <w:rPr/>
      </w:pPr>
      <w:r>
        <w:rPr>
          <w:rFonts w:ascii="IRNazanin" w:hAnsi="IRNazanin" w:eastAsia="IRNazanin"/>
          <w:color w:val="111111"/>
          <w:sz w:val="28"/>
          <w:sz w:val="28"/>
          <w:szCs w:val="28"/>
          <w:rtl w:val="true"/>
          <w:lang w:bidi="fa-IR"/>
        </w:rPr>
        <w:t>قضیّة ما تحرّر منّا فی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علّة تامّة للوجوب و الحرمة العقلیّتین، و لا بأس بتسمیة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جواز ترخیص الشرع علی الإطلاق،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مجرّد خلاف فی التسمیة، و إلّا فالعلم الإجمالیّ لا یمنع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الترخیص علی الإطلاق، فضلا عن الترخیص فی بعض الأطراف، کی تحرم المخالفة القطعیّة، و لا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کونه علّة تامّة فی محیط العقل و العرف للجانبین، یجوز جریان الترخیص الظاهریّ؛ لاختلاطه بالجهل، و امتزاجه بالشکّ، بخلاف العلم التفصیلیّ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7" w:name="__RefHeading___Toc735131_3244359995"/>
      <w:bookmarkStart w:id="638" w:name="_Toc240"/>
      <w:bookmarkEnd w:id="637"/>
      <w:r>
        <w:rPr>
          <w:rtl w:val="true"/>
        </w:rPr>
        <w:t>إفادة و إعادة</w:t>
      </w:r>
      <w:bookmarkEnd w:id="638"/>
    </w:p>
    <w:p>
      <w:pPr>
        <w:pStyle w:val="BookText"/>
        <w:rPr/>
      </w:pPr>
      <w:r>
        <w:rPr>
          <w:rFonts w:ascii="IRNazanin" w:hAnsi="IRNazanin" w:eastAsia="IRNazanin"/>
          <w:color w:val="111111"/>
          <w:sz w:val="28"/>
          <w:sz w:val="28"/>
          <w:szCs w:val="28"/>
          <w:rtl w:val="true"/>
          <w:lang w:bidi="fa-IR"/>
        </w:rPr>
        <w:t>ربّما یختلج ببال بعض القاصرین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وجوب الاحتیاط، تعارض مصداقین من قاعدة عقلیّة، أو عقلائیّة؛ لأنّ کلّ واحد من الطرفین مجری البراءتین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العقلیّة، و العقلائیّة؛ لأنّ کلّ طرف من الأطراف مصداق لهما، و لا معنی هنا للجمع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و الترخیص العقلیّ، کما هو الواضح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بلا بیان معناه العقاب بلا حجّة</w:t>
      </w:r>
      <w:r>
        <w:rPr>
          <w:rStyle w:val="FootnoteAnchor"/>
          <w:rtl w:val="true"/>
        </w:rPr>
        <w:footnoteReference w:id="790"/>
      </w:r>
      <w:r>
        <w:rPr>
          <w:rFonts w:ascii="IRNazanin" w:hAnsi="IRNazanin" w:eastAsia="IRNazanin"/>
          <w:color w:val="111111"/>
          <w:sz w:val="28"/>
          <w:sz w:val="28"/>
          <w:szCs w:val="28"/>
          <w:rtl w:val="true"/>
          <w:lang w:bidi="fa-IR"/>
        </w:rPr>
        <w:t>، و العلم هنا حجّة، أو أنّ العقاب بلا بیان یرجع إلی العقاب بلا جهة و جزافا، و لا جزاف هنا فی عقاب المتخلّف عن الواقع و لو کان جاهلا؛ لاقتران جهله بالعلم، فلا تخلط</w:t>
      </w:r>
      <w:r>
        <w:rPr>
          <w:rFonts w:eastAsia="IRNazanin" w:cs="IRNazanin"/>
          <w:color w:val="111111"/>
          <w:sz w:val="28"/>
          <w:szCs w:val="28"/>
          <w:rtl w:val="true"/>
          <w:lang w:bidi="fa-IR"/>
        </w:rPr>
        <w:t>.</w:t>
      </w:r>
      <w:bookmarkStart w:id="639" w:name="pg13173_324978"/>
    </w:p>
    <w:p>
      <w:pPr>
        <w:pStyle w:val="BookText"/>
        <w:rPr/>
      </w:pPr>
      <w:bookmarkEnd w:id="639"/>
      <w:r>
        <w:rPr>
          <w:rFonts w:ascii="IRNazanin" w:hAnsi="IRNazanin" w:eastAsia="IRNazanin"/>
          <w:color w:val="111111"/>
          <w:sz w:val="28"/>
          <w:sz w:val="28"/>
          <w:szCs w:val="28"/>
          <w:rtl w:val="true"/>
          <w:lang w:bidi="fa-IR"/>
        </w:rPr>
        <w:t xml:space="preserve">إذا تبیّنت هذه الجهة التی مرّت فی مباحث القطع </w:t>
      </w:r>
      <w:r>
        <w:rPr>
          <w:rStyle w:val="FootnoteAnchor"/>
          <w:rtl w:val="true"/>
        </w:rPr>
        <w:footnoteReference w:id="791"/>
      </w:r>
      <w:r>
        <w:rPr>
          <w:rFonts w:ascii="IRNazanin" w:hAnsi="IRNazanin" w:eastAsia="IRNazanin"/>
          <w:color w:val="111111"/>
          <w:sz w:val="28"/>
          <w:sz w:val="28"/>
          <w:szCs w:val="28"/>
          <w:rtl w:val="true"/>
          <w:lang w:bidi="fa-IR"/>
        </w:rPr>
        <w:t>، یقع البحث فی أنّ الشرع هل یمکن له الترخیص بالنسبة إلی أطراف العلم بأجمعها، أم لا؟</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الترخیص واقع، أم لا؟</w:t>
      </w:r>
    </w:p>
    <w:p>
      <w:pPr>
        <w:pStyle w:val="BookText"/>
        <w:rPr/>
      </w:pPr>
      <w:r>
        <w:rPr>
          <w:rFonts w:ascii="IRNazanin" w:hAnsi="IRNazanin" w:eastAsia="IRNazanin"/>
          <w:color w:val="111111"/>
          <w:sz w:val="28"/>
          <w:sz w:val="28"/>
          <w:szCs w:val="28"/>
          <w:rtl w:val="true"/>
          <w:lang w:bidi="fa-IR"/>
        </w:rPr>
        <w:t>فالکلام یقع فی مقامین</w:t>
      </w:r>
      <w:r>
        <w:rPr>
          <w:rFonts w:eastAsia="IRNazanin" w:cs="IRNazanin"/>
          <w:color w:val="111111"/>
          <w:sz w:val="28"/>
          <w:szCs w:val="28"/>
          <w:rtl w:val="true"/>
          <w:lang w:bidi="fa-IR"/>
        </w:rPr>
        <w:t>:</w:t>
      </w:r>
    </w:p>
    <w:p>
      <w:pPr>
        <w:pStyle w:val="Heading6"/>
        <w:numPr>
          <w:ilvl w:val="5"/>
          <w:numId w:val="1"/>
        </w:numPr>
        <w:rPr/>
      </w:pPr>
      <w:bookmarkStart w:id="640" w:name="__RefHeading___Toc735133_3244359995"/>
      <w:bookmarkStart w:id="641" w:name="_Toc241"/>
      <w:bookmarkEnd w:id="640"/>
      <w:r>
        <w:rPr>
          <w:rtl w:val="true"/>
        </w:rPr>
        <w:t>المقام الأوّل</w:t>
      </w:r>
      <w:r>
        <w:rPr>
          <w:rtl w:val="true"/>
        </w:rPr>
        <w:t xml:space="preserve">: </w:t>
      </w:r>
      <w:r>
        <w:rPr>
          <w:rtl w:val="true"/>
        </w:rPr>
        <w:t>حول معقولیّة الترخیص بالنسبة إلی جمیع الأطراف</w:t>
      </w:r>
      <w:bookmarkEnd w:id="641"/>
    </w:p>
    <w:p>
      <w:pPr>
        <w:pStyle w:val="Heading6"/>
        <w:numPr>
          <w:ilvl w:val="5"/>
          <w:numId w:val="1"/>
        </w:numPr>
        <w:rPr/>
      </w:pPr>
      <w:bookmarkStart w:id="642" w:name="__RefHeading___Toc735135_3244359995"/>
      <w:bookmarkStart w:id="643" w:name="_Toc242"/>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فلو فرضنا و أثبتنا إمکانه العقلیّ فی مورد العلم الإجمالیّ بالحکم، مع کون الحکم الظاهریّ الثابت فی الأطراف، مفاد الأمارات العقلائیّة الإمضائیّة، فکیف حال العلم الإجمالیّ بالحجّة، مع کون الحکم الثابت فیها مفاد الاصول التعبّدیة الجعلیّة الشرعیّة التأسیسیّة، کأصالة الحلّ، و الإباحة، و حدیث الرفع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یثبت بالأوضح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إذا کان العلم الإجمالیّ بالحکم و الأصل الجاری فی الأطراف، من قبیل الاستصحاب و لو کان تلزم منه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نحتاج إلی عقد بحث علی حدة بالنسبة إلی کلّ واحد من الصور فی مرحلة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الوجه لامتناع الترخیص و لا سیّما فی مثل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الترخیص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بالإمضاء کان أو بالتأسیس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و إمضاء للمعصیة فی صورة العلم الإجمالیّ بالحکم، و بحکمه، العلم الإجمالیّ بالحجّة، و کلّ واحد قبیح، و هو ممتنع علیه تعالی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التناقض بین فعلیّة التکلیف، مع إطلاقها فی</w:t>
      </w:r>
    </w:p>
    <w:p>
      <w:pPr>
        <w:pStyle w:val="BookText"/>
        <w:rPr/>
      </w:pPr>
      <w:r>
        <w:rPr>
          <w:rFonts w:ascii="IRNazanin" w:hAnsi="IRNazanin" w:eastAsia="IRNazanin"/>
          <w:color w:val="111111"/>
          <w:sz w:val="28"/>
          <w:sz w:val="28"/>
          <w:szCs w:val="28"/>
          <w:rtl w:val="true"/>
          <w:lang w:bidi="fa-IR"/>
        </w:rPr>
        <w:t>مورد العلم الإجمالیّ بالحکم؛ و احتمال وقوع المناقضة فی مورد العلم الإجمالیّ بالحجّة، بعد کون الحکم علی تقدیر وجوده فعلیّا بالنسبة إلی المکلّف المذکور، کما هو المفروض فی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سیمرّ علیک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فی موارد العلم الإجمالیّ، لا یعقل جعل حجّیة الأمارة أو الاصول؛ لانتفاء الشکّ، کما فی مورد العلم التفصیلیّ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الترخیص فی جمیع الأطراف، غیر مهمّ فی المقام، لخروجه عن البحث ظاهرا، و لذلک صرّح بعدم تمامیّة هذه الوجوه فی محطّ الخلاف </w:t>
      </w:r>
      <w:r>
        <w:rPr>
          <w:rStyle w:val="FootnoteAnchor"/>
          <w:rtl w:val="true"/>
        </w:rPr>
        <w:footnoteReference w:id="793"/>
      </w:r>
      <w:r>
        <w:rPr>
          <w:rFonts w:ascii="IRNazanin" w:hAnsi="IRNazanin" w:eastAsia="IRNazanin"/>
          <w:color w:val="111111"/>
          <w:sz w:val="28"/>
          <w:sz w:val="28"/>
          <w:szCs w:val="28"/>
          <w:rtl w:val="true"/>
          <w:lang w:bidi="fa-IR"/>
        </w:rPr>
        <w:t>، مع أنّ الأمر حسبما مرّ، یکون حول إمکان الترخیص بعد الإقرار بالفعلیّة</w:t>
      </w:r>
      <w:r>
        <w:rPr>
          <w:rStyle w:val="FootnoteAnchor"/>
          <w:rtl w:val="true"/>
        </w:rPr>
        <w:footnoteReference w:id="794"/>
      </w:r>
      <w:r>
        <w:rPr>
          <w:rFonts w:ascii="IRNazanin" w:hAnsi="IRNazanin" w:eastAsia="IRNazanin"/>
          <w:color w:val="111111"/>
          <w:sz w:val="28"/>
          <w:sz w:val="28"/>
          <w:szCs w:val="28"/>
          <w:rtl w:val="true"/>
          <w:lang w:bidi="fa-IR"/>
        </w:rPr>
        <w:t xml:space="preserve">، و لذلک التزموا بصحّة الوجهین المذکورین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فالمرء کلّ المرء من یصوّر الترخیص فی جمیع الأطراف بدفع الوجهین، مع اعترافه بالفعلیّة المطلقة بالنسبة إلی الحکم الواقعیّ، من غیر تصرّف فیه بالشأنیّة و الإنشائیّة، أو الفعلیّة التقدیریّة، أو غیر ذلک ممّا یتلاعب به أرباب البحث؛ نظرا إلی الإشکالین المزبورین، کما 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 أتباعها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فی جمیع الأطراف، إمکان الترخیص عرضا من غیر شرط و قید، فلا تصل النوبة إلی البحث عن إمکانه فی بعض الأطراف، أو بالنسبة</w:t>
      </w:r>
    </w:p>
    <w:p>
      <w:pPr>
        <w:pStyle w:val="BookText"/>
        <w:rPr/>
      </w:pPr>
      <w:r>
        <w:rPr>
          <w:rFonts w:ascii="IRNazanin" w:hAnsi="IRNazanin" w:eastAsia="IRNazanin"/>
          <w:color w:val="111111"/>
          <w:sz w:val="28"/>
          <w:sz w:val="28"/>
          <w:szCs w:val="28"/>
          <w:rtl w:val="true"/>
          <w:lang w:bidi="fa-IR"/>
        </w:rPr>
        <w:t>إلی التدریجیّات و الاستقبالیّات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الأمر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التوجّه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نجد فی موارد الاضطرار و الإکراه و العجز بالنسبة إلی الحکم الواقعیّ، إمکان الالتزام بفعلیّة الحکم بالنسبة إلی المضطرّ و المکره و العاجز، مع ترخیص الشرع فی تلک الموارد؛ و ذلک لأنّ الحکم الثابت الفعلیّ، من الأحکام الفعلیّة القانونیّة المشترک فیها جمیع الأصناف، و تکون حالات الاضطرار و الإکراه و العجز أعذارا عقلیّة، و فی موارد الأعذار العقلیّة و العرفیّة تکون الأحکام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 ما مرّ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فعلیّة الحکم الثابت بالخطاب الشخصیّ بالنسبة إلی زید، غیر معقولة فی مورد العجز الشخصیّ، أو الاضطرار و غیره، و أمّا فی موارد الخطابات القانونیّة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التفصیل الذی مرّ تحقیقه بسدّ مشکلاته من نواح شتّی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حرمة أکل المیتة و وجوب الصوم، فعلیّا و واقعیّا، و لا فصل بین فعلیّة الحکم بالنسبة إلی العالم القادر و العاجز، و إنّما الفرق فی استحقاق العقوبة فی الأوّل، و عدمه فی الثانی، و إلّا فالکلّ یخالف مولاه فی حکمه و جعله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المتأخّرون لا یمکن لهم الالتزام بذلک؛ لامتناع کون أکل المیتة حراما فعلیّا و منهیّا واقعیّا، و مع ذلک یکون مورد رضا الشرع بما أنّه واحد من العقلاء، بل بما أنّه شرع أمضی عذریّة هذه الامور؛ ضرورة إمکان إیجاب التحفّظ فی موارد الاضطرار و الإکراه و العجز؛ حتّی لا یتسامحوا فی ذلک، و کان یمکن له أن یعرب عن عدم رضاه بالاضطرار العرفیّ و الإکراه العقلائیّ، کما أعرب عنه فی مورد الاضطرار</w:t>
      </w:r>
    </w:p>
    <w:p>
      <w:pPr>
        <w:pStyle w:val="BookText"/>
        <w:rPr/>
      </w:pPr>
      <w:r>
        <w:rPr>
          <w:rFonts w:ascii="Amiri" w:hAnsi="Amiri" w:eastAsia="Amiri" w:cs="Amiri"/>
          <w:color w:val="111111"/>
          <w:sz w:val="28"/>
          <w:sz w:val="28"/>
          <w:szCs w:val="28"/>
          <w:rtl w:val="true"/>
          <w:lang w:bidi="ar-SA"/>
        </w:rPr>
        <w:t>الاختیاریّ،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باغٍ وَ لا عادٍ</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المیتة حراما فی مورد الاضطرار بسوء الاختیار، و مع ذلک یجب بحکم العقل أکلها؛ نظرا إلی حفظ النفس الأهمّ، فیعاقب علی ارتکاب المحرّم، مع أنّه لو کان یترک أکلها یعاقب عقابا أشدّ علی عدم حفظه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لأنّ الخطاب فی مورد المضطرّ، لیس شخصیّا، و الإرادة لیست جزئیّة شخصیّة فی واقعة خاصّة، حتّی یقال بنفی الحرمة طبعا؛ للابتلاء بالأهمّ، فإنّه خلاف ظاهر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هذا یطلب من بحوث الأهمّ و المهمّ من المجلّد الأوّل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ما تحرّر فی هذا المثال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مورد وجود الحکم الفعلیّ و التحریم و الإیجاب الفعلیّین علی الإطلاق، لا یلزم قبح ترخیص المعصیة؛ لأنّ مخالفة الحکم الفعلیّ فی صورة الابتلاء بالأهمّ، مورد ترخیص الشرع؛ بمعنی رضاه کما فی المثال المذکور، و لیست تلک المخالفة قبیحة؛ لأنّه بها یفرّ عمّا هو الأهمّ، أو یمتثل ما هو الأهمّ، فمجرّد مخالفة الحکم الفعلیّ، لیس عصیانا و قبیحا، و لا فسقا و فجورا، و لا ممنوعا و قبحا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المناقضة ترتفع؛ لأجل أنّ ما هو المستحیل، هو أن یحرّم المولی علی زید المضطرّ تحریما شخصیّا، و یقبل أنّ الاضطرار عذر، و یعترف بأنّه عذر مقبول، فإنّه تناقض فی نفسه، و لیس تحریم المیتة هکذا، بل هو تحریم علی نعت الخطاب القانونیّ الکلّی، و لا یختصّ زید بالخطاب الخاصّ الشخصیّ، کما لا یکون اعترافه بعذرّیة العجز و الاضطرار و الإکراه، اعترافا شخصیّا، بل هو أیضا نوع ارتضاء کلّی،</w:t>
      </w:r>
    </w:p>
    <w:p>
      <w:pPr>
        <w:pStyle w:val="BookText"/>
        <w:rPr/>
      </w:pPr>
      <w:r>
        <w:rPr>
          <w:rFonts w:ascii="IRNazanin" w:hAnsi="IRNazanin" w:eastAsia="IRNazanin"/>
          <w:color w:val="111111"/>
          <w:sz w:val="28"/>
          <w:sz w:val="28"/>
          <w:szCs w:val="28"/>
          <w:rtl w:val="true"/>
          <w:lang w:bidi="fa-IR"/>
        </w:rPr>
        <w:t>من غیر انحلال الخطاب إلی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سلّم أحد علی الجماعة، یکفی الجواب الواحد، مع أنّه لو انحلّ الخطاب، للزم علی کلّ واحد جواب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الانحلال الحکمیّ بالنسبة إلی الأحکام، غیر انحلال الخطاب حکما أو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إرادة شخصیّة بالنسبة إلی تحریم المیتة بالنسبة إلی زید المضطرّ، حتّی یلزم التناقض بینها و بین الارتضاء و قبول عذریّة الامور المذکورة، مع أنّه کان یمکن له الإعلام و إعلان عدم مقبولیّة الاضطرار و الإکراه و العجز عذرا؛ حتّی یرفع الاضطرار الحاصل قهرا، أو یعدم العجز الموجود طبعا، إلی أن ینتهی الأمر إلی ما لا یمکن عقلا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تحرّر تبیّن انحلال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عالم بالعلم التفصیلیّ بالحکم الفعلیّ، و الحکم باق فی هذه الموارد؛ حسب الموازین الأوّلیة، و الإطلاقات الموجودة فی الکتاب و السنّة بالنسبة إلی الأحکام الواقعیّة، و مقتضاها اشتراک الکلّ فی التکلیف علی نهج واحد، مضافا إلی الإجماع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النظر إلی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الالتفات إلی ما هو المقصود فی المقام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فی موارد العلم الإجمالیّ بالحکم أو الحجّة، تکون الأحکام فعلیّة فی صورة الإصابة، و منجّزة فی محطّ العقل مع قطع النظر عن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 فبعد ما یکون هناک جهالة فی البین، له جعل الطرق بالإمضاء علی نحو القانون الکلّی، کما هو مفاد مفهوم آیة النبأ و غیرها؛ بناء علی دلالتها، أو غیر ذلک من الأدلّة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إمضاء الطریقة الکلّیة العرفیّة، فإنّه فی صورة إمضاء هذه الطریقة، لا تکون ناظرة إلی الأحکام الواقعیّة کلّ علی حدة فردا فردا؛ حسبما تحرّر و تقرّر فی باب</w:t>
      </w:r>
    </w:p>
    <w:p>
      <w:pPr>
        <w:pStyle w:val="BookText"/>
        <w:rPr/>
      </w:pPr>
      <w:r>
        <w:rPr>
          <w:rFonts w:ascii="Amiri" w:hAnsi="Amiri" w:eastAsia="Amiri" w:cs="Amiri"/>
          <w:color w:val="111111"/>
          <w:sz w:val="28"/>
          <w:sz w:val="28"/>
          <w:szCs w:val="28"/>
          <w:rtl w:val="true"/>
          <w:lang w:bidi="ar-SA"/>
        </w:rPr>
        <w:t xml:space="preserve">العامّ </w:t>
      </w:r>
      <w:r>
        <w:rPr>
          <w:rStyle w:val="FootnoteAnchor"/>
          <w:rtl w:val="true"/>
        </w:rPr>
        <w:footnoteReference w:id="801"/>
      </w:r>
      <w:r>
        <w:rPr>
          <w:rFonts w:ascii="IRNazanin" w:hAnsi="IRNazanin" w:eastAsia="IRNazanin"/>
          <w:color w:val="111111"/>
          <w:sz w:val="28"/>
          <w:sz w:val="28"/>
          <w:szCs w:val="28"/>
          <w:rtl w:val="true"/>
          <w:lang w:bidi="fa-IR"/>
        </w:rPr>
        <w:t xml:space="preserve">و الإطلاق </w:t>
      </w:r>
      <w:r>
        <w:rPr>
          <w:rStyle w:val="FootnoteAnchor"/>
          <w:rtl w:val="true"/>
        </w:rPr>
        <w:footnoteReference w:id="802"/>
      </w:r>
      <w:r>
        <w:rPr>
          <w:rFonts w:ascii="IRNazanin" w:hAnsi="IRNazanin" w:eastAsia="IRNazanin"/>
          <w:color w:val="111111"/>
          <w:sz w:val="28"/>
          <w:sz w:val="28"/>
          <w:szCs w:val="28"/>
          <w:rtl w:val="true"/>
          <w:lang w:bidi="fa-IR"/>
        </w:rPr>
        <w:t>، فإذا رضی بتلک الطریقة المألوفة، فلا منع من أخذ العبد و المکلّف بما یدلّ علی عدم وجوب القصر فی مورد العلم الإجمالیّ بوجوب القصر أو الإتمام، أو وجوب الظهر أو الجمعة، أو غیر ذلک من موارد الشبهات الحکمیّة التی تکون ذات متعلّق، أو کانت ذات متعلّق المتعلّق، و من الأخذ بعدم وجوب التمام؛ لأنّ کلّ واحد من الطریقین، لا ینافی فعلیّة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یجوز بحکم العقل مثلا ارتکاب المجموع فی الشبهات التحریمیّة، أو ترک المجموع فی الوجوبیّة؛ قضاء لإطلاق دلیل الإمضاء، من غیر أن یلزم الترخیص فی العصیان، و إنّما یلزم الترخیص فی مخالفة الحکم الفعلیّ؛ نظرا إلی المصالح العامّة، و تسهیل الأمر علی العباد؛ و أنّ الإسلام دین سهل سمح یجتذب کلّ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مرّ فی المثال، جائز و واقع فی موارد الابتلاء بالأهمّ و المهمّ، و قد مرّ فعلیّة المهمّ من غیر قصور فی فعلیّته، و من غیر کونه عاصیا عند إتیان الأهمّ و ترخیصا فی العصیان، و من غیر لزوم التناقض المزبور المذکور فی کلمات القوم صدرا و ذیلا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یکون الحکم الواقعیّ بمرتبة من الأهمیّة؛ حتّی لا یجوز الرجوع إلی أدلّة الترخیص فی الشبهات البدویّة، فضلا عن موارد العلم الإجمالیّ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العلم الإجمالیّ تنجیز الواقع، و استتباعه للعقاب فی التحریمیّة و الوجوبیّة، کما أنّ قضیّة العلم التفصیلیّ بحرمة أکل المیتة ذلک، و لکن فی</w:t>
      </w:r>
    </w:p>
    <w:p>
      <w:pPr>
        <w:pStyle w:val="BookText"/>
        <w:rPr/>
      </w:pPr>
      <w:r>
        <w:rPr>
          <w:rFonts w:ascii="IRNazanin" w:hAnsi="IRNazanin" w:eastAsia="IRNazanin"/>
          <w:color w:val="111111"/>
          <w:sz w:val="28"/>
          <w:sz w:val="28"/>
          <w:szCs w:val="28"/>
          <w:rtl w:val="true"/>
          <w:lang w:bidi="fa-IR"/>
        </w:rPr>
        <w:t>الموارد المذکورة لا عقوبة؛ لما أنّ الشرع یقبل تلک الامور عذرا، فالفعلیّة موجودة، و استحقاق العقوبة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أیضا یکون العلم الإجمالیّ، منجّزا و موجبا للاستحقاق، و مقتضی ترخیص الشرع بأخذ الطرق و الأمارات فی الشبهات التحریمیّة و الوجوبیّة علی الإطلاق، قبول العذر إذا أصاب العلم الإجمالیّ الواقع، أو الحجّة الإجمالیّة الواقع، فیکون ارتضاؤه بسلوک الطریق القائم عند زید العالم بالحکم إجمالا، مع کون الشرع عالما بأنّ علمه أصاب الواقع، ممتنعا، و إمضاؤه لتلک الطریقة و الأخذ بالطرق بالنسبة إلیه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کان ممضیا لجمیع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الواحد، بل و الظواهر فی لحاظ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هناک إلّا ضرب القوانین النفسیّة و الطریقیّة، و حیث یجد إصابة الطرق الواقعیّات فی الجملة، و یجد تخلّف العلوم الإجمالیّة عن الواقعیّات فی الجملة، یتمکّن طبعا من ضرب تلک القوانین النفسیّة و الطریقیّة، و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النظر البدویّ؛ علی تقدیر وجود عموم الإمضاء فی موارد الأمارات، أو عموم التأسیس فی موارد الاستصحاب، و البراءة،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مجموع الأطراف، و ترک المجموع فی الشبهات التحریمیّة و الوجوبیّة ثبوتا، و أمّا جوازه إثباتا فهو فی البحث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فی موارد قیام الأمارات علی أطراف العلم الإجمالیّ، إمکان الترخیص؛ لکونها أمارات علی الواقع، و ناظرة إلی الأحکام الواقعیّة حسب الظاهر، فکیف الأمر بالنسبة إلی الأمارات التعبّدیة أو الاصول المحرزة أو التنزیلیّة، أو غیرهما من الاصول الجاریة بالنسبة إلی مقام الثبوت و الجعل، أو السقوط و الامتثال، کقاعدة التجاوز، و الحیلولة، و الفراغ، و الصحّة، و غیر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قضیّة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یحصل فرق بین المسالک فی باب حجّیة الأمارات،</w:t>
      </w:r>
      <w:bookmarkStart w:id="644" w:name="pg13173_324985"/>
    </w:p>
    <w:p>
      <w:pPr>
        <w:pStyle w:val="BookText"/>
        <w:rPr/>
      </w:pPr>
      <w:bookmarkEnd w:id="644"/>
      <w:r>
        <w:rPr>
          <w:rFonts w:ascii="IRNazanin" w:hAnsi="IRNazanin" w:eastAsia="IRNazanin"/>
          <w:color w:val="111111"/>
          <w:sz w:val="28"/>
          <w:sz w:val="28"/>
          <w:szCs w:val="28"/>
          <w:rtl w:val="true"/>
          <w:lang w:bidi="fa-IR"/>
        </w:rPr>
        <w:t>علی الاختلاف الواسع فیها، فإنّ ذلک کلّه ناشئ عن عدم الالتفات إلی ما حرّرناه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فی المثال المذکور یعدّ کلّ من تلک الامور أعذارا، کذلک فی الطرق و الأمارات و الاصول بأقسامها، تعدّ کلّها أعذارا بالنسبة إلی التخلّف عن الواقع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جریان بعض هذه الأدلّة الظاهریّة، مخصوصا بإشکال عقلیّ نشیر إلیه فی المقام الآتی </w:t>
      </w:r>
      <w:r>
        <w:rPr>
          <w:rStyle w:val="FootnoteAnchor"/>
          <w:rtl w:val="true"/>
        </w:rPr>
        <w:footnoteReference w:id="804"/>
      </w:r>
      <w:r>
        <w:rPr>
          <w:rFonts w:ascii="IRNazanin" w:hAnsi="IRNazanin" w:eastAsia="IRNazanin"/>
          <w:color w:val="111111"/>
          <w:sz w:val="28"/>
          <w:sz w:val="28"/>
          <w:szCs w:val="28"/>
          <w:rtl w:val="true"/>
          <w:lang w:bidi="fa-IR"/>
        </w:rPr>
        <w:t xml:space="preserve">، و قد مرّ تفصیله فی کیفیّة الجمع بین الحکم الواقعیّ و الظاهریّ بما لا مزید علیه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أنّ سیّدنا الوالد المحقّق الاستاذ الذی هو مؤسّس هذه الطریقة، لم یلفت النظر إلی ما شیّد أرکانه و أسّس بنیانه فی هذه المسألة، فی کتاب الظنّ، و هنا، کما تری</w:t>
      </w:r>
      <w:r>
        <w:rPr>
          <w:rFonts w:eastAsia="IRNazanin" w:cs="IRNazanin"/>
          <w:color w:val="111111"/>
          <w:sz w:val="28"/>
          <w:szCs w:val="28"/>
          <w:rtl w:val="true"/>
          <w:lang w:bidi="fa-IR"/>
        </w:rPr>
        <w:t>!!</w:t>
      </w:r>
    </w:p>
    <w:p>
      <w:pPr>
        <w:pStyle w:val="Heading6"/>
        <w:numPr>
          <w:ilvl w:val="5"/>
          <w:numId w:val="1"/>
        </w:numPr>
        <w:rPr/>
      </w:pPr>
      <w:bookmarkStart w:id="645" w:name="__RefHeading___Toc735137_3244359995"/>
      <w:bookmarkStart w:id="646" w:name="_Toc243"/>
      <w:bookmarkEnd w:id="645"/>
      <w:r>
        <w:rPr>
          <w:rtl w:val="true"/>
        </w:rPr>
        <w:t>تنبیه</w:t>
      </w:r>
      <w:r>
        <w:rPr>
          <w:rtl w:val="true"/>
        </w:rPr>
        <w:t xml:space="preserve">: </w:t>
      </w:r>
      <w:r>
        <w:rPr>
          <w:rtl w:val="true"/>
        </w:rPr>
        <w:t>فی بعض ما لا ینبغی الخوض فیه هنا</w:t>
      </w:r>
      <w:bookmarkEnd w:id="646"/>
    </w:p>
    <w:p>
      <w:pPr>
        <w:pStyle w:val="BookText"/>
        <w:rPr/>
      </w:pPr>
      <w:r>
        <w:rPr>
          <w:rFonts w:ascii="IRNazanin" w:hAnsi="IRNazanin" w:eastAsia="IRNazanin"/>
          <w:color w:val="111111"/>
          <w:sz w:val="28"/>
          <w:sz w:val="28"/>
          <w:szCs w:val="28"/>
          <w:rtl w:val="true"/>
          <w:lang w:bidi="fa-IR"/>
        </w:rPr>
        <w:t xml:space="preserve">لا وجه لخوضنا فی سائر مسائل العلم الإجمالیّ العقلیّة؛ بعد ما مرّ تفصیله فی مبحث القطع </w:t>
      </w:r>
      <w:r>
        <w:rPr>
          <w:rStyle w:val="FootnoteAnchor"/>
          <w:rtl w:val="true"/>
        </w:rPr>
        <w:footnoteReference w:id="806"/>
      </w:r>
      <w:r>
        <w:rPr>
          <w:rFonts w:ascii="IRNazanin" w:hAnsi="IRNazanin" w:eastAsia="IRNazanin"/>
          <w:color w:val="111111"/>
          <w:sz w:val="28"/>
          <w:sz w:val="28"/>
          <w:szCs w:val="28"/>
          <w:rtl w:val="true"/>
          <w:lang w:bidi="fa-IR"/>
        </w:rPr>
        <w:t xml:space="preserve">، و لا لمسألة جواز الترخیص فی بعض الأطراف؛ بعد ما عرفت ذلک </w:t>
      </w:r>
      <w:r>
        <w:rPr>
          <w:rStyle w:val="FootnoteAnchor"/>
          <w:rtl w:val="true"/>
        </w:rPr>
        <w:footnoteReference w:id="807"/>
      </w:r>
      <w:r>
        <w:rPr>
          <w:rFonts w:ascii="IRNazanin" w:hAnsi="IRNazanin" w:eastAsia="IRNazanin"/>
          <w:color w:val="111111"/>
          <w:sz w:val="28"/>
          <w:sz w:val="28"/>
          <w:szCs w:val="28"/>
          <w:rtl w:val="true"/>
          <w:lang w:bidi="fa-IR"/>
        </w:rPr>
        <w:t>، و علمت اختلاف مسلکنا هنا مع سائر المسالک اختلافا جوهریّا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معنی لتوصیف العلم الإجمالیّ بأنّه علّة تامّة، أو مقتض مطلقا، أو فیه تفصیل بالنسبة إلی المخالفة و الموافقة، أو لا علّیة له و لا اقتضاء، کما ربّما ینسب إلی العلّامة المجلسیّ رحمه اللّه حیث رخّص ارتکاب جمیع الأطراف </w:t>
      </w:r>
      <w:r>
        <w:rPr>
          <w:rStyle w:val="FootnoteAnchor"/>
          <w:rtl w:val="true"/>
        </w:rPr>
        <w:footnoteReference w:id="808"/>
      </w:r>
      <w:r>
        <w:rPr>
          <w:rFonts w:ascii="IRNazanin" w:hAnsi="IRNazanin" w:eastAsia="IRNazanin"/>
          <w:color w:val="111111"/>
          <w:sz w:val="28"/>
          <w:sz w:val="28"/>
          <w:szCs w:val="28"/>
          <w:rtl w:val="true"/>
          <w:lang w:bidi="fa-IR"/>
        </w:rPr>
        <w:t>، فإنّه بحث غلط ناشئ عمّا بنوا علیه من الخطابات الشخصیّة، و إلّا فإنّ العلم الإجمالیّ فی میزان</w:t>
      </w:r>
      <w:bookmarkStart w:id="647" w:name="pg13173_324986"/>
    </w:p>
    <w:p>
      <w:pPr>
        <w:pStyle w:val="BookText"/>
        <w:rPr/>
      </w:pPr>
      <w:bookmarkEnd w:id="647"/>
      <w:r>
        <w:rPr>
          <w:rFonts w:ascii="IRNazanin" w:hAnsi="IRNazanin" w:eastAsia="IRNazanin"/>
          <w:color w:val="111111"/>
          <w:sz w:val="28"/>
          <w:sz w:val="28"/>
          <w:szCs w:val="28"/>
          <w:rtl w:val="true"/>
          <w:lang w:bidi="fa-IR"/>
        </w:rPr>
        <w:t xml:space="preserve">العقل، یمنع عن جریان البراءة العقلیّة و العقلائیّة، دون الشرعیّة، مع کونه باقیا علی حاله علما و معلوما؛ من غیر تصرّف فی المعلوم یسیرا و کثیرا، خلافا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 فی المعلوم یسیرا</w:t>
      </w:r>
      <w:r>
        <w:rPr>
          <w:rStyle w:val="FootnoteAnchor"/>
          <w:rtl w:val="true"/>
        </w:rPr>
        <w:footnoteReference w:id="809"/>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من المحتمل جولان المجلسی فیما ذکرناه، إلّا أنّه التزم فی الشبهات التحریمیّة الموضوعیّة ظاهرا للأدلّة الخاصّة، دون الوجوبیّة، وفاقا للأخباریّین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قیس النظر إلی استحقاق العقوبة و عدمه، لا إلی اختلاف مراتب الحکم و وجوده و عدمه، فلا بأس بدعوی أنّه مقتض؛ لأنّه یجوز للشرع الترخیص فی جمیع الأطراف عقلا؛ و إن لم یجز الارتکاب مطلقا حسب البراءة العقلیّة و العرفیّة، فلا تغفل</w:t>
      </w:r>
      <w:r>
        <w:rPr>
          <w:rFonts w:eastAsia="IRNazanin" w:cs="IRNazanin"/>
          <w:color w:val="111111"/>
          <w:sz w:val="28"/>
          <w:szCs w:val="28"/>
          <w:rtl w:val="true"/>
          <w:lang w:bidi="fa-IR"/>
        </w:rPr>
        <w:t>.</w:t>
      </w:r>
    </w:p>
    <w:p>
      <w:pPr>
        <w:pStyle w:val="Heading6"/>
        <w:numPr>
          <w:ilvl w:val="5"/>
          <w:numId w:val="1"/>
        </w:numPr>
        <w:rPr/>
      </w:pPr>
      <w:bookmarkStart w:id="648" w:name="__RefHeading___Toc735139_3244359995"/>
      <w:bookmarkStart w:id="649" w:name="_Toc244"/>
      <w:bookmarkEnd w:id="648"/>
      <w:r>
        <w:rPr>
          <w:rtl w:val="true"/>
        </w:rPr>
        <w:t>فذلکة البحث</w:t>
      </w:r>
      <w:bookmarkEnd w:id="64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ملاحظة مصالح الإسلام و المسلمین فی إمضاء الطرق و الأمارات علی وجه تجری فی أطراف العلم الإجمالیّ، لا تستتبع تقییدا فی الأحکام الواقعیّة، و تخصیصا فی المجعولات النفسیّة، حتّی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المذکور یوجب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هذا الذی ذکرناه، منوط بالاطلاع علی مقدّمات حدیث الخطابات القانونیّة</w:t>
      </w:r>
      <w:r>
        <w:rPr>
          <w:rStyle w:val="FootnoteAnchor"/>
          <w:rtl w:val="true"/>
        </w:rPr>
        <w:footnoteReference w:id="811"/>
      </w:r>
      <w:r>
        <w:rPr>
          <w:rFonts w:ascii="IRNazanin" w:hAnsi="IRNazanin" w:eastAsia="IRNazanin"/>
          <w:color w:val="111111"/>
          <w:sz w:val="28"/>
          <w:sz w:val="28"/>
          <w:szCs w:val="28"/>
          <w:rtl w:val="true"/>
          <w:lang w:bidi="fa-IR"/>
        </w:rPr>
        <w:t>و أنّها لا تنحلّ إلی الشخصیّة، مع انحلال الحکم إلی الأحکام الکثیرة انحلالا حکمیّا، و لذلک تجری البراءة فی الشبهات الحکمیّة علی الإطلاق</w:t>
      </w:r>
      <w:r>
        <w:rPr>
          <w:rFonts w:eastAsia="IRNazanin" w:cs="IRNazanin"/>
          <w:color w:val="111111"/>
          <w:sz w:val="28"/>
          <w:szCs w:val="28"/>
          <w:rtl w:val="true"/>
          <w:lang w:bidi="fa-IR"/>
        </w:rPr>
        <w:t>.</w:t>
      </w:r>
      <w:bookmarkStart w:id="650" w:name="pg13173_324987"/>
    </w:p>
    <w:p>
      <w:pPr>
        <w:pStyle w:val="Heading6"/>
        <w:numPr>
          <w:ilvl w:val="5"/>
          <w:numId w:val="1"/>
        </w:numPr>
        <w:rPr/>
      </w:pPr>
      <w:bookmarkStart w:id="651" w:name="__RefHeading___Toc735141_3244359995"/>
      <w:bookmarkStart w:id="652" w:name="_Toc245"/>
      <w:bookmarkEnd w:id="650"/>
      <w:bookmarkEnd w:id="651"/>
      <w:r>
        <w:rPr>
          <w:rtl w:val="true"/>
        </w:rPr>
        <w:t>المقام الثانی</w:t>
      </w:r>
      <w:r>
        <w:rPr>
          <w:rtl w:val="true"/>
        </w:rPr>
        <w:t xml:space="preserve">: </w:t>
      </w:r>
      <w:r>
        <w:rPr>
          <w:rtl w:val="true"/>
        </w:rPr>
        <w:t>حول ما یتعلّق بحدود ترخیص الشرع تصدیقا فی الشبهات الحکمیّة المقرونة بالعلم الإجمالیّ</w:t>
      </w:r>
      <w:bookmarkEnd w:id="652"/>
    </w:p>
    <w:p>
      <w:pPr>
        <w:pStyle w:val="Heading6"/>
        <w:numPr>
          <w:ilvl w:val="5"/>
          <w:numId w:val="1"/>
        </w:numPr>
        <w:rPr/>
      </w:pPr>
      <w:bookmarkStart w:id="653" w:name="__RefHeading___Toc735143_3244359995"/>
      <w:bookmarkStart w:id="654" w:name="_Toc246"/>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و حیث إنّ ذلک ممّا لا ینال إلّا بالبحث فی کلّ دلیل علی حدة، فلا بدّ من جعل دلیل کلّ من الطرق و الأمارات و الاصول مورد النظر إجمالا، و إحالة الزائد علیه إلی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بحوث أصحابنا الاصولیّین غیر شاملة الأطراف؛ لذهاب بعضهم إلی البحث عن خصوص الشبهات الموضوعیّة، و إحالة الحکمیّة علیها</w:t>
      </w:r>
      <w:r>
        <w:rPr>
          <w:rStyle w:val="FootnoteAnchor"/>
          <w:rtl w:val="true"/>
        </w:rPr>
        <w:footnoteReference w:id="812"/>
      </w:r>
      <w:r>
        <w:rPr>
          <w:rFonts w:ascii="IRNazanin" w:hAnsi="IRNazanin" w:eastAsia="IRNazanin"/>
          <w:color w:val="111111"/>
          <w:sz w:val="28"/>
          <w:sz w:val="28"/>
          <w:szCs w:val="28"/>
          <w:rtl w:val="true"/>
          <w:lang w:bidi="fa-IR"/>
        </w:rPr>
        <w:t xml:space="preserve">، و ذهاب بعضهم إلی البحث عن حال الاصول، دون الأمارات </w:t>
      </w:r>
      <w:r>
        <w:rPr>
          <w:rStyle w:val="FootnoteAnchor"/>
          <w:rtl w:val="true"/>
        </w:rPr>
        <w:footnoteReference w:id="813"/>
      </w:r>
      <w:r>
        <w:rPr>
          <w:rFonts w:ascii="IRNazanin" w:hAnsi="IRNazanin" w:eastAsia="IRNazanin"/>
          <w:color w:val="111111"/>
          <w:sz w:val="28"/>
          <w:sz w:val="28"/>
          <w:szCs w:val="28"/>
          <w:rtl w:val="true"/>
          <w:lang w:bidi="fa-IR"/>
        </w:rPr>
        <w:t>، مع أنّ ملاک البحث عامّ یشمل الصورة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لو علم إجمالا بوجوب الظهر أو الجمعة، مع قیام خبر زرارة خصوصا علی عدم وجوب الجمعة، و خبر ابن مسلم علی عدم وجوب الظهر، فإنّه فی حدّ ذاته ممّا لا بأس بهما، إلّا أنّه کما یمکن البحث عن جریان استصحاب عدم وجوب کلّ واحد، و البراءة عن وجوب کلّ واحد، یمکن البحث فی الصورة المذکورة، فیجوز الأخذ بقولهما مع کون الحکم الواقعیّ فعلیّا و معلوما بالإجمال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شرط جریان أدلّة حجّیة کلّ من الطرق و الأمارات، حاصل فی موارد العلوم الإجمالیّة؛ لما عرفت من تعانق العلم الإجمالیّ بالشبهة و الشکّ بالنسبة إلی کلّ خاصّ؛ و بالنسبة إلی کلّ واحد من الأطراف بعنوانه</w:t>
      </w:r>
    </w:p>
    <w:p>
      <w:pPr>
        <w:pStyle w:val="BookText"/>
        <w:rPr/>
      </w:pPr>
      <w:r>
        <w:rPr>
          <w:rFonts w:ascii="IRNazanin" w:hAnsi="IRNazanin" w:eastAsia="IRNazanin"/>
          <w:color w:val="111111"/>
          <w:sz w:val="28"/>
          <w:sz w:val="28"/>
          <w:szCs w:val="28"/>
          <w:rtl w:val="true"/>
          <w:lang w:bidi="fa-IR"/>
        </w:rPr>
        <w:t xml:space="preserve">الذاتیّ، و قد مرّ کیفیّة تعلّق العلم الإجمالیّ بالخارج، و معنی امتزاجه بالجهالة، و حقیقة إجماله بما لا مزید علیه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فتوهّم قصور أطراف العلم الإجمالیّ عن شمول أدلّة حجّیة الأمارات و الاصول بأصنافها؛ نظرا إلی أنّ العلم الإجمالیّ، کالتفصیلیّ فی عدم إمکان جعل الحجیّة فی مورده، و الشکوک المقرونة بالعلم معناها العلم الإجمالیّ، و لا یعقل الترخیص فی مورد العلم بأقسامه، فی غیر محلّه کما لا یخفی؛ لما لا یعتبر أزید من الشکّ إمّا فی المورد، أو فی الموضوع، و الکلّ حاصل بالقیاس إلی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الحجّیة، قاصرة عن اعتبار الحجیّة علی الإطلاق بوجه تشمل تلک الموارد، أو منصرفة؛ لأجل احتوائها علی خصوصیّات، فلا ینبغی أیضا الخلط بین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قابلیّة أطراف العلم الإجمالیّ لجعل الحجّیة؛ من ناحیة أنّ الشکّ مفقود، فإنّه غیر صحیح؛ لموجودیّة الشکّ و الجهل، و مسألة تمامیّة أدلّة الحجّیة و إطلاقها و عمومها علی وجه تشمل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تبیّن هذا الأمر، فلتکن علی خبرویّة من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مقتضی ما تحرّر منّا أنّه بعد إمکان الترخیص، و بعد قابلیّة الأطراف بحسب الشکّ لجعل الحجّیة، و بعد تمامیّة الأدلّة لشمول الأطراف، یسقط حدیث المعارضة بین الاصول النافیة، و لازمه جواز المخالفة العملیّة؛ لوجود المؤمّن، و هذا غیر تجویز العصیان کما عرفت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یسقط بحث القرعة، مع أنّه ساقط من رأسه فی هذه المیادین و البحوث، و لا یجوز لأحد التفوّه بذلک، سواء فیه الشبهات الحکمیّة و الموضوعیّة</w:t>
      </w:r>
      <w:r>
        <w:rPr>
          <w:rFonts w:eastAsia="IRNazanin" w:cs="IRNazanin"/>
          <w:color w:val="111111"/>
          <w:sz w:val="28"/>
          <w:szCs w:val="28"/>
          <w:rtl w:val="true"/>
          <w:lang w:bidi="fa-IR"/>
        </w:rPr>
        <w:t>.</w:t>
      </w:r>
      <w:bookmarkStart w:id="655" w:name="pg13173_324989"/>
    </w:p>
    <w:p>
      <w:pPr>
        <w:pStyle w:val="BookText"/>
        <w:rPr/>
      </w:pPr>
      <w:bookmarkEnd w:id="655"/>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عندنا بعد ما عرفت، یدور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جریان أدلّة الأمارات و الاصول حول العلوم الإجمالیّة، أو جریانها و صحّة الالتزام بالکلّ من غیر المعارضة؛ لإمکان ذلک ثبوتا، و جریانها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الوجیزة، فدونک صورتی المسألة</w:t>
      </w:r>
      <w:r>
        <w:rPr>
          <w:rFonts w:eastAsia="IRNazanin" w:cs="IRNazanin"/>
          <w:color w:val="111111"/>
          <w:sz w:val="28"/>
          <w:szCs w:val="28"/>
          <w:rtl w:val="true"/>
          <w:lang w:bidi="fa-IR"/>
        </w:rPr>
        <w:t>:</w:t>
      </w:r>
    </w:p>
    <w:p>
      <w:pPr>
        <w:pStyle w:val="Heading6"/>
        <w:numPr>
          <w:ilvl w:val="5"/>
          <w:numId w:val="1"/>
        </w:numPr>
        <w:rPr/>
      </w:pPr>
      <w:bookmarkStart w:id="656" w:name="__RefHeading___Toc735145_3244359995"/>
      <w:bookmarkStart w:id="657" w:name="_Toc247"/>
      <w:bookmarkEnd w:id="656"/>
      <w:r>
        <w:rPr>
          <w:rtl w:val="true"/>
        </w:rPr>
        <w:t>الصورة الاولی</w:t>
      </w:r>
      <w:r>
        <w:rPr>
          <w:rtl w:val="true"/>
        </w:rPr>
        <w:t xml:space="preserve">: </w:t>
      </w:r>
      <w:r>
        <w:rPr>
          <w:rtl w:val="true"/>
        </w:rPr>
        <w:t>ما إذا علم علما وجدانیّا بالحکم و التکلیف</w:t>
      </w:r>
      <w:bookmarkEnd w:id="657"/>
    </w:p>
    <w:p>
      <w:pPr>
        <w:pStyle w:val="BookText"/>
        <w:rPr/>
      </w:pPr>
      <w:r>
        <w:rPr>
          <w:rFonts w:ascii="IRNazanin" w:hAnsi="IRNazanin" w:eastAsia="IRNazanin"/>
          <w:color w:val="111111"/>
          <w:sz w:val="28"/>
          <w:sz w:val="28"/>
          <w:szCs w:val="28"/>
          <w:rtl w:val="true"/>
          <w:lang w:bidi="fa-IR"/>
        </w:rPr>
        <w:t xml:space="preserve">فإن قلنا بحجّیة العلم ذاتا کما علیه الأصحاب رحمهم اللّه </w:t>
      </w:r>
      <w:r>
        <w:rPr>
          <w:rStyle w:val="FootnoteAnchor"/>
          <w:rtl w:val="true"/>
        </w:rPr>
        <w:footnoteReference w:id="816"/>
      </w:r>
      <w:r>
        <w:rPr>
          <w:rFonts w:ascii="IRNazanin" w:hAnsi="IRNazanin" w:eastAsia="IRNazanin"/>
          <w:color w:val="111111"/>
          <w:sz w:val="28"/>
          <w:sz w:val="28"/>
          <w:szCs w:val="28"/>
          <w:rtl w:val="true"/>
          <w:lang w:bidi="fa-IR"/>
        </w:rPr>
        <w:t>فأدلّة الأمارات الإمضائیّة بل و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وجودها أحیانا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کافیة؛ إمّا لعدم إطلاق فیها، أو لانصرافها عن هذه المواقف، و لا یبعد أقوائیّة الاحتمال الأوّل، فلو علم وجدانا بوجوب الظهر أو الجمعة، أو القصر أو التمام، فلا بناء من العقلاء علی الأخذ بخبر الثقة النافی لکلّ واحد منهما بخصوصه، بل المناقضة العرفیّة کافیة لعدم بناء منهم علیه، و إن أمکن رفع المناقضة عقلا و فی أدقّ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المناقشة فی أدلّة بناء العقلاء اللفظیّة القائمة علی حجّیة خبر الثقة، بل و العقلیّة، و العرفیّة</w:t>
      </w:r>
      <w:r>
        <w:rPr>
          <w:rStyle w:val="FootnoteAnchor"/>
          <w:rtl w:val="true"/>
        </w:rPr>
        <w:footnoteReference w:id="817"/>
      </w:r>
      <w:r>
        <w:rPr>
          <w:rFonts w:ascii="IRNazanin" w:hAnsi="IRNazanin" w:eastAsia="IRNazanin"/>
          <w:color w:val="111111"/>
          <w:sz w:val="28"/>
          <w:sz w:val="28"/>
          <w:szCs w:val="28"/>
          <w:rtl w:val="true"/>
          <w:lang w:bidi="fa-IR"/>
        </w:rPr>
        <w:t>، فالقدر المتیقّن منها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إذا قلنا بعدم حجّیته الذاتیّة؛ و إمکان سلب الحجّیة و المنجّزیة، و لا سیّما بالنسبة إلی العلم الإجمالیّ، و لکنّه حجّة عقلائیّة قطعیّة، کما هو کذلک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أدلّة حجیّة الأمارات و خبر الثقة، یکشف ردع الشرع عن حجیّة العلم الإجمالیّ بعد إمکانه، فهو غیر تامّ؛ لأنّ هذا فرع ثبوت الإطلاق، و قد</w:t>
      </w:r>
    </w:p>
    <w:p>
      <w:pPr>
        <w:pStyle w:val="BookText"/>
        <w:rPr/>
      </w:pPr>
      <w:r>
        <w:rPr>
          <w:rFonts w:ascii="IRNazanin" w:hAnsi="IRNazanin" w:eastAsia="IRNazanin"/>
          <w:color w:val="111111"/>
          <w:sz w:val="28"/>
          <w:sz w:val="28"/>
          <w:szCs w:val="28"/>
          <w:rtl w:val="true"/>
          <w:lang w:bidi="fa-IR"/>
        </w:rPr>
        <w:t>فرضنا أنّه ممنوع، بخلاف العلم الإجمالیّ، فإنّه عند العقلاء حجّة، و لا دلیل علی ردعه و لو أمکن ردعه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تلزم المعارضة العرضیّة بین خبری زرارة و محمّد بن مسلم فی المثال السابق؛ لعدم دلیل علی جریان دلیل حجیّة خبر الثقة فی أطراف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تنحلّ مشکلة اخری فی باب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حکم المتعارضین بالعرض، من غیر فرق بین کون مفاد خبرهما نفی وجوب کلّ واحد منهما، کما هو مورد البحث هنا، أو إثبات وجوب کلّ واحد منهما، کما هو مثال البحث فی التعادل و الترجیح، فلا یشمل؛ لعدم الاقتضاء، و قصور الأدلّة ذاتا و لبّا،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الاستصحاب، فالحقّ عندنا أنّه غیر جار فی الشبهات الحکمیّة الوجودیّة و العدمیّة، و یکون عدم جریانه فی کلّ لعلّة خاصّة، و لا تصل النوبة فی الوجودیّة إلی المعارضة بینه و بین العدمیّة، کما عن النراقیّ </w:t>
      </w:r>
      <w:r>
        <w:rPr>
          <w:rStyle w:val="FootnoteAnchor"/>
          <w:rtl w:val="true"/>
        </w:rPr>
        <w:footnoteReference w:id="818"/>
      </w:r>
      <w:r>
        <w:rPr>
          <w:rFonts w:ascii="IRNazanin" w:hAnsi="IRNazanin" w:eastAsia="IRNazanin"/>
          <w:color w:val="111111"/>
          <w:sz w:val="28"/>
          <w:sz w:val="28"/>
          <w:szCs w:val="28"/>
          <w:rtl w:val="true"/>
          <w:lang w:bidi="fa-IR"/>
        </w:rPr>
        <w:t>و بعض أهل العصر</w:t>
      </w:r>
      <w:r>
        <w:rPr>
          <w:rStyle w:val="FootnoteAnchor"/>
          <w:rtl w:val="true"/>
        </w:rPr>
        <w:footnoteReference w:id="819"/>
      </w:r>
      <w:r>
        <w:rPr>
          <w:rFonts w:ascii="IRNazanin" w:hAnsi="IRNazanin" w:eastAsia="IRNazanin"/>
          <w:color w:val="111111"/>
          <w:sz w:val="28"/>
          <w:sz w:val="28"/>
          <w:szCs w:val="28"/>
          <w:rtl w:val="true"/>
          <w:lang w:bidi="fa-IR"/>
        </w:rPr>
        <w:t>، و لا نحتاج إلی بیان بعض مقاربی العصر من المناقضة فی مرحلة الجعل و التعبّد</w:t>
      </w:r>
      <w:r>
        <w:rPr>
          <w:rStyle w:val="FootnoteAnchor"/>
          <w:rtl w:val="true"/>
        </w:rPr>
        <w:footnoteReference w:id="820"/>
      </w:r>
      <w:r>
        <w:rPr>
          <w:rFonts w:ascii="IRNazanin" w:hAnsi="IRNazanin" w:eastAsia="IRNazanin"/>
          <w:color w:val="111111"/>
          <w:sz w:val="28"/>
          <w:sz w:val="28"/>
          <w:szCs w:val="28"/>
          <w:rtl w:val="true"/>
          <w:lang w:bidi="fa-IR"/>
        </w:rPr>
        <w:t xml:space="preserve">، مع ضعفه کما اشیر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و غیره </w:t>
      </w:r>
      <w:r>
        <w:rPr>
          <w:rStyle w:val="FootnoteAnchor"/>
          <w:rtl w:val="true"/>
        </w:rPr>
        <w:footnoteReference w:id="822"/>
      </w:r>
      <w:r>
        <w:rPr>
          <w:rFonts w:ascii="IRNazanin" w:hAnsi="IRNazanin" w:eastAsia="IRNazanin"/>
          <w:color w:val="111111"/>
          <w:sz w:val="28"/>
          <w:sz w:val="28"/>
          <w:szCs w:val="28"/>
          <w:rtl w:val="true"/>
          <w:lang w:bidi="fa-IR"/>
        </w:rPr>
        <w:t xml:space="preserve">، و سیظهر تحقیقه فی الاستصحاب إن شاء اللّه تعالی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فنشیر إلیها فی الصورة الآتیة إن شاء اللّه تعالی؛ لاشتراک جمیع الصور فی جریانها و عدم جریانها، و هکذا الاصول الجاریة فی مقام الامتثال فانتظر حتّی حین</w:t>
      </w:r>
      <w:r>
        <w:rPr>
          <w:rFonts w:eastAsia="IRNazanin" w:cs="IRNazanin"/>
          <w:color w:val="111111"/>
          <w:sz w:val="28"/>
          <w:szCs w:val="28"/>
          <w:rtl w:val="true"/>
          <w:lang w:bidi="fa-IR"/>
        </w:rPr>
        <w:t>.</w:t>
      </w:r>
      <w:bookmarkStart w:id="658" w:name="pg13173_324991"/>
    </w:p>
    <w:p>
      <w:pPr>
        <w:pStyle w:val="BookText"/>
        <w:rPr/>
      </w:pPr>
      <w:bookmarkEnd w:id="658"/>
      <w:r>
        <w:rPr>
          <w:rFonts w:ascii="IRNazanin" w:hAnsi="IRNazanin" w:eastAsia="IRNazanin"/>
          <w:color w:val="111111"/>
          <w:sz w:val="28"/>
          <w:sz w:val="28"/>
          <w:szCs w:val="28"/>
          <w:rtl w:val="true"/>
          <w:lang w:bidi="fa-IR"/>
        </w:rPr>
        <w:t>ثمّ إنّ ما ذکرناه، یتمّ من غیر فرق بین موارد العلم الإجمالیّ فی الشبهات التحریمیّة و الإیجابیّة و الإلزامیّة؛ أی مورد العلم الإجمالیّ بجنس التکلیف</w:t>
      </w:r>
      <w:r>
        <w:rPr>
          <w:rFonts w:eastAsia="IRNazanin" w:cs="IRNazanin"/>
          <w:color w:val="111111"/>
          <w:sz w:val="28"/>
          <w:szCs w:val="28"/>
          <w:rtl w:val="true"/>
          <w:lang w:bidi="fa-IR"/>
        </w:rPr>
        <w:t>.</w:t>
      </w:r>
    </w:p>
    <w:p>
      <w:pPr>
        <w:pStyle w:val="Heading6"/>
        <w:numPr>
          <w:ilvl w:val="5"/>
          <w:numId w:val="1"/>
        </w:numPr>
        <w:rPr/>
      </w:pPr>
      <w:bookmarkStart w:id="659" w:name="__RefHeading___Toc735147_3244359995"/>
      <w:bookmarkStart w:id="660" w:name="_Toc248"/>
      <w:bookmarkEnd w:id="659"/>
      <w:r>
        <w:rPr>
          <w:rtl w:val="true"/>
        </w:rPr>
        <w:t>الصورة الثانیة</w:t>
      </w:r>
      <w:r>
        <w:rPr>
          <w:rtl w:val="true"/>
        </w:rPr>
        <w:t xml:space="preserve">: </w:t>
      </w:r>
      <w:r>
        <w:rPr>
          <w:rtl w:val="true"/>
        </w:rPr>
        <w:t>ما لو علم بالحجّة إجمالا</w:t>
      </w:r>
      <w:bookmarkEnd w:id="660"/>
    </w:p>
    <w:p>
      <w:pPr>
        <w:pStyle w:val="BookText"/>
        <w:rPr/>
      </w:pPr>
      <w:r>
        <w:rPr>
          <w:rFonts w:ascii="IRNazanin" w:hAnsi="IRNazanin" w:eastAsia="IRNazanin"/>
          <w:color w:val="111111"/>
          <w:sz w:val="28"/>
          <w:sz w:val="28"/>
          <w:szCs w:val="28"/>
          <w:rtl w:val="true"/>
          <w:lang w:bidi="fa-IR"/>
        </w:rPr>
        <w:t>و لا بحث هنا فی مورد الترخیص فی مجموع الأطراف بأدلّة الأمارات؛ لأنّه یلزم منه المعارضة بین الحجّة المعلومة بالإجمال، و بین الحجّتین فی الأطراف؛ لأنّ دلیل حجّیة الأمارات یشمل الکلّ علی نهج واحد، فلو علم بوجوب القصر أو التمام؛ لمعارضة الأدلّة و إجمالها مثلا، و قامت الحجّة علی عدم وجوب القصر خصوصا، أو التمام خصوصا، فإنّه یلزم المعارضة بین الحجج الثلاث، فتکون المسألة خارجة عمّا نحن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الحکمیّة، لا معنی لذلک البحث فی هذه الصورة؛ و لو أمکن تصویره بوجه خارج عن افق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فقد مرّت الإشارة إلیه، و تفصیله فی محلّه صحّة و سقما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فرضنا جریانه فی الشبهات الحکمیّة، فیمکن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أدلّته، جریانه فی کلّ واحد من الأطراف، فیلزم الأخذ بالمجموع و الترخیص فی جمیع الأطراف، و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 xml:space="preserve">أنّه أعمّ من الیقین التفصیلیّ و الإجمالیّ، کما صرّح به الشیخ قدّس سرّه </w:t>
      </w:r>
      <w:r>
        <w:rPr>
          <w:rStyle w:val="FootnoteAnchor"/>
          <w:rtl w:val="true"/>
        </w:rPr>
        <w:footnoteReference w:id="826"/>
      </w:r>
      <w:r>
        <w:rPr>
          <w:rFonts w:ascii="IRNazanin" w:hAnsi="IRNazanin" w:eastAsia="IRNazanin"/>
          <w:color w:val="111111"/>
          <w:sz w:val="28"/>
          <w:sz w:val="28"/>
          <w:szCs w:val="28"/>
          <w:rtl w:val="true"/>
          <w:lang w:bidi="fa-IR"/>
        </w:rPr>
        <w:t>فعلیه تشکل حجّیته ذاتا فی</w:t>
      </w:r>
    </w:p>
    <w:p>
      <w:pPr>
        <w:pStyle w:val="BookText"/>
        <w:rPr/>
      </w:pPr>
      <w:r>
        <w:rPr>
          <w:rFonts w:ascii="IRNazanin" w:hAnsi="IRNazanin" w:eastAsia="IRNazanin"/>
          <w:color w:val="111111"/>
          <w:sz w:val="28"/>
          <w:sz w:val="28"/>
          <w:szCs w:val="28"/>
          <w:rtl w:val="true"/>
          <w:lang w:bidi="fa-IR"/>
        </w:rPr>
        <w:t>الأطراف؛ لقصور فی أدلّته، لا لإشکال فی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دلیله یوجب الشکّ فی حجّیته هنا، و هو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الصدر المتعقّب بهذا الذیل یکون مجملا؛ للاتصال، دون سائر المطلقات، فلا بأس بجریانه لو لا ما ذکرناه فی محلّه من المناقشة فی جریانه ذاتا؛ لاختلال رکنه، دون سرایة الإجمال إلی سائر أدلّته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البراءة الشرعیّة،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أدلّتها هو الحجّة، فالعلم الإجمالیّ حجّة وارد دلیله علی أدلّتها، کما مرّ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العلم الوجدانیّ التفصیلیّ، أو العلم الأعمّ منه و من التعبدیّ، فیشکل الأمر؛ و ذلک إمّا ثبوتا، أو إثباتا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کان حدیث الرفع </w:t>
      </w:r>
      <w:r>
        <w:rPr>
          <w:rStyle w:val="FootnoteAnchor"/>
          <w:rtl w:val="true"/>
        </w:rPr>
        <w:footnoteReference w:id="829"/>
      </w:r>
      <w:r>
        <w:rPr>
          <w:rFonts w:ascii="IRNazanin" w:hAnsi="IRNazanin" w:eastAsia="IRNazanin"/>
          <w:color w:val="111111"/>
          <w:sz w:val="28"/>
          <w:sz w:val="28"/>
          <w:szCs w:val="28"/>
          <w:rtl w:val="true"/>
          <w:lang w:bidi="fa-IR"/>
        </w:rPr>
        <w:t xml:space="preserve">و الحجب </w:t>
      </w:r>
      <w:r>
        <w:rPr>
          <w:rStyle w:val="FootnoteAnchor"/>
          <w:rtl w:val="true"/>
        </w:rPr>
        <w:footnoteReference w:id="830"/>
      </w:r>
      <w:r>
        <w:rPr>
          <w:rFonts w:ascii="IRNazanin" w:hAnsi="IRNazanin" w:eastAsia="IRNazanin"/>
          <w:color w:val="111111"/>
          <w:sz w:val="28"/>
          <w:sz w:val="28"/>
          <w:szCs w:val="28"/>
          <w:rtl w:val="true"/>
          <w:lang w:bidi="fa-IR"/>
        </w:rPr>
        <w:t>المشتمل علی أنّ المجهول موضوع 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یشبههما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مفادهما الرفع الواقعیّ، فیلزم اختصاص الأحکام بالعالمین، فیلزم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الالتزام بذلک لیس خروجا عن محطّ البحث؛ لأنّ المبحوث عنه هنا هو حدیث إمکان الجمع بین الأحکام الفعلیّة الواقعیّة علی الإطلاق، و الظاهریّة علی أصنافها، و قد مرّ إمکانه </w:t>
      </w:r>
      <w:r>
        <w:rPr>
          <w:rStyle w:val="FootnoteAnchor"/>
          <w:rtl w:val="true"/>
        </w:rPr>
        <w:footnoteReference w:id="831"/>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هنا، فیمکن للشرع أن یخصّ حکمه بالعالم، کما فی موارد کثیرة من التکلیف و الوضع، فلا وجه لتوهّم أنّه نوع خروج عن الجهة المبحوث عنها</w:t>
      </w:r>
      <w:r>
        <w:rPr>
          <w:rStyle w:val="FootnoteAnchor"/>
          <w:rtl w:val="true"/>
        </w:rPr>
        <w:footnoteReference w:id="832"/>
      </w:r>
      <w:r>
        <w:rPr>
          <w:rFonts w:ascii="IRNazanin" w:hAnsi="IRNazanin" w:eastAsia="IRNazanin"/>
          <w:color w:val="111111"/>
          <w:sz w:val="28"/>
          <w:sz w:val="28"/>
          <w:szCs w:val="28"/>
          <w:rtl w:val="true"/>
          <w:lang w:bidi="fa-IR"/>
        </w:rPr>
        <w:t>لأنّه تصرّف فی المعلوم، و لا یتصرّف فیه عند حلّ المشکلة عقلا، و إنّما یتصرّف فیه؛</w:t>
      </w:r>
    </w:p>
    <w:p>
      <w:pPr>
        <w:pStyle w:val="BookText"/>
        <w:rPr/>
      </w:pPr>
      <w:r>
        <w:rPr>
          <w:rFonts w:ascii="IRNazanin" w:hAnsi="IRNazanin" w:eastAsia="IRNazanin"/>
          <w:color w:val="111111"/>
          <w:sz w:val="28"/>
          <w:sz w:val="28"/>
          <w:szCs w:val="28"/>
          <w:rtl w:val="true"/>
          <w:lang w:bidi="fa-IR"/>
        </w:rPr>
        <w:t>لظهور دلیل فی مورده،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 لو کان الرفع واقعیّا، و یلزم التقیید، و هو یستلزم الدور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الرفع الادعائیّ، فهو أیضا غیر جائز؛ لأنّه یستلزم الرفع الواقعیّ، للغویّة بقاء التکلیف بعد رفع جمیع الآثار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محله من إنکار لزوم الدور غیر القابل للحلّ بما لا مزید علیه، و أنّه لا تلزم اللغویّة بعد کون الحکم الواقعیّ قانونیّا، لا شخصیّا</w:t>
      </w:r>
      <w:r>
        <w:rPr>
          <w:rStyle w:val="FootnoteAnchor"/>
          <w:rtl w:val="true"/>
        </w:rPr>
        <w:footnoteReference w:id="833"/>
      </w:r>
      <w:r>
        <w:rPr>
          <w:rFonts w:ascii="IRNazanin" w:hAnsi="IRNazanin" w:eastAsia="IRNazanin"/>
          <w:color w:val="111111"/>
          <w:sz w:val="28"/>
          <w:sz w:val="28"/>
          <w:szCs w:val="28"/>
          <w:rtl w:val="true"/>
          <w:lang w:bidi="fa-IR"/>
        </w:rPr>
        <w:t xml:space="preserve">، و الخلط بینهما یورث المفاسد الکثیرة، فلا مشکلة ثبوتا فی جریان أدلّة الاصول و البراءة الشرعیّة فی أطراف العلم الإجمالیّ، و لا یلزم الخروج عن محطّ النزاع کما توهّم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ملاحظة الأدلّة بحسب الفهم العرفیّ، فهی و إن کانت فی الترخیص مشترکة، و لکنّها مختلفة الاعتبار، و غیر واضحة الاتجاه؛ ضرورة أنّ مثل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أصالة الإباحة فی الشبهات التحریمیّة، و 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فی سنده، و احتمال اختصاصه بالموضوعیّة، فلا یشمل ما نحن فیه، و لا یجری فی الوجوبیّة حسب الظاهر من الذیل، و ربّما هو یوجب اختصاصه بالموضوعیّة، أو یلزم الإجمال کما مرّ، و مضافا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الفقه لا یوجد مورد یعلم الفقیه علما إجمالیّا بحرمة أحد الشیئین علی سبیل منع الخلوّ، و أمثلة هذه المسألة قلیلة و مخصوصة بالشبهة الوجوبیّة المقرونة بالعلم، فلیلاحظ جیّدا، و قد مرّ شطر من المبحث حوله فی</w:t>
      </w:r>
    </w:p>
    <w:p>
      <w:pPr>
        <w:pStyle w:val="BookText"/>
        <w:rPr/>
      </w:pPr>
      <w:r>
        <w:rPr>
          <w:rFonts w:ascii="Amiri" w:hAnsi="Amiri" w:eastAsia="Amiri" w:cs="Amiri"/>
          <w:color w:val="111111"/>
          <w:sz w:val="28"/>
          <w:sz w:val="28"/>
          <w:szCs w:val="28"/>
          <w:rtl w:val="true"/>
          <w:lang w:bidi="ar-SA"/>
        </w:rPr>
        <w:t>البراءة</w:t>
      </w:r>
      <w:r>
        <w:rPr>
          <w:rStyle w:val="FootnoteAnchor"/>
          <w:rtl w:val="true"/>
        </w:rPr>
        <w:footnoteReference w:id="836"/>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قاعدة جعل الحلّیة الظاهریّة، فإنّا و إن أشبعنا البحث حول إثبات أعمیّتها للشبهات الحکمیّة و الموضوعیّة</w:t>
      </w:r>
      <w:r>
        <w:rPr>
          <w:rStyle w:val="FootnoteAnchor"/>
          <w:rtl w:val="true"/>
        </w:rPr>
        <w:footnoteReference w:id="837"/>
      </w:r>
      <w:r>
        <w:rPr>
          <w:rFonts w:ascii="IRNazanin" w:hAnsi="IRNazanin" w:eastAsia="IRNazanin"/>
          <w:color w:val="111111"/>
          <w:sz w:val="28"/>
          <w:sz w:val="28"/>
          <w:szCs w:val="28"/>
          <w:rtl w:val="true"/>
          <w:lang w:bidi="fa-IR"/>
        </w:rPr>
        <w:t>، و لکنّ الإنصاف عدم ثبوت ظهور تصدیقیّ فیها بعد اقترانها بالقرائن الخاصّة، مثل قضیّة الجبن، و الموارد الثلاثة فی روایة مسعدة</w:t>
      </w:r>
      <w:r>
        <w:rPr>
          <w:rStyle w:val="FootnoteAnchor"/>
          <w:rtl w:val="true"/>
        </w:rPr>
        <w:footnoteReference w:id="838"/>
      </w:r>
      <w:r>
        <w:rPr>
          <w:rFonts w:ascii="IRNazanin" w:hAnsi="IRNazanin" w:eastAsia="IRNazanin"/>
          <w:color w:val="111111"/>
          <w:sz w:val="28"/>
          <w:sz w:val="28"/>
          <w:szCs w:val="28"/>
          <w:rtl w:val="true"/>
          <w:lang w:bidi="fa-IR"/>
        </w:rPr>
        <w:t xml:space="preserve">، و بعد اتحاد جمع من الروایات فی المسألة، کما یأتی فی الشبهات الموضوعیّة المقرونة بالعلم الإجمالیّ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لو کانت أعمّ فلا تنسب الحلّیة إلی مثل الظهر و العصر و القصر و التمام، و بالجملة فی الشبهات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لا أظنّ أنّه یبتلی فی الفقه بمورد یعلم إجمالا بحرمة أحد الشیئین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بالتمسّک بها فی الشبهات التحریمیّة الحکمیّة، کحرمة لحم الإرنب مثلا، فتأمّل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أمثال حدیث الرفع و السعة و الحجب أعمّ، و قد مرّ الکلام حولها</w:t>
      </w:r>
      <w:r>
        <w:rPr>
          <w:rStyle w:val="FootnoteAnchor"/>
          <w:rtl w:val="true"/>
        </w:rPr>
        <w:footnoteReference w:id="840"/>
      </w:r>
      <w:r>
        <w:rPr>
          <w:rFonts w:ascii="IRNazanin" w:hAnsi="IRNazanin" w:eastAsia="IRNazanin"/>
          <w:color w:val="111111"/>
          <w:sz w:val="28"/>
          <w:sz w:val="28"/>
          <w:szCs w:val="28"/>
          <w:rtl w:val="true"/>
          <w:lang w:bidi="fa-IR"/>
        </w:rPr>
        <w:t>، و إنّما البحث هنا فی خصوص جریانها فی الشبهات المقرونة بالعلم الإجمالیّ؛ من غیر فرق بین کونه علما وجدانا، أو علما بالحجّة؛ لأنّه لا منع من ترخیص الشرع فی مجموع الأطراف فی الشبهات الحکمیّة، و لا یلزم من رفع الحکم فی کلّ طرف، معارضة بین دلیل الحکم الواقعیّ و الأصل؛ لتأخّره عنه، بخلاف ما إذا قلنا بجریان</w:t>
      </w:r>
    </w:p>
    <w:p>
      <w:pPr>
        <w:pStyle w:val="BookText"/>
        <w:rPr/>
      </w:pPr>
      <w:r>
        <w:rPr>
          <w:rFonts w:ascii="IRNazanin" w:hAnsi="IRNazanin" w:eastAsia="IRNazanin"/>
          <w:color w:val="111111"/>
          <w:sz w:val="28"/>
          <w:sz w:val="28"/>
          <w:szCs w:val="28"/>
          <w:rtl w:val="true"/>
          <w:lang w:bidi="fa-IR"/>
        </w:rPr>
        <w:t>أدلّة الطرق فیها،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الصناعة جریانها فی الحکمیّة، و فیما نحن فیه، و تصیر النتیجة جواز ترک المجموع، و ارتکاب الأطراف، إلّا أنّه قلیل الوجود، بل فی التحریمیّة الحکمیّة غیر موجود عندی مثال لها، و فی الوجوبیّة یکون مثاله مثل صلاة الظهر و الجمعة، و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خصوص الصلاة تکون الضرورة قاضیة بعدم جواز إهمالها، مع أنّ المثالین مورد جریان الأصل النافی و المثبت نوعا؛ بناء علی جریانه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الحجّة، کما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فهی غیر بعیدة فی صورة عدم انتساب العلم إلی المکلّف،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842"/>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و أمّا فی مثل ما نحن فیه فلیس الأمر کما تحرّر؛ لعدم مساعدة الهیئة الاستعمالیّة علی ذلک، کما مرّ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ففی موارد العلم الإجمالیّ تجری البراءة الشرعیّة؛ لأنّ فی کلّ طرف یشکّ فی تمامیّة الحجّة، و هو الدلیل المعلوم إجمالا، فیکون من الشبهة الموضوعیّة؛ لاحتمال عدم إصابة الحجّة الإجمالیّة للواقع، فلیس تمامیّة الحجّة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لا دلیل الرفع ما کان مؤمّن من تبعات التکلیف</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تحصّل من جریانها فی أطراف العلم الإجمالیّ بالحجّة، قویّ فی</w:t>
      </w:r>
      <w:bookmarkStart w:id="661" w:name="pg13173_324996"/>
    </w:p>
    <w:p>
      <w:pPr>
        <w:pStyle w:val="BookText"/>
        <w:rPr/>
      </w:pPr>
      <w:bookmarkEnd w:id="661"/>
      <w:r>
        <w:rPr>
          <w:rFonts w:ascii="IRNazanin" w:hAnsi="IRNazanin" w:eastAsia="IRNazanin"/>
          <w:color w:val="111111"/>
          <w:sz w:val="28"/>
          <w:sz w:val="28"/>
          <w:szCs w:val="28"/>
          <w:rtl w:val="true"/>
          <w:lang w:bidi="fa-IR"/>
        </w:rPr>
        <w:t>الشبهات الحکمیّة، إلّا أنّ مقتضی ما تحرّر منّا فی 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حدیث الرفع انتفاء الحکم الواقعیّ </w:t>
      </w:r>
      <w:r>
        <w:rPr>
          <w:rStyle w:val="FootnoteAnchor"/>
          <w:rtl w:val="true"/>
        </w:rPr>
        <w:footnoteReference w:id="845"/>
      </w:r>
      <w:r>
        <w:rPr>
          <w:rFonts w:ascii="IRNazanin" w:hAnsi="IRNazanin" w:eastAsia="IRNazanin"/>
          <w:color w:val="111111"/>
          <w:sz w:val="28"/>
          <w:sz w:val="28"/>
          <w:szCs w:val="28"/>
          <w:rtl w:val="true"/>
          <w:lang w:bidi="fa-IR"/>
        </w:rPr>
        <w:t>، و تکون النتیجة تقیید الأدلّة الأوّلیة؛ نظرا إلی الجمع بینه و بین تلک الإطلاقات، و لکن حیث اشتهر الإجماع علی الاشتراک، لا بأس بکون المرفوع ادعائیّا، إلّا أنّه لا أثر للحکم الواقعیّ من غیر لزوم اللغویّة الممنوعة عقلا، کما اشیر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للتقیید فی صورة کون العلم الإجمالیّ وجدانیّا، و حیث لا معنی للتفصیل بین الصورتین، یلزم أیضا تعیّن الوجه الثانی و هو الرفع الادعائیّ، فتأمّل جیّدا</w:t>
      </w:r>
      <w:r>
        <w:rPr>
          <w:rFonts w:eastAsia="IRNazanin" w:cs="IRNazanin"/>
          <w:color w:val="111111"/>
          <w:sz w:val="28"/>
          <w:szCs w:val="28"/>
          <w:rtl w:val="true"/>
          <w:lang w:bidi="fa-IR"/>
        </w:rPr>
        <w:t>.</w:t>
      </w:r>
    </w:p>
    <w:p>
      <w:pPr>
        <w:pStyle w:val="Heading6"/>
        <w:numPr>
          <w:ilvl w:val="5"/>
          <w:numId w:val="1"/>
        </w:numPr>
        <w:rPr/>
      </w:pPr>
      <w:bookmarkStart w:id="662" w:name="__RefHeading___Toc735149_3244359995"/>
      <w:bookmarkStart w:id="663" w:name="_Toc249"/>
      <w:bookmarkEnd w:id="662"/>
      <w:r>
        <w:rPr>
          <w:rtl w:val="true"/>
        </w:rPr>
        <w:t>بقی شی‌ء</w:t>
      </w:r>
      <w:r>
        <w:rPr>
          <w:rtl w:val="true"/>
        </w:rPr>
        <w:t xml:space="preserve">: </w:t>
      </w:r>
      <w:r>
        <w:rPr>
          <w:rtl w:val="true"/>
        </w:rPr>
        <w:t>دفع شبهة عقلائیّة عن جریان الاصول فی مجموع الأطراف</w:t>
      </w:r>
      <w:bookmarkEnd w:id="663"/>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العقلاء و لو التزموا بجریانه فی أطراف العلم الإجمالیّ؛ سواء کان علما وجدانیّا، أو بالحجّة، إلّا أنّ الجمع بینه و بین وجود الحکم الفعلیّ، یعدّ عندهم من الجمع بین المتناقضین، و ما اشیر إلیه من الجمع الممکن </w:t>
      </w:r>
      <w:r>
        <w:rPr>
          <w:rStyle w:val="FootnoteAnchor"/>
          <w:rtl w:val="true"/>
        </w:rPr>
        <w:footnoteReference w:id="846"/>
      </w:r>
      <w:r>
        <w:rPr>
          <w:rFonts w:ascii="IRNazanin" w:hAnsi="IRNazanin" w:eastAsia="IRNazanin"/>
          <w:color w:val="111111"/>
          <w:sz w:val="28"/>
          <w:sz w:val="28"/>
          <w:szCs w:val="28"/>
          <w:rtl w:val="true"/>
          <w:lang w:bidi="fa-IR"/>
        </w:rPr>
        <w:t>، خروج عن الجمع العرفیّ بین الأدلّة الواقعیّة و الاصول العملیّة، و هذا إمّا یستلزم منعهم من جریانها فی أطرافه، أو معارضتها و سقوطها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احتمال غریب بدویّ، و لو کان العقلاء متوجّهین إلی أنّ فی الشریعة المقدسة موارد یخصّ الحکم بالعالم، و لا یشترک معه الجاهل، فلا یستبعدون أن یکون فیها أیضا اختصاص الحکم بالعالم بالعلم التفصیلیّ، و لا یشارکه الجاهل مطلقا، سواء کان جهله مقرونا بالعلم الإجمالیّ الصغیر، أو الکبیر، أو بدویّا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موارد العلم الإجمالیّ، یکون الواقع حجّة علیه بطریقیّة العلم، و یلزم</w:t>
      </w:r>
    </w:p>
    <w:p>
      <w:pPr>
        <w:pStyle w:val="BookText"/>
        <w:rPr/>
      </w:pPr>
      <w:r>
        <w:rPr>
          <w:rFonts w:ascii="IRNazanin" w:hAnsi="IRNazanin" w:eastAsia="IRNazanin"/>
          <w:color w:val="111111"/>
          <w:sz w:val="28"/>
          <w:sz w:val="28"/>
          <w:szCs w:val="28"/>
          <w:rtl w:val="true"/>
          <w:lang w:bidi="fa-IR"/>
        </w:rPr>
        <w:t>الاحتیاط التامّ، و تحرم المخالفة کما مرّ</w:t>
      </w:r>
      <w:r>
        <w:rPr>
          <w:rStyle w:val="FootnoteAnchor"/>
          <w:rtl w:val="true"/>
        </w:rPr>
        <w:footnoteReference w:id="847"/>
      </w:r>
      <w:r>
        <w:rPr>
          <w:rFonts w:ascii="IRNazanin" w:hAnsi="IRNazanin" w:eastAsia="IRNazanin"/>
          <w:color w:val="111111"/>
          <w:sz w:val="28"/>
          <w:sz w:val="28"/>
          <w:szCs w:val="28"/>
          <w:rtl w:val="true"/>
          <w:lang w:bidi="fa-IR"/>
        </w:rPr>
        <w:t>، و أمّا بعد قیام المؤمّن فی کلّ طرف علی أنّه لا عقوبة فی خصوص ذلک الطرف و لو أصاب الواقع، یکشف قصور المعلوم إن أمکن، و حیث إنّ المفروض تصدیقا تمامیّة المعلوم بحسب الفعلیّة، یکشف التسهیل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المعارضة العرفیّة الناشئة عن الجهالة بأطراف القضیّة، فهو حقّ، و لکنّه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المعارضة العرفیّة الناشئة عن التفات العقلاء إلی أطراف المسألة، کما فی باب الأهمّ و المهمّ، حیث لا یجد العرف البسیط فعلیّة التکلیف بالمهمّ فی صورة الاشتغال بالأهمّ، و لکنّه لیس مدار فهم هذا الأمر، و لا غیر هذا، فإنّ العرف و العقلاء الذین هم مدار فهم المسائل؛ هم أهل العرف العارفون الذین یعدّون فی عصرنا علماء الحقوق، و یکون مثل ابن مسلم وزرارة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أدلّة الرفع متّبع، و کما أنّ فی الشبهات البدویّة یلزم احتمال المناقضة، و قد مرّ اندفاعه فی الجمع بین الحکم الظاهریّ و الواقعیّ </w:t>
      </w:r>
      <w:r>
        <w:rPr>
          <w:rStyle w:val="FootnoteAnchor"/>
          <w:rtl w:val="true"/>
        </w:rPr>
        <w:footnoteReference w:id="848"/>
      </w:r>
      <w:r>
        <w:rPr>
          <w:rFonts w:ascii="IRNazanin" w:hAnsi="IRNazanin" w:eastAsia="IRNazanin"/>
          <w:color w:val="111111"/>
          <w:sz w:val="28"/>
          <w:sz w:val="28"/>
          <w:szCs w:val="28"/>
          <w:rtl w:val="true"/>
          <w:lang w:bidi="fa-IR"/>
        </w:rPr>
        <w:t>، مع أنّه أیضا خلاف فهم العرف، إلّا أنّهم بعد التوجّه إلی قیام الإجماع علی الاشتراک، یلتزمون بالکیفیّة التی أبدعناها، کذلک الأمر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صورة العلم الإجمالیّ بإطلاق الحجّة و بالحجّة الإجمالیّة، یکشف اختصاص الحکم إمکانا بالعالم بالعلم التفصیلیّ، کما فی کثیر من الموارد، و حیث قد عرفت تعیّن الوجه الأوّل لبعض الجهات السابقة، یلتزمون بأهمّیة التسهیل فی جعل الطرق، و إبراز الرضا بالحجج العرفیّة، و تأسیس الاصول المحرزة و غیرها، فاغتنم</w:t>
      </w:r>
      <w:r>
        <w:rPr>
          <w:rFonts w:eastAsia="IRNazanin" w:cs="IRNazanin"/>
          <w:color w:val="111111"/>
          <w:sz w:val="28"/>
          <w:szCs w:val="28"/>
          <w:rtl w:val="true"/>
          <w:lang w:bidi="fa-IR"/>
        </w:rPr>
        <w:t>.</w:t>
      </w:r>
      <w:bookmarkStart w:id="664" w:name="pg13173_324998"/>
    </w:p>
    <w:p>
      <w:pPr>
        <w:pStyle w:val="Heading6"/>
        <w:numPr>
          <w:ilvl w:val="5"/>
          <w:numId w:val="1"/>
        </w:numPr>
        <w:rPr/>
      </w:pPr>
      <w:bookmarkStart w:id="665" w:name="__RefHeading___Toc735151_3244359995"/>
      <w:bookmarkStart w:id="666" w:name="_Toc250"/>
      <w:bookmarkEnd w:id="664"/>
      <w:bookmarkEnd w:id="665"/>
      <w:r>
        <w:rPr>
          <w:rtl w:val="true"/>
        </w:rPr>
        <w:t>تنبیه</w:t>
      </w:r>
      <w:r>
        <w:rPr>
          <w:rtl w:val="true"/>
        </w:rPr>
        <w:t xml:space="preserve">: </w:t>
      </w:r>
      <w:r>
        <w:rPr>
          <w:rtl w:val="true"/>
        </w:rPr>
        <w:t>حول موارد العلم الإجمالیّ بالبطلان</w:t>
      </w:r>
      <w:bookmarkEnd w:id="666"/>
    </w:p>
    <w:p>
      <w:pPr>
        <w:pStyle w:val="BookText"/>
        <w:rPr/>
      </w:pPr>
      <w:r>
        <w:rPr>
          <w:rFonts w:ascii="IRNazanin" w:hAnsi="IRNazanin" w:eastAsia="IRNazanin"/>
          <w:color w:val="111111"/>
          <w:sz w:val="28"/>
          <w:sz w:val="28"/>
          <w:szCs w:val="28"/>
          <w:rtl w:val="true"/>
          <w:lang w:bidi="fa-IR"/>
        </w:rPr>
        <w:t>لو قلنا باختصاص الاصول الجاریة فی موارد الشکّ فی الامتثال بصورة العلم بالحکم و بالحجّة، فلا مؤمّن بعد العلم الإجمالیّ ببطلان إحدی الصلاتین، أو الصومین، أو غیر ذلک؛ حتّی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بجریانها حسب إطلاق أدلّتها، فی موارد الجهل بالحکم مع احتمال الإتیان بالمشکوک فیه و ما هو مورد الجهل، کما إذا شکّ بعد الفراغ من الصلاة فی إتیانه بالقراءة، مع کونه جاهلا بالقراءة حکما، کما هو مفروض البحث هنا، أو شکّ فی مراعاة شرط أو جزء فی صفة المعاملة بعد الفراغ منها، و احتمل الإتیان به من باب الاتفاق، فإنّه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الأصل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مقدّما علی هذه الاصول، فلا تصل النوبة إلیها،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الأصل جاریا فی المرتبة السابقة؛ لجهة من الجهات،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جریانه فی الشبهة الحکمیّة مثلا، کما قیل به </w:t>
      </w:r>
      <w:r>
        <w:rPr>
          <w:rStyle w:val="FootnoteAnchor"/>
          <w:rtl w:val="true"/>
        </w:rPr>
        <w:footnoteReference w:id="849"/>
      </w:r>
      <w:r>
        <w:rPr>
          <w:rFonts w:ascii="IRNazanin" w:hAnsi="IRNazanin" w:eastAsia="IRNazanin"/>
          <w:color w:val="111111"/>
          <w:sz w:val="28"/>
          <w:sz w:val="28"/>
          <w:szCs w:val="28"/>
          <w:rtl w:val="true"/>
          <w:lang w:bidi="fa-IR"/>
        </w:rPr>
        <w:t xml:space="preserve">، فإنّه حینئذ لا بأس ثبوتا بجریان تلک الاصول، إلّا أنّ جریانها فی صورة الجهل بالحکم مورد المنع؛ لأنّ ما هو من قبیل قاعدة التجاوز و الفراغ، ففی أخبارها ما هو ظاهر فی أنّ مصبّها صورة العلم بالحکم </w:t>
      </w:r>
      <w:r>
        <w:rPr>
          <w:rStyle w:val="FootnoteAnchor"/>
          <w:rtl w:val="true"/>
        </w:rPr>
        <w:footnoteReference w:id="850"/>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کتاب الصلاة، أبواب المواقیت، 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کتاب الصلاة، أبواب الرکوع،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کتاب الصلاة، أبواب الخلل فی الصلاة، الباب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التفصیل فی محلّه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من قبیل أصالة الصحّة و عدم الفساد، فجریانها فی مورد الشکّ فی التطبیق قطعیّ، و هی صورة العلم، و أمّا فی صورة الشکّ فی الانطباق فهو غیر</w:t>
      </w:r>
    </w:p>
    <w:p>
      <w:pPr>
        <w:pStyle w:val="BookText"/>
        <w:rPr/>
      </w:pPr>
      <w:r>
        <w:rPr>
          <w:rFonts w:ascii="IRNazanin" w:hAnsi="IRNazanin" w:eastAsia="IRNazanin"/>
          <w:color w:val="111111"/>
          <w:sz w:val="28"/>
          <w:sz w:val="28"/>
          <w:szCs w:val="28"/>
          <w:rtl w:val="true"/>
          <w:lang w:bidi="fa-IR"/>
        </w:rPr>
        <w:t>واضح، و هو یکفی لعدم حصول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مورد الشکّ البدویّ و الجهالة غیر المقرونة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الجهالة مقرونة بالعلم الإجمالیّ بجزئیّة أحد الشیئین، أو مانعیّة أحد الأمرین، و هکذا فی سائر موارد الشبهات الحکمیّة المقرونة بالعلم الإجمالیّ، فیتّضح أمرها ممّا سبق؛ لأنّه إن کان مبنی المکلّف الاحتیاط، فیکون مرجع شکّه و علمه الإجمالیّ فی مقام الامتثال إلی الشکّ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فیرجع إلی الشکّ فی الانطباق؛ بناء علی انقلاب نظره بعد العمل، و تبدّل رأیه من عدم وجوب الاحتیاط إلی وجوبه و لزوم الإتیان، فإنّه فی صوره اعتقاده وجوب الاحتیاط، یکون حین العمل أذکر، و إلّا فلا أذکریّة بالنسبة إلی من لا یعتقد بوجوب الاحتیاط، و مجرّد احتمال الإتیان غیر کاف، فضلا عمّا إذا کان مقرونا بالعلم الإجمالیّ بالبطلان من ترک ما یعلم إجمالا بجزئیّته فی إحدی الصلاتین، فلیلاحظ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ذلک البحث حول هذه الاصول تتمیما لاستیعاب الاصول، و إلّا فالأصحاب کأنّهم متّفقون فی عدم الجریان إلّا من شذّ،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الإجمالیّ ببطلان إحدی الصلاتین؛ لأجل الإخلال بالجزء المعلوم بالإجمال، أو الشرط، أو المانع، أو فی صورة العلم الإجمالیّ بجزئیّة شی‌ء، و مانعیّة الشی‌ء الآخر، لا تعاد الصلاة؛ إمّا لأجل أنّ بناءه علی الاحتیاط، فتجری الاصول الجاریة فی مقام الامتثال؛ لو لم تجر الاصول الجاریة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بناؤه علی عدم الاحتیاط؛ لأجل عدم وجوب الاحتیاط علیه بمقتضی الاصول الجاریة فی مقام الشبهة و الجهل بالحکم، کحدیث الرفع</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لإعادة الصلاة؛ سواء کانت من موارد الشکّ فی</w:t>
      </w:r>
      <w:bookmarkStart w:id="667" w:name="pg13173_325000"/>
    </w:p>
    <w:p>
      <w:pPr>
        <w:pStyle w:val="BookText"/>
        <w:rPr/>
      </w:pPr>
      <w:bookmarkEnd w:id="667"/>
      <w:r>
        <w:rPr>
          <w:rFonts w:ascii="IRNazanin" w:hAnsi="IRNazanin" w:eastAsia="IRNazanin"/>
          <w:color w:val="111111"/>
          <w:sz w:val="28"/>
          <w:sz w:val="28"/>
          <w:szCs w:val="28"/>
          <w:rtl w:val="true"/>
          <w:lang w:bidi="fa-IR"/>
        </w:rPr>
        <w:t xml:space="preserve">التطبیق، أو الانطباق، و تفصیل المسألة فی ذیل بحوث الاستصحاب إن شاء اللّه تعالی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تسقط فروع العلم الإجمالیّ المذکورة فی کتاب الصلاة و غیرها طرّا و کلّا؛ حسب الموازین الصناعیّة، من غیر أن یلزم قصور فی اعتبار الجزئیّة، و الشرطیّة، و المانعیّة، و غیر ذلک؛ فإنّ الفقیه کلّ الفقیه من یحتال، و لا یعید الصلاة</w:t>
      </w:r>
      <w:r>
        <w:rPr>
          <w:rFonts w:eastAsia="IRNazanin" w:cs="IRNazanin"/>
          <w:color w:val="111111"/>
          <w:sz w:val="28"/>
          <w:szCs w:val="28"/>
          <w:rtl w:val="true"/>
          <w:lang w:bidi="fa-IR"/>
        </w:rPr>
        <w:t>.</w:t>
      </w:r>
    </w:p>
    <w:p>
      <w:pPr>
        <w:pStyle w:val="Heading6"/>
        <w:numPr>
          <w:ilvl w:val="5"/>
          <w:numId w:val="1"/>
        </w:numPr>
        <w:rPr/>
      </w:pPr>
      <w:bookmarkStart w:id="668" w:name="__RefHeading___Toc735153_3244359995"/>
      <w:bookmarkStart w:id="669" w:name="_Toc251"/>
      <w:bookmarkEnd w:id="668"/>
      <w:r>
        <w:rPr>
          <w:rtl w:val="true"/>
        </w:rPr>
        <w:t>تذنیبان</w:t>
      </w:r>
      <w:r>
        <w:rPr>
          <w:rtl w:val="true"/>
        </w:rPr>
        <w:t>:</w:t>
      </w:r>
      <w:bookmarkEnd w:id="669"/>
    </w:p>
    <w:p>
      <w:pPr>
        <w:pStyle w:val="Heading6"/>
        <w:numPr>
          <w:ilvl w:val="5"/>
          <w:numId w:val="1"/>
        </w:numPr>
        <w:rPr/>
      </w:pPr>
      <w:bookmarkStart w:id="670" w:name="__RefHeading___Toc735155_3244359995"/>
      <w:bookmarkStart w:id="671" w:name="_Toc252"/>
      <w:bookmarkEnd w:id="670"/>
      <w:r>
        <w:rPr>
          <w:rtl w:val="true"/>
        </w:rPr>
        <w:t>أحدهما</w:t>
      </w:r>
      <w:r>
        <w:rPr>
          <w:rtl w:val="true"/>
        </w:rPr>
        <w:t xml:space="preserve">: </w:t>
      </w:r>
      <w:r>
        <w:rPr>
          <w:rtl w:val="true"/>
        </w:rPr>
        <w:t>و فیه بیان بدیع لإمکان الترخیص فی أطراف الشبهات الحکمیّة</w:t>
      </w:r>
      <w:bookmarkEnd w:id="671"/>
    </w:p>
    <w:p>
      <w:pPr>
        <w:pStyle w:val="BookText"/>
        <w:rPr/>
      </w:pPr>
      <w:r>
        <w:rPr>
          <w:rFonts w:ascii="IRNazanin" w:hAnsi="IRNazanin" w:eastAsia="IRNazanin"/>
          <w:color w:val="111111"/>
          <w:sz w:val="28"/>
          <w:sz w:val="28"/>
          <w:szCs w:val="28"/>
          <w:rtl w:val="true"/>
          <w:lang w:bidi="fa-IR"/>
        </w:rPr>
        <w:t>ربّما یصعب تصدیق القول بجواز المخالفة القطعیّة العلمیّة، و الإذعان بأنّ الاصول تجری فی مجموع الأطراف، و حیث إنّ مقتضی التحقیق اشتراک الشبهات البدویّة و اشتراک الترخیص فی بعض الأطراف، مع الترخیص فی المجموع، و تکون الملازمة بین الترخیصات قطعیّة، فلا بدّ إمّا من الالتزام بالاحتیاط فی مطلق الشبهات حتّی الوجوبیّة البدویّة، أو ترخیص مجموع الأطراف فی المقرونة بالعلم الإجمالیّ، و لا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قیاس الاستثناء بعد ثبوت الملازمة، جواز الترخیص فی المجموع؛ لقیام الضرورة و الإجماع علی الترخیص فی الوجوبیّة، فعلیه یثبت الترخیص فی المجموع، و هو المطلوب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الإذن فی العصیان، کما یکون ممنوعا من قبل الحکیم</w:t>
      </w:r>
    </w:p>
    <w:p>
      <w:pPr>
        <w:pStyle w:val="BookText"/>
        <w:rPr/>
      </w:pPr>
      <w:r>
        <w:rPr>
          <w:rFonts w:ascii="IRNazanin" w:hAnsi="IRNazanin" w:eastAsia="IRNazanin"/>
          <w:color w:val="111111"/>
          <w:sz w:val="28"/>
          <w:sz w:val="28"/>
          <w:szCs w:val="28"/>
          <w:rtl w:val="true"/>
          <w:lang w:bidi="fa-IR"/>
        </w:rPr>
        <w:t>الملتفت الإلهیّ، کذلک احتمال الإذن فی العصیان ممنوع قطعا و بالضرورة، و هکذا کما تکون المناقضة ممنوعة، و التناقض مستحیلا، کذلک احتماله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فی موارد الشبهات البدویّة لو کان الحکم فعلیّا، فلا یرضی المولی بترکه و بالتخلّف عنه، و یکون مبغوضه جدّا، فلا یعقل الترخیص بالضرورة، و لا یترشّح منه الجدّ إلی حرمة شرب التبغ بالنسبة إلی زید الجاهل، مقارنا مع ترخیص ارتکابه و رضاه به، و إذا کان بحسب الواقع غیر راض بالارتکاب إذا کان حراما، فکیف یحتمل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فالترخیص لا یعقل إلّا بانصرافه عن الواقع، و هذا معنی اختصاص الحکم بالعالم، و هو ممنوع، و خروج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یعقل من جهة احتمال التناقض؛ لما لا یعقل الجمع بین الإرادة القطعیّة الزاجرة أو الباعثة، و بین إرادة الترخیص، و ترجع المضادّة إلی المناقضة عند أهلها کما لا یخفی، فلا یحتمل فی الصورة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عدم انصرافه عن الواقع؛ عند کون مورد الشبهة حراما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فی خلافه؛ لأنّه من احتمال المناقضة، و هو کما مرّ فی حکم التناقض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یعلم حکم الترخیص فی بعض أطراف العلم الإجمالیّ، و من توهّم جوازه فهو لعدم وصوله إلی مغزی البحث فی المسألة، و لعدم نیله مشکلة الجمع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الشبهتین المشترکة فیهما الشبهات المقرونة بالعلم الإجمالیّ فی الأحکام و الموضوعات، و حال المشکلتین العقلیّتین الاولیین فی أوائل بحث العلم الإجمالیّ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حال الشبهتین و المعضلتین المخصوصتین بالعلم الإجمالیّ بالأحکام</w:t>
      </w:r>
    </w:p>
    <w:p>
      <w:pPr>
        <w:pStyle w:val="BookText"/>
        <w:rPr/>
      </w:pPr>
      <w:r>
        <w:rPr>
          <w:rFonts w:ascii="IRNazanin" w:hAnsi="IRNazanin" w:eastAsia="IRNazanin"/>
          <w:color w:val="111111"/>
          <w:sz w:val="28"/>
          <w:sz w:val="28"/>
          <w:szCs w:val="28"/>
          <w:rtl w:val="true"/>
          <w:lang w:bidi="fa-IR"/>
        </w:rPr>
        <w:t>و التکالیف الکلّیة، فهو أیضا مثل ذاک؛ ضرورة أنّه فی موارد الشبهات البدویّة، لا یعقل الترخیص، فلو کان الفرار منحصرا بانصراف الشرع عن مطلوبه الأوّلی، فیلزم الدور، و اختصاص الحکم بالعالم، و یلزم لغویّة فعلیّة الحکم مع الترخیص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موارد العلم الإجمالیّ إذا کان الترخیص فی بعض الأطراف؛ لأنّ مع احتمال کون الطرف المرخصّ فیه هو الواقع، و عدم انصرافه عنه، لا معنی لفعلیّة الباعثّیة و الزاجریّة، و تصیر لغوا بالضرورة، و هذا بعینه یأتی فی مجموع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الحکم فی موارد الشبهات البدویّة و فی تلک الصورة، لجاز الالتزام بذلک فی المطلق، و یکشف من أدلّة الترخیص انصراف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الواقع لو کان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تثبت الملازمة بین الترخیصات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انحفاظ مرتبة الحکم الظاهریّ مع وجود الحکم الواقعیّ لا یکفی؛ لأنّ الشبهة مربوطة بالمبادئ العالیة، و کیفیّة حصول الجدّ،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الجمع بین الحکم الواقعیّ و الظاهریّ بما لا مزید علیه </w:t>
      </w:r>
      <w:r>
        <w:rPr>
          <w:rStyle w:val="FootnoteAnchor"/>
          <w:rtl w:val="true"/>
        </w:rPr>
        <w:footnoteReference w:id="853"/>
      </w:r>
      <w:r>
        <w:rPr>
          <w:rFonts w:ascii="IRNazanin" w:hAnsi="IRNazanin" w:eastAsia="IRNazanin"/>
          <w:color w:val="111111"/>
          <w:sz w:val="28"/>
          <w:sz w:val="28"/>
          <w:szCs w:val="28"/>
          <w:rtl w:val="true"/>
          <w:lang w:bidi="fa-IR"/>
        </w:rPr>
        <w:t>من غیر لزوم إشکال الاختصاص و اللغویّة 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تبیّن أمر الملازمة، فمقتضی قیاس الاستثناء جواز الترخیص فی مجموع الأطراف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للإشکال إثباتا وجه، و لکنّه غیر وجیه بعدما عرفت؛ من لزوم مراعاة جوانب مختلفة فی ملاحظة القوانین النفسیّة و الطریقیّة و الترخیصیّة،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أوضحنا أنّه فی موارد العلم التفصیلیّ بالحکم الفعلیّ، یجوز رضا الشرع بالمخالفة،</w:t>
      </w:r>
      <w:bookmarkStart w:id="672" w:name="pg13173_325003"/>
    </w:p>
    <w:p>
      <w:pPr>
        <w:pStyle w:val="BookText"/>
        <w:rPr/>
      </w:pPr>
      <w:bookmarkEnd w:id="672"/>
      <w:r>
        <w:rPr>
          <w:rFonts w:ascii="IRNazanin" w:hAnsi="IRNazanin" w:eastAsia="IRNazanin"/>
          <w:color w:val="111111"/>
          <w:sz w:val="28"/>
          <w:sz w:val="28"/>
          <w:szCs w:val="28"/>
          <w:rtl w:val="true"/>
          <w:lang w:bidi="fa-IR"/>
        </w:rPr>
        <w:t xml:space="preserve">کما فی موارد الاضطرار و أشباهه، و الرضا بالمخالفة غیر الرضا بالعصیان </w:t>
      </w:r>
      <w:r>
        <w:rPr>
          <w:rStyle w:val="FootnoteAnchor"/>
          <w:rtl w:val="true"/>
        </w:rPr>
        <w:footnoteReference w:id="854"/>
      </w:r>
      <w:r>
        <w:rPr>
          <w:rFonts w:ascii="IRNazanin" w:hAnsi="IRNazanin" w:eastAsia="IRNazanin"/>
          <w:color w:val="111111"/>
          <w:sz w:val="28"/>
          <w:sz w:val="28"/>
          <w:szCs w:val="28"/>
          <w:rtl w:val="true"/>
          <w:lang w:bidi="fa-IR"/>
        </w:rPr>
        <w:t>، فلاحظ و اغتنم، و کن من الشاکرین</w:t>
      </w:r>
      <w:r>
        <w:rPr>
          <w:rFonts w:eastAsia="IRNazanin" w:cs="IRNazanin"/>
          <w:color w:val="111111"/>
          <w:sz w:val="28"/>
          <w:szCs w:val="28"/>
          <w:rtl w:val="true"/>
          <w:lang w:bidi="fa-IR"/>
        </w:rPr>
        <w:t>.</w:t>
      </w:r>
    </w:p>
    <w:p>
      <w:pPr>
        <w:pStyle w:val="Heading6"/>
        <w:numPr>
          <w:ilvl w:val="5"/>
          <w:numId w:val="1"/>
        </w:numPr>
        <w:rPr/>
      </w:pPr>
      <w:bookmarkStart w:id="673" w:name="__RefHeading___Toc735157_3244359995"/>
      <w:bookmarkStart w:id="674" w:name="_Toc253"/>
      <w:bookmarkEnd w:id="673"/>
      <w:r>
        <w:rPr>
          <w:rtl w:val="true"/>
        </w:rPr>
        <w:t>ثانیهما</w:t>
      </w:r>
      <w:r>
        <w:rPr>
          <w:rtl w:val="true"/>
        </w:rPr>
        <w:t xml:space="preserve">: </w:t>
      </w:r>
      <w:r>
        <w:rPr>
          <w:rtl w:val="true"/>
        </w:rPr>
        <w:t>فی الفارق بین تجویز العلّامة الخراسانی للترخیص و بین تجویزنا</w:t>
      </w:r>
      <w:bookmarkEnd w:id="674"/>
    </w:p>
    <w:p>
      <w:pPr>
        <w:pStyle w:val="BookText"/>
        <w:rPr/>
      </w:pPr>
      <w:r>
        <w:rPr>
          <w:rFonts w:ascii="IRNazanin" w:hAnsi="IRNazanin" w:eastAsia="IRNazanin"/>
          <w:color w:val="111111"/>
          <w:sz w:val="28"/>
          <w:sz w:val="28"/>
          <w:szCs w:val="28"/>
          <w:rtl w:val="true"/>
          <w:lang w:bidi="fa-IR"/>
        </w:rPr>
        <w:t xml:space="preserve">یظهر من العلّامة الخراسانی رحمه اللّه تجویز الترخیص فی مجموع الأطراف </w:t>
      </w:r>
      <w:r>
        <w:rPr>
          <w:rStyle w:val="FootnoteAnchor"/>
          <w:rtl w:val="true"/>
        </w:rPr>
        <w:footnoteReference w:id="855"/>
      </w:r>
      <w:r>
        <w:rPr>
          <w:rFonts w:ascii="IRNazanin" w:hAnsi="IRNazanin" w:eastAsia="IRNazanin"/>
          <w:color w:val="111111"/>
          <w:sz w:val="28"/>
          <w:sz w:val="28"/>
          <w:szCs w:val="28"/>
          <w:rtl w:val="true"/>
          <w:lang w:bidi="fa-IR"/>
        </w:rPr>
        <w:t>، إلّا أنّ تجویزه غیر تجویزنا، فإنّه فی جمیع تقاریب ترخیصه خرج عن محیط البحث، و یلزم الخلف، و لا یعقل علی مسلکه من فرض العلم الوجدانیّ الإجمالیّ بالحکم، ترخیص مجموع الأطراف؛ لأنّ المفروض أنّه عالم بالحکم، و بروحه و بالإرادة، و لا یمکن انقلاب حاله بالأخبار و إطلاق 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الحکم الثابت فی الشبهات الحکمیّة؛ لأجل معارضة الأدلّة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صلاة الظهر و الجمعة مثلا، أو فی بعض موارد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الحکم الإنشائیّ، عدول عن الحکم الفعلیّ، و التزام بما لیس بشی‌ء واقعا، و خلاف ما هو المفروض؛ و هو العلم الإجمالیّ المنجّز، و إلّا فلو کان المعلوم حکما إنشائیّا، کما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فلا تنجیز، و یکون المعلوم قاصرا عن استتباع العقوبة، و لازمه اختصاص الحکم بالعالم بالعلم التفصیلیّ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کشف شأنیّة الحکم، لا الإنشائیّة؛ بمعنی أنّه لو لا أدلّة الاصول و إطلاقها، کان الحکم منجّزا، و غیر مقیّد بالعلم التفصیلیّ، و لکنّه بها یصیر شأنیّا و قابلا للتأثیر و التنجیز، و لا قصور فی اقتضائه، فیلزم فی موارد العلم الإجمالیّ فی الشبهات الحکمیّة، الدور الذی هو یبتلی به</w:t>
      </w:r>
    </w:p>
    <w:p>
      <w:pPr>
        <w:pStyle w:val="BookText"/>
        <w:rPr/>
      </w:pPr>
      <w:r>
        <w:rPr>
          <w:rFonts w:ascii="IRNazanin" w:hAnsi="IRNazanin" w:eastAsia="IRNazanin"/>
          <w:color w:val="111111"/>
          <w:sz w:val="28"/>
          <w:sz w:val="28"/>
          <w:szCs w:val="28"/>
          <w:rtl w:val="true"/>
          <w:lang w:bidi="fa-IR"/>
        </w:rPr>
        <w:t>مرارا؛ للزوم کون الحکم فی مرحلة الجعل، مخصوصا بالعالم بالعلم التفصیلیّ؛ و إن لم یلزم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جوابنا عن الدور</w:t>
      </w:r>
      <w:r>
        <w:rPr>
          <w:rStyle w:val="FootnoteAnchor"/>
          <w:rtl w:val="true"/>
        </w:rPr>
        <w:footnoteReference w:id="857"/>
      </w:r>
      <w:r>
        <w:rPr>
          <w:rFonts w:ascii="IRNazanin" w:hAnsi="IRNazanin" w:eastAsia="IRNazanin"/>
          <w:color w:val="111111"/>
          <w:sz w:val="28"/>
          <w:sz w:val="28"/>
          <w:szCs w:val="28"/>
          <w:rtl w:val="true"/>
          <w:lang w:bidi="fa-IR"/>
        </w:rPr>
        <w:t xml:space="preserve">لا یکفیه؛ لأنّ لازم مذهبه علی هذا أیضا، عدم اشتراک العالم و الجاهل فی مراتب الحکم إلی المرتبة الثالثة، و یشترک مع العالم، الجاهل المقصّر، فعدوله عمّا فی التعلیقة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 إن کان أولی فی وجه، و لکنّه یستتبع بعض ما لا یرتضیه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الحکم بحسب الذات و الجعل الأوّلی، مقیّدا بالعلم التفصیلیّ، و یصیر فعلیّا علی الإطلاق فی صورة العلم التفصیلیّ، لما کان حاجة إلی البراءة العقلیّة و الشرعیّة، فقوله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فعلیّا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بحیث لو علم تفصیلا لوجب امتثاله، و صحّ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هناک مانع عقلا و لا شرعا عن شمول أدلّة البراءة الشرعیة للأطراف</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انتهی، غیر واقع فی محلّه ظاهرا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ترخیصنا جمیع الأطراف و ترخیصه من جهات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أساس ما یتوهّمه من المراتب للحکم، لا یرجع إلی محصّل، کما تحرّر فی محلّه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675" w:name="pg13173_325005"/>
    </w:p>
    <w:p>
      <w:pPr>
        <w:pStyle w:val="Heading5"/>
        <w:numPr>
          <w:ilvl w:val="4"/>
          <w:numId w:val="1"/>
        </w:numPr>
        <w:rPr/>
      </w:pPr>
      <w:bookmarkStart w:id="676" w:name="__RefHeading___Toc735159_3244359995"/>
      <w:bookmarkStart w:id="677" w:name="_Toc254"/>
      <w:bookmarkEnd w:id="675"/>
      <w:bookmarkEnd w:id="676"/>
      <w:r>
        <w:rPr>
          <w:rtl w:val="true"/>
        </w:rPr>
        <w:t>المسألة الثانیة حول الشبهات الموضوعیّة</w:t>
      </w:r>
      <w:bookmarkEnd w:id="67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8" w:name="__RefHeading___Toc735161_3244359995"/>
      <w:bookmarkStart w:id="679" w:name="_Toc255"/>
      <w:bookmarkEnd w:id="678"/>
      <w:r>
        <w:rPr>
          <w:rtl w:val="true"/>
        </w:rPr>
        <w:t>اشارة</w:t>
      </w:r>
      <w:bookmarkStart w:id="680" w:name="pg13173_325007"/>
      <w:bookmarkEnd w:id="679"/>
    </w:p>
    <w:p>
      <w:pPr>
        <w:pStyle w:val="Heading6"/>
        <w:numPr>
          <w:ilvl w:val="5"/>
          <w:numId w:val="1"/>
        </w:numPr>
        <w:rPr/>
      </w:pPr>
      <w:bookmarkStart w:id="681" w:name="__RefHeading___Toc735163_3244359995"/>
      <w:bookmarkStart w:id="682" w:name="_Toc256"/>
      <w:bookmarkEnd w:id="680"/>
      <w:bookmarkEnd w:id="681"/>
      <w:r>
        <w:rPr>
          <w:rtl w:val="true"/>
        </w:rPr>
        <w:t>تمهید</w:t>
      </w:r>
      <w:bookmarkEnd w:id="682"/>
    </w:p>
    <w:p>
      <w:pPr>
        <w:pStyle w:val="BookText"/>
        <w:rPr/>
      </w:pPr>
      <w:r>
        <w:rPr>
          <w:rFonts w:ascii="IRNazanin" w:hAnsi="IRNazanin" w:eastAsia="IRNazanin"/>
          <w:color w:val="111111"/>
          <w:sz w:val="28"/>
          <w:sz w:val="28"/>
          <w:szCs w:val="28"/>
          <w:rtl w:val="true"/>
          <w:lang w:bidi="fa-IR"/>
        </w:rPr>
        <w:t>هذه المسألة هی الأهمّ و هی المبتلی بها کثیرا، و حیث إنّ المسألة من جهة الأدلّة و شمولها لها أوضح، نتعرّض لها؛ و أنّه یمکن الجمع بین الأدلّة الواقعیّة و الظاهریّة بوجه من الوجوه و من غیر الرجوع إلی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فی المسألة الاولی بوجوب الاحتیاط، و معارضة الأدلّة المرّخصة، أو عدم جریانها فی مجموع الأطراف رأسا، و لا نلتزم به فی المقام؛ لاختصاصه ببعض ما یأتی من التصرّفات الخالیة من الإشکالات السابقة، و القریبة إلی المسالک الفقهیّة، فانتظر حتّی حین</w:t>
      </w:r>
      <w:r>
        <w:rPr>
          <w:rFonts w:eastAsia="IRNazanin" w:cs="IRNazanin"/>
          <w:color w:val="111111"/>
          <w:sz w:val="28"/>
          <w:szCs w:val="28"/>
          <w:rtl w:val="true"/>
          <w:lang w:bidi="fa-IR"/>
        </w:rPr>
        <w:t>.</w:t>
      </w:r>
    </w:p>
    <w:p>
      <w:pPr>
        <w:pStyle w:val="Heading6"/>
        <w:numPr>
          <w:ilvl w:val="5"/>
          <w:numId w:val="1"/>
        </w:numPr>
        <w:rPr/>
      </w:pPr>
      <w:bookmarkStart w:id="683" w:name="__RefHeading___Toc735165_3244359995"/>
      <w:bookmarkStart w:id="684" w:name="_Toc257"/>
      <w:bookmarkEnd w:id="683"/>
      <w:r>
        <w:rPr>
          <w:rtl w:val="true"/>
        </w:rPr>
        <w:t>امتیازات بین الشبهات الحکمیّة و الموضوعیّة فی العلم الإجمالیّ</w:t>
      </w:r>
      <w:bookmarkEnd w:id="684"/>
    </w:p>
    <w:p>
      <w:pPr>
        <w:pStyle w:val="BookText"/>
        <w:rPr/>
      </w:pPr>
      <w:r>
        <w:rPr>
          <w:rFonts w:ascii="IRNazanin" w:hAnsi="IRNazanin" w:eastAsia="IRNazanin"/>
          <w:color w:val="111111"/>
          <w:sz w:val="28"/>
          <w:sz w:val="28"/>
          <w:szCs w:val="28"/>
          <w:rtl w:val="true"/>
          <w:lang w:bidi="fa-IR"/>
        </w:rPr>
        <w:t>و قبل الخوض فی أصل البحث و أساس المسألة، لا بدّ و أن نشیر إلی امتیازات بین الشبهات الحکمیّة فی موارد العلم الإجمالیّ، و الشبهات الموضوعیّة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التقریبین السابقین، تنجیز العلم الإجمالیّ بإیجاب الموافقة، و تحریم المخالفة عقلا، و أنّ حدیث قبح العقاب جزافا، لا یجری حول العلم الإجمالیّ، و أنّ معذّریة الجهالة، لیست هی الجهالة المقرونة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قبح العقاب بلا بیان، من مصادیق قبح العقاب جزافا؛ و بلا</w:t>
      </w:r>
    </w:p>
    <w:p>
      <w:pPr>
        <w:pStyle w:val="BookText"/>
        <w:rPr/>
      </w:pPr>
      <w:r>
        <w:rPr>
          <w:rFonts w:ascii="Amiri" w:hAnsi="Amiri" w:eastAsia="Amiri" w:cs="Amiri"/>
          <w:color w:val="111111"/>
          <w:sz w:val="28"/>
          <w:sz w:val="28"/>
          <w:szCs w:val="28"/>
          <w:rtl w:val="true"/>
          <w:lang w:bidi="ar-SA"/>
        </w:rPr>
        <w:t>استحقاق و جهة و اقتضاء</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بیان ثالث فی الشبهات الموضوعیّة، و قد مرّ فی بحوث القطع؛ و أنّه بمقتضی قیاس الشکل الأوّل تتمّ الحجّة علی العبد، فلا بدّ من جوابها، و هو لا یمکن إلّا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إمکان إجراء قیاس الشکل الأوّل فی الشبهات الحکمیّة فی صورة کون المشتبه متعلّق المتعلّق، غیر مسدود، إلّا أنّه یحتاج إلی المؤونة الزائدة، بل و فی نفس المتعلّق، بخلاف الشبهات الموضوعیّة، فإنّ کلّ إناء من الإناءین قابل للإشارة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إمّا خمر، أو ذاک، و الخمر حرام، فهذا أو ذاک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التفصیل فی مبحث القطع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ناقشنا فی تمامیّة هذا الشکل فی محیط التشریع؛ للزوم کون المائع حراما بعلّیة الخمر، و هو خلف؛ فإنّ مقتضی ما فی الأدلّة أنّ الخمر حرام، أو أنّ العالم واجب الإکرام، 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و العالم واجب الإکرام، فزید واجب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فی الاعتبار؛ لأنّ زیدا بما هو زید، لیس واجب الإکرام، و ما هو واجب الإکرام و محرّم الشرب، لیس إلّا طبیعة العالم و الخمر و شربها، و أمّا الامور الاخر فهی خارجة، فلا یتمّ الشکل الأوّل فی هذا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منع من منع ما فی الخارج؛ للملازمة العقلیّة، فیکون ممنوعا عقلا، و إلّا فلو تحقّق الخمر فارغا عن جمیع المقولات حتّی الوجود، 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هو أن یجعل إکرام العالم خارجیّا، و أن یصیر إکرام العالم خارجیّا؛ نظرا إلی أنّه یجب علیه إکرام العالم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الإجمالیّ بالحکم أو الحجّة قطعیّ، و استتباعه للموافقة</w:t>
      </w:r>
    </w:p>
    <w:p>
      <w:pPr>
        <w:pStyle w:val="BookText"/>
        <w:rPr/>
      </w:pPr>
      <w:r>
        <w:rPr>
          <w:rFonts w:ascii="IRNazanin" w:hAnsi="IRNazanin" w:eastAsia="IRNazanin"/>
          <w:color w:val="111111"/>
          <w:sz w:val="28"/>
          <w:sz w:val="28"/>
          <w:szCs w:val="28"/>
          <w:rtl w:val="true"/>
          <w:lang w:bidi="fa-IR"/>
        </w:rPr>
        <w:t>القطعیّة و الامتناع عن المخالفة القطعیّة، ضروریّ بحکم العقل علی التقریبین، أو التقاریب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الإشکالات العقلیّة فی ترخیص مجموع الأطراف، تجری فیما نحن فیه بحذافیرها، و تنحلّ بأطرافها بلا زیادة و نقیصة، کإشکال الإذن فی المعصیة، أو المناقضة، أو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لأدلّة الترخیص؛ توهّما أنّه علم إجمالیّ، لا شکّ، و یمکن حلّها من ناحیة اخری فی خصوص الشبهات الموضوعیّة، کما سیمرّ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الشبهات الثبوتیّة حول الشبهة الحکمیّة</w:t>
      </w:r>
      <w:r>
        <w:rPr>
          <w:rStyle w:val="FootnoteAnchor"/>
          <w:rtl w:val="true"/>
        </w:rPr>
        <w:footnoteReference w:id="863"/>
      </w:r>
      <w:r>
        <w:rPr>
          <w:rFonts w:ascii="IRNazanin" w:hAnsi="IRNazanin" w:eastAsia="IRNazanin"/>
          <w:color w:val="111111"/>
          <w:sz w:val="28"/>
          <w:sz w:val="28"/>
          <w:szCs w:val="28"/>
          <w:rtl w:val="true"/>
          <w:lang w:bidi="fa-IR"/>
        </w:rPr>
        <w:t>، یختصّ بها، و لا یجری فی الشبهات الموضوعیّة؛ ضرورة أنّ لا یلزم من إجراء الاصول فی الأطراف، اختصاص الحکم بالعالم، بل یلزم کون الموضوع للواجب و الحرام، مقیّدا بالعلم التفصیلیّ، و هذا ممّا لا بأس به بالضرورة، و لا یلزم الدور طبعا، و لا لغویّة الحکم؛ لما یستکشف من أدلّة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جریانها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غیر موجود فی البین؛ فإنّ المجعول علی نعت القضایا الکلّیة القابلة للتقیید بالأدلّة الخاصّة، موضوع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ینتهی النظر إلی أن یکون المحرّم بالأدلّة الأوّلیة؛ هی الخمر المعلومة تفصیلا؛ لجریان الأدلّة فی المجموع، فإنّ مقتضی الجمع بینها و بین الأدلّة الأوّلیة، التصرّف فی موضوعها علی الوجه المذکور، فلا یلزم الإشکال باختصاص الحکم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فرضنا التصرّف المزبور، لا تلزم الشبهات الأوّلیة، کالإذن فی المعصیة، و المناقضة، و غیر ذلک، مع أنّها مندفعة رأسا بما لا مزید علیه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ما اشیر إلیه ینبغی لنا البحث عن الشبهات الموضوعیّة، کما مرّ فی</w:t>
      </w:r>
    </w:p>
    <w:p>
      <w:pPr>
        <w:pStyle w:val="BookText"/>
        <w:rPr/>
      </w:pPr>
      <w:r>
        <w:rPr>
          <w:rFonts w:ascii="IRNazanin" w:hAnsi="IRNazanin" w:eastAsia="IRNazanin"/>
          <w:color w:val="111111"/>
          <w:sz w:val="28"/>
          <w:sz w:val="28"/>
          <w:szCs w:val="28"/>
          <w:rtl w:val="true"/>
          <w:lang w:bidi="fa-IR"/>
        </w:rPr>
        <w:t>أوّل المسألة الثانیة الإیماء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ما تحرّر عندنا تنجیز العلم الإجمالیّ؛ و استتباعه العقاب </w:t>
      </w:r>
      <w:r>
        <w:rPr>
          <w:rStyle w:val="FootnoteAnchor"/>
          <w:rtl w:val="true"/>
        </w:rPr>
        <w:footnoteReference w:id="864"/>
      </w:r>
      <w:r>
        <w:rPr>
          <w:rFonts w:ascii="IRNazanin" w:hAnsi="IRNazanin" w:eastAsia="IRNazanin"/>
          <w:color w:val="111111"/>
          <w:sz w:val="28"/>
          <w:sz w:val="28"/>
          <w:szCs w:val="28"/>
          <w:rtl w:val="true"/>
          <w:lang w:bidi="fa-IR"/>
        </w:rPr>
        <w:t>، فإن لوحظ تأثیره بالقیاس إلی العقاب، فهو عندنا یعدّ مقتضیا؛ لإمکان الترخیص فی مجموع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بالقیاس إلی فعلیّة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فعلیّته، فهو علّة تامّة لإثباتها لما لا یلزم من التصرّف فیها قصور فی فعلیّة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الشبهات الحکمیّة، کما مرّ</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الشبهات الموضوعیّة، فیمکن الالتزام بکونه علّة تامّة بالقیاس إلی العقاب، و لکن بعد ملاحظة أدلّة الاصول و الأمارات، یلزم أحیانا انقلاب الموضوع، و الالتزام بالعلّیة التامّة فی موضوعه، لا ینافی الالتزام بانقلاب موضوعه بالترخیص فی المجموع،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الأمر سهل، و البحث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بأدلّة الأمارات و الاصول فی موضوع الأحکام الواقعیّة، خروج عن الجهة المبحوث عنها؛ لأنّ المفروض أنّ ما هو الحرام هی الخمر؛ سواء کانت معلومة، أو مشتبهة، و أنّ الواجب هو إکرام العالم؛ سواء کان معلوما تفصیلا، أو إجمالا، أو مشتبها</w:t>
      </w:r>
      <w:r>
        <w:rPr>
          <w:rStyle w:val="FootnoteAnchor"/>
          <w:rtl w:val="true"/>
        </w:rPr>
        <w:footnoteReference w:id="866"/>
      </w:r>
      <w:r>
        <w:rPr>
          <w:rFonts w:ascii="IRNazanin" w:hAnsi="IRNazanin" w:eastAsia="IRNazanin"/>
          <w:color w:val="111111"/>
          <w:sz w:val="28"/>
          <w:sz w:val="28"/>
          <w:szCs w:val="28"/>
          <w:rtl w:val="true"/>
          <w:lang w:bidi="fa-IR"/>
        </w:rPr>
        <w:t>، فهو توهّم فاسد؛ لأنّ البحث هنا حول مرحلة التصدیق، و حول النظر إلی مقایسة الأدلّة الواقعیّة و الظاهریّة حسب ما اشتهر اصطلاحا، و إلّا فقد عرفت وجه إنکار الأحکام الظاهریّة کلّها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المبحوث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مع قطع النظر عن أدلّة الأمارات و الاصول،</w:t>
      </w:r>
      <w:bookmarkStart w:id="685" w:name="pg13173_325011"/>
    </w:p>
    <w:p>
      <w:pPr>
        <w:pStyle w:val="BookText"/>
        <w:rPr/>
      </w:pPr>
      <w:bookmarkEnd w:id="685"/>
      <w:r>
        <w:rPr>
          <w:rFonts w:ascii="IRNazanin" w:hAnsi="IRNazanin" w:eastAsia="IRNazanin"/>
          <w:color w:val="111111"/>
          <w:sz w:val="28"/>
          <w:sz w:val="28"/>
          <w:szCs w:val="28"/>
          <w:rtl w:val="true"/>
          <w:lang w:bidi="fa-IR"/>
        </w:rPr>
        <w:t>تکون قضیّة الإطلاقات إطلاق الموضوع بالضرورة، و أمّا بالنظر إلی الأدلّة المذکورة، فهل یلزم تصرف واقعیّ فی الأحکام الواقعیّة، أم مقتضی الأدلّة المذکورة شی‌ء آخر؛ و هو التصرّف الظاهریّ، أم لا یلزم تصرّف رأسا، أو یکون تفصیل بین أدلّة الأمارات و الاصول، أو بین الاصول المحرزة و غیرها؟، و هکذا؟ فلا یختلط الأمر علیک و علی القارئین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الجهات، فالبحث یتمّ فی طیّ مقامات</w:t>
      </w:r>
      <w:r>
        <w:rPr>
          <w:rFonts w:eastAsia="IRNazanin" w:cs="IRNazanin"/>
          <w:color w:val="111111"/>
          <w:sz w:val="28"/>
          <w:szCs w:val="28"/>
          <w:rtl w:val="true"/>
          <w:lang w:bidi="fa-IR"/>
        </w:rPr>
        <w:t>:</w:t>
      </w:r>
    </w:p>
    <w:p>
      <w:pPr>
        <w:pStyle w:val="Heading6"/>
        <w:numPr>
          <w:ilvl w:val="5"/>
          <w:numId w:val="1"/>
        </w:numPr>
        <w:rPr/>
      </w:pPr>
      <w:bookmarkStart w:id="686" w:name="__RefHeading___Toc735167_3244359995"/>
      <w:bookmarkStart w:id="687" w:name="_Toc258"/>
      <w:bookmarkEnd w:id="686"/>
      <w:r>
        <w:rPr>
          <w:rtl w:val="true"/>
        </w:rPr>
        <w:t>المقام الأوّل</w:t>
      </w:r>
      <w:r>
        <w:rPr>
          <w:rtl w:val="true"/>
        </w:rPr>
        <w:t xml:space="preserve">: </w:t>
      </w:r>
      <w:r>
        <w:rPr>
          <w:rtl w:val="true"/>
        </w:rPr>
        <w:t>فی الترخیص بالأمارات و الطرق، و نسبة أدلّتها إلی الأدلّة الواقعیّة النفسیّة</w:t>
      </w:r>
      <w:bookmarkEnd w:id="687"/>
    </w:p>
    <w:p>
      <w:pPr>
        <w:pStyle w:val="Heading6"/>
        <w:numPr>
          <w:ilvl w:val="5"/>
          <w:numId w:val="1"/>
        </w:numPr>
        <w:rPr/>
      </w:pPr>
      <w:bookmarkStart w:id="688" w:name="__RefHeading___Toc735169_3244359995"/>
      <w:bookmarkStart w:id="689" w:name="_Toc259"/>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لو علم إجمالا بخمریّة أحد الإناءین، و قامت البیّنة الاولی علی عدم خمریّة أحدهما المعیّن، و البیّنة الثانیة علی عدم خمریّة الآخر، أو قام کلّ واحد منهما علی مائیّة کلّ واحد منهما، فهل لا یکون هناک إطلاق یقتضی حجیّة البیّنة رأسا، فلا تقع المعارضة بینهما بحسب الدلالة الالتزامیّة، و القدر المتیقّن غیر هذه الصورة؟</w:t>
      </w:r>
    </w:p>
    <w:p>
      <w:pPr>
        <w:pStyle w:val="BookText"/>
        <w:rPr/>
      </w:pPr>
      <w:r>
        <w:rPr>
          <w:rFonts w:ascii="IRNazanin" w:hAnsi="IRNazanin" w:eastAsia="IRNazanin"/>
          <w:color w:val="111111"/>
          <w:sz w:val="28"/>
          <w:sz w:val="28"/>
          <w:szCs w:val="28"/>
          <w:rtl w:val="true"/>
          <w:lang w:bidi="fa-IR"/>
        </w:rPr>
        <w:t>أو تقع المعارضة بینهما؛ لأنّ لازم البیّنة حجّة؟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لا تقع المعارضة؛ لأنّ مقتضی إطلاق دلیل حجیّتها هنا، مثل الشبهة البدویّة، فکما أنّ فی الشبهة البدویة یؤخذ بالبیّنة، و یکون مقتضی الجمع بین الحکم الواقعیّ و الظاهریّ علی مسلک القوم، التصرّف فی حرمة الخمر؛ لما لا یعقل فعلیّتها المطلقة مع جواز الأخذ بالبیّنة، فالشرع قد انصرف عن واقعه فی صورة الخطأ؛ تسهیلا علی الامّة، کذلک الأمر هنا، فیؤخذ بإطلاق حجّیة البیّنة، و لا تکون البیّنة الخاطئة فی البین إلّا بحسب ذات الخمر، و أمّا بحسب الحکم فلا أثر لتلک الخمر التی قامت البیّنة علی أنّها لیست خمرا، فإنّها خمر، إلّا أنّه لا أثر لها، کما فی الشبهة البدویّة حذوا بحذو؛ و مثلا بمثل، بلا زیادة و نقصان، و ذلک أیضا تسهیلا؟</w:t>
      </w:r>
    </w:p>
    <w:p>
      <w:pPr>
        <w:pStyle w:val="BookText"/>
        <w:rPr/>
      </w:pPr>
      <w:r>
        <w:rPr>
          <w:rFonts w:ascii="IRNazanin" w:hAnsi="IRNazanin" w:eastAsia="IRNazanin"/>
          <w:color w:val="111111"/>
          <w:sz w:val="28"/>
          <w:sz w:val="28"/>
          <w:szCs w:val="28"/>
          <w:rtl w:val="true"/>
          <w:lang w:bidi="fa-IR"/>
        </w:rPr>
        <w:t>هذا علی مسلک القوم؛ و هو القول بالخطاب الشخصیّ، و انحلال الخطابات القانونیّة إلی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مسلکنا، فلا منع من کون الحکم فعلیّا بالقیاس إلی الخمر الواقعیّة، و لکنّ الشرع رخّص قانونا فی تبعیّة البیّنة، و لازم ذلک تبعیّة البیّنة فی الشبهة البدویّة إذا قامت علی خمریّة شی‌ء، أو علی عدم خمریّة شی‌ء، فإنّه إذا کان الواقع فی الصورة الاولی ماء، فهو باق علی إباحته، و فی الثانیة باقیة علی حرمتها الواقعیّة القانونیّة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تبعیّة البیّنة فی الشبهة المقرونة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الخمر الواقعیّ فی البین حرام فعلیّ، و لکنّ الشرع رخّص فی تبعیّة البیّنة، لا فی الخمر بعنوانها، و ترخیصه فی تبعیّة البیّنة، ربّما ینطبق فی مورد مع الخمر المحرّمة، و هذا لا یستلزم تصرّفا فی الحکم، و لا قصورا فی ترخیص التبعیّة قانونا، کما عرفت فی المسألة الاولی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لأجل ذلک ذهب السیدّ الفقیه الاستاذ البروجردیّ فی الشبهة البدویّة القائمة علی طهارة الثوب بیّنة شرعیّة، إلی صحّة الصلاة المأتیّ بها فی الثوب المذکور؛ لأنّ الشرع بإمضائه الطریق انصرف عن واقعه؛ لما لا یعقل الالتزام بالواقع جدّا و فعلیّا، و الترخیص علی خلافه </w:t>
      </w:r>
      <w:r>
        <w:rPr>
          <w:rStyle w:val="FootnoteAnchor"/>
          <w:rtl w:val="true"/>
        </w:rPr>
        <w:footnoteReference w:id="869"/>
      </w:r>
      <w:r>
        <w:rPr>
          <w:rFonts w:ascii="IRNazanin" w:hAnsi="IRNazanin" w:eastAsia="IRNazanin"/>
          <w:color w:val="111111"/>
          <w:sz w:val="28"/>
          <w:sz w:val="28"/>
          <w:szCs w:val="28"/>
          <w:rtl w:val="true"/>
          <w:lang w:bidi="fa-IR"/>
        </w:rPr>
        <w:t xml:space="preserve">، و مضی ذلک فی بحوث الإجزاء بتفصیل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الحقّ عدم انصرافه عن الواقع، مع صحّة الصلاة المأتیّ بها حسب مسلکنا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هذا لا معارضة بین البیّنتین إلّا بحسب الصورة، و ما هو منشأ الشبهة و الإشکال، لیس هنا أزید ممّا مضی فی المسألة الاولی </w:t>
      </w:r>
      <w:r>
        <w:rPr>
          <w:rStyle w:val="FootnoteAnchor"/>
          <w:rtl w:val="true"/>
        </w:rPr>
        <w:footnoteReference w:id="871"/>
      </w:r>
      <w:r>
        <w:rPr>
          <w:rFonts w:ascii="Amiri" w:hAnsi="Amiri" w:eastAsia="Amiri" w:cs="Amiri"/>
          <w:color w:val="111111"/>
          <w:sz w:val="28"/>
          <w:sz w:val="28"/>
          <w:szCs w:val="28"/>
          <w:rtl w:val="true"/>
          <w:lang w:bidi="ar-SA"/>
        </w:rPr>
        <w:t>ضرورة</w:t>
      </w:r>
    </w:p>
    <w:p>
      <w:pPr>
        <w:pStyle w:val="BookText"/>
        <w:rPr/>
      </w:pPr>
      <w:r>
        <w:rPr>
          <w:rFonts w:ascii="IRNazanin" w:hAnsi="IRNazanin" w:eastAsia="IRNazanin"/>
          <w:color w:val="111111"/>
          <w:sz w:val="28"/>
          <w:sz w:val="28"/>
          <w:szCs w:val="28"/>
          <w:rtl w:val="true"/>
          <w:lang w:bidi="fa-IR"/>
        </w:rPr>
        <w:t>أنّ العلم بکذب إحداهما، لا یقتضی ممنوعیّة التبعیّة إلّا فی صورة کون الخمر حراما؛ بحیث یستتبع العقوبة، و أمّا إذا تصرّفنا فی الحرمة أو فی العقوبة، فلا اقتضاء له؛ ضرورة أنّ مرتبة الحکم الظاهریّ محفوظة، کما تحرّر و تقرّر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ربّما یشکل وجود الإطلاق </w:t>
      </w:r>
      <w:r>
        <w:rPr>
          <w:rStyle w:val="FootnoteAnchor"/>
          <w:rtl w:val="true"/>
        </w:rPr>
        <w:footnoteReference w:id="873"/>
      </w:r>
      <w:r>
        <w:rPr>
          <w:rFonts w:ascii="IRNazanin" w:hAnsi="IRNazanin" w:eastAsia="IRNazanin"/>
          <w:color w:val="111111"/>
          <w:sz w:val="28"/>
          <w:sz w:val="28"/>
          <w:szCs w:val="28"/>
          <w:rtl w:val="true"/>
          <w:lang w:bidi="fa-IR"/>
        </w:rPr>
        <w:t xml:space="preserve">، أو یقال بانصرافه عن هذه المواقف </w:t>
      </w:r>
      <w:r>
        <w:rPr>
          <w:rStyle w:val="FootnoteAnchor"/>
          <w:rtl w:val="true"/>
        </w:rPr>
        <w:footnoteReference w:id="874"/>
      </w:r>
      <w:r>
        <w:rPr>
          <w:rFonts w:ascii="IRNazanin" w:hAnsi="IRNazanin" w:eastAsia="IRNazanin"/>
          <w:color w:val="111111"/>
          <w:sz w:val="28"/>
          <w:sz w:val="28"/>
          <w:szCs w:val="28"/>
          <w:rtl w:val="true"/>
          <w:lang w:bidi="fa-IR"/>
        </w:rPr>
        <w:t>، و لکنّهما غیر صحیحین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إنکار الإطلاق، فلا وجه له سواء کان المستند بناء العقلاء، أو دلیلا شرعیّا، و المفروغیّة القطعیّة، و لا سیّما بعد ما نجد من الشرع فی موارد المعارضة فی أخبار الثقات بالإرجاع إلی المرجّحات فی الخبرین المتعارضین ذاتا، فإنّه یعلم منه حجّیة الخبر شرعا و إن لم یکن حجّة عرفا فی خصوص المتعارضین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الانصراف، فهو فی محلّه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الخمر الواقعیّ محفوظ حکمها و تبعاتها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انحفاظ حکمها فی صورة الخطأ، أو عدم انحفاظ تبعاتها، کما هو المسلک، فلا معارضة حتّی یثبت الانصراف؛ ضرورة أنّ الخمر بلا حکم أو بلا عقوبة، لیست ذات أثر حتّی تقع المعارضة بین البیّنتین فی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لها الأثر، فلا معنی لاعتبار حجّیة البیّنة، فیلزم من حجّیة البیّنة عدمها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کلّ طرف لا یأبی عن شمول أدلّتها فی ذاتها، و وجه الانصراف التحفّظ علی الواقع فی هذه المرحلة، أو التحفّظ علی تبعاتها، فإذا تصرّفنا فی ذلک فلا وجه للانصراف، و یکفی هذا أثرا لها؛ ضرورة أنّه لو لا إطلاق حجّیة</w:t>
      </w:r>
      <w:bookmarkStart w:id="690" w:name="pg13173_325014"/>
    </w:p>
    <w:p>
      <w:pPr>
        <w:pStyle w:val="BookText"/>
        <w:rPr/>
      </w:pPr>
      <w:bookmarkEnd w:id="690"/>
      <w:r>
        <w:rPr>
          <w:rFonts w:ascii="IRNazanin" w:hAnsi="IRNazanin" w:eastAsia="IRNazanin"/>
          <w:color w:val="111111"/>
          <w:sz w:val="28"/>
          <w:sz w:val="28"/>
          <w:szCs w:val="28"/>
          <w:rtl w:val="true"/>
          <w:lang w:bidi="fa-IR"/>
        </w:rPr>
        <w:t>الأمارة، کان الواقع باقیا علی حاله من الفعلیّة، و التبعیّة؛ و هی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الشبهة البدویّة، و المقرونة بالعلم الإجمالیّ، کما لا فرق بین کون المعلوم من الأحکام التکلیفیّة، أو الوضعیّة، بل و بین أن یعلم وجدانا إجمالا التکلیف الواقعیّ، أو یعلم بالحجّة إجمالا</w:t>
      </w:r>
      <w:r>
        <w:rPr>
          <w:rFonts w:eastAsia="IRNazanin" w:cs="IRNazanin"/>
          <w:color w:val="111111"/>
          <w:sz w:val="28"/>
          <w:szCs w:val="28"/>
          <w:rtl w:val="true"/>
          <w:lang w:bidi="fa-IR"/>
        </w:rPr>
        <w:t>.</w:t>
      </w:r>
    </w:p>
    <w:p>
      <w:pPr>
        <w:pStyle w:val="Heading6"/>
        <w:numPr>
          <w:ilvl w:val="5"/>
          <w:numId w:val="1"/>
        </w:numPr>
        <w:rPr/>
      </w:pPr>
      <w:bookmarkStart w:id="691" w:name="__RefHeading___Toc735171_3244359995"/>
      <w:bookmarkStart w:id="692" w:name="_Toc260"/>
      <w:bookmarkEnd w:id="691"/>
      <w:r>
        <w:rPr>
          <w:rtl w:val="true"/>
        </w:rPr>
        <w:t>إیقاظ</w:t>
      </w:r>
      <w:bookmarkEnd w:id="692"/>
    </w:p>
    <w:p>
      <w:pPr>
        <w:pStyle w:val="BookText"/>
        <w:rPr/>
      </w:pPr>
      <w:r>
        <w:rPr>
          <w:rFonts w:ascii="IRNazanin" w:hAnsi="IRNazanin" w:eastAsia="IRNazanin"/>
          <w:color w:val="111111"/>
          <w:sz w:val="28"/>
          <w:sz w:val="28"/>
          <w:szCs w:val="28"/>
          <w:rtl w:val="true"/>
          <w:lang w:bidi="fa-IR"/>
        </w:rPr>
        <w:t>کما یجوز للبیّنة أن تشهد فی صورة علمها بالماء علی أنّه ماء، أو لیس بخمر، کذلک لها أن تشهد بأنّه لیس حراما؛ لأنّ الخمر حرام، و هو عندهما لیس خمرا، فلیس حراما، فإذا شهدت بأنّه لیس حراما، و کان بحسب الواقع خمرا و حراما، یلزم المناقضة بین دلیل نفوذ البیّنة، و دلیل حرمة الخمر، و لا علاج إلّا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بعدم التزامه بحرمة الخمر بعد مفروغیّة التزامه بنفوذ البیّنة فرضا، کما فی الشبهة البدویّة، أو الالتزام بما سلکناه من عدم المناقضة الثبوتیّة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موارد الشبهة المقرونة بالعلم، فشهادتهما علی المائیّة، أو عدم الخمریّة، أو الطهارة، أو عدم النجاسة، واحدة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کیفیّة فعلیّة الحکم فی موارد الاضطرار و العجز و الإکراه مع العلم التفصیلیّ بالواقعة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735173_3244359995"/>
      <w:bookmarkStart w:id="694" w:name="_Toc261"/>
      <w:bookmarkEnd w:id="693"/>
      <w:r>
        <w:rPr>
          <w:rtl w:val="true"/>
        </w:rPr>
        <w:t>تنبیه</w:t>
      </w:r>
      <w:r>
        <w:rPr>
          <w:rtl w:val="true"/>
        </w:rPr>
        <w:t xml:space="preserve">: </w:t>
      </w:r>
      <w:r>
        <w:rPr>
          <w:rtl w:val="true"/>
        </w:rPr>
        <w:t>و فیه استدلال بالأخبار العلاجیة علی حجّیة الخبر و البیّنة</w:t>
      </w:r>
      <w:bookmarkEnd w:id="69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الأخبار العلاجیّة حجّیة المتعارضین ذاتا، یظهر النظر فیما مرّ منّا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 دلیل حجّیة خبر الثقة</w:t>
      </w:r>
      <w:r>
        <w:rPr>
          <w:rStyle w:val="FootnoteAnchor"/>
          <w:rtl w:val="true"/>
        </w:rPr>
        <w:footnoteReference w:id="876"/>
      </w:r>
      <w:r>
        <w:rPr>
          <w:rFonts w:ascii="IRNazanin" w:hAnsi="IRNazanin" w:eastAsia="IRNazanin"/>
          <w:color w:val="111111"/>
          <w:sz w:val="28"/>
          <w:sz w:val="28"/>
          <w:szCs w:val="28"/>
          <w:rtl w:val="true"/>
          <w:lang w:bidi="fa-IR"/>
        </w:rPr>
        <w:t>، فالإجماع و الاتفاق و التواتر قطعیّ علی سند هذه الأخبار العلاجیّة،</w:t>
      </w:r>
      <w:bookmarkStart w:id="695" w:name="pg13173_325015"/>
    </w:p>
    <w:p>
      <w:pPr>
        <w:pStyle w:val="BookText"/>
        <w:rPr/>
      </w:pPr>
      <w:bookmarkEnd w:id="695"/>
      <w:r>
        <w:rPr>
          <w:rFonts w:ascii="IRNazanin" w:hAnsi="IRNazanin" w:eastAsia="IRNazanin"/>
          <w:color w:val="111111"/>
          <w:sz w:val="28"/>
          <w:sz w:val="28"/>
          <w:szCs w:val="28"/>
          <w:rtl w:val="true"/>
          <w:lang w:bidi="fa-IR"/>
        </w:rPr>
        <w:t>و ظاهرها حجّیة کلّ خبر فی ذاته و لو لم تکن حجّة عرفیّة عقلائیّة؛ لإمکان تأسیس الشرع بجعل الحجّیة ذاتا، أو بالمنشأ، علی اختلاف المسالک،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یستکشف حجّیة البیّنة حتّی فی صورة المعارضة بالأولویّة القطعیّة، و بإلغاء الخصوصیّة، مع أنّ حجّیة البیّنة أمر مفروغ منها عندهم علی الإطلاق فی الموضوعات</w:t>
      </w:r>
      <w:r>
        <w:rPr>
          <w:rFonts w:eastAsia="IRNazanin" w:cs="IRNazanin"/>
          <w:color w:val="111111"/>
          <w:sz w:val="28"/>
          <w:szCs w:val="28"/>
          <w:rtl w:val="true"/>
          <w:lang w:bidi="fa-IR"/>
        </w:rPr>
        <w:t>.</w:t>
      </w:r>
    </w:p>
    <w:p>
      <w:pPr>
        <w:pStyle w:val="Heading6"/>
        <w:numPr>
          <w:ilvl w:val="5"/>
          <w:numId w:val="1"/>
        </w:numPr>
        <w:rPr/>
      </w:pPr>
      <w:bookmarkStart w:id="696" w:name="__RefHeading___Toc735175_3244359995"/>
      <w:bookmarkStart w:id="697" w:name="_Toc262"/>
      <w:bookmarkEnd w:id="696"/>
      <w:r>
        <w:rPr>
          <w:rtl w:val="true"/>
        </w:rPr>
        <w:t>توجیه</w:t>
      </w:r>
      <w:r>
        <w:rPr>
          <w:rtl w:val="true"/>
        </w:rPr>
        <w:t xml:space="preserve">: </w:t>
      </w:r>
      <w:r>
        <w:rPr>
          <w:rtl w:val="true"/>
        </w:rPr>
        <w:t>فی إبطال توهّم تعارض البیّنتین هنا</w:t>
      </w:r>
      <w:bookmarkEnd w:id="697"/>
    </w:p>
    <w:p>
      <w:pPr>
        <w:pStyle w:val="BookText"/>
        <w:rPr/>
      </w:pPr>
      <w:r>
        <w:rPr>
          <w:rFonts w:ascii="IRNazanin" w:hAnsi="IRNazanin" w:eastAsia="IRNazanin"/>
          <w:color w:val="111111"/>
          <w:sz w:val="28"/>
          <w:sz w:val="28"/>
          <w:szCs w:val="28"/>
          <w:rtl w:val="true"/>
          <w:lang w:bidi="fa-IR"/>
        </w:rPr>
        <w:t xml:space="preserve">ربّما یتخیّل المعارضة فیما نحن فیه بین البیّنتین </w:t>
      </w:r>
      <w:r>
        <w:rPr>
          <w:rStyle w:val="FootnoteAnchor"/>
          <w:rtl w:val="true"/>
        </w:rPr>
        <w:footnoteReference w:id="877"/>
      </w:r>
      <w:r>
        <w:rPr>
          <w:rFonts w:ascii="IRNazanin" w:hAnsi="IRNazanin" w:eastAsia="IRNazanin"/>
          <w:color w:val="111111"/>
          <w:sz w:val="28"/>
          <w:sz w:val="28"/>
          <w:szCs w:val="28"/>
          <w:rtl w:val="true"/>
          <w:lang w:bidi="fa-IR"/>
        </w:rPr>
        <w:t>، غفلة عن أنّ البیّنة القائمة علی أنّ الإناء المعیّن ماء، لا تدلّ بالالتزام علی أنّ الإناء الآخر خمر و بالعکس، و ما هو الثابت لیس إلّا علم المکلّف بکذب إحداهما، و عدم مطابقة واحدة منهما للواقع؛ ضرورة أنّ الدلالة الالتزامیّة من الامور البیّنة، و اللوازم و الملازمات العقلیّة و العرفیّة للدلالة المطابقیّة، و کلّ ذلک فی قیام البیّنة علی أنّ هذا الإناء الشرقیّ ماء، منتف بالنسبة إلی إثبات خمریّة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علم المکلّف بأنّ أحدهما خمر، ثمّ قیام البیّنة علی أنّ هذا المعیّن ماء، لا یکفی لکون خمریّة الآخر من الدلالة الالتزامیّة للبیّنة، فالمعارضة مطلقا منتفیة بین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موارد اخر، کقیام خبر علی عدم وجوب القصر، و خبر آخر علی عدم وجوب التمام، فإنّه لا یزید بسبب علم المکلّف بوجوب أحدهما علی کذب أحد الخبرین شی‌ء آخر، حتّی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الأکاذیب و الأباطیل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اشتهر من المعارضة بین الطرق و الأمارات فی أطراف العلم الإجمالیّ،</w:t>
      </w:r>
      <w:bookmarkStart w:id="698" w:name="pg13173_325016"/>
    </w:p>
    <w:p>
      <w:pPr>
        <w:pStyle w:val="BookText"/>
        <w:rPr/>
      </w:pPr>
      <w:bookmarkEnd w:id="698"/>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العلم بکذب أحدهما، یکفی لتوهّم انصراف أدلّة حجّیة الطریق، و قد عرفت منعه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مرّ إلی هنا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کون البیّنة عذرا؛ إذا اتفق أنّ الخمر کانت حراما شرعا حسب الظاهر، أو الشی‌ء الآخر کان ممنوعا أو واجبا حسب الأدلّة و الظواهر، و تکون عذریّتها لأجل إطلاق دلیلها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مرّ</w:t>
      </w:r>
      <w:r>
        <w:rPr>
          <w:rStyle w:val="FootnoteAnchor"/>
          <w:rtl w:val="true"/>
        </w:rPr>
        <w:footnoteReference w:id="878"/>
      </w:r>
      <w:r>
        <w:rPr>
          <w:rFonts w:ascii="IRNazanin" w:hAnsi="IRNazanin" w:eastAsia="IRNazanin"/>
          <w:color w:val="111111"/>
          <w:sz w:val="28"/>
          <w:sz w:val="28"/>
          <w:szCs w:val="28"/>
          <w:rtl w:val="true"/>
          <w:lang w:bidi="fa-IR"/>
        </w:rPr>
        <w:t>یجمع بین أدلّة حرمة الخمر، و عذریّة البیّنة، و لو نوقش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التصرّف فی المعلوم لیس من الجمع، فلا مناقشة علی مسلکنا، فإنّا نلتزم بحرمة الخمر و نجاسة الثوب الواقعیّة، و عذریّة البیّنة؛ لرفع العقوبة، و لا نرید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ذلک، فاغتنم و اشکر</w:t>
      </w:r>
      <w:r>
        <w:rPr>
          <w:rFonts w:eastAsia="IRNazanin" w:cs="IRNazanin"/>
          <w:color w:val="111111"/>
          <w:sz w:val="28"/>
          <w:szCs w:val="28"/>
          <w:rtl w:val="true"/>
          <w:lang w:bidi="fa-IR"/>
        </w:rPr>
        <w:t>.</w:t>
      </w:r>
    </w:p>
    <w:p>
      <w:pPr>
        <w:pStyle w:val="Heading6"/>
        <w:numPr>
          <w:ilvl w:val="5"/>
          <w:numId w:val="1"/>
        </w:numPr>
        <w:rPr/>
      </w:pPr>
      <w:bookmarkStart w:id="699" w:name="__RefHeading___Toc735177_3244359995"/>
      <w:bookmarkStart w:id="700" w:name="_Toc263"/>
      <w:bookmarkEnd w:id="699"/>
      <w:r>
        <w:rPr>
          <w:rtl w:val="true"/>
        </w:rPr>
        <w:t>المقام الثانی</w:t>
      </w:r>
      <w:r>
        <w:rPr>
          <w:rtl w:val="true"/>
        </w:rPr>
        <w:t xml:space="preserve">: </w:t>
      </w:r>
      <w:r>
        <w:rPr>
          <w:rtl w:val="true"/>
        </w:rPr>
        <w:t>فی الاصول المحرزة</w:t>
      </w:r>
      <w:bookmarkEnd w:id="700"/>
    </w:p>
    <w:p>
      <w:pPr>
        <w:pStyle w:val="Heading6"/>
        <w:numPr>
          <w:ilvl w:val="5"/>
          <w:numId w:val="1"/>
        </w:numPr>
        <w:rPr/>
      </w:pPr>
      <w:bookmarkStart w:id="701" w:name="__RefHeading___Toc735179_3244359995"/>
      <w:bookmarkStart w:id="702" w:name="_Toc264"/>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و یقع البحث فیها سواء کانت من قبیل الاستصحاب، أو أمثال قاعدتی التجاوز و الفراغ، و أصالة الصحّة التی تعدّ من المحرزة التنزیلیّة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نسبة أدلّتها بالقیاس إلی الأدلّة الواقعیّة التی تنطبق علی موارد العلم الإجمالیّ الذی هو المنجّز، و یکشف به الحکم و تتمّ به الحجّة فی صورة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الجمع بینها؛ بناء علی جریانها فی أطراف العلم، کما هو الحقّ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وجه منع جریان الاستصحاب إجمالا فی المسألة الاولی </w:t>
      </w:r>
      <w:r>
        <w:rPr>
          <w:rStyle w:val="FootnoteAnchor"/>
          <w:rtl w:val="true"/>
        </w:rPr>
        <w:footnoteReference w:id="879"/>
      </w:r>
      <w:r>
        <w:rPr>
          <w:rFonts w:ascii="IRNazanin" w:hAnsi="IRNazanin" w:eastAsia="IRNazanin"/>
          <w:color w:val="111111"/>
          <w:sz w:val="28"/>
          <w:sz w:val="28"/>
          <w:szCs w:val="28"/>
          <w:rtl w:val="true"/>
          <w:lang w:bidi="fa-IR"/>
        </w:rPr>
        <w:t>، و دونک بعض الوجوه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الاستصحاب حسبما یستظهر من أدلّته، إطالة عمر الیقین، و رؤیة الشکّ یقینا، و اعتبار وجود القطع و العلم حال الشکّ، فإذا علم إجمالا بنجاسة أحد الإناءین، أو خمریّة واحد منهما، فلا یعقل اعتبار الیقینین بأنّ کلّ واحد منهما طاهر و ماء؛ لسبق العلم بمائیّتهما، و الیقین بطهارتهما، فإنّ المناقضة فی الاعتبار کالمناقضة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أولی ممّا فی کلام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الاستصحاب هو التنزیل، و لا یعقل التنزیلین مع العلم الإجمالیّ المذکور</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الأولویّة أنّ أدلّة الاستصحاب، لیست متعرّضة للتنزیل؛ لجریانه فی الأحکام المشتبهة عندهم، و لا معنی للتنزیل فیها مع وحدة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فساد هذا التقریب فواضح؛ ضرورة أنّ کلّ واحد من الأطراف مستقلّ فی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علیه، و علی هذا لا وجه لملاحظة المجموع لحظة واحدة، فلا یلزم إلّا المناقضة مع المعلوم الإجمالیّ بعد التطبیق، فجریان إطلاق أدلّته واضح جدّا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التناقض فی الاعتبار؛ إذا اعتبر الشرع حجّیة الاستصحاب فی کلّ واحد من الطرفین بالخصوص معا، مع التزامه بحرمة الخمر الموجودة فی البین، و أمّا فی کلّ واحد مع قطع النظر عن الآخر، فلا مشکلة إلّا مشکلة الجمع بین الحکم الواقعیّ و الظاهریّ الجاریة فی الشبهات البدویّة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المسلک الصحیح؛ من قانونیّة هذا الأصل الشاملة لجمیع</w:t>
      </w:r>
    </w:p>
    <w:p>
      <w:pPr>
        <w:pStyle w:val="BookText"/>
        <w:rPr/>
      </w:pPr>
      <w:r>
        <w:rPr>
          <w:rFonts w:ascii="IRNazanin" w:hAnsi="IRNazanin" w:eastAsia="IRNazanin"/>
          <w:color w:val="111111"/>
          <w:sz w:val="28"/>
          <w:sz w:val="28"/>
          <w:szCs w:val="28"/>
          <w:rtl w:val="true"/>
          <w:lang w:bidi="fa-IR"/>
        </w:rPr>
        <w:t xml:space="preserve">الشبهات البدویّة و المقرونة؛ فإنّ ما هو موضوعه قابل للانطباق علی کلّ مورد مسبوق بالقطع، و ملحوق بالشکّ، و لا یلاحظ مجموع المصادیق، و لا المصداقین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عرضا، و لا سیّما علی القول بأنّه أصل اعتبر حجّة عند ملاحظة الحالة السابقة، لا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نفس الیقین السابق و الشکّ اللاحق، تمام الموضوع لانطباق الأصل المذکور علیه یکفی،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رسالة الشیخ الأنصاریّ قدّس سرّه </w:t>
      </w:r>
      <w:r>
        <w:rPr>
          <w:rStyle w:val="FootnoteAnchor"/>
          <w:rtl w:val="true"/>
        </w:rPr>
        <w:footnoteReference w:id="882"/>
      </w:r>
      <w:r>
        <w:rPr>
          <w:rFonts w:ascii="IRNazanin" w:hAnsi="IRNazanin" w:eastAsia="IRNazanin"/>
          <w:color w:val="111111"/>
          <w:sz w:val="28"/>
          <w:sz w:val="28"/>
          <w:szCs w:val="28"/>
          <w:rtl w:val="true"/>
          <w:lang w:bidi="fa-IR"/>
        </w:rPr>
        <w:t xml:space="preserve">و قد مرّ وجه المناقشة فیه </w:t>
      </w:r>
      <w:r>
        <w:rPr>
          <w:rStyle w:val="FootnoteAnchor"/>
          <w:rtl w:val="true"/>
        </w:rPr>
        <w:footnoteReference w:id="883"/>
      </w:r>
      <w:r>
        <w:rPr>
          <w:rFonts w:ascii="IRNazanin" w:hAnsi="IRNazanin" w:eastAsia="IRNazanin"/>
          <w:color w:val="111111"/>
          <w:sz w:val="28"/>
          <w:sz w:val="28"/>
          <w:szCs w:val="28"/>
          <w:rtl w:val="true"/>
          <w:lang w:bidi="fa-IR"/>
        </w:rPr>
        <w:t>لو أراد من المناقشة، إیجاد الإجمال فی أخبار الاستصحاب؛ لأجل مناقضة الصدر و الذیل، ضرورة أنّ الأمر بالنقض بیقین آخر، یشمل الأعمّ من الیقین التفصیلیّ و الإجمالیّ، و لازمه قصور شمول إطلاق الصدر، و مقتضی إطلاق الصدر اختصاص الذیل بالیقین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إجمال روایة واحدة لا یسری فی سائر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أراد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قید فی حجّیة الاستصحاب فی موارد الشبهات البدویّة فقط؛ لأنّ الموارد المقرونة بالعلم الإجمالیّ تستلزم المناقضة، و لازمه کشف عدم حجّیته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عدم جریان الاستصحاب فی مورد العلم التفصیلیّ بنجاسة الإناءین، ثمّ العلم إجمالا بطهارة أحدهما؛ لأنّه کما لا یجری الاستصحاب فی صورة العلم التفصیلیّ، لا یجری فی صورة العلم الإجمالیّ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جریانه فی موارد لا یلزم من جریانه المخالفة العملیّة؛ لأنّ العلم الإجمالیّ المانع موجود فی الفرضین، و لا یلتزم بذلک الشیخ رحمه اللّه قطعا 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لأن یعتبر الشرع قیدا فی حجّیة الاستصحاب من باب المناقضة بین الصدر و الذیل؛ فإنّه یشبه الاحجیّة و الحزّورة و لازم المناقضة المذکورة إجمال الدلیل لو لم یمکن تقدیم أحدهما علی الآخر،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رحمه اللّه یرید إفادة خصوصیّة فی الأدلّة، فتسری إلی سائر الأدلّة</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غیر تامّ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تعارض الصدر و الذیل، لا یمکن التقدیم إذا کان کلّ من الصدر و الذیل، قابلا للانطباق و جملة مستقلّة تامّة، و کانت الجملة الاخری معارضة لها فی الانطباق، و استقلال الظهور لها، و ما نحن فیه لیس الأمر کما ذکر، ضرورة أنّ جملة الذیل لا تستقلّ بالإفادة، بخلاف الصدر، فالصدر یصلح للقرینیّة علی الذیل؛ لأنّه کلام غیر مستقلّ بالمفهومیّة، و لا یفید جملة تصدیقیّة،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منع للعلم الإجمالیّ، و لا قصور فی أدلّة الاستصحاب عن الجریان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یتوهّم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الصدر قرینة علی أنّ ما فی الذیل هو عینه مرادا، فإنّ ما فی الصدر هو الیقین التفصیلیّ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فی الصدر و التنکیر فی الذیل، یشهد علی أنّ المراد من الثانی غیر المراد من الأوّل و لو کان بالعموم و الخصوص</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افید فی الباب السادس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الرجل، و ضربنی رجل</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فیعلم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 یقین أعمّ من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بالنقض لیس إلّا أمرا إرشادیّا؛ لما لا یعقل الأزید منه فی مورد العلم؛ لأنّ حجّیته ذاتیّة، فکونه فی مقام إفادة النقض بالعلم الإجمالیّ، یستلزم کون الأمر لإفادة الخصوصیّة فیما نحن فیه، و هذان متنافیان، و لا یجتمعان فی خطاب واحد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إلّا لتحدید بقاء أثر العلم السابق، فإذا قیس إلی العلم التفصیلیّ، یکون جواز النقض قطعیّا، و إذا قیس إلی العلم الإجمالیّ، یکون جوازه قابلا للرفع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مقتضی ما تحرّر منّا فی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 تحتاج إلی الإمضاء، کحجّیة سائر الأمارات و الطرق، و حدیث الذاتیّة من الأکاذیب المحرّرة</w:t>
      </w:r>
      <w:r>
        <w:rPr>
          <w:rStyle w:val="FootnoteAnchor"/>
          <w:rtl w:val="true"/>
        </w:rPr>
        <w:footnoteReference w:id="888"/>
      </w:r>
      <w:r>
        <w:rPr>
          <w:rFonts w:ascii="IRNazanin" w:hAnsi="IRNazanin" w:eastAsia="IRNazanin"/>
          <w:color w:val="111111"/>
          <w:sz w:val="28"/>
          <w:sz w:val="28"/>
          <w:szCs w:val="28"/>
          <w:rtl w:val="true"/>
          <w:lang w:bidi="fa-IR"/>
        </w:rPr>
        <w:t xml:space="preserve">، و هذا الأمر هنا یشهد علی ما أبدعناه </w:t>
      </w:r>
      <w:r>
        <w:rPr>
          <w:rStyle w:val="FootnoteAnchor"/>
          <w:rtl w:val="true"/>
        </w:rPr>
        <w:footnoteReference w:id="889"/>
      </w:r>
      <w:r>
        <w:rPr>
          <w:rFonts w:ascii="IRNazanin" w:hAnsi="IRNazanin" w:eastAsia="IRNazanin"/>
          <w:color w:val="111111"/>
          <w:sz w:val="28"/>
          <w:sz w:val="28"/>
          <w:szCs w:val="28"/>
          <w:rtl w:val="true"/>
          <w:lang w:bidi="fa-IR"/>
        </w:rPr>
        <w:t xml:space="preserve">، فما فی تقریرات العلّامة الأراکیّ </w:t>
      </w:r>
      <w:r>
        <w:rPr>
          <w:rStyle w:val="FootnoteAnchor"/>
          <w:rtl w:val="true"/>
        </w:rPr>
        <w:footnoteReference w:id="890"/>
      </w:r>
      <w:r>
        <w:rPr>
          <w:rFonts w:ascii="IRNazanin" w:hAnsi="IRNazanin" w:eastAsia="IRNazanin"/>
          <w:color w:val="111111"/>
          <w:sz w:val="28"/>
          <w:sz w:val="28"/>
          <w:szCs w:val="28"/>
          <w:rtl w:val="true"/>
          <w:lang w:bidi="fa-IR"/>
        </w:rPr>
        <w:t>غیر تامّ،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قصور فی تلک الأدلّة، و قضیّة ما سلف </w:t>
      </w:r>
      <w:r>
        <w:rPr>
          <w:rStyle w:val="FootnoteAnchor"/>
          <w:rtl w:val="true"/>
        </w:rPr>
        <w:footnoteReference w:id="891"/>
      </w:r>
      <w:r>
        <w:rPr>
          <w:rFonts w:ascii="IRNazanin" w:hAnsi="IRNazanin" w:eastAsia="IRNazanin"/>
          <w:color w:val="111111"/>
          <w:sz w:val="28"/>
          <w:sz w:val="28"/>
          <w:szCs w:val="28"/>
          <w:rtl w:val="true"/>
          <w:lang w:bidi="fa-IR"/>
        </w:rPr>
        <w:t>جواز الأخذ بالمجموع من غیر لزوم المناقضة، و تکون الأحکام الثابتة بالإطلاقات، باقیة علی حالها الواقعیّة، و تلک الاصول أیضا معذّرة فیما نحن فیه حسب إطلاق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الاستصحاب منصرفة؛ لما لا معنی لشمولها للأطراف و معارضتها، ثمّ السقوط بالمعارضة، بعد امتناع الترجیح بلا مرجّح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علی ما سلکناه 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تحقّق المعارضة؛ لإمکان الجمع</w:t>
      </w:r>
    </w:p>
    <w:p>
      <w:pPr>
        <w:pStyle w:val="BookText"/>
        <w:rPr/>
      </w:pPr>
      <w:r>
        <w:rPr>
          <w:rFonts w:ascii="IRNazanin" w:hAnsi="IRNazanin" w:eastAsia="IRNazanin"/>
          <w:color w:val="111111"/>
          <w:sz w:val="28"/>
          <w:sz w:val="28"/>
          <w:szCs w:val="28"/>
          <w:rtl w:val="true"/>
          <w:lang w:bidi="fa-IR"/>
        </w:rPr>
        <w:t>بین الفعلیّة الواقعیّة و التعذیر، کما عرفت فی موارد الاضطرار و الإکراه و العجز</w:t>
      </w:r>
      <w:r>
        <w:rPr>
          <w:rStyle w:val="FootnoteAnchor"/>
          <w:rtl w:val="true"/>
        </w:rPr>
        <w:footnoteReference w:id="892"/>
      </w:r>
      <w:r>
        <w:rPr>
          <w:rFonts w:ascii="IRNazanin" w:hAnsi="IRNazanin" w:eastAsia="IRNazanin"/>
          <w:color w:val="111111"/>
          <w:sz w:val="28"/>
          <w:sz w:val="28"/>
          <w:szCs w:val="28"/>
          <w:rtl w:val="true"/>
          <w:lang w:bidi="fa-IR"/>
        </w:rPr>
        <w:t>، فإنّه یجوز أن یعتبر الشرع تلک الامور، عذرا علی سبیل القانون الکلّی، فتکون فی تلک الموارد فعلیّة التکلیف موجودة، و عذریّة هذه الامور متحقّقة، و لازمه جواز المخالفة إلّا فی موارد الاهتمام، کما فی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کون نتیجة المعارضة بین مصداقی الاستصحاب تساقطهما، منع و إشکال؛ و ذلک لأنّ المعارضة بین الدلیلین توجب السقوط، و أمّا فیما نحن فیه فربّما یلزم الأخذ بالأهمّ أو التخییر؛ لأنّ وجه المعارضة حکم العقل و درکه أنّ الأخذ بهما معا، إذن فی المعصیة و مناقضة، و المقدار اللازم بحکم العقل و درکه، الخروج عن الإذن المذکور، و هو بعدم الترخیص فی المجموع، فلا یلزم عدم جریانهما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الطرفین لا یمکن الأخذ بهما جمعا، و لا الأخذ بأحدهما المعیّن؛ للترجیح بلا مرجّح، و أمّا التخییر علی الوجه الممکن، فممّا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أطال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 وجوها لجریان أحد الاستصحابین، و لم یصدّق بها</w:t>
      </w:r>
      <w:r>
        <w:rPr>
          <w:rStyle w:val="FootnoteAnchor"/>
          <w:rtl w:val="true"/>
        </w:rPr>
        <w:footnoteReference w:id="893"/>
      </w:r>
      <w:r>
        <w:rPr>
          <w:rFonts w:ascii="IRNazanin" w:hAnsi="IRNazanin" w:eastAsia="IRNazanin"/>
          <w:color w:val="111111"/>
          <w:sz w:val="28"/>
          <w:sz w:val="28"/>
          <w:szCs w:val="28"/>
          <w:rtl w:val="true"/>
          <w:lang w:bidi="fa-IR"/>
        </w:rPr>
        <w:t>، مع أنّ الحقّ إمکان التقریب علی الوجه غیر المتوجّة إلیه إشکالاته؛ لأنّ التخییر المذکور هنا علی سبیل منع الجمع، و یکون من قبیل الواجبات التخییریّة اعتبارا، و لو لا عدم الحاجة إلی الإطالة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خروجا عن مبنی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لذکرت الکلام حوله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معارضتهما و سقوطهما</w:t>
      </w:r>
      <w:r>
        <w:rPr>
          <w:rStyle w:val="FootnoteAnchor"/>
          <w:rtl w:val="true"/>
        </w:rPr>
        <w:footnoteReference w:id="894"/>
      </w:r>
      <w:r>
        <w:rPr>
          <w:rFonts w:ascii="IRNazanin" w:hAnsi="IRNazanin" w:eastAsia="IRNazanin"/>
          <w:color w:val="111111"/>
          <w:sz w:val="28"/>
          <w:sz w:val="28"/>
          <w:szCs w:val="28"/>
          <w:rtl w:val="true"/>
          <w:lang w:bidi="fa-IR"/>
        </w:rPr>
        <w:t>غیر صحیح؛ لما</w:t>
      </w:r>
    </w:p>
    <w:p>
      <w:pPr>
        <w:pStyle w:val="BookText"/>
        <w:rPr/>
      </w:pPr>
      <w:r>
        <w:rPr>
          <w:rFonts w:ascii="IRNazanin" w:hAnsi="IRNazanin" w:eastAsia="IRNazanin"/>
          <w:color w:val="111111"/>
          <w:sz w:val="28"/>
          <w:sz w:val="28"/>
          <w:szCs w:val="28"/>
          <w:rtl w:val="true"/>
          <w:lang w:bidi="fa-IR"/>
        </w:rPr>
        <w:t>لا معارضة أوّلا، و لا یسقطان معا علی فرض المعارضة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التعارض بالعرض، مجرّد تخیّل و تسویل خارج عن حدود الدلالة الوضعیّة؛ مطابقیّة کانت، أو التزامیّة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اعتبار الحجّیة لکلّ واحد منهما بعد سقوطه بالمعارضة؛ للغویّة اعتبارها بالضرورة، فلا انصراف یدّعی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مجرّد دعوی بلا بیّنة و برهان، بل لا یعقل حجّیة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اللغویّة هنا کاللغویّة فی اعتبار الحجّیة الذاتیّة للاستصحاب المسبّبی، و الجواب لا یکون إلّا عن طریق 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عرفت من عدم سقوطهما؛ لإمکان حجّیة واحد منهما علی التخییر،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الاستصحاب هی الحجّة، و قضیّة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هو الأعمّ من الحجّة العقلیّة و الشرعیّة، و لا شبهة فی قیام الحجّة العقلیّة علی وجوب الاحتیاط، فلیس أطراف العلم الإجمالیّ المؤثّر فیه العلم و المنجّز للتکلیف الواقعیّ، داخلة فی مصبّ إطلاق أدلّة الاستصحاب موضوعا؛ لکون النقض بالشکّ ممنوعا، لا بالیقین الأعمّ 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 أقوی الوجوه، إلّا أنّه أیضا غیر تامّ؛ ضرورة أنّ الاستصحاب أیضا من الحجج، و أدلّة الاستصحاب واردة علی حکم العقل، و مانعة من تمامیّة مقدّمات لازمة لدرکه وجوب الاحتیاط؛ ضرورة أنّه یقال فی تقریب تنجیز العلم</w:t>
      </w:r>
    </w:p>
    <w:p>
      <w:pPr>
        <w:pStyle w:val="BookText"/>
        <w:rPr/>
      </w:pPr>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شرب أحد الإناءین، و صادف الواقع، مع أنّه بلا عذر، یجب علیه الاحتیاط، و الاستصحاب عذر، و إنّه کان العقاب علی الأطراف غیر جزاف، و مع جریان الاستصحاب یکون جزافا، و لا شبهة فی تقدّم إطلاق دلیل الاستصحاب علی التنجّز الثابت بالعقل؛ لأنّه تنجّز غیر مناف رفعه للتکلیف الواقعیّ الفعلیّ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الإجمالیّ علّة تامّة</w:t>
      </w:r>
      <w:r>
        <w:rPr>
          <w:rStyle w:val="FootnoteAnchor"/>
          <w:rtl w:val="true"/>
        </w:rPr>
        <w:footnoteReference w:id="898"/>
      </w:r>
      <w:r>
        <w:rPr>
          <w:rFonts w:ascii="IRNazanin" w:hAnsi="IRNazanin" w:eastAsia="IRNazanin"/>
          <w:color w:val="111111"/>
          <w:sz w:val="28"/>
          <w:sz w:val="28"/>
          <w:szCs w:val="28"/>
          <w:rtl w:val="true"/>
          <w:lang w:bidi="fa-IR"/>
        </w:rPr>
        <w:t>، لا ینافی ما ذکرناه کما مرّ</w:t>
      </w:r>
      <w:r>
        <w:rPr>
          <w:rStyle w:val="FootnoteAnchor"/>
          <w:rtl w:val="true"/>
        </w:rPr>
        <w:footnoteReference w:id="899"/>
      </w:r>
      <w:r>
        <w:rPr>
          <w:rFonts w:ascii="IRNazanin" w:hAnsi="IRNazanin" w:eastAsia="IRNazanin"/>
          <w:color w:val="111111"/>
          <w:sz w:val="28"/>
          <w:sz w:val="28"/>
          <w:szCs w:val="28"/>
          <w:rtl w:val="true"/>
          <w:lang w:bidi="fa-IR"/>
        </w:rPr>
        <w:t>لأنّ الحکم علی فعلیّته المطلقة باق، و أمّا العقاب فیتبع العذر، و إطلاق دلیل الاستصحاب یوجب اعتذار العبد علی المخالفة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کلّ واحد من الأطراف، من الشبهة المصداقیّة لدلیل الاستصحاب؛ ضرورة احتمال کونه بحسب الواقع منجّزا، فلا یکون مجال لجریانه </w:t>
      </w:r>
      <w:r>
        <w:rPr>
          <w:rStyle w:val="FootnoteAnchor"/>
          <w:rtl w:val="true"/>
        </w:rPr>
        <w:footnoteReference w:id="900"/>
      </w:r>
      <w:r>
        <w:rPr>
          <w:rFonts w:ascii="IRNazanin" w:hAnsi="IRNazanin" w:eastAsia="IRNazanin"/>
          <w:color w:val="111111"/>
          <w:sz w:val="28"/>
          <w:sz w:val="28"/>
          <w:szCs w:val="28"/>
          <w:rtl w:val="true"/>
          <w:lang w:bidi="fa-IR"/>
        </w:rPr>
        <w:t>، و قد عرفت أنّه لا یکون التنجّز إلّا بعد قطع العذر</w:t>
      </w:r>
      <w:r>
        <w:rPr>
          <w:rStyle w:val="FootnoteAnchor"/>
          <w:rtl w:val="true"/>
        </w:rPr>
        <w:footnoteReference w:id="901"/>
      </w:r>
      <w:r>
        <w:rPr>
          <w:rFonts w:ascii="IRNazanin" w:hAnsi="IRNazanin" w:eastAsia="IRNazanin"/>
          <w:color w:val="111111"/>
          <w:sz w:val="28"/>
          <w:sz w:val="28"/>
          <w:szCs w:val="28"/>
          <w:rtl w:val="true"/>
          <w:lang w:bidi="fa-IR"/>
        </w:rPr>
        <w:t>، و إطلاق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لتمامیّة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مقدّم علی التنجیز الثابت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توهّم المعارضة بین الصدر و الذیل؛ فإنّ إطلاق الصدر یقتضی جریان الاستصحاب، و إطلاق الذیل یقتضی عدم جریانه؛ لکون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 هذه الحجّة الأعمّ یقین عند الشرع؛ و حجّة ممضاة عند الشرع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العلم الإجمالیّ بالحجّة و بالإطلاق، و الحکم الثابت حسب الأدلّة الأوّلیة حجّیة عقلائیّة إمضائیّة مثلا، و الاستصحاب حجّة تأسیسیّة، و هی أیضا واردة علی تلک الحجّة؛ لأنّ من مقدّمات تلک الحجّة الممضاة، عدم وجود</w:t>
      </w:r>
      <w:bookmarkStart w:id="703" w:name="pg13173_325024"/>
    </w:p>
    <w:p>
      <w:pPr>
        <w:pStyle w:val="BookText"/>
        <w:rPr/>
      </w:pPr>
      <w:bookmarkEnd w:id="703"/>
      <w:r>
        <w:rPr>
          <w:rFonts w:ascii="IRNazanin" w:hAnsi="IRNazanin" w:eastAsia="IRNazanin"/>
          <w:color w:val="111111"/>
          <w:sz w:val="28"/>
          <w:sz w:val="28"/>
          <w:szCs w:val="28"/>
          <w:rtl w:val="true"/>
          <w:lang w:bidi="fa-IR"/>
        </w:rPr>
        <w:t>المعذّر و المؤمّن بالنسبة إلی التخلّف عن الواقع عند الإصابة، و قد عرفت أنّه معذّر و مؤمّن، فإطلاق الصدر متعیّن للقرینیّة علی الذیل کما مرّ</w:t>
      </w:r>
      <w:r>
        <w:rPr>
          <w:rStyle w:val="FootnoteAnchor"/>
          <w:rtl w:val="true"/>
        </w:rPr>
        <w:footnoteReference w:id="902"/>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هذه الوجوه، غیر ناهضة لمنع جریان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فهم الأصحاب ذلک، إلّا أنّهم اعتبروا المعارضة لمّا ذهبوا إلی المناقضة بینهما، و بین المعلوم الإجمال، و الإذن فی المعصیة، أو احتمال المناقضة و الإذن، و الکلّ ممنوع عقلا، فیتساقطان </w:t>
      </w:r>
      <w:r>
        <w:rPr>
          <w:rStyle w:val="FootnoteAnchor"/>
          <w:rtl w:val="true"/>
        </w:rPr>
        <w:footnoteReference w:id="903"/>
      </w:r>
      <w:r>
        <w:rPr>
          <w:rFonts w:ascii="IRNazanin" w:hAnsi="IRNazanin" w:eastAsia="IRNazanin"/>
          <w:color w:val="111111"/>
          <w:sz w:val="28"/>
          <w:sz w:val="28"/>
          <w:szCs w:val="28"/>
          <w:rtl w:val="true"/>
          <w:lang w:bidi="fa-IR"/>
        </w:rPr>
        <w:t>أو یعتبر أحدهما علی نعت التخییر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منع ذلک کلّه؛ لما لا معارضة هنا، کما لا معارضة بین الأدلّة الواقعیّة و الاصول الجاریة فی مقام الامتثال، و سنشیر إلیه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بالعلّیة التامّة لتنجیز العلم الإجمالیّ؛ علی وجه یمنع عن معذّریة الجهل المقرون به حتّی فی صورة تنصیص الشرع </w:t>
      </w:r>
      <w:r>
        <w:rPr>
          <w:rStyle w:val="FootnoteAnchor"/>
          <w:rtl w:val="true"/>
        </w:rPr>
        <w:footnoteReference w:id="905"/>
      </w:r>
      <w:r>
        <w:rPr>
          <w:rFonts w:ascii="IRNazanin" w:hAnsi="IRNazanin" w:eastAsia="IRNazanin"/>
          <w:color w:val="111111"/>
          <w:sz w:val="28"/>
          <w:sz w:val="28"/>
          <w:szCs w:val="28"/>
          <w:rtl w:val="true"/>
          <w:lang w:bidi="fa-IR"/>
        </w:rPr>
        <w:t>، غیر مقبول، فیکون للشرع تعذیر هذا الجهل للیقین السابق، و هو مقدّم علی تنجیز العلم المقرون به، فاغتنم</w:t>
      </w:r>
      <w:r>
        <w:rPr>
          <w:rFonts w:eastAsia="IRNazanin" w:cs="IRNazanin"/>
          <w:color w:val="111111"/>
          <w:sz w:val="28"/>
          <w:szCs w:val="28"/>
          <w:rtl w:val="true"/>
          <w:lang w:bidi="fa-IR"/>
        </w:rPr>
        <w:t>.</w:t>
      </w:r>
    </w:p>
    <w:p>
      <w:pPr>
        <w:pStyle w:val="Heading6"/>
        <w:numPr>
          <w:ilvl w:val="5"/>
          <w:numId w:val="1"/>
        </w:numPr>
        <w:rPr/>
      </w:pPr>
      <w:bookmarkStart w:id="704" w:name="__RefHeading___Toc735181_3244359995"/>
      <w:bookmarkStart w:id="705" w:name="_Toc265"/>
      <w:bookmarkEnd w:id="704"/>
      <w:r>
        <w:rPr>
          <w:rtl w:val="true"/>
        </w:rPr>
        <w:t>تذییل</w:t>
      </w:r>
      <w:r>
        <w:rPr>
          <w:rtl w:val="true"/>
        </w:rPr>
        <w:t xml:space="preserve">: </w:t>
      </w:r>
      <w:r>
        <w:rPr>
          <w:rtl w:val="true"/>
        </w:rPr>
        <w:t>حول القواعد الجاریة فی مقام الامتثال فی أطراف العلم الإجمالیّ</w:t>
      </w:r>
      <w:bookmarkEnd w:id="705"/>
    </w:p>
    <w:p>
      <w:pPr>
        <w:pStyle w:val="BookText"/>
        <w:rPr/>
      </w:pPr>
      <w:r>
        <w:rPr>
          <w:rFonts w:ascii="IRNazanin" w:hAnsi="IRNazanin" w:eastAsia="IRNazanin"/>
          <w:color w:val="111111"/>
          <w:sz w:val="28"/>
          <w:sz w:val="28"/>
          <w:szCs w:val="28"/>
          <w:rtl w:val="true"/>
          <w:lang w:bidi="fa-IR"/>
        </w:rPr>
        <w:t>فی موارد جریان الاصول الجاریة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کالقواعد الثلاث</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الفراغ، و التجاوز، و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بالفساد فی المعاملتین أو العبادتین، و غیر ذلک ممّا کان مجراه أصالة الصحّة؛ بناء علی کونها أصلا مستقلّا</w:t>
      </w:r>
    </w:p>
    <w:p>
      <w:pPr>
        <w:pStyle w:val="BookText"/>
        <w:rPr/>
      </w:pPr>
      <w:r>
        <w:rPr>
          <w:rFonts w:ascii="IRNazanin" w:hAnsi="IRNazanin" w:eastAsia="IRNazanin"/>
          <w:color w:val="111111"/>
          <w:sz w:val="28"/>
          <w:sz w:val="28"/>
          <w:szCs w:val="28"/>
          <w:rtl w:val="true"/>
          <w:lang w:bidi="fa-IR"/>
        </w:rPr>
        <w:t>صحیحا عقلائیّا ممضی عند الشرع، فربّما یشکل الأمر؛ لأجل عدم وجود دلیل لفظیّ ذی إطلاق، و لا بناء من العقلاء فی هذه الموارد؛ لأنّ فهم العقلاء علی حفظ الحکم الواقعیّ و إطلاقه و لزوم الموافقة القطعیّة، فلا تقاس أصالة الصحّة بالقاعدتین الاخریین اللتین یمکن کونهما شرعیّنین، مع قوّة وجود الإطلاق فی أدلّتهما، فعلی هذا یحکم بالاحتیاط حسب الموازین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إطلاق یقتضی عذریّة أصالة الصحّة فی قبال التنجّز الثابت حسب العلم الإجمالیّ، کی یقدّم ذلک الإطلاق علی ذلک الاقتضاء و الإطلاق، الثابت فی دلیل المعلوم إجمالا الإخلال بجزئیّته أو شرطیّته أو مانعیّته، الموجبة لفساد العبادة أو المعاملة و سائر المرکّبات الداخلة فی محطّ البحث، فالمهمّ بالبحث إطلاق أدلّة القاعدتین بناء علی 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الحمل علی الصحّة، ناظرة إلی مقام آخر ظاهرا، و لا أقلّ من عدم انعقاد ظهور لها، و هی فی موقف عدم الحمل علی الفساد، أو علی الأحسن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الصحّة المذکورة تجری فی أفعالنا، بل لا نحتاج إلی الفعل، و لا إلی الفراغ منه، و لذلک یصحّ الاقتداء مع احتمال ترک الإمام رکنا فی الرکعات، أو یجوز استئجار الثقة العالم بالأحکام للصلاة و الحجّ مثلا، و لیس هذا إلّا أصالة الصحّة الراجعة إلی عدم السهو و الخطأ و النسیان، بعد کونه ثقة غیر عامد فی الترک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قاعدة الفراغ، فهی لیست عندنا إلّا أصالة الصحّة العقلائیّة الجاریة فی جمیع المرکّبات، و منها الوضوء الجاریة فیه، و الوارد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لیس إلّا إحیاء الارتکاز، و تجدیدا للعهد، و بیانا للحکمة</w:t>
      </w:r>
    </w:p>
    <w:p>
      <w:pPr>
        <w:pStyle w:val="BookText"/>
        <w:rPr/>
      </w:pPr>
      <w:r>
        <w:rPr>
          <w:rFonts w:ascii="IRNazanin" w:hAnsi="IRNazanin" w:eastAsia="IRNazanin"/>
          <w:color w:val="111111"/>
          <w:sz w:val="28"/>
          <w:sz w:val="28"/>
          <w:szCs w:val="28"/>
          <w:rtl w:val="true"/>
          <w:lang w:bidi="fa-IR"/>
        </w:rPr>
        <w:t>و السرّ، و لیس علّة، و لا قاعدة علی حدة وراء أصالة الصحّة الجاریة فی جمیع المرکّبات التأسیسیّة و الإمضائیّة، و المناقشات حول المسألة تطلب من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جریانها بعد العلم الإجمالیّ بفساد صلاة المغرب أو العشاء من غیر أن یعلم مثلا بالخصوصیّة الموجبة للفساد من الموجبات، کترک الأرکان، أو إیجاد الموانع المورثة للبطلان، فإنّه بمقتضی فهم القوم لا یبعد جریانها فی کلّ واحد منهما، و تعارضهما حسب مبناهم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أنّه بعد العلم بعدم الأذکریّة حین أن یفعل و یتوضّأ أو یصلّی و یتعامل، أو بعد العلم الإجمالیّ، لیس هو أقرب إلی الحقّ، کما فی بعض الروایات </w:t>
      </w:r>
      <w:r>
        <w:rPr>
          <w:rStyle w:val="FootnoteAnchor"/>
          <w:rtl w:val="true"/>
        </w:rPr>
        <w:footnoteReference w:id="907"/>
      </w:r>
      <w:r>
        <w:rPr>
          <w:rFonts w:ascii="IRNazanin" w:hAnsi="IRNazanin" w:eastAsia="IRNazanin"/>
          <w:color w:val="111111"/>
          <w:sz w:val="28"/>
          <w:sz w:val="28"/>
          <w:szCs w:val="28"/>
          <w:rtl w:val="true"/>
          <w:lang w:bidi="fa-IR"/>
        </w:rPr>
        <w:t>، فلا تجری القاعدة حول العلم، و لیست معذّرة بالنسبة إلی التخلّف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لما اشیر إلیه من فهم الأصحاب أوّلا، و من أن قضیّة الأذکریّة و الأقربیّة لیست إلّا توجیه الحکمة، و إرشادا إلی العلّة الناقصة و النکتة، و إحیاء للارتکاز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علّة، فی غیر محلّه؛ لخلوّ الروایة من علائم العلّیة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فی الشبهات البدویّة ربّما لا تکون الأذکریّة، و لا سیّما فی طبقة المشتغلین بالعلم و العمل، فإنّهم کثیرا ما مشغولون فی أثناء وضوئهم بامور اخر من حوائجهم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تحرّر، فجریان قاعدة الفراغ بعد کونها قاعدة مستقلّة مصبّها القضیّة الثلاثیّة، و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غیر ممنوع جدّا، و تصیر النتیجة معذّریتها بالنسبة إلی التخلّف عن الواقع، کما فی موارد معذّریة الإکراه و الاضطرار و العجز بالنسبة إلی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أصحابنا معاشر الاصولیّین التزموا بأنّها قواعد مربوطة بوادی الفراغ و الامتثال، و ناظرة إلی قبول الشرع الناقص مقام الکامل، و إلی البدلیّة</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ممّا لا یعقل؛ ضرورة أنّه لا یمکن التزام الشرع بالجزئیّة و الشرطیّة و المانعیّة المطلقة، و مع هذا الالتزام فی رتبة الجعل یرخّص فی المضیّ و عدم الاعتناء، فإنّه إذن فی المعصیة احتمالا، و تناقض فی نفس المولی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استشکل علیهم فی تجویز الترخیص فی مجموع الأطراف، یتوجّه إلیهم فی هذه الثلاث من القواعد حذوا بحذو، فإذا أمکن ذلک عندنا لأجل ما مرّ من الفعلیّة القانونیّة و الخطابات الکلیّة</w:t>
      </w:r>
      <w:r>
        <w:rPr>
          <w:rStyle w:val="FootnoteAnchor"/>
          <w:rtl w:val="true"/>
        </w:rPr>
        <w:footnoteReference w:id="909"/>
      </w:r>
      <w:r>
        <w:rPr>
          <w:rFonts w:ascii="IRNazanin" w:hAnsi="IRNazanin" w:eastAsia="IRNazanin"/>
          <w:color w:val="111111"/>
          <w:sz w:val="28"/>
          <w:sz w:val="28"/>
          <w:szCs w:val="28"/>
          <w:rtl w:val="true"/>
          <w:lang w:bidi="fa-IR"/>
        </w:rPr>
        <w:t>، یمکن الترخیص فی مجموع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بناؤهم فی الشبهات البدویّة علی انصراف الشرع عن الجزء و الشرط و المانع، فتلک القواعد ترجع إلی مرحلة الجعل و التشریع، و یکشف بها أنّ الشرع تصرّف فی إطلاق الأدلّة الأوّلیة،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التجاوز، فالأظهر أنّها أیضا جاریة حول المعلوم الإجمالیّة، و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الفقیه الیزدیّ فی موضع من فروع الزکاة</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اختصاصها بالمرکّبات الخاصّة؛ لإطلاق بعض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منع جریانها فی أطراف العلم الإجمالیّ ممکن؛ بتوهّم أنّ المناقضة الاعتباریّة تلزم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روایاتها</w:t>
      </w:r>
      <w:r>
        <w:rPr>
          <w:rStyle w:val="FootnoteAnchor"/>
          <w:rtl w:val="true"/>
        </w:rPr>
        <w:footnoteReference w:id="911"/>
      </w:r>
      <w:r>
        <w:rPr>
          <w:rFonts w:ascii="IRNazanin" w:hAnsi="IRNazanin" w:eastAsia="IRNazanin"/>
          <w:color w:val="111111"/>
          <w:sz w:val="28"/>
          <w:sz w:val="28"/>
          <w:szCs w:val="28"/>
          <w:rtl w:val="true"/>
          <w:lang w:bidi="fa-IR"/>
        </w:rPr>
        <w:t>، و من العلم الإجمالیّ بعدم إتیان الرکوع فی إحدی الصلاتین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سلّمنا ذلک عرفا و حسب الفهم العقلائیّ، فهو فی مورد</w:t>
      </w:r>
      <w:bookmarkStart w:id="706" w:name="pg13173_325028"/>
    </w:p>
    <w:p>
      <w:pPr>
        <w:pStyle w:val="BookText"/>
        <w:rPr/>
      </w:pPr>
      <w:bookmarkEnd w:id="706"/>
      <w:r>
        <w:rPr>
          <w:rFonts w:ascii="IRNazanin" w:hAnsi="IRNazanin" w:eastAsia="IRNazanin"/>
          <w:color w:val="111111"/>
          <w:sz w:val="28"/>
          <w:sz w:val="28"/>
          <w:szCs w:val="28"/>
          <w:rtl w:val="true"/>
          <w:lang w:bidi="fa-IR"/>
        </w:rPr>
        <w:t xml:space="preserve">ینطبق بتطبیق واحد هذه القاعدة علی الصلاتین معا و عرضا، و أمّا إذا کان کلّ واحدة من صلاتی المغرب و العشاء، مورد القاعدة حسب الانحلال الحکمیّ، فلا مناقضة إلّا المعارضة العرضیّة التی عرفت حالها فیما سلف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إجمالا بنجاسة أحد الثوبین المعلومة طهارتهما سابقا، ثمّ قامت البیّنة الواحدة علی طهارتهما، فإنّ دلیل اعتبار البیّنة الناظرة إلی الواقع، یناقض المعلوم بالإجمال، و یصیر فی حکم المعلوم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قلنا بانحلال البیّنة إلی الشهادتین حسب تعدّد الموضوعین، و هو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للقائل بالتخییر بعد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جمع و بعض الأعیان من المتأخّرین فی غیر الأمارات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به فیها و فی هذا الفرض أیضا؛ لإمکان التفکیک بین مفاد البیّنة، فیطرح بالنسبة إلی المخالفة القطعیّة لا الاحتمالیّة،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عرفت الحقّ فی المسألة، فلا معارضة رأسا فی أطراف العلم الإجمالیّ حتّی یقال بالتساقط، کما هو مختار الأکثر</w:t>
      </w:r>
      <w:r>
        <w:rPr>
          <w:rStyle w:val="FootnoteAnchor"/>
          <w:rtl w:val="true"/>
        </w:rPr>
        <w:footnoteReference w:id="914"/>
      </w:r>
      <w:r>
        <w:rPr>
          <w:rFonts w:ascii="IRNazanin" w:hAnsi="IRNazanin" w:eastAsia="IRNazanin"/>
          <w:color w:val="111111"/>
          <w:sz w:val="28"/>
          <w:sz w:val="28"/>
          <w:szCs w:val="28"/>
          <w:rtl w:val="true"/>
          <w:lang w:bidi="fa-IR"/>
        </w:rPr>
        <w:t>، أو التخییر</w:t>
      </w:r>
      <w:r>
        <w:rPr>
          <w:rStyle w:val="FootnoteAnchor"/>
          <w:rtl w:val="true"/>
        </w:rPr>
        <w:footnoteReference w:id="915"/>
      </w:r>
      <w:r>
        <w:rPr>
          <w:rFonts w:ascii="IRNazanin" w:hAnsi="IRNazanin" w:eastAsia="IRNazanin"/>
          <w:color w:val="111111"/>
          <w:sz w:val="28"/>
          <w:sz w:val="28"/>
          <w:szCs w:val="28"/>
          <w:rtl w:val="true"/>
          <w:lang w:bidi="fa-IR"/>
        </w:rPr>
        <w:t xml:space="preserve">، أو یتوهّم لأجل المعارضة قصور الأدلّة عن الشمول من الأوّل </w:t>
      </w:r>
      <w:r>
        <w:rPr>
          <w:rStyle w:val="FootnoteAnchor"/>
          <w:rtl w:val="true"/>
        </w:rPr>
        <w:footnoteReference w:id="91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735183_3244359995"/>
      <w:bookmarkStart w:id="708" w:name="_Toc266"/>
      <w:bookmarkEnd w:id="707"/>
      <w:r>
        <w:rPr>
          <w:rtl w:val="true"/>
        </w:rPr>
        <w:t>بقی شی‌ء</w:t>
      </w:r>
      <w:r>
        <w:rPr>
          <w:rtl w:val="true"/>
        </w:rPr>
        <w:t xml:space="preserve">: </w:t>
      </w:r>
      <w:r>
        <w:rPr>
          <w:rtl w:val="true"/>
        </w:rPr>
        <w:t>حول التمسّک بقاعدة التجاوز عند العلم إجمالا بترک الرکوع أو السجدتین بعد المحلّ</w:t>
      </w:r>
      <w:bookmarkEnd w:id="70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فی أثناء الصلاة أنّه ترک الرکوع أو السجدتین، و کان بعد المضیّ من</w:t>
      </w:r>
    </w:p>
    <w:p>
      <w:pPr>
        <w:pStyle w:val="BookText"/>
        <w:rPr/>
      </w:pPr>
      <w:r>
        <w:rPr>
          <w:rFonts w:ascii="IRNazanin" w:hAnsi="IRNazanin" w:eastAsia="IRNazanin"/>
          <w:color w:val="111111"/>
          <w:sz w:val="28"/>
          <w:sz w:val="28"/>
          <w:szCs w:val="28"/>
          <w:rtl w:val="true"/>
          <w:lang w:bidi="fa-IR"/>
        </w:rPr>
        <w:t>المحلّ،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القاعدة بالنسبة إلی کلّ واحد مستقلّا</w:t>
      </w:r>
      <w:r>
        <w:rPr>
          <w:rStyle w:val="FootnoteAnchor"/>
          <w:rtl w:val="true"/>
        </w:rPr>
        <w:footnoteReference w:id="917"/>
      </w:r>
      <w:r>
        <w:rPr>
          <w:rFonts w:ascii="IRNazanin" w:hAnsi="IRNazanin" w:eastAsia="IRNazanin"/>
          <w:color w:val="111111"/>
          <w:sz w:val="28"/>
          <w:sz w:val="28"/>
          <w:szCs w:val="28"/>
          <w:rtl w:val="true"/>
          <w:lang w:bidi="fa-IR"/>
        </w:rPr>
        <w:t>، کما هو کذلک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الأثناء لا تنحلّ القاعدة إلی المصداقین بالنسبة إلی الرکوع و السجدتین، و أنّه یرجع الشکّ فی کلّ واحد منهما إلی الشکّ فی الإتیان بهما، مع العلم بترک واحد منهما، و هو فی حکم العلم التفصیلیّ، کما فی المثال السابق، فلا تجری القاعدة، 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الموازین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منشأه واحد، سواء فیه الأثناء، و الفراغ، و الأفعال، و الصلوات؛ ضرورة أنّه بالنسبة إلی کلّ من الرکوع و السجدتین، شاکّ بشکّ یخصّه، و لأجل ذلک التزموا بجریانها و تعارضها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ثلاث مصادیق للقاعدة، و 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مجموع الرکوع و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المناقضة؛ لعدم انحفاظ مرتبة الحکم الظاهریّ و قواعد الشکّ من جهة العلم الإجمالیّ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القاعدة، و تصیر النتیجة عدم وجوب الاحتیاط؛ لأنّ إطلاق القاعدة عذر بالنسبة إلی کلّ واحد من الطرفین، و العلم الموجود فی البین یوجب انکشاف الحکم الفعلیّ، و هو غیر ممنوع بعد عدم کونه مستتبعا للعقاب؛ لإمکان عدم العقاب مع فعلیّة الحکم و مع العلم التفصیلیّ بالحکم، کما عرفت تحقیقه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بالنسبة إلی السجدتین غیر جاریة؛ لأنّهما إمّا غیر مأتیّ بهما واقعا، أو اتی بهما فی غیر محلّهما؛ و هو قبل الرکوع، فهما باطلان بالمعنی الأعمّ من الترک المطلق</w:t>
      </w:r>
      <w:r>
        <w:rPr>
          <w:rFonts w:eastAsia="IRNazanin" w:cs="IRNazanin"/>
          <w:color w:val="111111"/>
          <w:sz w:val="28"/>
          <w:szCs w:val="28"/>
          <w:rtl w:val="true"/>
          <w:lang w:bidi="fa-IR"/>
        </w:rPr>
        <w:t>.</w:t>
      </w:r>
      <w:bookmarkStart w:id="709" w:name="pg13173_325030"/>
    </w:p>
    <w:p>
      <w:pPr>
        <w:pStyle w:val="BookText"/>
        <w:rPr/>
      </w:pPr>
      <w:bookmarkEnd w:id="70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تفصیلیّ متولّد عن العلم الإجمالیّ، و إذا جرت القاعدة بالنسبة إلی الرکوع، فلازمه وقوع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فیهما القاعدة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محلّهما، و هذا اللازم ثابت بها، و إلّا فیلزم الإشکال فی الشکّ البدویّ،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علم تفصیلا ببطلان السجدتین إلّا لأجل المعارضة و المساقطة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قلنا بالمعارضة و المساقطة، تکون الصلاة باطلة؛ لأجل العلم الإجمالیّ، دون العلم التفصیلیّ من ناحیة السجدتین،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القول بالمعارضة، تکون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قلتات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مفصّلة فی کتب الأصحاب رحمهم اللّه حول التخییر، دون التساقط، و قضیّة بعض الوجوه هو التخییر حتّی فی 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ما سلکناه، فلا تعارض رأسا، و تترتّب علیه الآثار الکثیرة، إلّا أنّ الالتزام بهذا المسلک الذی أبدعناه </w:t>
      </w:r>
      <w:r>
        <w:rPr>
          <w:rStyle w:val="FootnoteAnchor"/>
          <w:rtl w:val="true"/>
        </w:rPr>
        <w:footnoteReference w:id="919"/>
      </w:r>
      <w:r>
        <w:rPr>
          <w:rFonts w:ascii="IRNazanin" w:hAnsi="IRNazanin" w:eastAsia="IRNazanin"/>
          <w:color w:val="111111"/>
          <w:sz w:val="28"/>
          <w:sz w:val="28"/>
          <w:szCs w:val="28"/>
          <w:rtl w:val="true"/>
          <w:lang w:bidi="fa-IR"/>
        </w:rPr>
        <w:t>، مشکل فی الشبهات المحصورة، و فی باب الأمارات و الاصول التی هی مثلها فی کونها معذّرة فی مرحلة الامتثال، أو معذّرة و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الاصول الآتیة بعض الوجوه الاخر ربّما یکون الالتزام أسهل، فتأمّل</w:t>
      </w:r>
      <w:r>
        <w:rPr>
          <w:rFonts w:eastAsia="IRNazanin" w:cs="IRNazanin"/>
          <w:color w:val="111111"/>
          <w:sz w:val="28"/>
          <w:szCs w:val="28"/>
          <w:rtl w:val="true"/>
          <w:lang w:bidi="fa-IR"/>
        </w:rPr>
        <w:t>.</w:t>
      </w:r>
    </w:p>
    <w:p>
      <w:pPr>
        <w:pStyle w:val="Heading6"/>
        <w:numPr>
          <w:ilvl w:val="5"/>
          <w:numId w:val="1"/>
        </w:numPr>
        <w:rPr/>
      </w:pPr>
      <w:bookmarkStart w:id="710" w:name="__RefHeading___Toc735185_3244359995"/>
      <w:bookmarkStart w:id="711" w:name="_Toc267"/>
      <w:bookmarkEnd w:id="710"/>
      <w:r>
        <w:rPr>
          <w:rtl w:val="true"/>
        </w:rPr>
        <w:t>تذییل</w:t>
      </w:r>
      <w:r>
        <w:rPr>
          <w:rtl w:val="true"/>
        </w:rPr>
        <w:t xml:space="preserve">: </w:t>
      </w:r>
      <w:r>
        <w:rPr>
          <w:rtl w:val="true"/>
        </w:rPr>
        <w:t>حول قاعدتی الحلّ و الطهارة، و حدود دلالة أخبارهما</w:t>
      </w:r>
      <w:bookmarkEnd w:id="71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الوجه المشار إلیه؛ من جواز الترخیص فی مجموع الأطراف ثبوتا، و أنّه و إن کان مقتضی العلم الإجمالیّ بالتکلیف القانونیّ و بالحجّة و الدلیل هو وجوب الاحتیاط، و حرمة المخالفة القطعیّة و الاحتمالیّة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الموافقة</w:t>
      </w:r>
    </w:p>
    <w:p>
      <w:pPr>
        <w:pStyle w:val="BookText"/>
        <w:rPr/>
      </w:pPr>
      <w:r>
        <w:rPr>
          <w:rFonts w:ascii="IRNazanin" w:hAnsi="IRNazanin" w:eastAsia="IRNazanin"/>
          <w:color w:val="111111"/>
          <w:sz w:val="28"/>
          <w:sz w:val="28"/>
          <w:szCs w:val="28"/>
          <w:rtl w:val="true"/>
          <w:lang w:bidi="fa-IR"/>
        </w:rPr>
        <w:t>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تبیّن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الوجوه الثلاثة لمنع جریان الاصول المرخّصة، غیر وجیهة، و أنّه یمکن الترخیص حتّی فی موارد العلم التفصیلیّ </w:t>
      </w:r>
      <w:r>
        <w:rPr>
          <w:rStyle w:val="FootnoteAnchor"/>
          <w:rtl w:val="true"/>
        </w:rPr>
        <w:footnoteReference w:id="921"/>
      </w:r>
      <w:r>
        <w:rPr>
          <w:rFonts w:ascii="IRNazanin" w:hAnsi="IRNazanin" w:eastAsia="IRNazanin"/>
          <w:color w:val="111111"/>
          <w:sz w:val="28"/>
          <w:sz w:val="28"/>
          <w:szCs w:val="28"/>
          <w:rtl w:val="true"/>
          <w:lang w:bidi="fa-IR"/>
        </w:rPr>
        <w:t xml:space="preserve">، کما هو ظاهر القوم فی مورد قاعدة الفراغ الملازم للمناقضة، و فی مورد أصالة الصحّة و قاعدة التجاوز، الملازم لاحتمال التناقض، و لاحتمال الإذن فی المعصیة، و تفصیله مذکور فی مبحث الظنّ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بین مانع عن جریان القاعدتین رأسا فی أطراف العلم، و بین من یقول بالتعارض، و هناک قول ضعیف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التخییر العقلیّ المستکشف من إطلاق الأدلّة الواقعیّة و الأدلّة المرخّصة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الحقّ جریانهما؛ و جواز الترخیص فی المجموع، من غیر دخالة فی الحکم الواقعیّ و فعلیّته، خلافا للعلّامة الخراسانیّ قدّس سرّه </w:t>
      </w:r>
      <w:r>
        <w:rPr>
          <w:rStyle w:val="FootnoteAnchor"/>
          <w:rtl w:val="true"/>
        </w:rPr>
        <w:footnoteReference w:id="923"/>
      </w:r>
      <w:r>
        <w:rPr>
          <w:rFonts w:ascii="IRNazanin" w:hAnsi="IRNazanin" w:eastAsia="IRNazanin"/>
          <w:color w:val="111111"/>
          <w:sz w:val="28"/>
          <w:sz w:val="28"/>
          <w:szCs w:val="28"/>
          <w:rtl w:val="true"/>
          <w:lang w:bidi="fa-IR"/>
        </w:rPr>
        <w:t>و بعض آخر</w:t>
      </w:r>
      <w:r>
        <w:rPr>
          <w:rStyle w:val="FootnoteAnchor"/>
          <w:rtl w:val="true"/>
        </w:rPr>
        <w:footnoteReference w:id="924"/>
      </w:r>
      <w:r>
        <w:rPr>
          <w:rFonts w:ascii="IRNazanin" w:hAnsi="IRNazanin" w:eastAsia="IRNazanin"/>
          <w:color w:val="111111"/>
          <w:sz w:val="28"/>
          <w:sz w:val="28"/>
          <w:szCs w:val="28"/>
          <w:rtl w:val="true"/>
          <w:lang w:bidi="fa-IR"/>
        </w:rPr>
        <w:t>، و ذلک یتوقّف علی ذکر محتملات القاعدتین، و بیان ما هو لازم کلّ منها، ثمّ توضیح ما هو الأظهر فیها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ینبغی أن یختفی و إن خفی علی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المفروض هو العلم بالتکلیف الثابت بالحجّة، کما هو المتعارف؛ سواء کان ذلک فی الشبهة الحکمیّة، أو الموضوعیّة، و المهمّ هو الثانی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المفروض إطلاق الأدلّة الواقعیّة</w:t>
      </w:r>
      <w:r>
        <w:rPr>
          <w:rStyle w:val="FootnoteAnchor"/>
          <w:rtl w:val="true"/>
        </w:rPr>
        <w:footnoteReference w:id="925"/>
      </w:r>
      <w:r>
        <w:rPr>
          <w:rFonts w:ascii="IRNazanin" w:hAnsi="IRNazanin" w:eastAsia="IRNazanin"/>
          <w:color w:val="111111"/>
          <w:sz w:val="28"/>
          <w:sz w:val="28"/>
          <w:szCs w:val="28"/>
          <w:rtl w:val="true"/>
          <w:lang w:bidi="fa-IR"/>
        </w:rPr>
        <w:t>فهو غیر صحیح؛ لما یمکن أن یکون لدلیل التکلیف المعلوم بالإجمال إهمال، و کان مورد العلم الإجمالیّ من القدر المتیقّن من ذلک الدلیل،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هنا حول فهم المرام من الأدلّة المرخّصة، و أمّا فرض کونها أدلّة متکفّلة للحکم الظاهریّ قبال الأحکام الواقعیّة، کما هو دأب القوم المتأخّرین، فهو أیضا غیر صحیح؛ لأنّ البحث حول 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فدونک نبذة مهمة من محتملات القاعدتین، و قد مرّ بعض البحث عنهما فی بحوث الإجزاء و بحث الظنّ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هو أنّ العلم التفصیلیّ فی القاعدتین جزء الموضوع، و نتیجة ذلک إنکار الحکم الظاهریّ، و إیراد التقیید بالنسبة إلی الأحکام الواقعیّة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الالتزام به مضافا إلی بعده، یستتبع اختصاص الحکم فی الشبهات الحکمیّة بالعالمین، و هو خلاف مرامهم و إن أمکن ذلک ثبوتا کما مرّ</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جواز ارتکاب المجموع کما هو الواضح، و تصیر النسبة بینهما و بین الأدلّة الواقعیّة عموما و خصوصا مطلقین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المشکوک بما هو مشکوک، فیکون مشکوک النجاسة طاهرا، و مشکوک الحرمة حلالا علی عنوانهما الکلّی </w:t>
      </w:r>
      <w:r>
        <w:rPr>
          <w:rStyle w:val="FootnoteAnchor"/>
          <w:rtl w:val="true"/>
        </w:rPr>
        <w:footnoteReference w:id="929"/>
      </w:r>
      <w:r>
        <w:rPr>
          <w:rFonts w:ascii="IRNazanin" w:hAnsi="IRNazanin" w:eastAsia="IRNazanin"/>
          <w:color w:val="111111"/>
          <w:sz w:val="28"/>
          <w:sz w:val="28"/>
          <w:szCs w:val="28"/>
          <w:rtl w:val="true"/>
          <w:lang w:bidi="fa-IR"/>
        </w:rPr>
        <w:t>، و لازم</w:t>
      </w:r>
    </w:p>
    <w:p>
      <w:pPr>
        <w:pStyle w:val="BookText"/>
        <w:rPr/>
      </w:pPr>
      <w:r>
        <w:rPr>
          <w:rFonts w:ascii="IRNazanin" w:hAnsi="IRNazanin" w:eastAsia="IRNazanin"/>
          <w:color w:val="111111"/>
          <w:sz w:val="28"/>
          <w:sz w:val="28"/>
          <w:szCs w:val="28"/>
          <w:rtl w:val="true"/>
          <w:lang w:bidi="fa-IR"/>
        </w:rPr>
        <w:t>ذلک أنّ النسبة بین الأدلّة الواقعیّة و مفادهما، العموم من وجه، و تصیر النتیجة إنکار الحکم الظاهریّ فی موردهما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یکون کلّ واحد من طرفی العلم موضوعا للقاعدتین، و ما هو المعلوم بالإجمال نجسا و حراما واقعا عند الإصابة، یلزم التزاحم، و تکون الأدلّة القاعدتین مقدّمة علی الأدلّة الواقعیّة، و إلّا یلزم سقوطهما و لغویّتهما الکلّیة؛ لأنّ موضوعهما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موارد الشبهات المهتمّ بها و فی موارد الأدلّة الخاصّة القائمة علی لزوم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الأمر بإهراق الماء و التیمّم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الأدلّة الواقعیّة علیها، و لازمه جواز ارتکاب مجموع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تعارضهما مع الأدلّة الواقعیّة، فی غیر محلّه؛ لظهور کلّ من دلیل الواقع و دلیل القاعدتین فی الملاک فی المجمع،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القاعدتین، کنایة عن تلک الأعیان الخارجیّة المحرّمة و النجسة، دون العناوین الکلّیة، و دون عنوان المشکوک؛ نظرا إلی أنّه لا معنی لجعل الطهارة ثانیا علی ما هو الطاهر، و الحلّیة لما هو الحلال واقعا، فتکون کنایة عمّا هو نجس أو حرام بشبهة موضوعیّة أو حکمیّة، و لا معنی لجعل الطهارة و الحلّیة الواقعیّة لما هو النجس و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المقصود هو الترخیص عملا؛ بعدم الاعتناء بالواقع حال الجهل و الشکّ، و أنّ الشاک فی السعة، و لازم ذلک هو الالتزام بالحکم الظاهریّ، و تصیر النتیجة أنّ النسبة بینهما طولیّة، لا عرضیة، فلا تقدیم و لا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ذهب المتأخّرون إلی منع جریانهما ذاتا، أو تعارضهما بالعرض</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ظاهر القاعدتین هو الجعل و التأسیس، و لیس فیهما کنایة عن النظر إلی الترخیص العملیّ و الجری الخارجیّ، فإنّه خلاف الظاهر جدّا،</w:t>
      </w:r>
      <w:bookmarkStart w:id="712" w:name="pg13173_325034"/>
    </w:p>
    <w:p>
      <w:pPr>
        <w:pStyle w:val="BookText"/>
        <w:rPr/>
      </w:pPr>
      <w:bookmarkEnd w:id="712"/>
      <w:r>
        <w:rPr>
          <w:rFonts w:ascii="IRNazanin" w:hAnsi="IRNazanin" w:eastAsia="IRNazanin"/>
          <w:color w:val="111111"/>
          <w:sz w:val="28"/>
          <w:sz w:val="28"/>
          <w:szCs w:val="28"/>
          <w:rtl w:val="true"/>
          <w:lang w:bidi="fa-IR"/>
        </w:rPr>
        <w:t>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الموضوع لمثل هذه الحلّیة و الطهارة إلّا عنوان المشکوک و مشکوک الخمریّة، الذی یکون بینه و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من وجه </w:t>
      </w:r>
      <w:r>
        <w:rPr>
          <w:rStyle w:val="FootnoteAnchor"/>
          <w:rtl w:val="true"/>
        </w:rPr>
        <w:footnoteReference w:id="931"/>
      </w:r>
      <w:r>
        <w:rPr>
          <w:rFonts w:ascii="IRNazanin" w:hAnsi="IRNazanin" w:eastAsia="IRNazanin"/>
          <w:color w:val="111111"/>
          <w:sz w:val="28"/>
          <w:sz w:val="28"/>
          <w:szCs w:val="28"/>
          <w:rtl w:val="true"/>
          <w:lang w:bidi="fa-IR"/>
        </w:rPr>
        <w:t>، و لا تصیر النتیجة بحسب اللبّ، اختصاص الحرمة بالخمر المعلومة خمریّتها تفصیلا، کما أنّه بحسب الإثبات تتقدّم هذه الأخبار علی الأدلّة الواقعیّة، لا التقیید الظاهریّ کما فی موارد التقیید،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سلّمنا ما أفادوه، فلا یلزم شی‌ء من جریانها فی مجموع الأطراف، إلّا بحسب مبناهم من تحلیل الخطاب القانونیّ إلی الخطابات الشخصیّة، و قد عرفت فساده بما لا مزید علیه فی بحث الضدّ</w:t>
      </w:r>
      <w:r>
        <w:rPr>
          <w:rStyle w:val="FootnoteAnchor"/>
          <w:rtl w:val="true"/>
        </w:rPr>
        <w:footnoteReference w:id="932"/>
      </w:r>
      <w:r>
        <w:rPr>
          <w:rFonts w:ascii="IRNazanin" w:hAnsi="IRNazanin" w:eastAsia="IRNazanin"/>
          <w:color w:val="111111"/>
          <w:sz w:val="28"/>
          <w:sz w:val="28"/>
          <w:szCs w:val="28"/>
          <w:rtl w:val="true"/>
          <w:lang w:bidi="fa-IR"/>
        </w:rPr>
        <w:t>، و من ثمراته جواز ارتکاب المجموع ما دامت مرتبة الحکم الظاهریّ محفوظة؛ ضرورة أنّهما کما مرّ یعدّان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تخیّلوه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بالنسبة إلی التخلّف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إمکان فعلیّة التکلیف مع کون الاضطرار و الإکراه، عذرا فی موارد العلم التفصیلیّ بالتکلیف و مفاد الدلیل، فضلا عن صورة العلم الإجمالیّ </w:t>
      </w:r>
      <w:r>
        <w:rPr>
          <w:rStyle w:val="FootnoteAnchor"/>
          <w:rtl w:val="true"/>
        </w:rPr>
        <w:footnoteReference w:id="933"/>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Heading6"/>
        <w:numPr>
          <w:ilvl w:val="5"/>
          <w:numId w:val="1"/>
        </w:numPr>
        <w:rPr/>
      </w:pPr>
      <w:bookmarkStart w:id="713" w:name="__RefHeading___Toc735187_3244359995"/>
      <w:bookmarkStart w:id="714" w:name="_Toc268"/>
      <w:bookmarkEnd w:id="713"/>
      <w:r>
        <w:rPr>
          <w:rtl w:val="true"/>
        </w:rPr>
        <w:t>تتمیم</w:t>
      </w:r>
      <w:r>
        <w:rPr>
          <w:rtl w:val="true"/>
        </w:rPr>
        <w:t xml:space="preserve">: </w:t>
      </w:r>
      <w:r>
        <w:rPr>
          <w:rtl w:val="true"/>
        </w:rPr>
        <w:t>حول جریان قاعدتی الحل و الطهارة فی أطراف العلم الإجمالیّ</w:t>
      </w:r>
      <w:bookmarkEnd w:id="7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دعوی عدم جریان القاعدتین فی الأطراف؛ لأجل المناقضة بین إطلاقی الصدر و الذیل، فإنّ إطلاق الصدر یشمل الأطراف، و إطلاق الذیل یشمل العلم الإجمالیّ، و لا مرجّح کی یتعیّن إطلاق الصدر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المنصرف من الغایة هو التفصیلیّ، و المذکور فی قاعدة الحلّ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الاختصاص و یعلم منه الحکم فی القاعدة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الوجهین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القاعدتین هو الکنایة عن الأفراد الخارجیّة، فتکون الغایة مسانخة مع الشکّ المتعلّق بالخاصّ؛ و هو العلم التفصیلیّ، لا الإجمالیّ، فهو وجه قریب، إلّا أنّ لازم ذلک جعل الطهارة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بسببیّة الشکّ و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کان قیدا یلزم الإشکال السابق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کلمة المعرفة فی الغایة، أیضا یوجب ظهور قاعدة الحلّ فی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سرایته إلی الثانیة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اللتیّا و التی، لا قصور فی شمولها للأطراف حسب فهم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ثبوت قاعدة الحلّ إشکالا؛ فإنّ الروایات المشتملة علی هذه القاعدة بکثرتها، ظاهرة فی الأجناس أو الأنواع المشتملة علی المحرّم و المحلّل، کاللحوم و أمثالها، و فی شمولها للمائعات إشکال و إن لا یبعد، أو الجامدات، فیکون شاملا لجمیع الأطراف، و بالنسبة إلی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لازمه کون القید المذکور فیها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موثّقة مسعدة</w:t>
      </w:r>
      <w:r>
        <w:rPr>
          <w:rStyle w:val="FootnoteAnchor"/>
          <w:rtl w:val="true"/>
        </w:rPr>
        <w:footnoteReference w:id="937"/>
      </w:r>
      <w:r>
        <w:rPr>
          <w:rFonts w:ascii="IRNazanin" w:hAnsi="IRNazanin" w:eastAsia="IRNazanin"/>
          <w:color w:val="111111"/>
          <w:sz w:val="28"/>
          <w:sz w:val="28"/>
          <w:szCs w:val="28"/>
          <w:rtl w:val="true"/>
          <w:lang w:bidi="fa-IR"/>
        </w:rPr>
        <w:t>، فهی صدرا وجیهة الدلالة کما مرّ</w:t>
      </w:r>
      <w:r>
        <w:rPr>
          <w:rStyle w:val="FootnoteAnchor"/>
          <w:rtl w:val="true"/>
        </w:rPr>
        <w:footnoteReference w:id="938"/>
      </w:r>
      <w:r>
        <w:rPr>
          <w:rFonts w:ascii="IRNazanin" w:hAnsi="IRNazanin" w:eastAsia="IRNazanin"/>
          <w:color w:val="111111"/>
          <w:sz w:val="28"/>
          <w:sz w:val="28"/>
          <w:szCs w:val="28"/>
          <w:rtl w:val="true"/>
          <w:lang w:bidi="fa-IR"/>
        </w:rPr>
        <w:t>، إلّا أنّها سندا عندی محلّ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الانجبار یکفی لو کانت عملیّة، و هی غیر</w:t>
      </w:r>
      <w:bookmarkStart w:id="715" w:name="pg13173_325036"/>
    </w:p>
    <w:p>
      <w:pPr>
        <w:pStyle w:val="BookText"/>
        <w:rPr/>
      </w:pPr>
      <w:bookmarkEnd w:id="715"/>
      <w:r>
        <w:rPr>
          <w:rFonts w:ascii="IRNazanin" w:hAnsi="IRNazanin" w:eastAsia="IRNazanin"/>
          <w:color w:val="111111"/>
          <w:sz w:val="28"/>
          <w:sz w:val="28"/>
          <w:szCs w:val="28"/>
          <w:rtl w:val="true"/>
          <w:lang w:bidi="fa-IR"/>
        </w:rPr>
        <w:t>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تقدیر لا نحتاج إلیها بعد جریان حدیث الرفع،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الطهارة، فجریانها فی الشبهات الحکمیّة غیر ظاهر؛ لکونها وردت فی محیط یمکن تحقّق الغایة فیه، و فی الشبهات الحکمیّة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إمکان تحقّق الغایة فی الجملة؛ لإطلاق الصدر، فتدبّر</w:t>
      </w:r>
      <w:r>
        <w:rPr>
          <w:rFonts w:eastAsia="IRNazanin" w:cs="IRNazanin"/>
          <w:color w:val="111111"/>
          <w:sz w:val="28"/>
          <w:szCs w:val="28"/>
          <w:rtl w:val="true"/>
          <w:lang w:bidi="fa-IR"/>
        </w:rPr>
        <w:t>.</w:t>
      </w:r>
    </w:p>
    <w:p>
      <w:pPr>
        <w:pStyle w:val="Heading6"/>
        <w:numPr>
          <w:ilvl w:val="5"/>
          <w:numId w:val="1"/>
        </w:numPr>
        <w:rPr/>
      </w:pPr>
      <w:bookmarkStart w:id="716" w:name="__RefHeading___Toc735189_3244359995"/>
      <w:bookmarkStart w:id="717" w:name="_Toc269"/>
      <w:bookmarkEnd w:id="716"/>
      <w:r>
        <w:rPr>
          <w:rtl w:val="true"/>
        </w:rPr>
        <w:t>بقی شی‌ء</w:t>
      </w:r>
      <w:bookmarkEnd w:id="717"/>
    </w:p>
    <w:p>
      <w:pPr>
        <w:pStyle w:val="BookText"/>
        <w:rPr/>
      </w:pPr>
      <w:r>
        <w:rPr>
          <w:rFonts w:ascii="IRNazanin" w:hAnsi="IRNazanin" w:eastAsia="IRNazanin"/>
          <w:color w:val="111111"/>
          <w:sz w:val="28"/>
          <w:sz w:val="28"/>
          <w:szCs w:val="28"/>
          <w:rtl w:val="true"/>
          <w:lang w:bidi="fa-IR"/>
        </w:rPr>
        <w:t>قضیّة الاحتمال الأوّل و الثانی طهارة الملاقی، و هذا ممّا لا یکاد یلتزم به أحد؛ ضرورة أنّه بعد رفع الشکّ إذا کان لاقاه یجب الاجتناب عن الملاقی، و هذا یشهد علی سرایة النجاسة إلی الملاقی، فیعلم منه فساد الاحتمالین، دون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الوجه الأوّل غیر بعید، و أمّا علی الاحتمال الثانی فممنوع؛ لأنّ تقدیم دلیل القاعدة علی دلیل الواقع، بحسب الأهمیّة و التسهیل علی الامّة، و أمّا اللغویّة فلا تستلزم سرایة القید إلی دلیل الواقع إثباتا، بل و لا ثبوتا کما تحرّر، فالبول المشکوک ما دام مشکوکا طاهر، و نجس؛ لانطباق العنوانین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البولیّة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الأخذ بطهارته لأجل الأهمیّة لا ینافی نجاسته، کما فی سائر موارد الأهمّ و المهمّ، فإذا تبیّن أنّه بول و قد لاقاه شی‌ء، یکون الملاقی نجسا؛ لإطلاق أدلّة الملاقاة مع النجس </w:t>
      </w:r>
      <w:r>
        <w:rPr>
          <w:rStyle w:val="FootnoteAnchor"/>
          <w:rtl w:val="true"/>
        </w:rPr>
        <w:footnoteReference w:id="939"/>
      </w:r>
      <w:r>
        <w:rPr>
          <w:rFonts w:ascii="IRNazanin" w:hAnsi="IRNazanin" w:eastAsia="IRNazanin"/>
          <w:color w:val="111111"/>
          <w:sz w:val="28"/>
          <w:sz w:val="28"/>
          <w:szCs w:val="28"/>
          <w:rtl w:val="true"/>
          <w:lang w:bidi="fa-IR"/>
        </w:rPr>
        <w:t>، الأعمّ من کونه معلوما أو مشکوکا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ترد قاعدة الطهارة حسب الألفاظ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الوارد فی المیاه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أنّه قذر</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و فی الأعمّ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نظیف حتّی تعلم أنّه قذر، فإذا علمت فقد قذر </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الاحتمال الأظهر دخالة العلم بالجزئیّة،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و لکنّه غیر قابل للتصدیق به، فیکون العلم طریقا إلی ما هو القذر، کما هو کذلک فی جمیع الموارد إلّا فی مواقع قیام القرینة الخاصّة</w:t>
      </w:r>
      <w:r>
        <w:rPr>
          <w:rFonts w:eastAsia="IRNazanin" w:cs="IRNazanin"/>
          <w:color w:val="111111"/>
          <w:sz w:val="28"/>
          <w:szCs w:val="28"/>
          <w:rtl w:val="true"/>
          <w:lang w:bidi="fa-IR"/>
        </w:rPr>
        <w:t>.</w:t>
      </w:r>
      <w:bookmarkStart w:id="718" w:name="pg13173_325038"/>
    </w:p>
    <w:p>
      <w:pPr>
        <w:pStyle w:val="Heading5"/>
        <w:numPr>
          <w:ilvl w:val="4"/>
          <w:numId w:val="1"/>
        </w:numPr>
        <w:rPr/>
      </w:pPr>
      <w:bookmarkStart w:id="719" w:name="__RefHeading___Toc735191_3244359995"/>
      <w:bookmarkStart w:id="720" w:name="_Toc270"/>
      <w:bookmarkEnd w:id="718"/>
      <w:bookmarkEnd w:id="719"/>
      <w:r>
        <w:rPr>
          <w:rtl w:val="true"/>
        </w:rPr>
        <w:t>تذنیبات و تنبیهات</w:t>
      </w:r>
      <w:bookmarkEnd w:id="720"/>
    </w:p>
    <w:p>
      <w:pPr>
        <w:pStyle w:val="Heading6"/>
        <w:numPr>
          <w:ilvl w:val="5"/>
          <w:numId w:val="1"/>
        </w:numPr>
        <w:rPr/>
      </w:pPr>
      <w:bookmarkStart w:id="721" w:name="__RefHeading___Toc735193_3244359995"/>
      <w:bookmarkStart w:id="722" w:name="_Toc271"/>
      <w:bookmarkEnd w:id="721"/>
      <w:r>
        <w:rPr>
          <w:rtl w:val="true"/>
        </w:rPr>
        <w:t>التنبیه الأوّل حول جریان الاصول فی أطراف العلم الإجمالی</w:t>
      </w:r>
      <w:bookmarkEnd w:id="722"/>
    </w:p>
    <w:p>
      <w:pPr>
        <w:pStyle w:val="Heading6"/>
        <w:numPr>
          <w:ilvl w:val="5"/>
          <w:numId w:val="1"/>
        </w:numPr>
        <w:rPr/>
      </w:pPr>
      <w:bookmarkStart w:id="723" w:name="__RefHeading___Toc735195_3244359995"/>
      <w:bookmarkStart w:id="724" w:name="_Toc272"/>
      <w:bookmarkEnd w:id="723"/>
      <w:r>
        <w:rPr>
          <w:rtl w:val="true"/>
        </w:rPr>
        <w:t>اشارة</w:t>
      </w:r>
      <w:bookmarkEnd w:id="724"/>
    </w:p>
    <w:p>
      <w:pPr>
        <w:pStyle w:val="BookText"/>
        <w:rPr/>
      </w:pPr>
      <w:r>
        <w:rPr>
          <w:rFonts w:ascii="IRNazanin" w:hAnsi="IRNazanin" w:eastAsia="IRNazanin"/>
          <w:color w:val="111111"/>
          <w:sz w:val="28"/>
          <w:sz w:val="28"/>
          <w:szCs w:val="28"/>
          <w:rtl w:val="true"/>
          <w:lang w:bidi="fa-IR"/>
        </w:rPr>
        <w:t>عرفت منّا جواز الاقتحام فی جمیع الأطراف صناعة فی موارد العلم الإجمالیّ بالإطلاق و العموم، المنطبق علی الموضوع المعلوم إجمالا، دون موارد العلم بالتکلیف و الإرادة الواقعیّة</w:t>
      </w:r>
      <w:r>
        <w:rPr>
          <w:rStyle w:val="FootnoteAnchor"/>
          <w:rtl w:val="true"/>
        </w:rPr>
        <w:footnoteReference w:id="943"/>
      </w:r>
      <w:r>
        <w:rPr>
          <w:rFonts w:ascii="IRNazanin" w:hAnsi="IRNazanin" w:eastAsia="IRNazanin"/>
          <w:color w:val="111111"/>
          <w:sz w:val="28"/>
          <w:sz w:val="28"/>
          <w:szCs w:val="28"/>
          <w:rtl w:val="true"/>
          <w:lang w:bidi="fa-IR"/>
        </w:rPr>
        <w:t>، و علی هذا لو أبیت عن ذلک، فلا غبار فی صورة جریان الأصل فی أحد الأطراف؛ علی وجه لا یلزم منه المخالفة العملیّة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مقتضی الصناعة هو الاحتیاط أیضا، خلافا لما اشتهر بینهم </w:t>
      </w:r>
      <w:r>
        <w:rPr>
          <w:rStyle w:val="FootnoteAnchor"/>
          <w:rtl w:val="true"/>
        </w:rPr>
        <w:footnoteReference w:id="944"/>
      </w:r>
      <w:r>
        <w:rPr>
          <w:rFonts w:ascii="IRNazanin" w:hAnsi="IRNazanin" w:eastAsia="IRNazanin"/>
          <w:color w:val="111111"/>
          <w:sz w:val="28"/>
          <w:sz w:val="28"/>
          <w:szCs w:val="28"/>
          <w:rtl w:val="true"/>
          <w:lang w:bidi="fa-IR"/>
        </w:rPr>
        <w:t xml:space="preserve">، و وفاقا لبعضهم فی بعض الفروض </w:t>
      </w:r>
      <w:r>
        <w:rPr>
          <w:rStyle w:val="FootnoteAnchor"/>
          <w:rtl w:val="true"/>
        </w:rPr>
        <w:footnoteReference w:id="945"/>
      </w:r>
      <w:r>
        <w:rPr>
          <w:rFonts w:ascii="IRNazanin" w:hAnsi="IRNazanin" w:eastAsia="IRNazanin"/>
          <w:color w:val="111111"/>
          <w:sz w:val="28"/>
          <w:sz w:val="28"/>
          <w:szCs w:val="28"/>
          <w:rtl w:val="true"/>
          <w:lang w:bidi="fa-IR"/>
        </w:rPr>
        <w:t>و ذلک لأنّ الأصل الجاری فی أحد الأطراف، لا یحرز به أنّه هو المعلوم، و لا ینحلّ به العلم الإجمالیّ؛ ضرورة أنّه لو کان الطرف الآخر مورد التکلیف الواقعیّ، یکون باقیا علی واقعیّته، و لا یتغیّر عمّا هو علیه، و لا یرفع المولی یده عنه، و لا تنصرف إرادته منه، و إلّا فیلزم التصرّف فی الواقع، فیکون لازمه احتمال المناقضة، و هو فی حدّ المناقضة بالضرورة، و قد مرّ شطر من</w:t>
      </w:r>
    </w:p>
    <w:p>
      <w:pPr>
        <w:pStyle w:val="BookText"/>
        <w:rPr/>
      </w:pPr>
      <w:r>
        <w:rPr>
          <w:rFonts w:ascii="IRNazanin" w:hAnsi="IRNazanin" w:eastAsia="IRNazanin"/>
          <w:color w:val="111111"/>
          <w:sz w:val="28"/>
          <w:sz w:val="28"/>
          <w:szCs w:val="28"/>
          <w:rtl w:val="true"/>
          <w:lang w:bidi="fa-IR"/>
        </w:rPr>
        <w:t>البحث حوله سابقا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فالأمر یدور بین کون الأصل مؤمّنا فی الطرفین، أو غیر مؤمّن علی الإطلاق، سواء فیه الاستصحاب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ما ینحلّ به العلم الإجمالیّ، کالأمارة القائمة علی وجه توجب انحلاله حقیقة فهو، و إلّا فالانحلال الحکمیّ ممّا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أنّه لا یکون مؤمّنا فی الطرفین بعد تنجیز الواقع؛ للزوم المناقضة، قد مرّ فسادها، و لا حظت أنّه ربّما یکون التکلیف فعلیّا، و الاضطرار عذرا، و هکذا الإکراه و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مثلهما فی التعذیر، و عرفت أنّ سرّه قانونیّة التکالیف و الخطابات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منجّز مادام لم یکن مؤمّن شرعیّ، و یستتبع استحقاق العقاب عند عدم وجود المؤمّن، و فی موارد المعارضة لا مؤمّن، و فی غیر هذه الصور لا تنجّز؛ لوجود المؤمّن، و هو معنی کونه مقتضیا فغیر تامّ؛ لأنّ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الطبع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ینجّز من غیر اشتراطه بشی‌ء بعد وجود الحکم الفعلیّ؛ و مفروضیّة العلم الإجمالیّ به، و إنّما للشرع اعتبار المؤمّن و المعذّر فی جمیع الصور، من غیر أن یلزم منه محذور کما مرّ</w:t>
      </w:r>
      <w:r>
        <w:rPr>
          <w:rStyle w:val="FootnoteAnchor"/>
          <w:rtl w:val="true"/>
        </w:rPr>
        <w:footnoteReference w:id="948"/>
      </w:r>
      <w:r>
        <w:rPr>
          <w:rFonts w:ascii="IRNazanin" w:hAnsi="IRNazanin" w:eastAsia="IRNazanin"/>
          <w:color w:val="111111"/>
          <w:sz w:val="28"/>
          <w:sz w:val="28"/>
          <w:szCs w:val="28"/>
          <w:rtl w:val="true"/>
          <w:lang w:bidi="fa-IR"/>
        </w:rPr>
        <w:t xml:space="preserve">، و ذلک نظیر ما إذا ورد علی جواز الاقتحام فی جمیع الأطراف، کما فی الشبهات غیر المحصورة مثلا، فإنّه لو ارتکب جمیع الأطراف تدریجا یکون معذورا، مع أنّ التکلیف فعلیّ کما یأتی تفصیله </w:t>
      </w:r>
      <w:r>
        <w:rPr>
          <w:rStyle w:val="FootnoteAnchor"/>
          <w:rtl w:val="true"/>
        </w:rPr>
        <w:footnoteReference w:id="949"/>
      </w:r>
      <w:r>
        <w:rPr>
          <w:rFonts w:ascii="IRNazanin" w:hAnsi="IRNazanin" w:eastAsia="IRNazanin"/>
          <w:color w:val="111111"/>
          <w:sz w:val="28"/>
          <w:sz w:val="28"/>
          <w:szCs w:val="28"/>
          <w:rtl w:val="true"/>
          <w:lang w:bidi="fa-IR"/>
        </w:rPr>
        <w:t>، و العقل ینجّز جمیع الأطراف بلا 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المحصورة و غیر المحصورة</w:t>
      </w:r>
      <w:r>
        <w:rPr>
          <w:rFonts w:eastAsia="IRNazanin" w:cs="IRNazanin"/>
          <w:color w:val="111111"/>
          <w:sz w:val="28"/>
          <w:szCs w:val="28"/>
          <w:rtl w:val="true"/>
          <w:lang w:bidi="fa-IR"/>
        </w:rPr>
        <w:t>.</w:t>
      </w:r>
      <w:bookmarkStart w:id="725" w:name="pg13173_325040"/>
    </w:p>
    <w:p>
      <w:pPr>
        <w:pStyle w:val="BookText"/>
        <w:rPr/>
      </w:pPr>
      <w:bookmarkEnd w:id="725"/>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ورود النصّ الخاصّ، نلتزم بجواز الاقتحام فی الأطراف من غیر قصور فی ناحیة فعلیّة التکلیف القانونیّ، و لو کان شرط تنجیز العلم عدم وجود المؤمّن لیلزم الاقتحام فی جمیع الأطراف؛ لوجوده بالنسبة إلی کلّ طرف، فلا یتنجّز التکلیف و لو کان معلوما بالعلم الإجمالیّ، و هو خلف کما لا یخفی</w:t>
      </w:r>
      <w:r>
        <w:rPr>
          <w:rFonts w:eastAsia="IRNazanin" w:cs="IRNazanin"/>
          <w:color w:val="111111"/>
          <w:sz w:val="28"/>
          <w:szCs w:val="28"/>
          <w:rtl w:val="true"/>
          <w:lang w:bidi="fa-IR"/>
        </w:rPr>
        <w:t>.</w:t>
      </w:r>
    </w:p>
    <w:p>
      <w:pPr>
        <w:pStyle w:val="Heading6"/>
        <w:numPr>
          <w:ilvl w:val="5"/>
          <w:numId w:val="1"/>
        </w:numPr>
        <w:rPr/>
      </w:pPr>
      <w:bookmarkStart w:id="726" w:name="__RefHeading___Toc735197_3244359995"/>
      <w:bookmarkStart w:id="727" w:name="_Toc273"/>
      <w:bookmarkEnd w:id="726"/>
      <w:r>
        <w:rPr>
          <w:rtl w:val="true"/>
        </w:rPr>
        <w:t>فذلکة الموقف</w:t>
      </w:r>
      <w:bookmarkEnd w:id="727"/>
    </w:p>
    <w:p>
      <w:pPr>
        <w:pStyle w:val="BookText"/>
        <w:rPr/>
      </w:pPr>
      <w:r>
        <w:rPr>
          <w:rFonts w:ascii="IRNazanin" w:hAnsi="IRNazanin" w:eastAsia="IRNazanin"/>
          <w:color w:val="111111"/>
          <w:sz w:val="28"/>
          <w:sz w:val="28"/>
          <w:szCs w:val="28"/>
          <w:rtl w:val="true"/>
          <w:lang w:bidi="fa-IR"/>
        </w:rPr>
        <w:t>فذلکة الکلام فی المقام علی وجه یشمل جمیع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بینهم جواز إجراء الاصول فی أطراف العلم الإجمالیّ؛ بشرط أن لا یلزم المخالفة القطعیّة و العملیّة، و أمّا فی صورة کون الأصول متوافقة الموافقة مع المعلوم و الاحتیاط، فلا منع من جریانها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حرمة أحد الإناءین، و کان یعلم حرمتهما السابقة، فإنّه یجری الاستصحابان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العلم بحرمة أحدهما المعیّن، یجری الاستصحاب و البراءة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یعلم بحالهما، أو علم بحلّیتهما، فإمّا لا یجریان، أو یسقطان؛ للزوم المخالفة العملیّة القطعیّة، فیکونان متعارضین بالعرض، غیر قابلین للاعتذار و التأمین بالنسبة إلی العقاب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غیر فرق بین کون الأصلین الجاریین المتعارضین، من قبیل الاصول غیر التنزیلیّة، أو التنزیلیّة، أو یکون واحد من القسم الأوّل، و الآخر من القسم الثانی؛ فإنّ فی المعارضة بالعرض، لا یکون الاستصحاب حاکما علی البراءة، و فی المثال المذکور یعارض استصحاب حلّیة أحد الإناءین، البراءة عن حرمة الإناء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صورة کون أحدهما الأمارة، و الآخر أصلا، فلو علم نجاسة أحد الإناءین، فقامت الأمارة علی طهارة أحد الإناءین، تقع المعارضة بالعرض بینها و بین قاعدة الطهارة الجاریة فی الطرف الآخر؛ و ذلک لما مرّ من عدم الدلالة الالتزامیّة لمثل هذه الأمارة بالنسبة إلی نفی النجاسة عن الإناء الآخر</w:t>
      </w:r>
      <w:r>
        <w:rPr>
          <w:rStyle w:val="FootnoteAnchor"/>
          <w:rtl w:val="true"/>
        </w:rPr>
        <w:footnoteReference w:id="950"/>
      </w:r>
      <w:r>
        <w:rPr>
          <w:rFonts w:ascii="IRNazanin" w:hAnsi="IRNazanin" w:eastAsia="IRNazanin"/>
          <w:color w:val="111111"/>
          <w:sz w:val="28"/>
          <w:sz w:val="28"/>
          <w:szCs w:val="28"/>
          <w:rtl w:val="true"/>
          <w:lang w:bidi="fa-IR"/>
        </w:rPr>
        <w:t xml:space="preserve">، و سیظهر تحقیقه آنفا إن شاء اللّه تعالی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جواز جریان الأصل فی الأطراف؛ بشرط عدم لزوم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المنع عن الجریان مطلقا بعد الغضّ عمّا سلکناه؛ و أنّ الأمر یدور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الجریان مطلقا کما عرفت، أو عدم الجریان علی الإطلاق، و لا سبیل إلی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کلام العلّامة الأراکیّ رحمه اللّه التفصیل بین الأمارات و الاصول، فتجری الأمارة القائمة علی النفی فی أحد الطرفین، بخلاف الأصل النافی غیر المعارض بالأصل الآخر، فإنّه لا یجری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فی کلام العلّامة النائینیّ، منع جریان خصوص الاستصحابین و لو کانا متوافقین مع الاحتیاط؛ و لا یلزم من جریانه المخالفة العملیّة</w:t>
      </w:r>
      <w:r>
        <w:rPr>
          <w:rStyle w:val="FootnoteAnchor"/>
          <w:rtl w:val="true"/>
        </w:rPr>
        <w:footnoteReference w:id="953"/>
      </w:r>
      <w:r>
        <w:rPr>
          <w:rFonts w:ascii="IRNazanin" w:hAnsi="IRNazanin" w:eastAsia="IRNazanin"/>
          <w:color w:val="111111"/>
          <w:sz w:val="28"/>
          <w:sz w:val="28"/>
          <w:szCs w:val="28"/>
          <w:rtl w:val="true"/>
          <w:lang w:bidi="fa-IR"/>
        </w:rPr>
        <w:t xml:space="preserve">، و قد مرّ شطر من البحث حول مقالته </w:t>
      </w:r>
      <w:r>
        <w:rPr>
          <w:rStyle w:val="FootnoteAnchor"/>
          <w:rtl w:val="true"/>
        </w:rPr>
        <w:footnoteReference w:id="954"/>
      </w:r>
      <w:r>
        <w:rPr>
          <w:rFonts w:ascii="IRNazanin" w:hAnsi="IRNazanin" w:eastAsia="IRNazanin"/>
          <w:color w:val="111111"/>
          <w:sz w:val="28"/>
          <w:sz w:val="28"/>
          <w:szCs w:val="28"/>
          <w:rtl w:val="true"/>
          <w:lang w:bidi="fa-IR"/>
        </w:rPr>
        <w:t>، فلا نعید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هو الفحص عن وجه القول بجریان الأصل فی صورة عدم لزوم المخالفة العملیّة، مع أنّ مقتضی العلم الإجمالیّ تنجیز الواقع؛ و استحقاق العقوبة علی</w:t>
      </w:r>
      <w:bookmarkStart w:id="728" w:name="pg13173_325042"/>
    </w:p>
    <w:p>
      <w:pPr>
        <w:pStyle w:val="BookText"/>
        <w:rPr/>
      </w:pPr>
      <w:bookmarkEnd w:id="728"/>
      <w:r>
        <w:rPr>
          <w:rFonts w:ascii="IRNazanin" w:hAnsi="IRNazanin" w:eastAsia="IRNazanin"/>
          <w:color w:val="111111"/>
          <w:sz w:val="28"/>
          <w:sz w:val="28"/>
          <w:szCs w:val="28"/>
          <w:rtl w:val="true"/>
          <w:lang w:bidi="fa-IR"/>
        </w:rPr>
        <w:t>کلّ طرف عند الإصابة، فلو کان مقتضی الاستصحاب حرمة أحد الإناءین، کیف یجرون أصالة البراءة و الحلّ فی الطرف الآخر، مع أنّه کان لو أصاب لاستحقّ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أسوأ حالا ممّا إذا تلف أحد الإناءین، فإنّهم یحتاطون فی الطرف الآخر</w:t>
      </w:r>
      <w:r>
        <w:rPr>
          <w:rStyle w:val="FootnoteAnchor"/>
          <w:rtl w:val="true"/>
        </w:rPr>
        <w:footnoteReference w:id="955"/>
      </w:r>
      <w:r>
        <w:rPr>
          <w:rFonts w:ascii="IRNazanin" w:hAnsi="IRNazanin" w:eastAsia="IRNazanin"/>
          <w:color w:val="111111"/>
          <w:sz w:val="28"/>
          <w:sz w:val="28"/>
          <w:szCs w:val="28"/>
          <w:rtl w:val="true"/>
          <w:lang w:bidi="fa-IR"/>
        </w:rPr>
        <w:t>، ناظرین إلی أنّه سیبقی أثر العلم و تنجیزه فی الطرف و لو لم یکن علم، فلا تجری قاعدة الترخیص و التوسعة</w:t>
      </w:r>
      <w:r>
        <w:rPr>
          <w:rFonts w:eastAsia="IRNazanin" w:cs="IRNazanin"/>
          <w:color w:val="111111"/>
          <w:sz w:val="28"/>
          <w:szCs w:val="28"/>
          <w:rtl w:val="true"/>
          <w:lang w:bidi="fa-IR"/>
        </w:rPr>
        <w:t>.</w:t>
      </w:r>
    </w:p>
    <w:p>
      <w:pPr>
        <w:pStyle w:val="Heading6"/>
        <w:numPr>
          <w:ilvl w:val="5"/>
          <w:numId w:val="1"/>
        </w:numPr>
        <w:rPr/>
      </w:pPr>
      <w:bookmarkStart w:id="729" w:name="__RefHeading___Toc735199_3244359995"/>
      <w:bookmarkStart w:id="730" w:name="_Toc274"/>
      <w:bookmarkEnd w:id="729"/>
      <w:r>
        <w:rPr>
          <w:rtl w:val="true"/>
        </w:rPr>
        <w:t>وجوه الترخیص فی بعض الأطراف دون بعض</w:t>
      </w:r>
      <w:bookmarkEnd w:id="730"/>
    </w:p>
    <w:p>
      <w:pPr>
        <w:pStyle w:val="BookText"/>
        <w:rPr/>
      </w:pPr>
      <w:r>
        <w:rPr>
          <w:rFonts w:ascii="IRNazanin" w:hAnsi="IRNazanin" w:eastAsia="IRNazanin"/>
          <w:color w:val="111111"/>
          <w:sz w:val="28"/>
          <w:sz w:val="28"/>
          <w:szCs w:val="28"/>
          <w:rtl w:val="true"/>
          <w:lang w:bidi="fa-IR"/>
        </w:rPr>
        <w:t>و لأجل ذلک ربّما یتشبّث بوجوه من التقریب المذکور علی غیر نظام صحیح فی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جواز إجراء الأصل فی الطرف الآخر علی الإطلاق؛ إذا کان فی الطرف أصل موافق للاحتیاط، أو أمارة تقتضی حرمة الإناء المعیّن؛ إذا لم یکن لازمها حلّیة الإناء الآخر، و إلّا فلا حاجة إلی الأصل الآخر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ما هو الموجب للاحتیاط؛ هو احتمال التکلیف، و فی أطراف العلم الإجمالیّ، لا یزید العلم شیئا علی ما یقتضی الاحتمال المذکور الموجود طبعا أیضا فی کلّ طرف، و إنّما فی الشبهات البدویّة یکون المؤمّن من العقاب، موجودا عقلا و شرعا، و فی أطراف العلم الإجمالیّ یتعارض المؤمّنان و المعذّران من العقاب؛ للضرورة القطعیّة علی صحّة العقوبة علی الاقتحام فی الطرفین، فخاصّة العلم الإجمالیّ هی تلک، دون الاحتیاط و التنجیز، فإذا کان فی أحد الطرفین أمارة أو أصل موافق للمعلوم بالإجمال، و مثبت للتکلیف، فالأصل الآخر المؤمّن جار بلا معارض،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التکلیف و لو کان یوجب الاحتیاط مع قطع النظر عن 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العقلائیّة، و الشرعیّة، و لکن لا یقتضی استحقاق العقوبة، بخلاف العلم الإجمالیّ فإنّه یورث الاستحقاق، فإذن فی موارد العلم الإجمالیّ یختلف درک العقل، و یزید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مجرّد المعارضة مانعا من جریان المؤمّن، یلزم جریانه فی المثال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صورة تلف أحد الإناءین، فإنّ الطرف الآخر غیر معارض أصله بالأصل الآخر النافی، مع أنّهم یقولون بالاحتیاط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لمعارضة المؤمّنین إلّا بلحاظ التکلیف المعلوم؛ و أنّ الترخیص فی الطرفین یناقضه، و هذا فی الطرف الواحد أیضا مثله؛ ضرورة أنّ احتمال المناقضة موجود فی الطرف الواحد، و هو بحکم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 طرف احتمال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رتبة الحکم الظاهریّ فی کلّ طرف محفوظة، و ما هو غیر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بالحکم 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مجری الأصل؛ لما لا یجری الأصل فی المعلوم المجهول، بل الأصل یجری فی کلّ طرف بخصوصه، فإذا جاز فی أحدهما جاز فی الکلّ، و إلّا فلا یجوز علی الإطلاق،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الواقعیّ، محفوظا فی صورة الإصابة فی أحد الطرفین، فهو محفوظ فی الطرفین؛ لأنّ الطرف الآخر غیر المصاب، لا یحتاج إلی الأصل المرخّص واقعا، و إنّما هو مجرّد تخیّل، فلا تخلط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الترخیص فی المجموع مناقضة عرفیّة، و الإذن فی بعض الأطراف دون بعض لیس من التناقض العرفیّ، فإذا کان أحد الأصلین مثبتا، و الآخر نافیا، یتّبع الأصل النافی، و نتیجة ذلک هو جریان</w:t>
      </w:r>
    </w:p>
    <w:p>
      <w:pPr>
        <w:pStyle w:val="BookText"/>
        <w:rPr/>
      </w:pPr>
      <w:r>
        <w:rPr>
          <w:rFonts w:ascii="IRNazanin" w:hAnsi="IRNazanin" w:eastAsia="IRNazanin"/>
          <w:color w:val="111111"/>
          <w:sz w:val="28"/>
          <w:sz w:val="28"/>
          <w:szCs w:val="28"/>
          <w:rtl w:val="true"/>
          <w:lang w:bidi="fa-IR"/>
        </w:rPr>
        <w:t xml:space="preserve">الاصول؛ ما لم یلزم منه المخالفة العملیّة للمعلوم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المفروض فی محلّ النزاع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کما فصّله فی أوائل البحث </w:t>
      </w:r>
      <w:r>
        <w:rPr>
          <w:rStyle w:val="FootnoteAnchor"/>
          <w:rtl w:val="true"/>
        </w:rPr>
        <w:footnoteReference w:id="957"/>
      </w:r>
      <w:r>
        <w:rPr>
          <w:rFonts w:ascii="IRNazanin" w:hAnsi="IRNazanin" w:eastAsia="IRNazanin"/>
          <w:color w:val="111111"/>
          <w:sz w:val="28"/>
          <w:sz w:val="28"/>
          <w:szCs w:val="28"/>
          <w:rtl w:val="true"/>
          <w:lang w:bidi="fa-IR"/>
        </w:rPr>
        <w:t>، فلازم ذلک جریان الاصول فی مجموع الأطراف، و یستکشف به أنّ الشرع انصرف عمّا أراده حسب ظاهر الحجّة الإجمالیّة، و لا یکون بعد ذلک مناقضة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الحکم فعلیّا کما هو التحقیق، و لا ینصرف المولی عمّا یریده، فلازمه المناقضة العقلیّة فی صورة الترخیص فی المجموع، و هکذا فی صورة الترخیص فی بعض الأطراف؛ لأنّ احتمال المناقضة بحکم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لو کان شخصیّا فالمناقضة عقلیّة، و لو کان قانونیّا فلا تناقض عقلا،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ما أفاده فی هذه المسألة بعد ما حرّر مصبّ النزاع إلی ما أفهمه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آنفا أنّ تنجیز العلم الإجمالیّ بالنسبة إلی الطرف الجاری فیه الأصل النافی، یورث الإشکال المشترک فیه الأصلان الجاریان النافیان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مسلکه جریان الأصل النافی فی صورة انعدام أحد الأطراف، أو الإکراه و الاضطرار إلی خصوص طرف؛ لعدم المناقضة العرفیّة، مع أنّه و غیره غیر راضین بجریانه، کما أشرنا إلیه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الانحلال الحقیقیّ أو الحکمیّ، ففیما إذا تبیّن بعد العلم بحرمة شرب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المحرّم هو الإناء الشرقیّ، فلا منع بعد ذلک، و لا حاجة إلی المؤمّن و المعذّر؛ إذا کان العلم الإجمالیّ علی سبیل القضیّة المنفصلة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علی سبیل منع الخلوّ، فاحتمال الزیادة یوجب الاحتیاج إلی المؤمّن، فیکون الطرف الآخر مجری الأصل؛ لانحلال العلم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الانحلال الحکمیّ؛ بأن تقوم البیّنة مثلا علی أنّ الإناء الشرقیّ محرّم، فظاهر کلماتهم حجّیة لازمها؛ و هو عدم حرمة الإناء الآخر، فیلزم الانحلال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قامت البیّنة علی أنّ الإناء الشرقیّ غیر محرّم، فإنّ لازمه حرمة الإناء الآخر، فیجوز اتّباع البیّنة فی جمیع مفادها المطابقیّ و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إذا قامت قاعدتا الفراغ و التجاوز فی أحد الأطراف، دون الطرف الآخر؛ لکونه فی المحلّ، فإنّه یجوز عدم الاعتناء بالعلم بعد کون مقتضی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إتیان الجزء المشکوک و هو فی محلّه الشکّی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استصحاب حرمة الإناء الشرقیّ، فإنّه عندئذ تجری قاعدة الحلّ فی الإناء الغربیّ؛ لأنّ المعلوم بالإجمال بلا لون، فینحل قهرا العلم الإجمالیّ، و تجری القاعدة؛ لعدم حجّیة مثبت الأصل، و احتمال العقوبة فی هذا الطرف، کالاحتمال بعد ذلک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مورد أمکن انحلال المعلوم بالإجمال المنجّز قبله، تجری القاعدة و الأصل النافی، و لا یلزم منه المخالفة العملیّة، و المخالفة الاحتمالیّة بعد ذلک تشبه المخالفة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الإجمالیّ بالتکلیف فی الشبهات الحکمیّة الوجوبیّة أو التحریمیّة أو الموضوعیّة، فمطلقا لا ینحلّ بمثل قاعدة الحلّ و ما یشبهها، کما لا یخفی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هنا صورة قیام البیّنة و الأمارة علی حدوث الحرمة فی الإناء الشرقیّ مثلا بعد العلم بالنجاسة؛ حتّی لا یقال بعدم تنجیز العلم المزبور، فالمفروض صورة القدر المتیقّن من تنجیز العلم الإجمالیّ و قیام الأمارة علی الوجه المحرّر فإنّه فی مثلها یجوز الأخذ بمفادها، فضلا عن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یوجب الانحلال، العقل بتعیّن الاحتیاط فی الطرف الشرقیّ، و ذلک فیما إذا کان یحتمل کونه من الشبهات المهتمّ بها،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کلمات القوم من فرض بعض الصور التی لا ینحلّ فیها العلم، بل یکشف عدم تنجیزه </w:t>
      </w:r>
      <w:r>
        <w:rPr>
          <w:rStyle w:val="FootnoteAnchor"/>
          <w:rtl w:val="true"/>
        </w:rPr>
        <w:footnoteReference w:id="958"/>
      </w:r>
      <w:r>
        <w:rPr>
          <w:rFonts w:ascii="IRNazanin" w:hAnsi="IRNazanin" w:eastAsia="IRNazanin"/>
          <w:color w:val="111111"/>
          <w:sz w:val="28"/>
          <w:sz w:val="28"/>
          <w:szCs w:val="28"/>
          <w:rtl w:val="true"/>
          <w:lang w:bidi="fa-IR"/>
        </w:rPr>
        <w:t>، فإنّه فی غیر محلّه؛ لأنّ البحث حول إمکان الترخیص فی الإناء الغربیّ بعد کون العلم منجّزا بالنسبة إلیه، و صار منحلّا بعد التأثیر،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رجوع مقالة الشیخ رحمه اللّه بالبدلیّة</w:t>
      </w:r>
      <w:r>
        <w:rPr>
          <w:rStyle w:val="FootnoteAnchor"/>
          <w:rtl w:val="true"/>
        </w:rPr>
        <w:footnoteReference w:id="959"/>
      </w:r>
      <w:r>
        <w:rPr>
          <w:rFonts w:ascii="IRNazanin" w:hAnsi="IRNazanin" w:eastAsia="IRNazanin"/>
          <w:color w:val="111111"/>
          <w:sz w:val="28"/>
          <w:sz w:val="28"/>
          <w:szCs w:val="28"/>
          <w:rtl w:val="true"/>
          <w:lang w:bidi="fa-IR"/>
        </w:rPr>
        <w:t>إلی الانحلال المذکور؛ ضرورة قصور الأدلّة فی بابی الأمارات و الاصول عن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کیف لا یعقل ترخیصه فی الإناء الغربیّ المشکوک کونه مورد المعلوم السابق، مع أنّه رخّص فی موارد قاعدتی التجاوز و الفراغ، بعدم الاعتناء بالمعلوم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إلّا من باب بدلیّة الناقص عن الکامل، و قبول الفاقد عن الواجد، فالبدلیّة فی کلامه قدّس سرّه ناشئة عن هذه المسألة ممّا لا یکون هناک انحلال للعلم الإجمالیّ، و لا علم إجمالیّ فی البین،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هذا التقریب بعدما أوضحناه، أحسن التقاریب لترخیص أحد الأطراف و لو کان العلم الإجمالیّ علّة تامّة للتنجیز؛ لأنّ الانحلال یورث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نذر ترک الإناء الشرقیّ، أو نهی عن شربه والده، یلزم الانحلال، بل هو أولی بالانحلال من صورة حکم العقل بالاحتیاط فی الطرف الشرقیّ؛ لکونه من الشبهات المهتمّ بها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حکم العقل لا وجه للانحلال؛ لأنّ حکم العقل بالاحتیاط،</w:t>
      </w:r>
    </w:p>
    <w:p>
      <w:pPr>
        <w:pStyle w:val="BookText"/>
        <w:rPr/>
      </w:pPr>
      <w:r>
        <w:rPr>
          <w:rFonts w:ascii="IRNazanin" w:hAnsi="IRNazanin" w:eastAsia="IRNazanin"/>
          <w:color w:val="111111"/>
          <w:sz w:val="28"/>
          <w:sz w:val="28"/>
          <w:szCs w:val="28"/>
          <w:rtl w:val="true"/>
          <w:lang w:bidi="fa-IR"/>
        </w:rPr>
        <w:t>لیس له الکشف عن کون المعلوم بالإجمال فی الإناء الشرقیّ، و لا لسان له حتّی یدلّ علی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الأمارة القائمة علی أنّ الإناء الشرقیّ هو المحرّم، و کان المعلوم بالإجمال أیضا حرمة أحد الإناءین، فهو یوجب الانحلال مثلا، و أمّا إذا قامت البیّنة علی أنّ الإناء الشرقیّ بول، فلا ینحلّ؛ ضرورة أنّ المعلوم بالإجمال و إن لم یکن له اللون فی مرحلة التنجیز، و لکنّه له إمکان خصوصیّة غیر منطبقة علی ما قامت علیه البیّنة ثبوتا، و هذا یمنع عن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یقول الشیخ بالبدلیّة الادعائیّة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الإناء الشرقیّ عن المعلوم بالإجمال، فلا یرجع کلامه إلی الانحلال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کانت القضیّة المعلومة بالإجمال منفصلة حقیقیّة، لا نحتاج بعد الانحلال إلی الأصل النافی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باب الطرق و الأمارات، لیس شیئا وراء الارتضاء بما عند العقلاء من التعذیر و التنجیز، و قضیّة إتمام الکشف و تأدیة المؤدّی منزلة الواقع، ممّا لا أساس لها، فلیس فی المقام دلیل علی الادعاء المذکور، و لا دلیل علی أنّ المعلوم بالإجمال هو ما قامت علیه البیّنة، و الانحلال القهریّ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مجرّد وجود البیّنة علی الطرف الشرقیّ کافیا، کان تلفه أیضا مثله، و لا یقولون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 أولی؛ للانحلال الحقیقیّ بمعنی انعدام العلم الإجمالیّ ذاتا و حقیقة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الوجه للاحتیاط فی الطرف الغربیّ بعد تلف الطرف الشرقیّ، بعینه یقتضی الاحتیاط فی صورة قیام الاستصحاب، فإنّه لیس مفاده إلّا الجری العملیّ و البناء فی مرحلة العمل،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فی صورة قیام الأمارة؛ لما عرفت</w:t>
      </w:r>
      <w:r>
        <w:rPr>
          <w:rFonts w:eastAsia="IRNazanin" w:cs="IRNazanin"/>
          <w:color w:val="111111"/>
          <w:sz w:val="28"/>
          <w:szCs w:val="28"/>
          <w:rtl w:val="true"/>
          <w:lang w:bidi="fa-IR"/>
        </w:rPr>
        <w:t>.</w:t>
      </w:r>
      <w:bookmarkStart w:id="731" w:name="pg13173_325048"/>
    </w:p>
    <w:p>
      <w:pPr>
        <w:pStyle w:val="BookText"/>
        <w:rPr/>
      </w:pPr>
      <w:bookmarkEnd w:id="731"/>
      <w:r>
        <w:rPr>
          <w:rFonts w:ascii="IRNazanin" w:hAnsi="IRNazanin" w:eastAsia="IRNazanin"/>
          <w:color w:val="111111"/>
          <w:sz w:val="28"/>
          <w:sz w:val="28"/>
          <w:szCs w:val="28"/>
          <w:rtl w:val="true"/>
          <w:lang w:bidi="fa-IR"/>
        </w:rPr>
        <w:t xml:space="preserve">نعم، لو کان مفاد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المعلوم هو فی الطرف الشرقیّ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الانحلال حکمیّا، و لازمه التعذیر لو خالف الواقع، و نتیجة ذلک عدم الحاجة إلی الأصل النافی فی الطرف الغربیّ فی صورة کون القضیّة منفصلة حقیقیّة، بل لو کانت بنحو مانعة الخلوّ نحتاج إلیه بالنسبة إلی الاحتمال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فی موارد قاعدة التجاوز و الفراغ و قاعدة لا تعاد، لا یعقل التزام المولی جدّا بالجزئیّة و الشرطیّة، و مع ذلک یکتفی بالناقص بدلا عن الکامل، و هذا ممّا لا یمکن حلّه إلّا علی القول بالخطابات القانونیّة، و هو یورث جواز الاقتحام هنا فی مجموع الأطراف، فاغتنم</w:t>
      </w:r>
      <w:r>
        <w:rPr>
          <w:rFonts w:eastAsia="IRNazanin" w:cs="IRNazanin"/>
          <w:color w:val="111111"/>
          <w:sz w:val="28"/>
          <w:szCs w:val="28"/>
          <w:rtl w:val="true"/>
          <w:lang w:bidi="fa-IR"/>
        </w:rPr>
        <w:t>.</w:t>
      </w:r>
    </w:p>
    <w:p>
      <w:pPr>
        <w:pStyle w:val="Heading6"/>
        <w:numPr>
          <w:ilvl w:val="5"/>
          <w:numId w:val="1"/>
        </w:numPr>
        <w:rPr/>
      </w:pPr>
      <w:bookmarkStart w:id="732" w:name="__RefHeading___Toc735201_3244359995"/>
      <w:bookmarkStart w:id="733" w:name="_Toc275"/>
      <w:bookmarkEnd w:id="732"/>
      <w:r>
        <w:rPr>
          <w:rtl w:val="true"/>
        </w:rPr>
        <w:t>بقی شی‌ء</w:t>
      </w:r>
      <w:r>
        <w:rPr>
          <w:rtl w:val="true"/>
        </w:rPr>
        <w:t xml:space="preserve">: </w:t>
      </w:r>
      <w:r>
        <w:rPr>
          <w:rtl w:val="true"/>
        </w:rPr>
        <w:t>فی تحدید محل جریان الأصل فی بعض الأطراف</w:t>
      </w:r>
      <w:bookmarkEnd w:id="733"/>
    </w:p>
    <w:p>
      <w:pPr>
        <w:pStyle w:val="BookText"/>
        <w:rPr/>
      </w:pPr>
      <w:r>
        <w:rPr>
          <w:rFonts w:ascii="IRNazanin" w:hAnsi="IRNazanin" w:eastAsia="IRNazanin"/>
          <w:color w:val="111111"/>
          <w:sz w:val="28"/>
          <w:sz w:val="28"/>
          <w:szCs w:val="28"/>
          <w:rtl w:val="true"/>
          <w:lang w:bidi="fa-IR"/>
        </w:rPr>
        <w:t>ما ذکرناه هو صورة حدوث التکلیف بعد العلم الإجمالیّ؛ بأن قامت الأمارة أو الأصل علی وجه یوجب تنجّز مفاده بعد ما تنجّز بالعلم، إلّا أنّه لأجل عدم کون المعلوم بالإجمال معلوم الخصوصیّة، یحتمل انطباقه علی ما تنجّز بالأمارة، فیکون الإناء الشرقیّ فی مرحلة البقاء، متنجّزا بالأمارة أو الاستصحاب أو العقل و لو کان فی مرحلة الحدوث بلا أثر، فإذا کان العلم منحلّا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تخیّلوه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جریان الأصل النافی فی الإناء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وجه النظر فیما أفاده العلّامة النائینیّ رحمه اللّه </w:t>
      </w:r>
      <w:r>
        <w:rPr>
          <w:rStyle w:val="FootnoteAnchor"/>
          <w:rtl w:val="true"/>
        </w:rPr>
        <w:footnoteReference w:id="960"/>
      </w:r>
      <w:r>
        <w:rPr>
          <w:rFonts w:ascii="IRNazanin" w:hAnsi="IRNazanin" w:eastAsia="IRNazanin"/>
          <w:color w:val="111111"/>
          <w:sz w:val="28"/>
          <w:sz w:val="28"/>
          <w:szCs w:val="28"/>
          <w:rtl w:val="true"/>
          <w:lang w:bidi="fa-IR"/>
        </w:rPr>
        <w:t xml:space="preserve">و غیره </w:t>
      </w:r>
      <w:r>
        <w:rPr>
          <w:rStyle w:val="FootnoteAnchor"/>
          <w:rtl w:val="true"/>
        </w:rPr>
        <w:footnoteReference w:id="961"/>
      </w:r>
      <w:r>
        <w:rPr>
          <w:rFonts w:ascii="IRNazanin" w:hAnsi="IRNazanin" w:eastAsia="IRNazanin"/>
          <w:color w:val="111111"/>
          <w:sz w:val="28"/>
          <w:sz w:val="28"/>
          <w:szCs w:val="28"/>
          <w:rtl w:val="true"/>
          <w:lang w:bidi="fa-IR"/>
        </w:rPr>
        <w:t>من التفصیل بین الصور، مع خروجه عن شأن المسألة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حول صورة تنجیز التکلیف بالعلم الإجمالیّ، ثمّ قیام</w:t>
      </w:r>
      <w:bookmarkStart w:id="734" w:name="pg13173_325049"/>
    </w:p>
    <w:p>
      <w:pPr>
        <w:pStyle w:val="BookText"/>
        <w:rPr/>
      </w:pPr>
      <w:bookmarkEnd w:id="734"/>
      <w:r>
        <w:rPr>
          <w:rFonts w:ascii="IRNazanin" w:hAnsi="IRNazanin" w:eastAsia="IRNazanin"/>
          <w:color w:val="111111"/>
          <w:sz w:val="28"/>
          <w:sz w:val="28"/>
          <w:szCs w:val="28"/>
          <w:rtl w:val="true"/>
          <w:lang w:bidi="fa-IR"/>
        </w:rPr>
        <w:t>الأمارة و الحجّة و الأصل و العقل علی الطرف الخاصّ؛ علی وجه یستند التنجیز بقاء إلیه، و قد عرفت أنّه لا وجه لجریان الأصل النافی فی الإناء الغربیّ، و یکون الأثر باقیا و لو قلنا بالانحلال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الانحلال الحکمیّ غیر صحیح إلّا بأن یتعبّد الشرع بأنّ ما هو المعلوم بالإجمال، موجود فی الإناء الشرقیّ، و مثله مفقود فی الأدلّة</w:t>
      </w:r>
      <w:r>
        <w:rPr>
          <w:rFonts w:eastAsia="IRNazanin" w:cs="IRNazanin"/>
          <w:color w:val="111111"/>
          <w:sz w:val="28"/>
          <w:szCs w:val="28"/>
          <w:rtl w:val="true"/>
          <w:lang w:bidi="fa-IR"/>
        </w:rPr>
        <w:t>.</w:t>
      </w:r>
    </w:p>
    <w:p>
      <w:pPr>
        <w:pStyle w:val="Heading6"/>
        <w:numPr>
          <w:ilvl w:val="5"/>
          <w:numId w:val="1"/>
        </w:numPr>
        <w:rPr/>
      </w:pPr>
      <w:bookmarkStart w:id="735" w:name="__RefHeading___Toc735203_3244359995"/>
      <w:bookmarkStart w:id="736" w:name="_Toc276"/>
      <w:bookmarkEnd w:id="735"/>
      <w:r>
        <w:rPr>
          <w:rtl w:val="true"/>
        </w:rPr>
        <w:t>تنبیه</w:t>
      </w:r>
      <w:r>
        <w:rPr>
          <w:rtl w:val="true"/>
        </w:rPr>
        <w:t xml:space="preserve">: </w:t>
      </w:r>
      <w:r>
        <w:rPr>
          <w:rtl w:val="true"/>
        </w:rPr>
        <w:t>حول استدلال المحقّق العراقی علی منع جریان الأصل النافی للتکلیف</w:t>
      </w:r>
      <w:bookmarkEnd w:id="736"/>
    </w:p>
    <w:p>
      <w:pPr>
        <w:pStyle w:val="BookText"/>
        <w:rPr/>
      </w:pPr>
      <w:r>
        <w:rPr>
          <w:rFonts w:ascii="IRNazanin" w:hAnsi="IRNazanin" w:eastAsia="IRNazanin"/>
          <w:color w:val="111111"/>
          <w:sz w:val="28"/>
          <w:sz w:val="28"/>
          <w:szCs w:val="28"/>
          <w:rtl w:val="true"/>
          <w:lang w:bidi="fa-IR"/>
        </w:rPr>
        <w:t>قد استدلّ العلّامة العراقیّ لمنع جریان الأصل النافی فی الإناء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القول بعلّیة العلم الإجمالیّ ذلک، دون القول بالاقتضاء</w:t>
      </w:r>
      <w:r>
        <w:rPr>
          <w:rStyle w:val="FootnoteAnchor"/>
          <w:rtl w:val="true"/>
        </w:rPr>
        <w:footnoteReference w:id="962"/>
      </w:r>
      <w:r>
        <w:rPr>
          <w:rFonts w:ascii="IRNazanin" w:hAnsi="IRNazanin" w:eastAsia="IRNazanin"/>
          <w:color w:val="111111"/>
          <w:sz w:val="28"/>
          <w:sz w:val="28"/>
          <w:szCs w:val="28"/>
          <w:rtl w:val="true"/>
          <w:lang w:bidi="fa-IR"/>
        </w:rPr>
        <w:t xml:space="preserve">، و قد عرفت فساد هذا التفصیل مطلقا؛ و أنّ العلم الإجمالیّ لیس له شی‌ء إلّا تنجیز الواقع، و الواقع یمکن أن یکون محفوظا علی فعلیّته؛ و لو کان الأصل النافی جاریا فی مجموع الأطراف، فضلا عن الطرف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المهمّ قصور الوجوه الثلاثة المذکورة عن تجویز جریان الأصل النافی، و إلّا فقد عرفت إمکان الانحلال التعبّدی، فلیلاحظ جیّدا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تشبّث بمثال لمسلکه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العلم الإجمالیّ بنجاسة أحد الإناءین المسبوق أحدهما بالعلم التفصیلیّ بالطهارة، معارضة الاستصحاب فی الإناء الشرقیّ للقاعدة فی الغربیّ، و سقوطهما، و جریان القاعدة فی الإناء الشرقیّ بلا معارض، و هذا ممّا لا یلتزم به أحد، فیعلم منه أنّ العلم الإجمالیّ المنجّز یمنع عن الجریان علی الإطلاق؛ سواء حصلت المعارضة، أم لا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 الاستصحاب علی القاعدة فی الإناء الشرقیّ، لا یورث کون المعارضة منحصرة به و بالقاعدة فی الطرف، بل القاعدة فی الطرف تعارض الاستصحاب الحاکم علی مصداق آخر منها، و بعد ذلک یوجد مصداق آخر منها یعارض المصداق من القاعدة فی الإناء الشرقیّ، و هذا هو مقتضی انحلال القاعدة حسب الآثار و الموارد علی الأفراد و الأزمان، و هذا هو حلّ مشکلته، لا ما فی کلام بعض آخر</w:t>
      </w:r>
      <w:r>
        <w:rPr>
          <w:rStyle w:val="FootnoteAnchor"/>
          <w:rtl w:val="true"/>
        </w:rPr>
        <w:footnoteReference w:id="965"/>
      </w:r>
      <w:r>
        <w:rPr>
          <w:rFonts w:ascii="Amiri" w:hAnsi="Amiri" w:eastAsia="Amiri" w:cs="Amiri"/>
          <w:color w:val="111111"/>
          <w:sz w:val="28"/>
          <w:sz w:val="28"/>
          <w:szCs w:val="28"/>
          <w:rtl w:val="true"/>
          <w:lang w:bidi="ar-SA"/>
        </w:rPr>
        <w:t>، فلیتدبّر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مصداقا من الاستصحاب أیضا جار فی الطرف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القضایا باعتبار الأثر، و لا أثر هنا، و لذلک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تجری الاصول فی الأطراف؛ نظرا إلی أنّ المعارضة و السقوط، لیست من الآثار الموجبة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الطرف موضوع القاعدة لا یکفی للانحلال؛ لأنّه لا بدّ و أن یکون الانحلال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المعارضة کافیة للانحلال، فینحلّ مفاد القاعدة فی الطرف الغربیّ، دون الاستصحاب؛ لسقوطه، و لا یستمرّ الانحلال و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استمرّ دائما فلا تصل النوبة إلی القاعدة فی الناحیة الشرقیّة، فلیلاحظ جیّدا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ما فی کلام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توهّم حصر حکومة الاستصحاب علی القاعدة فی صورة الشکّ السببیّ و المسبّبی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حکومة السببیّ علی المسبّبی مطلقا ممنوعة، بل غیر معقولة فی الموارد الجزئیّة، و التفصیل فی محلّه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737" w:name="pg13173_325051"/>
    </w:p>
    <w:p>
      <w:pPr>
        <w:pStyle w:val="BookText"/>
        <w:rPr/>
      </w:pPr>
      <w:bookmarkEnd w:id="737"/>
      <w:r>
        <w:rPr>
          <w:rFonts w:ascii="IRNazanin" w:hAnsi="IRNazanin" w:eastAsia="IRNazanin"/>
          <w:color w:val="111111"/>
          <w:sz w:val="28"/>
          <w:sz w:val="28"/>
          <w:szCs w:val="28"/>
          <w:rtl w:val="true"/>
          <w:lang w:bidi="fa-IR"/>
        </w:rPr>
        <w:t>فعلی هذا، لا تجری القاعدة فی الإناء الشرقیّ ما دام الاستصحاب موجودا، فلا یلزم التعبّد بالطهارتین فی مورد واحد عرضا، و لا معارضة القاعدة فی الغربیّ لهما عرضا</w:t>
      </w:r>
      <w:r>
        <w:rPr>
          <w:rFonts w:eastAsia="IRNazanin" w:cs="IRNazanin"/>
          <w:color w:val="111111"/>
          <w:sz w:val="28"/>
          <w:szCs w:val="28"/>
          <w:rtl w:val="true"/>
          <w:lang w:bidi="fa-IR"/>
        </w:rPr>
        <w:t>.</w:t>
      </w:r>
    </w:p>
    <w:p>
      <w:pPr>
        <w:pStyle w:val="Heading6"/>
        <w:numPr>
          <w:ilvl w:val="5"/>
          <w:numId w:val="1"/>
        </w:numPr>
        <w:rPr/>
      </w:pPr>
      <w:bookmarkStart w:id="738" w:name="__RefHeading___Toc735205_3244359995"/>
      <w:bookmarkStart w:id="739" w:name="_Toc277"/>
      <w:bookmarkEnd w:id="738"/>
      <w:r>
        <w:rPr>
          <w:rtl w:val="true"/>
        </w:rPr>
        <w:t>التنبیه الثانی فی إمکان الالتزام بالتخییر العقلیّ أو الشرعیّ فی المعلوم بالإجمال</w:t>
      </w:r>
      <w:bookmarkEnd w:id="739"/>
    </w:p>
    <w:p>
      <w:pPr>
        <w:pStyle w:val="Heading6"/>
        <w:numPr>
          <w:ilvl w:val="5"/>
          <w:numId w:val="1"/>
        </w:numPr>
        <w:rPr/>
      </w:pPr>
      <w:bookmarkStart w:id="740" w:name="__RefHeading___Toc735207_3244359995"/>
      <w:bookmarkStart w:id="741" w:name="_Toc278"/>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و ذلک لأنّ وجه الاحتیاط بعد العلم الإجمالیّ و جریان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بمفادها مناقضة، و إذن فی المعصیة، و لغو فی الخطاب الواقعیّ، و الالتزام بالأصل المعیّن فی الإناء الشرقیّ مثلا،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بأس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أحدهما مرخّص فیه، دون المجموع؛ لأنّ تمام الإشکال ناشئ من التقریب المشار إلیه</w:t>
      </w:r>
      <w:r>
        <w:rPr>
          <w:rFonts w:eastAsia="IRNazanin" w:cs="IRNazanin"/>
          <w:color w:val="111111"/>
          <w:sz w:val="28"/>
          <w:szCs w:val="28"/>
          <w:rtl w:val="true"/>
          <w:lang w:bidi="fa-IR"/>
        </w:rPr>
        <w:t>.</w:t>
      </w:r>
    </w:p>
    <w:p>
      <w:pPr>
        <w:pStyle w:val="Heading6"/>
        <w:numPr>
          <w:ilvl w:val="5"/>
          <w:numId w:val="1"/>
        </w:numPr>
        <w:rPr/>
      </w:pPr>
      <w:bookmarkStart w:id="742" w:name="__RefHeading___Toc735209_3244359995"/>
      <w:bookmarkStart w:id="743" w:name="_Toc279"/>
      <w:bookmarkEnd w:id="742"/>
      <w:r>
        <w:rPr>
          <w:rtl w:val="true"/>
        </w:rPr>
        <w:t>و هم و دفع</w:t>
      </w:r>
      <w:bookmarkEnd w:id="743"/>
    </w:p>
    <w:p>
      <w:pPr>
        <w:pStyle w:val="BookText"/>
        <w:rPr/>
      </w:pPr>
      <w:r>
        <w:rPr>
          <w:rFonts w:ascii="IRNazanin" w:hAnsi="IRNazanin" w:eastAsia="IRNazanin"/>
          <w:color w:val="111111"/>
          <w:sz w:val="28"/>
          <w:sz w:val="28"/>
          <w:szCs w:val="28"/>
          <w:rtl w:val="true"/>
          <w:lang w:bidi="fa-IR"/>
        </w:rPr>
        <w:t>إنّ التخییر غیر معقول ثبوتا؛ و ذلک لسقوط العلم الإجمالیّ عن التأثیر، فیلزم الخلف، و تصیر النتیجة جریان الأصل فی الطرف الآخر؛ و ذلک لأنّ العلم الإجمالیّ بالتکلیف المحتمل انطباقه علی الطرف المرخّص فیه، لا ینجّز بالنسبة إلی ذلک الطرف، و هذا یکفی لجریان الأصل فی الطرف الآخر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مقدّم علی جریان الأصل النافی، فی غیر محلّه؛ لأنّ بمجرّد</w:t>
      </w:r>
    </w:p>
    <w:p>
      <w:pPr>
        <w:pStyle w:val="BookText"/>
        <w:rPr/>
      </w:pPr>
      <w:r>
        <w:rPr>
          <w:rFonts w:ascii="IRNazanin" w:hAnsi="IRNazanin" w:eastAsia="IRNazanin"/>
          <w:color w:val="111111"/>
          <w:sz w:val="28"/>
          <w:sz w:val="28"/>
          <w:szCs w:val="28"/>
          <w:rtl w:val="true"/>
          <w:lang w:bidi="fa-IR"/>
        </w:rPr>
        <w:t>العلم الإجمالیّ یکون کلّ إناء، موضوعا للقاعدة؛ بعینه، و لا بعینه، و لا بعینه، فتسقط بالنسبة إلی المعیّن مثلا، دون ما لا یکون معیّنا کما یأتی، فعلی هذا لا یعقل الترخیص؛ للزوم جواز الجمع بینهما، و هو من الإذن فی المعصیة کما مرّ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کون أحد الإناءین مرخّصا فیه، لا یمنع عن تأثیر العلم، و إلّا یلزم ذلک فی صورة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یجب علیه أداء دین، أو الحجّ، مع أنّه لا یکون عنده ما یکفیه إلّا لأحدهما، فإنّ الموافقة القطعیّة غیر ممکنة، و مع ذلک المخالفة القطعیّة أیضا ممنوعة عندهم؛ لتأثیر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الإناء المرخّص فیه قد یکون معلوما معیّنا، فربّما هو یمنع عن تأثیر العلم و لو کان طروّ الاضطرار أو جریان القاعدة، فی عرض حدوث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غیر معیّن، فلا منع عن تأثیر العلم؛ لوجود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کلّ واحد بالخصوص، تصحّ العقوبة إذا 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جائز ثبوتا، و لذلک نجد جواز أن یدلّ نصّ علی ذلک، فإنّه نجد وجوب الموافقة الاحتمالیّة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من العلّامة الأصفهانیّ رحمه اللّه الامتناع </w:t>
      </w:r>
      <w:r>
        <w:rPr>
          <w:rStyle w:val="FootnoteAnchor"/>
          <w:rtl w:val="true"/>
        </w:rPr>
        <w:footnoteReference w:id="969"/>
      </w:r>
      <w:r>
        <w:rPr>
          <w:rFonts w:ascii="IRNazanin" w:hAnsi="IRNazanin" w:eastAsia="IRNazanin"/>
          <w:color w:val="111111"/>
          <w:sz w:val="28"/>
          <w:sz w:val="28"/>
          <w:szCs w:val="28"/>
          <w:rtl w:val="true"/>
          <w:lang w:bidi="fa-IR"/>
        </w:rPr>
        <w:t xml:space="preserve">نظرا إلی أنّ العقاب الشرعیّ أو العقلیّ، لا یعقل علی الإطلاق مع احتمال الانطباق؛ بناء علی أنّ الترخیص فی المجموع کما یمتنع، الترخیص فی واحد معیّن و غیر معیّن أیضا ممتنع، کما هو أیضا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لأعمّیة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احتمال المناقضة فی حکم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یزید علی الشبهة البدویّة، و ما هو به تنحلّ هناک ینحلّ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ما أوضحناه لا یعقل الجمع بین الحکم الظاهریّ و الواقعیّ الفعلیّ بمعناه التامّ، کما هو المقصود و المرام، فلا یعقل الترخیص فی البدویّات، فضلا عن أحد الأطراف فی المعلوم بالإجمال، و یعقل الجمع علی ما سلکناه من الخطابات القانونیّة؛ و أنّ التکالیف فعلیّة جدّیة قطعیّة واقعیّة قانونیّة غیر إنشائیّة، و یعقل الترخیص فی المجموع، فضلا عن الواحد غیر المعیّن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هذه الوجیزة، و تبیّن إمکان الترخیص ثبوتا، فقد مال إلیه بعضهم، و یمکن أن یحرّر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بذکرها تلخیصا، نشیر إلی وجیزة اخری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التخییر بحکومة العقل؛ بمعنی درک العقل تلک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 لأنّ المفروض تنجیز العقل مجموع الأطراف، فلا معنی لاستقلاله ثانیا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یمکن أن یکون وجه التخییر الشرعیّ 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التخییر کالتخییر فی الخصال، و هذا مفقود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التخییر بتقیید الإطلاقات، و بعبارة اخری بالجمع بین الأدلّة الموجودة، کما قیل به فی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التخییر بکشف العقل خطابا تخییریّا شرعیّا، کما هو قول آخر فیهما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مال إلی التخییر بالوجه الأوّل من الأخیرین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فی باب تعارض الأمارتین و الحجّتین </w:t>
      </w:r>
      <w:r>
        <w:rPr>
          <w:rStyle w:val="FootnoteAnchor"/>
          <w:rtl w:val="true"/>
        </w:rPr>
        <w:footnoteReference w:id="972"/>
      </w:r>
      <w:r>
        <w:rPr>
          <w:rFonts w:ascii="IRNazanin" w:hAnsi="IRNazanin" w:eastAsia="IRNazanin"/>
          <w:color w:val="111111"/>
          <w:sz w:val="28"/>
          <w:sz w:val="28"/>
          <w:szCs w:val="28"/>
          <w:rtl w:val="true"/>
          <w:lang w:bidi="fa-IR"/>
        </w:rPr>
        <w:t>، کما سیظهر إن شاء اللّه تعالی</w:t>
      </w:r>
      <w:r>
        <w:rPr>
          <w:rFonts w:eastAsia="IRNazanin" w:cs="IRNazanin"/>
          <w:color w:val="111111"/>
          <w:sz w:val="28"/>
          <w:szCs w:val="28"/>
          <w:rtl w:val="true"/>
          <w:lang w:bidi="fa-IR"/>
        </w:rPr>
        <w:t>.</w:t>
      </w:r>
      <w:bookmarkStart w:id="744" w:name="pg13173_325054"/>
    </w:p>
    <w:p>
      <w:pPr>
        <w:pStyle w:val="Heading6"/>
        <w:numPr>
          <w:ilvl w:val="5"/>
          <w:numId w:val="1"/>
        </w:numPr>
        <w:rPr/>
      </w:pPr>
      <w:bookmarkStart w:id="745" w:name="__RefHeading___Toc735211_3244359995"/>
      <w:bookmarkStart w:id="746" w:name="_Toc280"/>
      <w:bookmarkEnd w:id="744"/>
      <w:bookmarkEnd w:id="745"/>
      <w:r>
        <w:rPr>
          <w:rtl w:val="true"/>
        </w:rPr>
        <w:t>الوجوه الإثباتیة للالتزام بالتخییر فی الأطراف</w:t>
      </w:r>
      <w:bookmarkEnd w:id="746"/>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المرخّصة و الأدلّة الظاهریّة المعذّرة، لا تشمل الواحد المعیّن؛ لکونه من الترجیح بلا مرجّح، و لا المجموع، فتشمل الواحد لا بعینه، و إذا قیس إلی الأدلّة الواقعیّة ینتج التخییر شرعا؛ ضرورة أنّه لو اختار أحدهما و صادف الواقع، یکون معذورا، و یکون مثل الشبهة البدویّة، و إن لم یصادف الواقع فقد أطاع مولاه فی الجانب الآخر، نظیر ما إذا ورد نصّ علی جواز ارتکاب أحدهما، أو علی جواز ترک أحدهما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توهّم جمع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مشمول العامّ هو الواحد بعینه، و لا وجود للواحد لا بعینه حتّی یکون مشمول العامّ </w:t>
      </w:r>
      <w:r>
        <w:rPr>
          <w:rStyle w:val="FootnoteAnchor"/>
          <w:rtl w:val="true"/>
        </w:rPr>
        <w:footnoteReference w:id="973"/>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مراد القائل هو أنّ الوحدات الخارجیّة المعلومة حدودها الوجودیّة، المجهولة الحکم شرعا، لیست مندرجة تحت العامّ فقط، بل ما هو تحت العامّ کما یکون الکأس الشرقیّ و الغربیّ، یکون أحدهما أیضا تحته بعنوانه؛ لأنّ أحدهما مجهول الحکم، فهو تحت العامّ، و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مجهولا؛ لأنّ أحدهما خمر معلومة الحکم، و الآخر ما هو معلوم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فی المنفصلة الحقیقیّة، و أمّا المنفصلة مانعة الخلوّ فمشتملة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فیرخّص فیه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 و ظهور أخبار التأمین و التعذیر فی موارد</w:t>
      </w:r>
    </w:p>
    <w:p>
      <w:pPr>
        <w:pStyle w:val="BookText"/>
        <w:rPr/>
      </w:pPr>
      <w:r>
        <w:rPr>
          <w:rFonts w:ascii="IRNazanin" w:hAnsi="IRNazanin" w:eastAsia="IRNazanin"/>
          <w:color w:val="111111"/>
          <w:sz w:val="28"/>
          <w:sz w:val="28"/>
          <w:szCs w:val="28"/>
          <w:rtl w:val="true"/>
          <w:lang w:bidi="fa-IR"/>
        </w:rPr>
        <w:t>الجهل بالحکم، بالنسبة إلی الموضوع الخارجیّ و لو کان منشأه الشبهة الحکمیّة، فإنّ شرب التبغ و لو کان مجهول الحکم بعنوانه، إلّا أنّه من الطبائع الأصلیّة التی تری فی الخارج، بخلاف العنوان المذکور الانتزاعیّ،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الأطراف أکثر من واحد، و غیر بالغة إلی غیر المحصورة، کالواحد من الأربعة و الستّة، یشکل الأمر علی القائل بالتخییر علی التقریب المذکور، مع ما عرفت من لزوم التفصیل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مورد العامّ ما هو المحرّم فی البین، دون المحلّل؛ ضرورة أنّ ما هو المرخّص فیه لا یحتاج إلی الترخیص، أو لا یعقل، بخلاف ما هو المحرّم، و لا یلزم الجمع بین المتنافیین؛ لانحفاظ مرتبة الحکم الظاهریّ، ضرورة إمکان الإشارة إلی أنّ ما هو المحرّم فی البین مورد الترخیص، لا الغیر؛ للاحتیاج إلی الترخیص فی ذلک المورد، و لا یلزم المناقضة بحسب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لازمه جواز ارتکاب المجموع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هو المستفاد من أخبار الترخیص، انحفاظ ملاک الحکم الظاهریّ فی کلّ واحد من الأطراف؛ لضرورة التسهیل علی العباد، فکما أنّ فی باب الغریقین یستکشف الخطاب الشرعیّ التخییریّ، کذلک الأمر هنا؛ فإنّ مصلحة الواقع لیست بأکثر من مصلحة التسهیل، و لازمه التخییر فی الأطراف شرعا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أولادی قدّس سرّه و غیره من المناقشة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فی المثال المذکور یکون الملاک موجودا و إلزامیّا، و فیما نحن فیه یکون المعلوم بالإجمال فیه الملاک التامّ، فیلزم الاحتیاط</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فی غیر محلّه؛ ضرورة أنّ المفروض شمول أدلّة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الترخیص للأطراف، و لو لم یکن فیها ملاک التسهیل فلا یشملها دلیل التعذیر و التأمین، فعلی هذا تکون مصلحة التسهیل، تعارض المصلحة الواقعیّة أو المفسدة الواقعیّة، و حیث إنّ مصلحة التسهیل فی الطرفین، و لا یمکن الأخذ بهما، یجوز الأخذ بالواحد، و هو مصلحة التسهیل فی الجملة، و تصیر النتیجة هی التخییر الشرعیّ المستکشف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یکون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الانطباق علی الطرفین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عقلیّا، و الأمر سهل من جهة التسمیة،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أساس کشف الحکم الشرعیّ بالعقل من الأباطیل، و لا سبیل له إلیه فی جمیع الأوطان و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تحرّر منّا فی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فعلیّ حسب الأدلّة الأوّلیة، و المکلّف بالنسبة إلی الجمع معذور، و یعاقب لو ترک الکلّ </w:t>
      </w:r>
      <w:r>
        <w:rPr>
          <w:rStyle w:val="FootnoteAnchor"/>
          <w:rtl w:val="true"/>
        </w:rPr>
        <w:footnoteReference w:id="975"/>
      </w:r>
      <w:r>
        <w:rPr>
          <w:rFonts w:ascii="IRNazanin" w:hAnsi="IRNazanin" w:eastAsia="IRNazanin"/>
          <w:color w:val="111111"/>
          <w:sz w:val="28"/>
          <w:sz w:val="28"/>
          <w:szCs w:val="28"/>
          <w:rtl w:val="true"/>
          <w:lang w:bidi="fa-IR"/>
        </w:rPr>
        <w:t>، و تبیّن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الاصول فی جمیع الأطراف جائز أیضا، و لا یلزم قبح، فالمبنی باطل، و إلّا فالتقریب سلیم عن إشکال القوم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المحاذیر العقلیّة تتقدّر بقدرها، و المخصّصات اللبیّة العقلیة مخصوصة بمقدار اللزوم، فیبقی عموم العامّ و إطلاق الدلیل علی حاله، فعلی هذا لا معنی لإخراج الإناءین عند المعارضة عن عموم الأدلّة المرخّصة، حتّی یکون التخصیص أفرادیّا، و الخارج الإناءین الشرقیّ و الغربیّ معا؛ لأنّ المحذور یرتفع بالتقیید الأحوالیّ و الإخراج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إناء مرخّص فیه إذا ترک الإناء الآخر، أو عند ترکه الإناء الآخر، فیکون کلّ إناء باقیا تحت العامّ، و خارجا عن</w:t>
      </w:r>
    </w:p>
    <w:p>
      <w:pPr>
        <w:pStyle w:val="BookText"/>
        <w:rPr/>
      </w:pPr>
      <w:r>
        <w:rPr>
          <w:rFonts w:ascii="IRNazanin" w:hAnsi="IRNazanin" w:eastAsia="IRNazanin"/>
          <w:color w:val="111111"/>
          <w:sz w:val="28"/>
          <w:sz w:val="28"/>
          <w:szCs w:val="28"/>
          <w:rtl w:val="true"/>
          <w:lang w:bidi="fa-IR"/>
        </w:rPr>
        <w:t>إطلاقه الأحوالیّ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الأمر بین التخصیص و التقیید، و الثانی أولی هنا و إن لم یکن الأمر فی غیر المقام کذلک؛ ضرورة أنّ الزائد علی المقدار اللازم للفرار من المحذور، ممنوع حسب الأدلّة اللفظیة، و تصیر النتیجة عند ذلک هی التخییر؛ سواء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بالتدخّل العقلائیّ،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الأدلّة المرخّصة و تحلیل المجهولة حرمته، ما یفی بالمقام؛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لا یشمل المقام،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الأدلّة بمثله، فإنّ حدیث الرفع یشمل أطراف العلم الإجمالیّ، و البحث هنا بعد مفروضیّة الجریان، فلا تخلط، و إلّا فلا یتمّ التخییر المذکور فی الشبهات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هنا خلطا واقعا من المقرّر حفظه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المنکشف هو القید أو الشرط، للزم فی صورة اجتنابه عن الإناءین ترخیص الشرع بالنسبة إلیهما جمعا، و هو ممنوع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دعوی عدم ثبوت التخییر إلّا فی مورد ارتکاب أحدهما، و ترک الآخر؛ لما أنّه یلزم لغویّة جعل الترخیص فی مورد امتناع الارتکاب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تدخّل فی کشف القید هنا و فی الغریقین، و تصیر النتیجة هو أنّ واحدا منهما یجب إنقاذه، و واحدا منهما یجوز ارتکابه، و لیس التقیید علی الوجه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یرخّص فی الشرقیّ عند ترک الغربیّ و بالعکس،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ترکهما آناما أو فی زمان یمکن فیه الارتکاب، یلزم ترخیص المجموع،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إذا کان القید بنحو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ترکهما فی تمام العمر، یلزم الترخیص فی الکلّ بعد ذلک، و هو أیضا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عدم شمول الشبهات البدویّة علی الإطلاق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التقریب الأوّل أو الثانی، و البحث هنا حول تقیید الأحوالیّ الشامل عموم رخصته لکلّ واحد منهما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المستکشف بالعقل هنا؛ هو أنّه لیس المجموع مرخّصا فیه، و هذا غیر مفاد التقریبین، و لا تتوجّه إلیه الإشکالات المذکورة فی کتب القوم، حتّی یجاب بما لیس بجواب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فی کلام العلّامة النائینی رحمه اللّه من المناقشة فی کشف التخییر هنا، مع التزامه بالتخییر فی الغریقین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الدلیل فی البابین من باب واحد، و المتدخّل فیهما العقل، فالتخییر یستکشف هنا من جهة الإطلاق و العموم و الدلیل، کما أنّه یمکن انکشافه من جهة المدلول و المورد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المهمّ فی الجواب بطلان بساط الکشف، قیدا کان، أو خطابا؛ فإنّ العقل لیس شأنه إلّا التعذیر و التنجیز، و درک الإطاعة و العصیان، و أمثال ما یتعلّق بتبعات الخطاب، دون مقارناتها و أصولها و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القول المذکور، تقیید کلّ طرف بالنسبة إلی الطهارة؛ لامتناع التعبّد بطهارتهما علی الإطلاق، و هذا ممّا لا یکاد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قاعدة الطهارة، لا یمکن کشف التخییر أو التقیید المنتهی إلیه، و علی هذا ربّما یشکل الأمر فی سائر الاصول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التقیید فی قاعدة الطهارة، أیضا باعتبار أنّ الحکم التکلیفیّ</w:t>
      </w:r>
      <w:bookmarkStart w:id="747" w:name="pg13173_325059"/>
    </w:p>
    <w:p>
      <w:pPr>
        <w:pStyle w:val="BookText"/>
        <w:rPr/>
      </w:pPr>
      <w:bookmarkEnd w:id="747"/>
      <w:r>
        <w:rPr>
          <w:rFonts w:ascii="IRNazanin" w:hAnsi="IRNazanin" w:eastAsia="IRNazanin"/>
          <w:color w:val="111111"/>
          <w:sz w:val="28"/>
          <w:sz w:val="28"/>
          <w:szCs w:val="28"/>
          <w:rtl w:val="true"/>
          <w:lang w:bidi="fa-IR"/>
        </w:rPr>
        <w:t>المخالف للمعلوم فی البین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لم یتعرّض الاصولیّون لقاعدة الطهارة، دون قاعدة الحلّ؛ لأنّ قاعدة الطهارة ترجع فی أطراف العلم الإجمالیّ إلی آثارها التی تجری فیها قاعدة الحلّ و البراءة، فاغتنم</w:t>
      </w:r>
      <w:r>
        <w:rPr>
          <w:rFonts w:eastAsia="IRNazanin" w:cs="IRNazanin"/>
          <w:color w:val="111111"/>
          <w:sz w:val="28"/>
          <w:szCs w:val="28"/>
          <w:rtl w:val="true"/>
          <w:lang w:bidi="fa-IR"/>
        </w:rPr>
        <w:t>.</w:t>
      </w:r>
    </w:p>
    <w:p>
      <w:pPr>
        <w:pStyle w:val="Heading6"/>
        <w:numPr>
          <w:ilvl w:val="5"/>
          <w:numId w:val="1"/>
        </w:numPr>
        <w:rPr/>
      </w:pPr>
      <w:bookmarkStart w:id="748" w:name="__RefHeading___Toc735213_3244359995"/>
      <w:bookmarkStart w:id="749" w:name="_Toc281"/>
      <w:bookmarkEnd w:id="748"/>
      <w:r>
        <w:rPr>
          <w:rtl w:val="true"/>
        </w:rPr>
        <w:t>التنبیه الثالث حول مختار الحدائق من تقیید الطهارة و النجاسة بالعلم</w:t>
      </w:r>
      <w:bookmarkEnd w:id="749"/>
    </w:p>
    <w:p>
      <w:pPr>
        <w:pStyle w:val="BookText"/>
        <w:rPr/>
      </w:pPr>
      <w:r>
        <w:rPr>
          <w:rFonts w:ascii="IRNazanin" w:hAnsi="IRNazanin" w:eastAsia="IRNazanin"/>
          <w:color w:val="111111"/>
          <w:sz w:val="28"/>
          <w:sz w:val="28"/>
          <w:szCs w:val="28"/>
          <w:rtl w:val="true"/>
          <w:lang w:bidi="fa-IR"/>
        </w:rPr>
        <w:t>لا فرق فی موارد تنجیز العلم بین کون المعلوم بالإجمال جنس التکلیف، أو نوعه، فکما أنّ فی الشبهات الحکمیّة الکلیّة، یؤثّر العلم و یحتاط العقل و لو کان المعلوم حرمة شی‌ء، أو وجوب شی‌ء آخر، کذلک فی الشبهات الموضوعیّة، لا یلزم أن تکون الصغری المجهولة من نوع واحد، کالخمر و النجاسة، أو تکون الصغری مجهولة، و الکبری المعلومة جنس التکلیف، ففی الصور الثلاث یتمّ تحریر الحکم بالاحتیاط؛ بمعنی درک العقل وجوب الموافقة و 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فهو فی واد آخر نشأ عن مسألة فقهیّة ظاهرا، و لا ربط له بمسألة اصولیّة عقلیّة؛ فإنّ من الشرائط فی باب تنجیز العلم الإجمالیّ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یکون العلم علی وجه لو کان المعلوم فی کلّ طرف، یکون مورد الأثر؛ و موضوع الحکم الإلهیّ، و إلّا فلا یؤثّر، و لذلک ربّما نحتاج فی الأمثلة إلی تحریر</w:t>
      </w:r>
    </w:p>
    <w:p>
      <w:pPr>
        <w:pStyle w:val="BookText"/>
        <w:rPr/>
      </w:pPr>
      <w:r>
        <w:rPr>
          <w:rFonts w:ascii="IRNazanin" w:hAnsi="IRNazanin" w:eastAsia="IRNazanin"/>
          <w:color w:val="111111"/>
          <w:sz w:val="28"/>
          <w:sz w:val="28"/>
          <w:szCs w:val="28"/>
          <w:rtl w:val="true"/>
          <w:lang w:bidi="fa-IR"/>
        </w:rPr>
        <w:t>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قاعدة الطهارة، هی نجاسة الکلب المعلوم بالتفصیل، فعندئذ لا معنی لأن یقول بالتنجیز هنا، و هکذا لو قال فی باب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هو الشی‌ء المعلومة غصبیّته بالتفصیل؛ نظرا إلی بعض الأحکام فی الفقه، فلو علم إجمالا بغصبیّة شی‌ء، و نجاسة شی‌ء آخر، أو نجاسته بخصوصه، فإنّه لا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ما نسب إلیه من عدم تأثیر العلم فی صورة اختلاف المعلوم بالحقیقة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للزم عدم وجوب الاحتیاط فی صورة کون الإناء الواحد معلومة غصبیّته، أو نجاسته؛ لأنّا لا نعلم بتکلیف خاصّ من النهی عن الغصب أو النجاسة، و لا أظنّ التزامه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إمکان المناقشة فی تنجیز العلم، و لو کان لإمکانه وجه و تقریب، و لکنّه غیر تامّ علی التقریبین اللذین اخترناهما لعلّیة العلم للتنجیز حتّی فی صورة الشکّ فی المسألة الاصولیّة؛ و هو تنجیز العلم الإجمالیّ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تحرّر،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مخالفنا هنا فی المسألة الاصولیّة، و أمّا کلامه فی المسألة الفقهیّة، فیطلب من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أنّ مقتضی القاعدة اشتراک الحکم بین العالم و الجاهل علی الإطلاق إلّا ما خرج بالدلیل </w:t>
      </w:r>
      <w:r>
        <w:rPr>
          <w:rStyle w:val="FootnoteAnchor"/>
          <w:rtl w:val="true"/>
        </w:rPr>
        <w:footnoteReference w:id="981"/>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bookmarkStart w:id="750" w:name="pg13173_325061"/>
    </w:p>
    <w:p>
      <w:pPr>
        <w:pStyle w:val="Heading6"/>
        <w:numPr>
          <w:ilvl w:val="5"/>
          <w:numId w:val="1"/>
        </w:numPr>
        <w:rPr/>
      </w:pPr>
      <w:bookmarkStart w:id="751" w:name="__RefHeading___Toc735215_3244359995"/>
      <w:bookmarkStart w:id="752" w:name="_Toc282"/>
      <w:bookmarkEnd w:id="750"/>
      <w:bookmarkEnd w:id="751"/>
      <w:r>
        <w:rPr>
          <w:rtl w:val="true"/>
        </w:rPr>
        <w:t>التنبیه الرابع حول معارضة الاستصحاب لقاعدة الحلّ</w:t>
      </w:r>
      <w:bookmarkEnd w:id="752"/>
    </w:p>
    <w:p>
      <w:pPr>
        <w:pStyle w:val="BookText"/>
        <w:rPr/>
      </w:pPr>
      <w:r>
        <w:rPr>
          <w:rFonts w:ascii="IRNazanin" w:hAnsi="IRNazanin" w:eastAsia="IRNazanin"/>
          <w:color w:val="111111"/>
          <w:sz w:val="28"/>
          <w:sz w:val="28"/>
          <w:szCs w:val="28"/>
          <w:rtl w:val="true"/>
          <w:lang w:bidi="fa-IR"/>
        </w:rPr>
        <w:t>لا شبهة فی أنّه یوجب العلم الإجمالیّ، تنجیز جمیع الآثار التکلیفیّة و الوضعیّة، فلو علم إجمالا بخمریّة أحد الإناءین، تترتّب علیه و تتنجّز به ممنوعیّة التوضّؤ و الشرب و الصلاة معها حاملا إیّاها، و إدخالها فی المسجد، و بیع أحد الإناءین، و الصلح علیه، و جعله اجرة، و جعلا و هکذا، فإنّ ذلک یؤدّی إلی بطلان العقد، و عدم ترتّب الآثار علیه، و هکذا ممّا ینتهی إلی الحکم التکلیفیّ المستتبع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مجرّد الشکّ فی المثال المذکور لعدم الحکم بصحّة المعاملة؛ لرجوعه إلی الشک فی المالیّة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 المثال لیست من دأب المحصّلین؛ فإنّ المنظور توجیه أنظارهم إلی المسائل الکلّیة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اصول کثیرة، کقاعدة الطهارة، و الحلّ التکلیفیّ، و الوضعیّ، و استصحاب عدم الخمریّة الأزلیّ؛ بناء علی جریانه، و بناء علی المعارضة تکون کافّة الاصول 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أصل حاکم فی الإناء الشرقیّ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المالیّة، و الحلّیة الوضعیّة، و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جهتین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قاعدة الحلّ مع الاستصحاب و قاعدة الحلّ فی الطرف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استصحاب المالیّة مع قاعدة الحلّ الوضعیّ فی الطرف المختلفین فی المفاد؛ ضرورة أنّ مفاد الاستصحاب هو البناء علی المالیّة، و مفاد القاعدة 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شطر من الکلام فیما سبق حولها، و ذکرنا أنّ الاستصحاب و إن یسقط للمعارضة، و تصل النوبة إلی قاعدة الحلّ فی الإناء الشرقیّ، إلّا أنّ قاعدة الحلّ فی الإناء الغربیّ أیضا تنحلّ؛ للمعارضة له کما عرفت تحقیقه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الاستصحاب معارضا لقاعدة الحلّ، أم لا؛ لاختلافهما فی المفاد؟ 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الاستصحاب المذکور، لا یعارض بالذات قاعدة الحلّ فی الإناء الغربیّ؛ بعد البناء علی جواز التمسّک به و بها لتصحیح البیع و غیره؛ لأنّ الشکّ فی حلّیة البیع مجری القاعدة، و یکفی لصحّته مجرّد التعبّد بالحلّیة، کما هو المستفاد من الکتاب العزیز، و لا نرید إثبات شی‌ء آخر وراء حلّیة البیع، و قد حرّرنا تحقیقه فی کتاب المتاجر</w:t>
      </w:r>
      <w:r>
        <w:rPr>
          <w:rStyle w:val="FootnoteAnchor"/>
          <w:rtl w:val="true"/>
        </w:rPr>
        <w:footnoteReference w:id="983"/>
      </w:r>
      <w:r>
        <w:rPr>
          <w:rFonts w:ascii="IRNazanin" w:hAnsi="IRNazanin" w:eastAsia="IRNazanin"/>
          <w:color w:val="111111"/>
          <w:sz w:val="28"/>
          <w:sz w:val="28"/>
          <w:szCs w:val="28"/>
          <w:rtl w:val="true"/>
          <w:lang w:bidi="fa-IR"/>
        </w:rPr>
        <w:t>، و لا یعارضها بالعرض؛ لاختلاف المفادین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العلم الإجمالیّ بخمریّة أحدهما، یلازم العلم الإجمالیّ بعدم مالیّة الإناء الشرقیّ أو الغربیّ، مع أنّ الاتحاد فی المفاد غیر لازم؛ لأنّ استصحاب بقاء مالیّة الإناء الشرقیّ أو الغربیّ، مع أنّ الاتحاد فی المفاد غیر لازم؛ لأنّ استصحاب بقاء مالیّة لإناء الشرقیّ، یترتّب علیه رفع العقاب عن التصرّف فی المأخوذ بالعقد الفاسد، الذی هو بحکم الغصب عند المحصّلین، و أصالة حلّیة البیع أیضا مثله فی هذا الأثر،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صورة العلم بنجاسة الماء أو الثوب، تجری قاعدة الحلّ فی الماء، دون الثوب، فیجوز شرب الماء؛ لما لا ثمرة فی ناحیة الثوب، فی غیر محلّه؛ لأنّ أکل الثوب محرّم فرضا، و إذا کان نجسا تزید العقوبة، فکما یشکّ فی حلّیة شرب الماء، یشکّ فی حلّیة أکل الثوب من جهة نجاسته زائدا علی خباثته، فالمثال المذکور أیضا لیس مثالا لمورد جریان قاعدة الحلّ النافیة بلا معارض، و لا مثالا لجریان الأصل المؤمّن بالنسبة إلی بعض الآثار دون بعض آخر،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جریان استصحاب المالیّة، و إلّا فلا أصل حاکم فی المثال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المذکور مثبت؛ لأنّ الشرع أحلّ البیع، و کونه مبادلة مال بمال، لیس مستفادا من الأدلّة الشرعیّة علی وجه یکون له الإطلاق أو العموم؛ حتّی ینقّح بالاستصحاب الموضوعیّ موضوع الدلیل، بل هو یستفاد من الدلیل اللبّی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هنا کلّه فرضیّ؛ لما یمکن الابتلاء به فی الفقه أحیانا، و تلک الأمثلة لتوضیح حال المسألة، فلا تختلط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أوّلا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إمکان الترخیص فی مجموع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التفکیک بین الاصول النافیة و المثبتة؛ بالأخذ بها، دون الاصول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لو اتخذنا ذلک، فهو لأجل تجویزنا الترخیص فی الکلّ، و إلّا فالصناعة تقتضی إمّا الترخیص، أو المنع علی الإطلاق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الاصول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وقوع المعارضة بینها فی أطراف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کونها طولیّة، أو عرضیّة، و بین کونها متّحدة المضمون، أو مختلفة المضمون، کاستصحاب مالیّة الإناء الشرقیّ، و قاعدة طهارة الإناء الغربیّ،</w:t>
      </w:r>
      <w:bookmarkStart w:id="753" w:name="pg13173_325064"/>
    </w:p>
    <w:p>
      <w:pPr>
        <w:pStyle w:val="BookText"/>
        <w:rPr/>
      </w:pPr>
      <w:bookmarkEnd w:id="753"/>
      <w:r>
        <w:rPr>
          <w:rFonts w:ascii="IRNazanin" w:hAnsi="IRNazanin" w:eastAsia="IRNazanin"/>
          <w:color w:val="111111"/>
          <w:sz w:val="28"/>
          <w:sz w:val="28"/>
          <w:szCs w:val="28"/>
          <w:rtl w:val="true"/>
          <w:lang w:bidi="fa-IR"/>
        </w:rPr>
        <w:t>فاغتنم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بعدم إمکان تصوّر جریان قاعدة الحلّ فی أحد الأطراف دون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کان العینان المعلومة إحداهما أنّها للغیر، و کانتا تحت ید المکلّف، ثمّ خرجت إحداهما، فإنّه یمکن منع تنجیز العلم الإجمالیّ؛ لأنّ الطرف الخارج یتنجّز بنفس الشبهة، و الطرف الذی تحت یده لا تجری فیه قاعدة الید؛ لأنّها قبل خروج الطرف سقطت بالمعارضة، و بعد الخروج لا تجری؛ لقصور فی دلیلها</w:t>
      </w:r>
      <w:r>
        <w:rPr>
          <w:rFonts w:eastAsia="IRNazanin" w:cs="IRNazanin"/>
          <w:color w:val="111111"/>
          <w:sz w:val="28"/>
          <w:szCs w:val="28"/>
          <w:rtl w:val="true"/>
          <w:lang w:bidi="fa-IR"/>
        </w:rPr>
        <w:t>.</w:t>
      </w:r>
    </w:p>
    <w:p>
      <w:pPr>
        <w:pStyle w:val="Heading6"/>
        <w:numPr>
          <w:ilvl w:val="5"/>
          <w:numId w:val="1"/>
        </w:numPr>
        <w:rPr/>
      </w:pPr>
      <w:bookmarkStart w:id="754" w:name="__RefHeading___Toc735217_3244359995"/>
      <w:bookmarkStart w:id="755" w:name="_Toc283"/>
      <w:bookmarkEnd w:id="754"/>
      <w:r>
        <w:rPr>
          <w:rtl w:val="true"/>
        </w:rPr>
        <w:t>التنبیه الخامس فی أنّ تدریجیّة الأطراف لا تضرّ بالتنجیز</w:t>
      </w:r>
      <w:bookmarkEnd w:id="755"/>
    </w:p>
    <w:p>
      <w:pPr>
        <w:pStyle w:val="Heading6"/>
        <w:numPr>
          <w:ilvl w:val="5"/>
          <w:numId w:val="1"/>
        </w:numPr>
        <w:rPr/>
      </w:pPr>
      <w:bookmarkStart w:id="756" w:name="__RefHeading___Toc735219_3244359995"/>
      <w:bookmarkStart w:id="757" w:name="_Toc284"/>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لا فرق عند العقل فی تنجیز التکلیف بین کون المعلوم و الأطراف عرضیّ الوجود، و طولیّ الوجود، فإنّ التکلیف المعلوم یتنجّز؛ سواء کانت الأطراف دفعیّات، أو تدریجیّات، و سواء أمکن الجمع بین الأطراف کالإناءین، أو لم یمکن الجمع، کالجماعین المحرّمین، و کالصلاتین؛ فإنّ الوجوه الناهضة علی الدفعیّ، تنهض علی التدریجی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الخلط بین ما هو الجهة المبحوث عنها، و بین الجهات الأجنبیّة؛ ضرورة أنّ البحث ممحّض فی أنّ نفس التدریجیّة، تضرّ بالتنجیز،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مقتضی التدریج، کون أحد الطرفین تکلیفا مشروطا، فإنّه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الدفعیّ لا یکون الدوران بین الفعلیّة و المشروط، موجبا للتنجیز، فضلا عن التدریج، و ما هو المبحوث عنه هو العلم بالتکلیف الفعلیّ و لو کان ظرف الطرفین أو ظرف أحدهما استقبالیّا، فلو علم بأنّ هذه المرأة یحرم علیها کنس المسجد فی العشرة الثانیة من الشهر، أو الثالثة، لا تصحّ إجارتها فی العشرة الاولی للکنس فی العشرة الثانیة و الثالثة، و لا لإحداهما؛ بناء علی کون الکنس محرّما علیها بالفعل بالنسبة إلی العشرة الثانیة أو الثالثة علی وجه الوجوب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یناقش فی المثال، فإنّه لیس دأب المحصّلین بعد کون المرام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الحکم فعلیّا، و التحریم فعلیّا، و المحرّم أو الواجب استقبالیّا، لا یوجب هذا الاستقبال قصورا فی التنجیز علی ما هو المعروف بین المحقّقین فی هذه الصورة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عندی فی إطلاقه نظر؛ بناء علی ما هو المعروف بینهم من أنّ الخروج عن محلّ الابتلاء، یضرّ بالتنجیز</w:t>
      </w:r>
      <w:r>
        <w:rPr>
          <w:rStyle w:val="FootnoteAnchor"/>
          <w:rtl w:val="true"/>
        </w:rPr>
        <w:footnoteReference w:id="985"/>
      </w:r>
      <w:r>
        <w:rPr>
          <w:rFonts w:ascii="IRNazanin" w:hAnsi="IRNazanin" w:eastAsia="IRNazanin"/>
          <w:color w:val="111111"/>
          <w:sz w:val="28"/>
          <w:sz w:val="28"/>
          <w:szCs w:val="28"/>
          <w:rtl w:val="true"/>
          <w:lang w:bidi="fa-IR"/>
        </w:rPr>
        <w:t>فإنّ سرّه هو استهجان الخطاب و التکلیف و البعث و الزجر، و هذا کما یجری فی البعد المکانیّ، یجری فی البعد الزمانیّ، فلو کان أحد الطرفین فی التدریج بعد مضیّ خمسین سنة أو ثلاثین سنة، فإنّه یستهجن الخطاب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الاستهجان هنا أوضح؛ لعجز العبد عن الوصول إلیه، بخلاف البعد المکانیّ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عدم إضرار الخروج عن محلّ الابتلاء بالتنجیز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الصورتین</w:t>
      </w:r>
      <w:r>
        <w:rPr>
          <w:rFonts w:eastAsia="IRNazanin" w:cs="IRNazanin"/>
          <w:color w:val="111111"/>
          <w:sz w:val="28"/>
          <w:szCs w:val="28"/>
          <w:rtl w:val="true"/>
          <w:lang w:bidi="fa-IR"/>
        </w:rPr>
        <w:t>.</w:t>
      </w:r>
      <w:bookmarkStart w:id="758" w:name="pg13173_325066"/>
    </w:p>
    <w:p>
      <w:pPr>
        <w:pStyle w:val="Heading6"/>
        <w:numPr>
          <w:ilvl w:val="5"/>
          <w:numId w:val="1"/>
        </w:numPr>
        <w:rPr/>
      </w:pPr>
      <w:bookmarkStart w:id="759" w:name="__RefHeading___Toc735221_3244359995"/>
      <w:bookmarkStart w:id="760" w:name="_Toc285"/>
      <w:bookmarkEnd w:id="758"/>
      <w:bookmarkEnd w:id="759"/>
      <w:r>
        <w:rPr>
          <w:rtl w:val="true"/>
        </w:rPr>
        <w:t>تنبیه</w:t>
      </w:r>
      <w:r>
        <w:rPr>
          <w:rtl w:val="true"/>
        </w:rPr>
        <w:t xml:space="preserve">: </w:t>
      </w:r>
      <w:r>
        <w:rPr>
          <w:rtl w:val="true"/>
        </w:rPr>
        <w:t>حول وجوب الاحتیاط عند العلم بتحقق الشرط فیما یأتی</w:t>
      </w:r>
      <w:bookmarkEnd w:id="760"/>
    </w:p>
    <w:p>
      <w:pPr>
        <w:pStyle w:val="BookText"/>
        <w:rPr/>
      </w:pPr>
      <w:r>
        <w:rPr>
          <w:rFonts w:ascii="IRNazanin" w:hAnsi="IRNazanin" w:eastAsia="IRNazanin"/>
          <w:color w:val="111111"/>
          <w:sz w:val="28"/>
          <w:sz w:val="28"/>
          <w:szCs w:val="28"/>
          <w:rtl w:val="true"/>
          <w:lang w:bidi="fa-IR"/>
        </w:rPr>
        <w:t>لو کان یعلم إرادة المولی و روح الحکم إجمالا، فانقلاب الواجب المعلّق إلی المشروط بحکم العقل، لا یضرّ بالتنجیز؛ سواء کان أحد الأطراف واجبا معلّقا، أو کلّ الأطراف؛ لأنّ العقل یجد لزوم الاتباع؛ لما یعلم من المحبوبیّة الإلزامیّة و المبغوضیّة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 أحد الأطراف حسب ظاهر الدلیل معلّقا، و قلنا بامتناع الوجوب المعلّق و صیرورته مشروطا، فلا یمکن کشف الملاک؛ ضرورة أنّ انکشاف الملاک تابع الهیئات، و إذا سقطت الهیئة فلا کاشف، کما تحرّر فی موارد من هذا الکتاب </w:t>
      </w:r>
      <w:r>
        <w:rPr>
          <w:rStyle w:val="FootnoteAnchor"/>
          <w:rtl w:val="true"/>
        </w:rPr>
        <w:footnoteReference w:id="986"/>
      </w:r>
      <w:r>
        <w:rPr>
          <w:rFonts w:ascii="IRNazanin" w:hAnsi="IRNazanin" w:eastAsia="IRNazanin"/>
          <w:color w:val="111111"/>
          <w:sz w:val="28"/>
          <w:sz w:val="28"/>
          <w:szCs w:val="28"/>
          <w:rtl w:val="true"/>
          <w:lang w:bidi="fa-IR"/>
        </w:rPr>
        <w:t>، فعلی هذا لا معنی لما اشتهر من إیجاب الاحتیاط، بین طائفة، فإنّه کما لا یوجب العلم الإجمالیّ فعلیّة التکلیف فی الإناء الشرقیّ، أو مشروطیّته فی الإناء الغربیّ، کذلک الأمر هنا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اشتهر عن السیّد الفشارکیّ رحمه اللّه وجوب الاحتیاط و الموافقة القطعیّة فی صورة العلم بحصول الشرط</w:t>
      </w:r>
      <w:r>
        <w:rPr>
          <w:rStyle w:val="FootnoteAnchor"/>
          <w:rtl w:val="true"/>
        </w:rPr>
        <w:footnoteReference w:id="987"/>
      </w:r>
      <w:r>
        <w:rPr>
          <w:rFonts w:ascii="IRNazanin" w:hAnsi="IRNazanin" w:eastAsia="IRNazanin"/>
          <w:color w:val="111111"/>
          <w:sz w:val="28"/>
          <w:sz w:val="28"/>
          <w:szCs w:val="28"/>
          <w:rtl w:val="true"/>
          <w:lang w:bidi="fa-IR"/>
        </w:rPr>
        <w:t>، و هذا و إن کان علی خلاف الصناعة، إلّا أنّه یدرک العقل لزوم التحفّظ علی المرام المردّد بینهما فی الدفعیّات، و هکذا فی التدریجیّات، و لیس هذا من باب التفویت الممنوع؛ لما عرفت أنّه لا علم بالمصلحة أو المفسدة فی موارد العلم الإجمالیّ بالحجّة؛ لاحتمال خطأ الحجّة و الأدلّة الواقعیّة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بعد کون العذر مقطوعا بتلک الحجّة، یدرک العقل فی موارد العلم الإجمالیّ، انقطاع العذر أیضا، کما فی موارد العلم بإرادة المولی،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کلام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الاحتیاط مستند إلی التفویت الممنوع</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غیر تامّ، فما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إجراء البراءة علی الإطلاق </w:t>
      </w:r>
      <w:r>
        <w:rPr>
          <w:rStyle w:val="FootnoteAnchor"/>
          <w:rtl w:val="true"/>
        </w:rPr>
        <w:footnoteReference w:id="990"/>
      </w:r>
      <w:r>
        <w:rPr>
          <w:rFonts w:ascii="IRNazanin" w:hAnsi="IRNazanin" w:eastAsia="IRNazanin"/>
          <w:color w:val="111111"/>
          <w:sz w:val="28"/>
          <w:sz w:val="28"/>
          <w:szCs w:val="28"/>
          <w:rtl w:val="true"/>
          <w:lang w:bidi="fa-IR"/>
        </w:rPr>
        <w:t xml:space="preserve">، أو العلّامة النائینیّ إلی الاحتیاط علی الإطلاق </w:t>
      </w:r>
      <w:r>
        <w:rPr>
          <w:rStyle w:val="FootnoteAnchor"/>
          <w:rtl w:val="true"/>
        </w:rPr>
        <w:footnoteReference w:id="991"/>
      </w:r>
      <w:r>
        <w:rPr>
          <w:rFonts w:ascii="IRNazanin" w:hAnsi="IRNazanin" w:eastAsia="IRNazanin"/>
          <w:color w:val="111111"/>
          <w:sz w:val="28"/>
          <w:sz w:val="28"/>
          <w:szCs w:val="28"/>
          <w:rtl w:val="true"/>
          <w:lang w:bidi="fa-IR"/>
        </w:rPr>
        <w:t>، غیر راجع إلی محصّل، و إن کان مقتضی الصناعة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و تبعه الوالد المحقّق </w:t>
      </w:r>
      <w:r>
        <w:rPr>
          <w:rStyle w:val="FootnoteAnchor"/>
          <w:rtl w:val="true"/>
        </w:rPr>
        <w:footnoteReference w:id="993"/>
      </w:r>
      <w:r>
        <w:rPr>
          <w:rFonts w:ascii="IRNazanin" w:hAnsi="IRNazanin" w:eastAsia="IRNazanin"/>
          <w:color w:val="111111"/>
          <w:sz w:val="28"/>
          <w:sz w:val="28"/>
          <w:szCs w:val="28"/>
          <w:rtl w:val="true"/>
          <w:lang w:bidi="fa-IR"/>
        </w:rPr>
        <w:t>فی محلّه؛ لعدم تمسّکهم بحدیث التفویت الممنوع، کی یقال هنا بکون التفویت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الواجبات المشروطة واجبات معلّقة، و لو کان فی دلیل بنحو الوجوب المشروط إثباتا، فهو لأجل إفادة آثاره </w:t>
      </w:r>
      <w:r>
        <w:rPr>
          <w:rStyle w:val="FootnoteAnchor"/>
          <w:rtl w:val="true"/>
        </w:rPr>
        <w:footnoteReference w:id="994"/>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تنجیز العلم الإجمالیّ مثلا،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المقدّمة قبل فعلیّة ذی المقدّمة، و هکذا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موارد العلم الإجمالیّ التی یکون فیها المعلوم المتأخّر، تامّ المناط فی زمان العلم بالمتقدّم، کما إذا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یحرم علیها الکنس بالفعل، أو یحرم بعد ذلک علیها الکنس فی العشرة المتأخّرة، مع</w:t>
      </w:r>
      <w:bookmarkStart w:id="761" w:name="pg13173_325068"/>
    </w:p>
    <w:p>
      <w:pPr>
        <w:pStyle w:val="BookText"/>
        <w:rPr/>
      </w:pPr>
      <w:bookmarkEnd w:id="761"/>
      <w:r>
        <w:rPr>
          <w:rFonts w:ascii="IRNazanin" w:hAnsi="IRNazanin" w:eastAsia="IRNazanin"/>
          <w:color w:val="111111"/>
          <w:sz w:val="28"/>
          <w:sz w:val="28"/>
          <w:szCs w:val="28"/>
          <w:rtl w:val="true"/>
          <w:lang w:bidi="fa-IR"/>
        </w:rPr>
        <w:t xml:space="preserve">أنّه عالم بالمناط فی الآن و الحال </w:t>
      </w:r>
      <w:r>
        <w:rPr>
          <w:rStyle w:val="FootnoteAnchor"/>
          <w:rtl w:val="true"/>
        </w:rPr>
        <w:footnoteReference w:id="995"/>
      </w:r>
      <w:r>
        <w:rPr>
          <w:rFonts w:ascii="IRNazanin" w:hAnsi="IRNazanin" w:eastAsia="IRNazanin"/>
          <w:color w:val="111111"/>
          <w:sz w:val="28"/>
          <w:sz w:val="28"/>
          <w:szCs w:val="28"/>
          <w:rtl w:val="true"/>
          <w:lang w:bidi="fa-IR"/>
        </w:rPr>
        <w:t xml:space="preserve">، فهو لو کان یرجع إلی ما أبدعه السیّد رحمه اللّه فلا یتمّ؛ لأنّ الواجبات المشروطة و إن کانت فی الحقیقة من الواجبات المعلّقة، کما شرحناه </w:t>
      </w:r>
      <w:r>
        <w:rPr>
          <w:rStyle w:val="FootnoteAnchor"/>
          <w:rtl w:val="true"/>
        </w:rPr>
        <w:footnoteReference w:id="996"/>
      </w:r>
      <w:r>
        <w:rPr>
          <w:rFonts w:ascii="IRNazanin" w:hAnsi="IRNazanin" w:eastAsia="IRNazanin"/>
          <w:color w:val="111111"/>
          <w:sz w:val="28"/>
          <w:sz w:val="28"/>
          <w:szCs w:val="28"/>
          <w:rtl w:val="true"/>
          <w:lang w:bidi="fa-IR"/>
        </w:rPr>
        <w:t>، و لکنّها مشروطة فی الاعتبار و الآثار، دون الإرادة، و أمّا بحسب الإرادة فهی فعلیّة حتّی فی المشروطات، کما هو الواضح عند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عدم اشتراط العلم بالتکلیف و لو بجنسه فی تنجیز الواقع؛ بعد ما یعلم بحصول التکلیف بین زمان الحال أو الاستقبال، و لیس بالفعل عالما بالتکلیف؛ لا بنوعه، و لا بجنسه، إلّا أنّه عالم بأنّه إمّا الآن مکلّف بترک هذه المعاملة الربویّة، أو فی الشهر القادم مکلّف بترکها؛ بناء علی عدم کون التکلیف فی الشهر القادم، فعلیّا بالفعل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المرأة التی تری الدم مثال ذلک علی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التدریجیّات یکون تنجیز التکلیف أوسع من الدفعیّات؛ لإنّه لا یتنجّز التکلیف فی الدفعیّات فی هذه الصورة، لعدم إمکان تصوّرها فیها کما لا یخفی، و یتنجّز التکلیف فی الدفعیّات، مع أنّه لم تکن فعلیتها معلومة علی الإطلاق،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تفصیل الشیخ من ناحیة العلم بالملاک، أیضا غیر تامّ؛ لما لا طریق إلی العلم بالملاک کما مرّ، و لکنّه یتمّ من جهة حکم العقلاء بعد عدم کونها واردة فی الشرع بصورة الوجوب المشروط، کما عرفت</w:t>
      </w:r>
      <w:r>
        <w:rPr>
          <w:rFonts w:eastAsia="IRNazanin" w:cs="IRNazanin"/>
          <w:color w:val="111111"/>
          <w:sz w:val="28"/>
          <w:szCs w:val="28"/>
          <w:rtl w:val="true"/>
          <w:lang w:bidi="fa-IR"/>
        </w:rPr>
        <w:t>.</w:t>
      </w:r>
    </w:p>
    <w:p>
      <w:pPr>
        <w:pStyle w:val="Heading6"/>
        <w:numPr>
          <w:ilvl w:val="5"/>
          <w:numId w:val="1"/>
        </w:numPr>
        <w:rPr/>
      </w:pPr>
      <w:bookmarkStart w:id="762" w:name="__RefHeading___Toc735223_3244359995"/>
      <w:bookmarkStart w:id="763" w:name="_Toc286"/>
      <w:bookmarkEnd w:id="762"/>
      <w:r>
        <w:rPr>
          <w:rtl w:val="true"/>
        </w:rPr>
        <w:t>تذنیب</w:t>
      </w:r>
      <w:r>
        <w:rPr>
          <w:rtl w:val="true"/>
        </w:rPr>
        <w:t xml:space="preserve">: </w:t>
      </w:r>
      <w:r>
        <w:rPr>
          <w:rtl w:val="true"/>
        </w:rPr>
        <w:t>حول وجوب التحفّظ علی المقدمات المفوتة</w:t>
      </w:r>
      <w:bookmarkEnd w:id="76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یترتّب علی ما ذکرناه، کثیر من المسائل فی باب التحفّظ علی مقدّمات</w:t>
      </w:r>
      <w:bookmarkStart w:id="764" w:name="pg13173_325069"/>
    </w:p>
    <w:p>
      <w:pPr>
        <w:pStyle w:val="BookText"/>
        <w:rPr/>
      </w:pPr>
      <w:bookmarkEnd w:id="764"/>
      <w:r>
        <w:rPr>
          <w:rFonts w:ascii="IRNazanin" w:hAnsi="IRNazanin" w:eastAsia="IRNazanin"/>
          <w:color w:val="111111"/>
          <w:sz w:val="28"/>
          <w:sz w:val="28"/>
          <w:szCs w:val="28"/>
          <w:rtl w:val="true"/>
          <w:lang w:bidi="fa-IR"/>
        </w:rPr>
        <w:t>الواجبات الآتیة فی أوقاتها، أو التحفّظ علی ترک التشرّف بزیارة الأمکنة الموجبة لترک الأهمّ؛ و لو بحدوث الموضوع الجدید بالنسبة إلی المهمّ من غیر الاحتیاج إلی القول بالوجوب المعلّق، أو القول بانکشاف المرام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 ذلک فی صورة کون الواجب، بصورة الوجوب الفعلیّ غیر المشروط، کما فی تحریم کنس المسجد علی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بصورة الواجب المشروط، فالأشبه بالقواعد عدم وجوب الاحتیاط؛ لأنّ تصدّی المولی لإفادة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الإرادة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لإفادة آثاره، و مقتضی الإطلاق ترتّب جمیع الآثار، فما سلکه السیّد الفشارکیّ و أتباعه، فی غیر محلّه کما عرفت،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الواقع، إلّا أنّه بعید عمّا حقّقناه حوله، و اللّه المؤیّد، و نحن نشکره</w:t>
      </w:r>
      <w:r>
        <w:rPr>
          <w:rFonts w:eastAsia="IRNazanin" w:cs="IRNazanin"/>
          <w:color w:val="111111"/>
          <w:sz w:val="28"/>
          <w:szCs w:val="28"/>
          <w:rtl w:val="true"/>
          <w:lang w:bidi="fa-IR"/>
        </w:rPr>
        <w:t>.</w:t>
      </w:r>
    </w:p>
    <w:p>
      <w:pPr>
        <w:pStyle w:val="Heading6"/>
        <w:numPr>
          <w:ilvl w:val="5"/>
          <w:numId w:val="1"/>
        </w:numPr>
        <w:rPr/>
      </w:pPr>
      <w:bookmarkStart w:id="765" w:name="__RefHeading___Toc735225_3244359995"/>
      <w:bookmarkStart w:id="766" w:name="_Toc287"/>
      <w:bookmarkEnd w:id="765"/>
      <w:r>
        <w:rPr>
          <w:rtl w:val="true"/>
        </w:rPr>
        <w:t>التنبیه السادس حول صور تنجیز العلم الإجمالی فی المسائل المالیة</w:t>
      </w:r>
      <w:bookmarkEnd w:id="766"/>
    </w:p>
    <w:p>
      <w:pPr>
        <w:pStyle w:val="Heading6"/>
        <w:numPr>
          <w:ilvl w:val="5"/>
          <w:numId w:val="1"/>
        </w:numPr>
        <w:rPr/>
      </w:pPr>
      <w:bookmarkStart w:id="767" w:name="__RefHeading___Toc735227_3244359995"/>
      <w:bookmarkStart w:id="768" w:name="_Toc288"/>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فی موارد العلم الإجمالیّ بالمسائل الراجعة إلی الامور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کالخمس، و الزکاة، و الدیون، و الضمانات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فی المتباینین، کما هو مفروض البحث؛ و أنّه هل العلم ینجّز، أم 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عدم تعرّضهم لهذه المسألة الکثیر جدواها فی تنبیهات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یستفاد اختلاف آرائهم فی الفقه، فذهب الفقیه الیزدیّ رحمه اللّه فی ختام</w:t>
      </w:r>
      <w:bookmarkStart w:id="769" w:name="pg13173_325070"/>
    </w:p>
    <w:p>
      <w:pPr>
        <w:pStyle w:val="BookText"/>
        <w:rPr/>
      </w:pPr>
      <w:bookmarkEnd w:id="769"/>
      <w:r>
        <w:rPr>
          <w:rFonts w:ascii="IRNazanin" w:hAnsi="IRNazanin" w:eastAsia="IRNazanin"/>
          <w:color w:val="111111"/>
          <w:sz w:val="28"/>
          <w:sz w:val="28"/>
          <w:szCs w:val="28"/>
          <w:rtl w:val="true"/>
          <w:lang w:bidi="fa-IR"/>
        </w:rPr>
        <w:t>مسائل الزکاة إلی الاحتیاط</w:t>
      </w:r>
      <w:r>
        <w:rPr>
          <w:rStyle w:val="FootnoteAnchor"/>
          <w:rtl w:val="true"/>
        </w:rPr>
        <w:footnoteReference w:id="997"/>
      </w:r>
      <w:r>
        <w:rPr>
          <w:rFonts w:ascii="IRNazanin" w:hAnsi="IRNazanin" w:eastAsia="IRNazanin"/>
          <w:color w:val="111111"/>
          <w:sz w:val="28"/>
          <w:sz w:val="28"/>
          <w:szCs w:val="28"/>
          <w:rtl w:val="true"/>
          <w:lang w:bidi="fa-IR"/>
        </w:rPr>
        <w:t xml:space="preserve">، و هکذا یظهر منه تعیّنه فی الخمس فی مسائل المختلط بالحرام </w:t>
      </w:r>
      <w:r>
        <w:rPr>
          <w:rStyle w:val="FootnoteAnchor"/>
          <w:rtl w:val="true"/>
        </w:rPr>
        <w:footnoteReference w:id="998"/>
      </w:r>
      <w:r>
        <w:rPr>
          <w:rFonts w:ascii="IRNazanin" w:hAnsi="IRNazanin" w:eastAsia="IRNazanin"/>
          <w:color w:val="111111"/>
          <w:sz w:val="28"/>
          <w:sz w:val="28"/>
          <w:szCs w:val="28"/>
          <w:rtl w:val="true"/>
          <w:lang w:bidi="fa-IR"/>
        </w:rPr>
        <w:t xml:space="preserve">، و تبعه جمع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خالفه بعضهم برجوعه إلی القرعة فیها، دون الاحتیاط</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بعضهم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تنجیز العلم الإجمالیّ فی المقام، محلّ تأمّل و إشکال</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إرجاع بعض صور المسألة إلی الأقلّ و الأکثر، خروج عمّا هو مورد النظر فی المقام؛ لاختصاص البحث بدوران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تتصوّر هنا صور نشیر إلیها؛ کی ینتفع بها الباحثون</w:t>
      </w:r>
      <w:r>
        <w:rPr>
          <w:rFonts w:eastAsia="IRNazanin" w:cs="IRNazanin"/>
          <w:color w:val="111111"/>
          <w:sz w:val="28"/>
          <w:szCs w:val="28"/>
          <w:rtl w:val="true"/>
          <w:lang w:bidi="fa-IR"/>
        </w:rPr>
        <w:t>:</w:t>
      </w:r>
    </w:p>
    <w:p>
      <w:pPr>
        <w:pStyle w:val="Heading6"/>
        <w:numPr>
          <w:ilvl w:val="5"/>
          <w:numId w:val="1"/>
        </w:numPr>
        <w:rPr/>
      </w:pPr>
      <w:bookmarkStart w:id="770" w:name="__RefHeading___Toc735229_3244359995"/>
      <w:bookmarkStart w:id="771" w:name="_Toc289"/>
      <w:bookmarkEnd w:id="770"/>
      <w:r>
        <w:rPr>
          <w:rtl w:val="true"/>
        </w:rPr>
        <w:t>الصورة الاولی</w:t>
      </w:r>
      <w:r>
        <w:rPr>
          <w:rtl w:val="true"/>
        </w:rPr>
        <w:t>:</w:t>
      </w:r>
      <w:bookmarkEnd w:id="771"/>
    </w:p>
    <w:p>
      <w:pPr>
        <w:pStyle w:val="BookText"/>
        <w:rPr/>
      </w:pPr>
      <w:r>
        <w:rPr>
          <w:rFonts w:ascii="IRNazanin" w:hAnsi="IRNazanin" w:eastAsia="IRNazanin"/>
          <w:color w:val="111111"/>
          <w:sz w:val="28"/>
          <w:sz w:val="28"/>
          <w:szCs w:val="28"/>
          <w:rtl w:val="true"/>
          <w:lang w:bidi="fa-IR"/>
        </w:rPr>
        <w:t>أن یکون العلم بالحرمة دائرا بین العینین الشخصیّتین الخارجیّتین غیر المستولی علیهما المکلّف، فلا تکون له الید علیهما، إلّا أنّه یعلم بأنّ إحداهما له، و الاخری لأجنبیّ، کما إذا علم بأنّ هذه الشاة له، أو تلک الشجرة، و حیث لا یدله علیهما بالفعل، و لا سبقت یده، یکون مقتضی العلم الإجمالیّ هو الاحتیاط، فلا یجوز له التصرّف فیها، و لا یکون مکلّفا بالردّ؛ لکونهما خارجتین عن استیلائه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العلم منجّزا؛ لکفایة الشبهة فی هذه الصورة فی</w:t>
      </w:r>
      <w:bookmarkStart w:id="772" w:name="pg13173_325071"/>
    </w:p>
    <w:p>
      <w:pPr>
        <w:pStyle w:val="BookText"/>
        <w:rPr/>
      </w:pPr>
      <w:bookmarkEnd w:id="772"/>
      <w:r>
        <w:rPr>
          <w:rFonts w:ascii="IRNazanin" w:hAnsi="IRNazanin" w:eastAsia="IRNazanin"/>
          <w:color w:val="111111"/>
          <w:sz w:val="28"/>
          <w:sz w:val="28"/>
          <w:szCs w:val="28"/>
          <w:rtl w:val="true"/>
          <w:lang w:bidi="fa-IR"/>
        </w:rPr>
        <w:t>التنجیز، لکونها من الشبهات المهتمّ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التصرّف الذی هو الممنوع فی الشبهة المهتمّ بها، هو التصرّف المفنی و المعدم، دون الیسیر؛ فإنّه ممّا لا یهتمّ به، و لذا جوّز الشرع ذلک فی مثل أخذ اللقطة، فعلیه تستند حرمة هذا النحو من التصرّف إلی العلم الإجمالیّ، مع إمکان استناد التنجیز علی الإطلاق إلی الشبهة و إلی العلم، کما یأتی تحقیقه؛ ضرورة أنّ التنجیز لیس من المسبّب المتولّد من الشبهة أو العلم، بل التنجّز معناه إدراک العقل استحقاق العقوبة، مع فقد الحجّة فی قباله، و هذا کما یمکن أن یکون من الشبهة، یجوز أن یکون من قبل العلم الموجود، و التفصیل فی الآتی إن شاء اللّه تعالی </w:t>
      </w:r>
      <w:r>
        <w:rPr>
          <w:rStyle w:val="FootnoteAnchor"/>
          <w:rtl w:val="true"/>
        </w:rPr>
        <w:footnoteReference w:id="1002"/>
      </w:r>
      <w:r>
        <w:rPr>
          <w:rFonts w:ascii="IRNazanin" w:hAnsi="IRNazanin" w:eastAsia="IRNazanin"/>
          <w:color w:val="111111"/>
          <w:sz w:val="28"/>
          <w:sz w:val="28"/>
          <w:szCs w:val="28"/>
          <w:rtl w:val="true"/>
          <w:lang w:bidi="fa-IR"/>
        </w:rPr>
        <w:t>أی یصلح کلّ واحد من الجهتین لإدراک العقل ذلک بالقیاس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تنجیز العلم الإجمالیّ هنا محلّ تأمّل، فی غیر محلّه فی هذه الصورة علی بعض الوجوه و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مسلک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مسلکنا، فقد مرّ إمکان الترخیص علی الإطلاق حسب الصناعة المحضة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3" w:name="__RefHeading___Toc735231_3244359995"/>
      <w:bookmarkStart w:id="774" w:name="_Toc290"/>
      <w:bookmarkEnd w:id="773"/>
      <w:r>
        <w:rPr>
          <w:rtl w:val="true"/>
        </w:rPr>
        <w:t>الصورة الثانیة</w:t>
      </w:r>
      <w:r>
        <w:rPr>
          <w:rtl w:val="true"/>
        </w:rPr>
        <w:t>:</w:t>
      </w:r>
      <w:bookmarkEnd w:id="774"/>
    </w:p>
    <w:p>
      <w:pPr>
        <w:pStyle w:val="Heading6"/>
        <w:numPr>
          <w:ilvl w:val="5"/>
          <w:numId w:val="1"/>
        </w:numPr>
        <w:rPr/>
      </w:pPr>
      <w:bookmarkStart w:id="775" w:name="__RefHeading___Toc735233_3244359995"/>
      <w:bookmarkStart w:id="776" w:name="_Toc291"/>
      <w:bookmarkEnd w:id="775"/>
      <w:r>
        <w:rPr>
          <w:rtl w:val="true"/>
        </w:rPr>
        <w:t>اشارة</w:t>
      </w:r>
      <w:bookmarkEnd w:id="77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العینان تحت الید، و یعلم إجمالا بأنّ إحداهما الشخصیّة لأجنبیّ، فمرجعیّة قاعدة الید ساقطة، و لو کان العلم الإجمالیّ منجّزا، یلزم حرمة التصرّف علی الإطلاق، و یجب التخلیة بینها و بین مالکها إذا عرفه؛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کانت مغصوبة و هو غاصبها، یجب الردّ و لو لم یطالب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الظاهر من فتوی القوم فیما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علیه خمس العین المعیّنة، أو زکاة عین زکویّة</w:t>
      </w:r>
      <w:r>
        <w:rPr>
          <w:rStyle w:val="FootnoteAnchor"/>
          <w:rtl w:val="true"/>
        </w:rPr>
        <w:footnoteReference w:id="1004"/>
      </w:r>
      <w:r>
        <w:rPr>
          <w:rFonts w:ascii="IRNazanin" w:hAnsi="IRNazanin" w:eastAsia="IRNazanin"/>
          <w:color w:val="111111"/>
          <w:sz w:val="28"/>
          <w:sz w:val="28"/>
          <w:szCs w:val="28"/>
          <w:rtl w:val="true"/>
          <w:lang w:bidi="fa-IR"/>
        </w:rPr>
        <w:t>، مع أنّ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تجویز الردّ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ردّهما إلی الحاکم أو إلی المالک فی الفرض الأوّل، یلزم إشکال یستتبع عدم إمکان الاحتیاط؛ و هو أنّه لا یرضی بالتصرّف فیما هو ماله، فلا یجوز للطرف أخذهما معا، و لو أخذهما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فیعلم منه سقوط العلم الإجمالیّ عن التأثیر؛ لعدم قابلیّة المورد، فالقول بسقوط العلم الإجمالیّ عن التنجیز هنا،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التنجّز یستند إلی الشبهة ذاتا؛ لکونها من الشبهات المهتمّ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لا بدّ من حلّ المشکلة بأحد الوجوه الاخر المحرّرة فی الفقه و غیر المربوطة بمسائل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المصالحة، أو القرعة، أو مجهول المال، أو المختلط بالحرام حکما، لا موضوعا،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وجوب الرضا باستهلاک الطرف؛ نظرا إلی إمکان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هنا مصبّ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مستند إلی درک العقل، دون حکم الشرع، فعلیه ردّها إلی مالکها فی صورة معرفته إیّاه، و رضاه بتصرّفه، فلا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یجی‌ء من إطلاق الدلیل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التخلیة بین المال و مالکه بعدم المنع، فإن یعرف ماله فهو، و إلّا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بالقاعدة هو الموضوع الضرریّ، و هو المجموع، و لیس له فی الشرع حکم،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فالمجموع غیر واجب ردّه شرعا، و تصیر النتیجة حرمة المخالفة القطعیّة و إن لم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الملازمة بین الحرمة و الوجوب </w:t>
      </w:r>
      <w:r>
        <w:rPr>
          <w:rStyle w:val="FootnoteAnchor"/>
          <w:rtl w:val="true"/>
        </w:rPr>
        <w:footnoteReference w:id="1005"/>
      </w:r>
      <w:r>
        <w:rPr>
          <w:rFonts w:ascii="IRNazanin" w:hAnsi="IRNazanin" w:eastAsia="IRNazanin"/>
          <w:color w:val="111111"/>
          <w:sz w:val="28"/>
          <w:sz w:val="28"/>
          <w:szCs w:val="28"/>
          <w:rtl w:val="true"/>
          <w:lang w:bidi="fa-IR"/>
        </w:rPr>
        <w:t>، فهی مطلقا ممنوعة کما مرّ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هنا لیس محلّها؛ لأنّ التنجّز مستند إلی الشبهة البدویّة، و أنت خبیر بفساد جمیع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إطلاق الدلیل لو کان مقتضیا للوجوب هنا، و مستلزما للضرر، یمکن منعه بالمقدار الخاصّ، إلّا أنّ لزوم الرضا بالتصرّف ممنوع؛ لأنّ ما هو الواجب لیس إلّا التخلیة حتّی فی الغاصب، أو تحمّل ضرر الحمل إلی مکان الغصب، و إعلام المالک، اللهمّ إلّا إذا حصل الخلط من قبل الغاصب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کان عن غیر عمد؛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بأشقّ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النتیجة التفصیل بین الفرضین، و المسألة حسب القواعد مشکلة، و تصل النوبة إلی القرعة عندنا،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ینبغی أن یختفی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الموارد یمکن أن تستند حرمة المخالفة إلی ما لا یستند إلیه وجوب الموافقة، مثلا فی المثال المذکور فی هذه الصورة، یمکن دعوی استناد حرمة المخالفة إلی الشبهة البدویّة؛ لکونها من الامور المهتمّ بها، فلا تستند إلی العلم الإجمالیّ بأنّ إحدی العینین للغیر، و لکن وجوب التخلیة و الردّ إلی المالک، یستند إلی العلم الإجمالیّ الموجود فی البین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المخالفة القطعیّة و الاحتمالیّة، مستندة إلی الشبهة،</w:t>
      </w:r>
      <w:bookmarkStart w:id="777" w:name="pg13173_325074"/>
    </w:p>
    <w:p>
      <w:pPr>
        <w:pStyle w:val="BookText"/>
        <w:rPr/>
      </w:pPr>
      <w:bookmarkEnd w:id="777"/>
      <w:r>
        <w:rPr>
          <w:rFonts w:ascii="IRNazanin" w:hAnsi="IRNazanin" w:eastAsia="IRNazanin"/>
          <w:color w:val="111111"/>
          <w:sz w:val="28"/>
          <w:sz w:val="28"/>
          <w:szCs w:val="28"/>
          <w:rtl w:val="true"/>
          <w:lang w:bidi="fa-IR"/>
        </w:rPr>
        <w:t>و لازم حرمة المخالفة الاحتمالیّة وجوب الموافقة القطعیّة، فلا یجوز التصرّف فی کلّ واحدة منهما، فالوجوب یرجع إلی حرمة المخالفة الاحتمالیّة عقلا، إلّا أنّ هناک حکمین،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أن یکون الحکم الواحد منجّزا بالنسبة إلی المخالفة الاحتمالیّة؛ من ناحیة العلم الإجمالیّ، و منجّزا بالنسبة إلی الموافقة القطعیّة فی الشبهة، بل الشبهة فی المقام تقتضی الحرمة و الوجوب، و العلم الإجمالیّ یقتضیهما بالنسبة إلی الحکم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الردّ إلی المالک، فلا یتصوّر ثبوتا بالنسبة إلی الحکم الواحد، أن تکون الحرمة مستندة إلی شی‌ء، و الوجوب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التصرّف لأجل الردّ إلی المالک فی صورة إرادة ردّ إحداهما إلیه دون الاخری، فهو و لو کان جائزا، و لکن وجوب الردّ مستند إلی العلم الإجمالیّ، و لا تحرم المخالفة الاحتمالیّة فی هذه الصورة؛ فإنّه لا سبیل علی المحسنین، فتأمّل</w:t>
      </w:r>
      <w:r>
        <w:rPr>
          <w:rFonts w:eastAsia="IRNazanin" w:cs="IRNazanin"/>
          <w:color w:val="111111"/>
          <w:sz w:val="28"/>
          <w:szCs w:val="28"/>
          <w:rtl w:val="true"/>
          <w:lang w:bidi="fa-IR"/>
        </w:rPr>
        <w:t>.</w:t>
      </w:r>
    </w:p>
    <w:p>
      <w:pPr>
        <w:pStyle w:val="Heading6"/>
        <w:numPr>
          <w:ilvl w:val="5"/>
          <w:numId w:val="1"/>
        </w:numPr>
        <w:rPr/>
      </w:pPr>
      <w:bookmarkStart w:id="778" w:name="__RefHeading___Toc735235_3244359995"/>
      <w:bookmarkStart w:id="779" w:name="_Toc292"/>
      <w:bookmarkEnd w:id="778"/>
      <w:r>
        <w:rPr>
          <w:rtl w:val="true"/>
        </w:rPr>
        <w:t>بقی إشکال</w:t>
      </w:r>
      <w:r>
        <w:rPr>
          <w:rtl w:val="true"/>
        </w:rPr>
        <w:t>:</w:t>
      </w:r>
      <w:bookmarkEnd w:id="779"/>
    </w:p>
    <w:p>
      <w:pPr>
        <w:pStyle w:val="BookText"/>
        <w:rPr/>
      </w:pPr>
      <w:r>
        <w:rPr>
          <w:rFonts w:ascii="IRNazanin" w:hAnsi="IRNazanin" w:eastAsia="IRNazanin"/>
          <w:color w:val="111111"/>
          <w:sz w:val="28"/>
          <w:sz w:val="28"/>
          <w:szCs w:val="28"/>
          <w:rtl w:val="true"/>
          <w:lang w:bidi="fa-IR"/>
        </w:rPr>
        <w:t>إنّ العلم الإجمالیّ إذا کان یمنع عن جریان قاعدة الید، فلا یستند التنجّز إلی الشبهة؛ لأنّ الشبهة البدویّة فی هذه الصورة، محکومة بالعدم حسب استیلائه علیها، فلو کان فی البین شبهة بدویّة فلا أثر لها؛ لقاعدة الید و لو کانت الشبهة مقرونة فلا أثر للعلم؛ للمعارضة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تصیر النتیجة عدم وجود المنجّز؛ للزوم الخلف، لأنّه یلزم من سقوط الیدین کون الشبهة بدویّة، و تصیر مجری القاعدة، و إذا لم تکن الشبهة بدویّة تقع المعارضة و لو کان العلم غیر موجب للتعارض تجری القاعدة فی الطرفین، و هو خلاف العلم عند القوم، فالمشکلة هنا عقلیّة قطعا</w:t>
      </w:r>
      <w:r>
        <w:rPr>
          <w:rFonts w:eastAsia="IRNazanin" w:cs="IRNazanin"/>
          <w:color w:val="111111"/>
          <w:sz w:val="28"/>
          <w:szCs w:val="28"/>
          <w:rtl w:val="true"/>
          <w:lang w:bidi="fa-IR"/>
        </w:rPr>
        <w:t>.</w:t>
      </w:r>
      <w:bookmarkStart w:id="780" w:name="pg13173_325075"/>
    </w:p>
    <w:p>
      <w:pPr>
        <w:pStyle w:val="BookText"/>
        <w:rPr/>
      </w:pPr>
      <w:bookmarkEnd w:id="780"/>
      <w:r>
        <w:rPr>
          <w:rFonts w:ascii="IRNazanin" w:hAnsi="IRNazanin" w:eastAsia="IRNazanin"/>
          <w:color w:val="111111"/>
          <w:sz w:val="28"/>
          <w:sz w:val="28"/>
          <w:szCs w:val="28"/>
          <w:rtl w:val="true"/>
          <w:lang w:bidi="fa-IR"/>
        </w:rPr>
        <w:t>و تندفع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موجود تکوینا، و مانع عن جریان القاعدة، و لا منع من کون التنجّز مستندا إلی الشبهة بذاتها؛ مع قطع النظر عن العلم الموجود المانع عن جریانها، و لا یعتبر کون منشأ التنجّز مع منشأ المعارضة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جدید فی مسائل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المشکلة تندفع بأنّ التنجّز مستند إلی الشبهة بما هی هی، و لا تجری القاعدة؛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المسألة یکون الحکم الواقعیّ الثابت بالأدلّة الأوّلیة، أهمّ من الحکم الظاهریّ الثابت بالأدلّة المرخّصة الموجبة للتأمین و التعذیر، و لذلک تقدّم مصلحة الواقع علی مصلحة التسهیل، و لا تجری مقدّمات الترخیص الاختیاریّ، و لا القول بالترخیص فی مجموع الأطراف، بل و لا فی الشبهة البدویّة إلّا بالنسبة إلی التصرّف الیسیر غیر المتلف، فلیلاحظ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الشبهة البدویّة و العلم الإجمالیّ، منجّز بالنسبة إلی التصرّف الکثیر، و الکلّ غیر منجّز بالنسبة إلی التصرّف الیسیر، فاغتنم</w:t>
      </w:r>
      <w:r>
        <w:rPr>
          <w:rFonts w:eastAsia="IRNazanin" w:cs="IRNazanin"/>
          <w:color w:val="111111"/>
          <w:sz w:val="28"/>
          <w:szCs w:val="28"/>
          <w:rtl w:val="true"/>
          <w:lang w:bidi="fa-IR"/>
        </w:rPr>
        <w:t>.</w:t>
      </w:r>
    </w:p>
    <w:p>
      <w:pPr>
        <w:pStyle w:val="Heading6"/>
        <w:numPr>
          <w:ilvl w:val="5"/>
          <w:numId w:val="1"/>
        </w:numPr>
        <w:rPr/>
      </w:pPr>
      <w:bookmarkStart w:id="781" w:name="__RefHeading___Toc735237_3244359995"/>
      <w:bookmarkStart w:id="782" w:name="_Toc293"/>
      <w:bookmarkEnd w:id="781"/>
      <w:r>
        <w:rPr>
          <w:rtl w:val="true"/>
        </w:rPr>
        <w:t>الصورة الثالثة</w:t>
      </w:r>
      <w:r>
        <w:rPr>
          <w:rtl w:val="true"/>
        </w:rPr>
        <w:t>:</w:t>
      </w:r>
      <w:bookmarkEnd w:id="782"/>
    </w:p>
    <w:p>
      <w:pPr>
        <w:pStyle w:val="BookText"/>
        <w:rPr/>
      </w:pPr>
      <w:r>
        <w:rPr>
          <w:rFonts w:ascii="IRNazanin" w:hAnsi="IRNazanin" w:eastAsia="IRNazanin"/>
          <w:color w:val="111111"/>
          <w:sz w:val="28"/>
          <w:sz w:val="28"/>
          <w:szCs w:val="28"/>
          <w:rtl w:val="true"/>
          <w:lang w:bidi="fa-IR"/>
        </w:rPr>
        <w:t>إذا کانت إحدی العینین تحت الید، و کان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إحداهما للأجنبیّ، فعلی ما سلکه القوم من جریان الأصل المثبت و النافی معا، تنحلّ المشکلة، و 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لو کان الطرف الخارج من تحت الید غیر مجری للاستصحاب؛ لکفایة کونه من الشبهة البدویّة المهتمّ بها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قاعدة الید کون الاخری للأجنبیّ؛ حسب الدلالة الالتزامیّة، و هی حجّة، فإذا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إحداهما له، و الاخری للأجنبیّ،</w:t>
      </w:r>
    </w:p>
    <w:p>
      <w:pPr>
        <w:pStyle w:val="BookText"/>
        <w:rPr/>
      </w:pPr>
      <w:r>
        <w:rPr>
          <w:rFonts w:ascii="IRNazanin" w:hAnsi="IRNazanin" w:eastAsia="IRNazanin"/>
          <w:color w:val="111111"/>
          <w:sz w:val="28"/>
          <w:sz w:val="28"/>
          <w:szCs w:val="28"/>
          <w:rtl w:val="true"/>
          <w:lang w:bidi="fa-IR"/>
        </w:rPr>
        <w:t>فمقتضی الدلالة المطابقیّة أنّ ما هو تحت استیلاؤه له، و ما هو الخارج للغیر، فلا شبهة حتّی تصل النوبة إلی حکم العقل، أو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أنّه لم یکن له فی زمان، و یشکّ فی أنّه انتقل إلیه بسبب أم لا، فاستصحاب نفی السبب یکفی لعدم جواز التصرّف،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الالتزامیّة منتفیة؛ سواء کانت القضیّة المعلومة بالإجمال من المنفصلة الحقیقیّة، أو مانعة الخلوّ؛ ضرورة أنّه علی الوجه الأوّل، لا یبقی مورد للدلالة الالتزامیّة بعد کون مفاد الأمارة إلغاء احتمال الخلاف، و یتمّ الکشف، و تصیر النتیجة مثل ما إذا علم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تحت الید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حکمه ما لو کان مفاد الأمارة هو التعبّد بأنّه العلم سببا، أو أنّ مؤدّاه المعلوم مسبّبا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 مطلقا و هکذا علی ما هو الحقّ فی باب 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مجرّد التنجیز و التعذیر العقلائیّ الإمضائیّ، أو بحکم الممضی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الدلالة؛ لاحتمال کون الخارج أیضا له ثبوتا، و لا معنی حینئذ للدلالة الالتزامیّة؛ لعدم اللزوم العقلیّ، و لا العقلائیّ و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قیام الأمارة غیر الید حتّی مثل البیّنة، أیضا لا تفی لإفادة الدلالة الالتزامیّة</w:t>
      </w:r>
      <w:r>
        <w:rPr>
          <w:rStyle w:val="FootnoteAnchor"/>
          <w:rtl w:val="true"/>
        </w:rPr>
        <w:footnoteReference w:id="1007"/>
      </w:r>
      <w:r>
        <w:rPr>
          <w:rFonts w:ascii="IRNazanin" w:hAnsi="IRNazanin" w:eastAsia="IRNazanin"/>
          <w:color w:val="111111"/>
          <w:sz w:val="28"/>
          <w:sz w:val="28"/>
          <w:szCs w:val="28"/>
          <w:rtl w:val="true"/>
          <w:lang w:bidi="fa-IR"/>
        </w:rPr>
        <w:t>لأنّ البیّنة أجنبیّة عن الطرف، و مجرّد القیام علی أنّ هذه المعیّنة مثلا لزید، لا یستلزم کون الاخری لعمرو؛ لأنّ اللزوم منفیّ و مغفول عنه،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إذا کان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فی تحت یده لزید، أو ما فی تحت ید عمرو له، فإنّه مع قطع النظر عن التصرّف فیما تحت ید عمرو، لا إشکال کما عرفت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التصرّف فیما تحت استیلاء عمرو،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علیه بناء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للعلم الإجمالیّ بحرمة التصرّف فی إحدی العینین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دعوی العلم الإجمالیّ بحرمة التصرّف المذکورة علی الإطلاق، فیلزم الاحتیاط؛ لأنّ المفروض عدم خروجه عن محلّ الابتلاء، فهی غیر تامّة؛ لأنّ حرمة التصرّف فی العین الخارجة عن استیلائه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تحت استیلاء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 بالتفصیل، و جائزة عند الإذن، فلا یلزم العلم بالتکلیف الفعلیّ، بل هو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إذنه فی التصرّف بل و فی صورة العلم بأنّه یأذن فی التصرّف، یشکل لأنّه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إحدی العینین لشخص ثالث، و یعلم بالتکلیف الفعلیّ الإجمالیّ،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لا یکون منجّزا فی المسائل المالیّة، فلازمه جواز التصرّف؛ لقاعدة الید الجاریة فی کلّ 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ینجّز یلزم المعارضة، و یستند التنجّز إلی العلم، أو إلی ذات الشبهة بعد سقوط الیدین، أو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النتیجة ممنوعیّة تصرّفه فیما تحت یده من الدار مثلا بعد إذن عمرو بتصرّفه فی داره، فبمجرّد استدعاء عمرو منه التصرّف فی داره، تلزم ممنوعیّته عن الدارین، و قبل ذلک کان ممنوعا من دار عمرو دون داره، و هذه عویصة جدّا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محرّم علی نحو التحریم التعلیقیّ، دون المشروط؛ لأنّ الأصل فیما دار الأمر بین المشروط و المعلّق هو الثانی، إلّا إذا قامت القرینة علی الأوّل، کما تحرّر فی المجلّد الأوّل </w:t>
      </w:r>
      <w:r>
        <w:rPr>
          <w:rStyle w:val="FootnoteAnchor"/>
          <w:rtl w:val="true"/>
        </w:rPr>
        <w:footnoteReference w:id="1009"/>
      </w:r>
      <w:r>
        <w:rPr>
          <w:rFonts w:ascii="IRNazanin" w:hAnsi="IRNazanin" w:eastAsia="IRNazanin"/>
          <w:color w:val="111111"/>
          <w:sz w:val="28"/>
          <w:sz w:val="28"/>
          <w:szCs w:val="28"/>
          <w:rtl w:val="true"/>
          <w:lang w:bidi="fa-IR"/>
        </w:rPr>
        <w:t>، و ظاهر الأدلّة فی هذه المسألة هو التعلیق، فالحرمة فعلیّة مردّدة بین المنجّزة و المعلّقة، و لازمه ممنوعیّة التصرّف</w:t>
      </w:r>
      <w:bookmarkStart w:id="783" w:name="pg13173_325078"/>
    </w:p>
    <w:p>
      <w:pPr>
        <w:pStyle w:val="BookText"/>
        <w:rPr/>
      </w:pPr>
      <w:bookmarkEnd w:id="783"/>
      <w:r>
        <w:rPr>
          <w:rFonts w:ascii="IRNazanin" w:hAnsi="IRNazanin" w:eastAsia="IRNazanin"/>
          <w:color w:val="111111"/>
          <w:sz w:val="28"/>
          <w:sz w:val="28"/>
          <w:szCs w:val="28"/>
          <w:rtl w:val="true"/>
          <w:lang w:bidi="fa-IR"/>
        </w:rPr>
        <w:t>علی مسلکهم، و یلزم عندئذ الرجوع إلی القرعة حتّی تنحلّ المشکلة، و یعلم أنّ ما تحت استیلائه أو استیلاء عمرو لزید کی یردّ إلیه،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وجه ممنوعیّة التصرّفات الاعتباریّة بین العینین بیعا و صلحا، أو هبة معوّضة؛ بناء علی جوازها</w:t>
      </w:r>
      <w:r>
        <w:rPr>
          <w:rFonts w:eastAsia="IRNazanin" w:cs="IRNazanin"/>
          <w:color w:val="111111"/>
          <w:sz w:val="28"/>
          <w:szCs w:val="28"/>
          <w:rtl w:val="true"/>
          <w:lang w:bidi="fa-IR"/>
        </w:rPr>
        <w:t>.</w:t>
      </w:r>
    </w:p>
    <w:p>
      <w:pPr>
        <w:pStyle w:val="Heading6"/>
        <w:numPr>
          <w:ilvl w:val="5"/>
          <w:numId w:val="1"/>
        </w:numPr>
        <w:rPr/>
      </w:pPr>
      <w:bookmarkStart w:id="784" w:name="__RefHeading___Toc735239_3244359995"/>
      <w:bookmarkStart w:id="785" w:name="_Toc294"/>
      <w:bookmarkEnd w:id="784"/>
      <w:r>
        <w:rPr>
          <w:rtl w:val="true"/>
        </w:rPr>
        <w:t>الصورة الرابعة</w:t>
      </w:r>
      <w:r>
        <w:rPr>
          <w:rtl w:val="true"/>
        </w:rPr>
        <w:t>:</w:t>
      </w:r>
      <w:bookmarkEnd w:id="785"/>
    </w:p>
    <w:p>
      <w:pPr>
        <w:pStyle w:val="BookText"/>
        <w:rPr/>
      </w:pPr>
      <w:r>
        <w:rPr>
          <w:rFonts w:ascii="IRNazanin" w:hAnsi="IRNazanin" w:eastAsia="IRNazanin"/>
          <w:color w:val="111111"/>
          <w:sz w:val="28"/>
          <w:sz w:val="28"/>
          <w:szCs w:val="28"/>
          <w:rtl w:val="true"/>
          <w:lang w:bidi="fa-IR"/>
        </w:rPr>
        <w:t>فی حکم موارد الشکّ الاستصحابیّ فی تلک الصور الثلاث، مثلا لو کانتا تحت یده، و کان یعلم بأنّهما کانتا تحت ید زید، و یعلم إجمالا بأنّ إحداهما له، فإنّ الاستصحابین یتعارضان، و هکذا الیدان، أو لا یجریان، و علی کلّ لا کلام جدید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بعض صور لا یهمّنا التعرّض لها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تراکم المنجّزات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و العلم الإجمالیّ، و الاستصحاب مثلا، فی بعض الموارد غیر المذکورة من الصور الثلاث، فإنّه تکون الشبهة موجبة لتنجّز التکلیف؛ لکونه من الموارد المهتمّ بها، و العلم الإجمالیّ بأنّ إحدی العینین لزید، یوجب ذلک، و العلم بأنّ إحداهما کانت لزید یقضیه، و حیث قد عرفت </w:t>
      </w:r>
      <w:r>
        <w:rPr>
          <w:rStyle w:val="FootnoteAnchor"/>
          <w:rtl w:val="true"/>
        </w:rPr>
        <w:footnoteReference w:id="1010"/>
      </w:r>
      <w:r>
        <w:rPr>
          <w:rFonts w:ascii="IRNazanin" w:hAnsi="IRNazanin" w:eastAsia="IRNazanin"/>
          <w:color w:val="111111"/>
          <w:sz w:val="28"/>
          <w:sz w:val="28"/>
          <w:szCs w:val="28"/>
          <w:rtl w:val="true"/>
          <w:lang w:bidi="fa-IR"/>
        </w:rPr>
        <w:t xml:space="preserve">و یأتی تحقیقه أنّ التنجّز لیس من الامور التکوینیّة غیر القابلة للاستناد إلی العلل الثلاث إلّا بالجامع الموجود بینها، أو إلی واحد منها، لا بأس بذلک التراکم </w:t>
      </w:r>
      <w:r>
        <w:rPr>
          <w:rStyle w:val="FootnoteAnchor"/>
          <w:rtl w:val="true"/>
        </w:rPr>
        <w:footnoteReference w:id="1011"/>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bookmarkStart w:id="786" w:name="pg13173_325079"/>
    </w:p>
    <w:p>
      <w:pPr>
        <w:pStyle w:val="Heading6"/>
        <w:numPr>
          <w:ilvl w:val="5"/>
          <w:numId w:val="1"/>
        </w:numPr>
        <w:rPr/>
      </w:pPr>
      <w:bookmarkStart w:id="787" w:name="__RefHeading___Toc735241_3244359995"/>
      <w:bookmarkStart w:id="788" w:name="_Toc295"/>
      <w:bookmarkEnd w:id="786"/>
      <w:bookmarkEnd w:id="787"/>
      <w:r>
        <w:rPr>
          <w:rtl w:val="true"/>
        </w:rPr>
        <w:t>الصورة الخامسة</w:t>
      </w:r>
      <w:r>
        <w:rPr>
          <w:rtl w:val="true"/>
        </w:rPr>
        <w:t>:</w:t>
      </w:r>
      <w:bookmarkEnd w:id="788"/>
    </w:p>
    <w:p>
      <w:pPr>
        <w:pStyle w:val="BookText"/>
        <w:rPr/>
      </w:pPr>
      <w:r>
        <w:rPr>
          <w:rFonts w:ascii="IRNazanin" w:hAnsi="IRNazanin" w:eastAsia="IRNazanin"/>
          <w:color w:val="111111"/>
          <w:sz w:val="28"/>
          <w:sz w:val="28"/>
          <w:szCs w:val="28"/>
          <w:rtl w:val="true"/>
          <w:lang w:bidi="fa-IR"/>
        </w:rPr>
        <w:t>فی موارد العلم الإجمالیّ باشتغال الذمّة؛ علی وجه لا یرجع إلی الأقلّ و الأکثر، کما إذا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ذمّته مشغولة لزید أو لعمرو بدینار، فهل یجب الاحتیاط و العمل بالعلم الإجمالیّ؟</w:t>
      </w:r>
    </w:p>
    <w:p>
      <w:pPr>
        <w:pStyle w:val="BookText"/>
        <w:rPr/>
      </w:pPr>
      <w:r>
        <w:rPr>
          <w:rFonts w:ascii="IRNazanin" w:hAnsi="IRNazanin" w:eastAsia="IRNazanin"/>
          <w:color w:val="111111"/>
          <w:sz w:val="28"/>
          <w:sz w:val="28"/>
          <w:szCs w:val="28"/>
          <w:rtl w:val="true"/>
          <w:lang w:bidi="fa-IR"/>
        </w:rPr>
        <w:t>و مثله العلم الإجمالیّ باشتغال ذمّته بأحدهما علی وجه الشکّ الاستصحابیّ، فإنّه یستصحب ذلک، و حیث لا یعلم المعیّن، یعلم بقیام الحجّة علی الاشتغال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الفرض الأوّل مقتضی القاعدة هی الاحتیاط، فیکون العلم الإجمالیّ منشأ التنجّز، فما فی کلام بعض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الخمس من إنکار تنجیز العلم الإجمالیّ </w:t>
      </w:r>
      <w:r>
        <w:rPr>
          <w:rStyle w:val="FootnoteAnchor"/>
          <w:rtl w:val="true"/>
        </w:rPr>
        <w:footnoteReference w:id="1012"/>
      </w:r>
      <w:r>
        <w:rPr>
          <w:rFonts w:ascii="IRNazanin" w:hAnsi="IRNazanin" w:eastAsia="IRNazanin"/>
          <w:color w:val="111111"/>
          <w:sz w:val="28"/>
          <w:sz w:val="28"/>
          <w:szCs w:val="28"/>
          <w:rtl w:val="true"/>
          <w:lang w:bidi="fa-IR"/>
        </w:rPr>
        <w:t>، إن کان یرجع إلی أنّ التنجّز یستند إلی الشبهة ذاتها من غیر دخالة اقترانها بالعلم،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بالوظیفة یوجب الضرر المنفی </w:t>
      </w:r>
      <w:r>
        <w:rPr>
          <w:rStyle w:val="FootnoteAnchor"/>
          <w:rtl w:val="true"/>
        </w:rPr>
        <w:footnoteReference w:id="1013"/>
      </w:r>
      <w:r>
        <w:rPr>
          <w:rFonts w:ascii="IRNazanin" w:hAnsi="IRNazanin" w:eastAsia="IRNazanin"/>
          <w:color w:val="111111"/>
          <w:sz w:val="28"/>
          <w:sz w:val="28"/>
          <w:szCs w:val="28"/>
          <w:rtl w:val="true"/>
          <w:lang w:bidi="fa-IR"/>
        </w:rPr>
        <w:t xml:space="preserve">، غیر تامّ کما اشیر إلیه </w:t>
      </w:r>
      <w:r>
        <w:rPr>
          <w:rStyle w:val="FootnoteAnchor"/>
          <w:rtl w:val="true"/>
        </w:rPr>
        <w:footnoteReference w:id="1014"/>
      </w:r>
      <w:r>
        <w:rPr>
          <w:rFonts w:ascii="IRNazanin" w:hAnsi="IRNazanin" w:eastAsia="IRNazanin"/>
          <w:color w:val="111111"/>
          <w:sz w:val="28"/>
          <w:sz w:val="28"/>
          <w:szCs w:val="28"/>
          <w:rtl w:val="true"/>
          <w:lang w:bidi="fa-IR"/>
        </w:rPr>
        <w:t>، إلّا علی بعض الوجوه المحرّره فی محلّها</w:t>
      </w:r>
      <w:r>
        <w:rPr>
          <w:rStyle w:val="FootnoteAnchor"/>
          <w:rtl w:val="true"/>
        </w:rPr>
        <w:footnoteReference w:id="1015"/>
      </w:r>
      <w:r>
        <w:rPr>
          <w:rFonts w:ascii="IRNazanin" w:hAnsi="IRNazanin" w:eastAsia="IRNazanin"/>
          <w:color w:val="111111"/>
          <w:sz w:val="28"/>
          <w:sz w:val="28"/>
          <w:szCs w:val="28"/>
          <w:rtl w:val="true"/>
          <w:lang w:bidi="fa-IR"/>
        </w:rPr>
        <w:t>، فالاحتیاط یقتضی ردّ الدینارین، أو الإیصاء بهما لهما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یجب الردّ إلّا بعد الطلب، فلو کان کلّ واحد منهما یعتقد الطلب، و هو یعلم إجمالا ببطلان طلب أحدهما، فیعلم بصحّة الآخر و اشتغال ذمّته و وجوب</w:t>
      </w:r>
      <w:bookmarkStart w:id="789" w:name="pg13173_325080"/>
    </w:p>
    <w:p>
      <w:pPr>
        <w:pStyle w:val="BookText"/>
        <w:rPr/>
      </w:pPr>
      <w:bookmarkEnd w:id="789"/>
      <w:r>
        <w:rPr>
          <w:rFonts w:ascii="IRNazanin" w:hAnsi="IRNazanin" w:eastAsia="IRNazanin"/>
          <w:color w:val="111111"/>
          <w:sz w:val="28"/>
          <w:sz w:val="28"/>
          <w:szCs w:val="28"/>
          <w:rtl w:val="true"/>
          <w:lang w:bidi="fa-IR"/>
        </w:rPr>
        <w:t>الجواب، فلازمه الاحتیاط، و حیث لا یلزم من ردّ الدینارین إلیهما ابتلاؤهما بتکلیف؛ لأنّ کلّ واحد منهما یعلم طلبهما، فلا یلزم إشکال إلّا الضرر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عدم علمهما بالطلب فإنّ الاحتیاط مشکل؛ لأنّه لا یردّ إلی کلّ واحد منهما إلّا دینارا بعنوان الدین، و إذا کان هو مشکوکا یمنع تصرّفهما فیه؛ لأنّه من الشبهة المنجّزة اللازم احتیاط کلّ منهما فیها، فالمسألة تردّ إلی حاکم الشرع، أو القرعة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وجوب رضا العالم بالعلم الإجمالیّ بتصرّف کلّ منهما فی الدینار؛ لأجل إمکان إفراغ ذمّته فی هذه الصورة، ضرورة أنّه إذا رضی بتصرّفهما فیهما؛ سواء کانا دائنین، أم لم یکونا، لا یلزم إشکال حتّی یرجع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دعوی جریان قاعدة الید فی حقّهما بعد أخذهما؛ و لو کان الأخذ محرّما علیهما، و منجّزا التسلیم علی المدیون؛ لأنّ التنجّز قبل الاستیلاء، لا ینافی ارتفاعه بعد الاستیلاء، کما لا یخفی</w:t>
      </w:r>
      <w:r>
        <w:rPr>
          <w:rFonts w:eastAsia="IRNazanin" w:cs="IRNazanin"/>
          <w:color w:val="111111"/>
          <w:sz w:val="28"/>
          <w:szCs w:val="28"/>
          <w:rtl w:val="true"/>
          <w:lang w:bidi="fa-IR"/>
        </w:rPr>
        <w:t>.</w:t>
      </w:r>
    </w:p>
    <w:p>
      <w:pPr>
        <w:pStyle w:val="Heading6"/>
        <w:numPr>
          <w:ilvl w:val="5"/>
          <w:numId w:val="1"/>
        </w:numPr>
        <w:rPr/>
      </w:pPr>
      <w:bookmarkStart w:id="790" w:name="__RefHeading___Toc735243_3244359995"/>
      <w:bookmarkStart w:id="791" w:name="_Toc296"/>
      <w:bookmarkEnd w:id="790"/>
      <w:r>
        <w:rPr>
          <w:rtl w:val="true"/>
        </w:rPr>
        <w:t>تذنیب</w:t>
      </w:r>
      <w:r>
        <w:rPr>
          <w:rtl w:val="true"/>
        </w:rPr>
        <w:t xml:space="preserve">: </w:t>
      </w:r>
      <w:r>
        <w:rPr>
          <w:rtl w:val="true"/>
        </w:rPr>
        <w:t>فی بعض صور العلم الإجمالی باشتغال الذمّة</w:t>
      </w:r>
      <w:bookmarkEnd w:id="791"/>
    </w:p>
    <w:p>
      <w:pPr>
        <w:pStyle w:val="BookText"/>
        <w:rPr/>
      </w:pPr>
      <w:r>
        <w:rPr>
          <w:rFonts w:ascii="IRNazanin" w:hAnsi="IRNazanin" w:eastAsia="IRNazanin"/>
          <w:color w:val="111111"/>
          <w:sz w:val="28"/>
          <w:sz w:val="28"/>
          <w:szCs w:val="28"/>
          <w:rtl w:val="true"/>
          <w:lang w:bidi="fa-IR"/>
        </w:rPr>
        <w:t>إذا کان کلّ من طرفی العلم الإجمالیّ عالما بأنّه دائن، و یطلب من المدیون العالم بالعلم الإجمالیّ دینه، یجوز له أخذ الدینار و لو کان الدائن غیر راض بالتصرّف إلّا فی صورة الدین،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کلّ منهما عالما بذلک، و کان المدیون غاصبا، یجب علیه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یطلب منه المغصوب منه، لا یبعد وجوب رضاه بالتصرّف علی وجه یفرّغ ذمّته؛ لإطلاق دلیل الردّ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المدیون غیر غاصب، فلا یجوز للطرف طلب الدین؛ للشکّ فی الاستدانة، و مقتضی الأصل عدم الاستدانة، و لا یجب علی العالم إجمالا أکثر من</w:t>
      </w:r>
    </w:p>
    <w:p>
      <w:pPr>
        <w:pStyle w:val="BookText"/>
        <w:rPr/>
      </w:pPr>
      <w:r>
        <w:rPr>
          <w:rFonts w:ascii="IRNazanin" w:hAnsi="IRNazanin" w:eastAsia="IRNazanin"/>
          <w:color w:val="111111"/>
          <w:sz w:val="28"/>
          <w:sz w:val="28"/>
          <w:szCs w:val="28"/>
          <w:rtl w:val="true"/>
          <w:lang w:bidi="fa-IR"/>
        </w:rPr>
        <w:t>الردّ عند الطلب، أو الإیصاء بالنسبة إلی من هو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یشکل الأمر من حیث تشخیص ذلک، فلا بدّ من التشبّث بالقرعة، أو قاعدة العدل و الإنصاف، و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کفایة القرعة إشکال؛ لأنّ من الاقتراع یلزم وقوع الطرف فی المشکل؛ لعدم جواز التصرّف فی الدین المذکور، لکونه من الشبهة المهتمّ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إطلاق أدلّة القرعة حلّ هذه المشکلة؛ إمّا لأجل کون القرعة کاشفا تعبّدا، أو واقعا، أو لکونها موضوعا لحلّ المشکلة، فلا یعتنی بما یأتی من قبلها من المشکل و المشتبه و المجهول،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الطرف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الطرف واحدا، و الدین مردّدا بین المتباینین، کالمثلیّین، أو المثلیّ و القیمیّ، فإنّ صریح جمع هو القول بالاحتیاط</w:t>
      </w:r>
      <w:r>
        <w:rPr>
          <w:rStyle w:val="FootnoteAnchor"/>
          <w:rtl w:val="true"/>
        </w:rPr>
        <w:footnoteReference w:id="1016"/>
      </w:r>
      <w:r>
        <w:rPr>
          <w:rFonts w:ascii="IRNazanin" w:hAnsi="IRNazanin" w:eastAsia="IRNazanin"/>
          <w:color w:val="111111"/>
          <w:sz w:val="28"/>
          <w:sz w:val="28"/>
          <w:szCs w:val="28"/>
          <w:rtl w:val="true"/>
          <w:lang w:bidi="fa-IR"/>
        </w:rPr>
        <w:t>، و هذا ممّا لا یمکن الالتزام به؛ لما عرفته من عدم إمکان الاحتیاط إلّا علی القول بتعیّن رضاه بالتصرّف علی کلّ تقدیر، و هذا ممّا لا یمکن الالتزام به فی صورة تعدّد الدین المردّد بین المثلیّات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کان مصبّ القرعة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التشاحّ فی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إجراؤها؛ لما لا تشاحّ بینها لوحدة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موضوعها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الأخبار العامّة، یمکن حلّ المسألة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له طلب أحد هذه الامور المعیّنة؛ إلّا فی بعض الفروض المشار إلیها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العلم الإجمالیّ باشتغال الذمّة بالنسبة إلی واحد من الجماعة المحصورین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 أنّ القول بالاحتیاط؛ نظرا إلی قضیّة الصناعة و تنجیز العلم، غیر تامّ إذا کان المعلوم بالإجمال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w:t>
      </w:r>
    </w:p>
    <w:p>
      <w:pPr>
        <w:pStyle w:val="BookText"/>
        <w:rPr/>
      </w:pPr>
      <w:r>
        <w:rPr>
          <w:rFonts w:ascii="IRNazanin" w:hAnsi="IRNazanin" w:eastAsia="IRNazanin"/>
          <w:color w:val="111111"/>
          <w:sz w:val="28"/>
          <w:sz w:val="28"/>
          <w:szCs w:val="28"/>
          <w:rtl w:val="true"/>
          <w:lang w:bidi="fa-IR"/>
        </w:rPr>
        <w:t>بقاعدة العدل و الإنصاف؛ لأنّ فی صورة تقسیم الحنطة بین تلک الجماعة، یعلم بإیصال بعض الدین إلی صاحبه و الدائن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من الأجناس المختلفة، بعد فرض کون الدائنین جماعة محصورین لا شخصا واحدا، فلا یمکن إجراء تلک القاعدة؛ للزوم خلاف الاحتیاط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تبیّن فی هذا الفصل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تنجیز العلم الإجمالیّ فی الامور المالیّة، محلّ منع؛ إمّا لأجل إمکان انتساب التنجّز فی بعض الصور إلی نفس الشبهة، و لا حاجة إلیه و إن أمکن اجتماع المنجّزات علی واحد، و إمّا لأجل أنّ التنجّز غیر قابل للتصدیق، و ممّا شرحناه و أوضحناه فی هذه الصور، تبیّن حال الصور الاخر غیر الراجعة إلی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رجوعها إلیه، تخرج عن محطّ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فرغنا من هذه المسألة أیّام تسفیر الأجانب من العراق، و فی أوقات اضمحلال الحوزة العلمیّة فی النجف الأشرف، علی مشرّفه ألف سلام و تحیّة، عفا اللّه عن الزلل، و وقانا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هذه الکارثة تقع بین أیدینا، و نحن المستشعرون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إلّا لأجل إبطال الأحیان فی السلف،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صرف الأفکار؛ للوصول إلی أوکار الرئاسة و السلطة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أصبحنا فی عصر لا یمکن لنا توضیح ما فیه من الأخطار و البلایا، و ما فیه من الاشتباهات و التشتّتات، و لیس أمثال هذه الحوادث إلّا و نحن المسؤولون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بحقّ الأمیر علیه السّلام اغفر لنا؛ فإنّا قد أسأنا فی جواره الأدب، و أبطلنا الظروف و النفحات الإلهیّة فی محطّها، یا اللّه آمین، و ادفع عنّا البلاء المبرم من السماء، إنّک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مصطفی بن روح اللّه الموسویّ الخمینیّ عفی عنهما</w:t>
      </w:r>
      <w:r>
        <w:rPr>
          <w:rFonts w:eastAsia="IRNazanin" w:cs="IRNazanin"/>
          <w:color w:val="111111"/>
          <w:sz w:val="28"/>
          <w:szCs w:val="28"/>
          <w:rtl w:val="true"/>
          <w:lang w:bidi="fa-IR"/>
        </w:rPr>
        <w:t>.</w:t>
      </w:r>
      <w:bookmarkStart w:id="792" w:name="pg13173_325083"/>
    </w:p>
    <w:p>
      <w:pPr>
        <w:pStyle w:val="Heading6"/>
        <w:numPr>
          <w:ilvl w:val="5"/>
          <w:numId w:val="1"/>
        </w:numPr>
        <w:rPr/>
      </w:pPr>
      <w:bookmarkStart w:id="793" w:name="__RefHeading___Toc735245_3244359995"/>
      <w:bookmarkStart w:id="794" w:name="_Toc297"/>
      <w:bookmarkEnd w:id="792"/>
      <w:bookmarkEnd w:id="793"/>
      <w:r>
        <w:rPr>
          <w:rtl w:val="true"/>
        </w:rPr>
        <w:t>التنبیه السابع فی الشبهة غیر المحصورة</w:t>
      </w:r>
      <w:bookmarkEnd w:id="794"/>
    </w:p>
    <w:p>
      <w:pPr>
        <w:pStyle w:val="Heading6"/>
        <w:numPr>
          <w:ilvl w:val="5"/>
          <w:numId w:val="1"/>
        </w:numPr>
        <w:rPr/>
      </w:pPr>
      <w:bookmarkStart w:id="795" w:name="__RefHeading___Toc735247_3244359995"/>
      <w:bookmarkStart w:id="796" w:name="_Toc298"/>
      <w:bookmarkEnd w:id="795"/>
      <w:r>
        <w:rPr>
          <w:rtl w:val="true"/>
        </w:rPr>
        <w:t>اشارة</w:t>
      </w:r>
      <w:bookmarkEnd w:id="796"/>
    </w:p>
    <w:p>
      <w:pPr>
        <w:pStyle w:val="BookText"/>
        <w:rPr/>
      </w:pPr>
      <w:r>
        <w:rPr>
          <w:rFonts w:ascii="IRNazanin" w:hAnsi="IRNazanin" w:eastAsia="IRNazanin"/>
          <w:color w:val="111111"/>
          <w:sz w:val="28"/>
          <w:sz w:val="28"/>
          <w:szCs w:val="28"/>
          <w:rtl w:val="true"/>
          <w:lang w:bidi="fa-IR"/>
        </w:rPr>
        <w:t>و قبل الخوض فی مغزی المرام فی المقام نشیر إلی نکات</w:t>
      </w:r>
      <w:r>
        <w:rPr>
          <w:rFonts w:eastAsia="IRNazanin" w:cs="IRNazanin"/>
          <w:color w:val="111111"/>
          <w:sz w:val="28"/>
          <w:szCs w:val="28"/>
          <w:rtl w:val="true"/>
          <w:lang w:bidi="fa-IR"/>
        </w:rPr>
        <w:t>:</w:t>
      </w:r>
    </w:p>
    <w:p>
      <w:pPr>
        <w:pStyle w:val="Heading6"/>
        <w:numPr>
          <w:ilvl w:val="5"/>
          <w:numId w:val="1"/>
        </w:numPr>
        <w:rPr/>
      </w:pPr>
      <w:bookmarkStart w:id="797" w:name="__RefHeading___Toc735249_3244359995"/>
      <w:bookmarkStart w:id="798" w:name="_Toc299"/>
      <w:bookmarkEnd w:id="797"/>
      <w:r>
        <w:rPr>
          <w:rtl w:val="true"/>
        </w:rPr>
        <w:t>الاولی</w:t>
      </w:r>
      <w:r>
        <w:rPr>
          <w:rtl w:val="true"/>
        </w:rPr>
        <w:t>:</w:t>
      </w:r>
      <w:bookmarkEnd w:id="798"/>
    </w:p>
    <w:p>
      <w:pPr>
        <w:pStyle w:val="BookText"/>
        <w:rPr/>
      </w:pPr>
      <w:r>
        <w:rPr>
          <w:rFonts w:ascii="IRNazanin" w:hAnsi="IRNazanin" w:eastAsia="IRNazanin"/>
          <w:color w:val="111111"/>
          <w:sz w:val="28"/>
          <w:sz w:val="28"/>
          <w:szCs w:val="28"/>
          <w:rtl w:val="true"/>
          <w:lang w:bidi="fa-IR"/>
        </w:rPr>
        <w:t xml:space="preserve">أنّ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واردة فی الأخبار، و لا فی معقد الإجماعات التعبّدیة، و مجرّد دعوی أمثال الوحید البهبهانیّ </w:t>
      </w:r>
      <w:r>
        <w:rPr>
          <w:rStyle w:val="FootnoteAnchor"/>
          <w:rtl w:val="true"/>
        </w:rPr>
        <w:footnoteReference w:id="1017"/>
      </w:r>
      <w:r>
        <w:rPr>
          <w:rFonts w:ascii="IRNazanin" w:hAnsi="IRNazanin" w:eastAsia="IRNazanin"/>
          <w:color w:val="111111"/>
          <w:sz w:val="28"/>
          <w:sz w:val="28"/>
          <w:szCs w:val="28"/>
          <w:rtl w:val="true"/>
          <w:lang w:bidi="fa-IR"/>
        </w:rPr>
        <w:t xml:space="preserve">و غیره </w:t>
      </w:r>
      <w:r>
        <w:rPr>
          <w:rStyle w:val="FootnoteAnchor"/>
          <w:rtl w:val="true"/>
        </w:rPr>
        <w:footnoteReference w:id="1018"/>
      </w:r>
      <w:r>
        <w:rPr>
          <w:rFonts w:ascii="IRNazanin" w:hAnsi="IRNazanin" w:eastAsia="IRNazanin"/>
          <w:color w:val="111111"/>
          <w:sz w:val="28"/>
          <w:sz w:val="28"/>
          <w:szCs w:val="28"/>
          <w:rtl w:val="true"/>
          <w:lang w:bidi="fa-IR"/>
        </w:rPr>
        <w:t>، غیر کافیة بعد قوّة کون المستند غیر ما بأیدینا فی غیر المحصورة، فالمتّبع هی القواعد و الأخبار المرخّصة، دون تلک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تعرّض الأصحاب رحمهم اللّه لتحدید الشبهة غیر المحصورة</w:t>
      </w:r>
      <w:r>
        <w:rPr>
          <w:rStyle w:val="FootnoteAnchor"/>
          <w:rtl w:val="true"/>
        </w:rPr>
        <w:footnoteReference w:id="1019"/>
      </w:r>
      <w:r>
        <w:rPr>
          <w:rFonts w:ascii="IRNazanin" w:hAnsi="IRNazanin" w:eastAsia="IRNazanin"/>
          <w:color w:val="111111"/>
          <w:sz w:val="28"/>
          <w:sz w:val="28"/>
          <w:szCs w:val="28"/>
          <w:rtl w:val="true"/>
          <w:lang w:bidi="fa-IR"/>
        </w:rPr>
        <w:t>، فهو لأجل توجیه مناط قصور العلم عن التأثیر مثلا بعد الفراغ عن کبراه، أو مناط ما هو المانع عنه، و لیست أنظارهم حول تشخیص المفهوم</w:t>
      </w:r>
      <w:r>
        <w:rPr>
          <w:rFonts w:eastAsia="IRNazanin" w:cs="IRNazanin"/>
          <w:color w:val="111111"/>
          <w:sz w:val="28"/>
          <w:szCs w:val="28"/>
          <w:rtl w:val="true"/>
          <w:lang w:bidi="fa-IR"/>
        </w:rPr>
        <w:t>.</w:t>
      </w:r>
    </w:p>
    <w:p>
      <w:pPr>
        <w:pStyle w:val="Heading6"/>
        <w:numPr>
          <w:ilvl w:val="5"/>
          <w:numId w:val="1"/>
        </w:numPr>
        <w:rPr/>
      </w:pPr>
      <w:bookmarkStart w:id="799" w:name="__RefHeading___Toc735251_3244359995"/>
      <w:bookmarkStart w:id="800" w:name="_Toc300"/>
      <w:bookmarkEnd w:id="799"/>
      <w:r>
        <w:rPr>
          <w:rtl w:val="true"/>
        </w:rPr>
        <w:t>الثانیة</w:t>
      </w:r>
      <w:r>
        <w:rPr>
          <w:rtl w:val="true"/>
        </w:rPr>
        <w:t>:</w:t>
      </w:r>
      <w:bookmarkEnd w:id="80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الجهة المبحوث عنها هی الفارغة عن کافّة الامور الراجعة إلی قصور</w:t>
      </w:r>
      <w:bookmarkStart w:id="801" w:name="pg13173_325084"/>
    </w:p>
    <w:p>
      <w:pPr>
        <w:pStyle w:val="BookText"/>
        <w:rPr/>
      </w:pPr>
      <w:bookmarkEnd w:id="801"/>
      <w:r>
        <w:rPr>
          <w:rFonts w:ascii="IRNazanin" w:hAnsi="IRNazanin" w:eastAsia="IRNazanin"/>
          <w:color w:val="111111"/>
          <w:sz w:val="28"/>
          <w:sz w:val="28"/>
          <w:szCs w:val="28"/>
          <w:rtl w:val="true"/>
          <w:lang w:bidi="fa-IR"/>
        </w:rPr>
        <w:t>مقتضی العلم، أو وجود المانع عن تنجیزه و تأثیره، کالخروج عن محلّ الابتلاء، و لزوم العسر و الحرج و الضرر و غیر ذلک، بل هی ممحّضة فی أنّ مجرّد کثرة الأطراف بما هی هی، توجب قصور العلم فی التأثیر، و تمنع عن جریان أدلّة التنجیز فیها، أم لا، فما یظهر من جمع هنا</w:t>
      </w:r>
      <w:r>
        <w:rPr>
          <w:rStyle w:val="FootnoteAnchor"/>
          <w:rtl w:val="true"/>
        </w:rPr>
        <w:footnoteReference w:id="1020"/>
      </w:r>
      <w:r>
        <w:rPr>
          <w:rFonts w:ascii="IRNazanin" w:hAnsi="IRNazanin" w:eastAsia="IRNazanin"/>
          <w:color w:val="111111"/>
          <w:sz w:val="28"/>
          <w:sz w:val="28"/>
          <w:szCs w:val="28"/>
          <w:rtl w:val="true"/>
          <w:lang w:bidi="fa-IR"/>
        </w:rPr>
        <w:t>، کلّه خارج عن محطّ البحث و مصبّ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کثرة الأطراف بحسب الخارج، ملازمة دائما لجهات اخر، لا یمنع من ذلک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ممنوع؛ لإمکان کون الأطراف الکثیرة مورد الابتلاء، و قابلة للإیجاب أو المنع، کما إذا علم إجمالا بأنّ أحد الآنیة من المائة نجس من غیر حاجة منحصرة فیها، أو واحدا منها واجب الشرب؛ لنذر و نحوه، أو أحد الأیّام من السنة الآتیة أو السنین الآتیة، واجب الصوم و هکذا، أو إحدی الحنطات فی البصرة نجسة، أو غصبیّة و هکذا</w:t>
      </w:r>
      <w:r>
        <w:rPr>
          <w:rFonts w:eastAsia="IRNazanin" w:cs="IRNazanin"/>
          <w:color w:val="111111"/>
          <w:sz w:val="28"/>
          <w:szCs w:val="28"/>
          <w:rtl w:val="true"/>
          <w:lang w:bidi="fa-IR"/>
        </w:rPr>
        <w:t>.</w:t>
      </w:r>
    </w:p>
    <w:p>
      <w:pPr>
        <w:pStyle w:val="Heading6"/>
        <w:numPr>
          <w:ilvl w:val="5"/>
          <w:numId w:val="1"/>
        </w:numPr>
        <w:rPr/>
      </w:pPr>
      <w:bookmarkStart w:id="802" w:name="__RefHeading___Toc735253_3244359995"/>
      <w:bookmarkStart w:id="803" w:name="_Toc301"/>
      <w:bookmarkEnd w:id="802"/>
      <w:r>
        <w:rPr>
          <w:rtl w:val="true"/>
        </w:rPr>
        <w:t>الثالثة</w:t>
      </w:r>
      <w:r>
        <w:rPr>
          <w:rtl w:val="true"/>
        </w:rPr>
        <w:t>:</w:t>
      </w:r>
      <w:bookmarkEnd w:id="803"/>
    </w:p>
    <w:p>
      <w:pPr>
        <w:pStyle w:val="BookText"/>
        <w:rPr/>
      </w:pPr>
      <w:r>
        <w:rPr>
          <w:rFonts w:ascii="IRNazanin" w:hAnsi="IRNazanin" w:eastAsia="IRNazanin"/>
          <w:color w:val="111111"/>
          <w:sz w:val="28"/>
          <w:sz w:val="28"/>
          <w:szCs w:val="28"/>
          <w:rtl w:val="true"/>
          <w:lang w:bidi="fa-IR"/>
        </w:rPr>
        <w:t>بحث القوم عن مسألتین هنا مسألة کبرویّة، و صغرویّة؛ أی مسألة تنجیز العلم و عدمه، و مسألة حدود تلک الکثرة، و هذا لا ینبغی إلّا علی بعض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بتنجیز العلم الإجمالیّ مطلقا، لا ینبغی أن یخوض فی هذه المسألة، مع أنّه صنع خلاف ذلک، و القائل بجواز الاقتحام فی جمیع الأطراف حتّی فی الشبهة المحصورة، أیضا مستغن عن إطالة الکلام حولها إلّا تشحیذا للأذهان، و توضیحا للآخرین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یقول بالتفصیل فلا بدّ له من البحث عن حدود تلک الکثرة و مناطها، فیقدّم البحث الأوّل علی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موارد الشکّ</w:t>
      </w:r>
      <w:bookmarkStart w:id="804" w:name="pg13173_325085"/>
    </w:p>
    <w:p>
      <w:pPr>
        <w:pStyle w:val="BookText"/>
        <w:rPr/>
      </w:pPr>
      <w:bookmarkEnd w:id="804"/>
      <w:r>
        <w:rPr>
          <w:rFonts w:ascii="IRNazanin" w:hAnsi="IRNazanin" w:eastAsia="IRNazanin"/>
          <w:color w:val="111111"/>
          <w:sz w:val="28"/>
          <w:sz w:val="28"/>
          <w:szCs w:val="28"/>
          <w:rtl w:val="true"/>
          <w:lang w:bidi="fa-IR"/>
        </w:rPr>
        <w:t>فی حصول الکثرة المذکورة؛ و حصول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بحمد اللّه و له الشکر، فی غنی عن البحث المذکور، بل عن البحث الکبرویّ؛ لأنّه علی تقدیر التنجیز نقول بجریان الأدلّة المرخّصة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الشبهات المهتمّ بها، ربّما نحتاج إلی الغور فی الکبری، فتدبّر</w:t>
      </w:r>
      <w:r>
        <w:rPr>
          <w:rFonts w:eastAsia="IRNazanin" w:cs="IRNazanin"/>
          <w:color w:val="111111"/>
          <w:sz w:val="28"/>
          <w:szCs w:val="28"/>
          <w:rtl w:val="true"/>
          <w:lang w:bidi="fa-IR"/>
        </w:rPr>
        <w:t>.</w:t>
      </w:r>
    </w:p>
    <w:p>
      <w:pPr>
        <w:pStyle w:val="Heading6"/>
        <w:numPr>
          <w:ilvl w:val="5"/>
          <w:numId w:val="1"/>
        </w:numPr>
        <w:rPr/>
      </w:pPr>
      <w:bookmarkStart w:id="805" w:name="__RefHeading___Toc735255_3244359995"/>
      <w:bookmarkStart w:id="806" w:name="_Toc302"/>
      <w:bookmarkEnd w:id="805"/>
      <w:r>
        <w:rPr>
          <w:rtl w:val="true"/>
        </w:rPr>
        <w:t>الرابعة</w:t>
      </w:r>
      <w:r>
        <w:rPr>
          <w:rtl w:val="true"/>
        </w:rPr>
        <w:t>:</w:t>
      </w:r>
      <w:bookmarkEnd w:id="806"/>
    </w:p>
    <w:p>
      <w:pPr>
        <w:pStyle w:val="BookText"/>
        <w:rPr/>
      </w:pPr>
      <w:r>
        <w:rPr>
          <w:rFonts w:ascii="IRNazanin" w:hAnsi="IRNazanin" w:eastAsia="IRNazanin"/>
          <w:color w:val="111111"/>
          <w:sz w:val="28"/>
          <w:sz w:val="28"/>
          <w:szCs w:val="28"/>
          <w:rtl w:val="true"/>
          <w:lang w:bidi="fa-IR"/>
        </w:rPr>
        <w:t>قد اختلفت آراؤهم فی المسألة، فعن بعضهم الاحتیاط هنا، کما فی الشبهة المحصورة حذوا بحذو</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بعضهم إلی خلافه </w:t>
      </w:r>
      <w:r>
        <w:rPr>
          <w:rStyle w:val="FootnoteAnchor"/>
          <w:rtl w:val="true"/>
        </w:rPr>
        <w:footnoteReference w:id="1022"/>
      </w:r>
      <w:r>
        <w:rPr>
          <w:rFonts w:ascii="IRNazanin" w:hAnsi="IRNazanin" w:eastAsia="IRNazanin"/>
          <w:color w:val="111111"/>
          <w:sz w:val="28"/>
          <w:sz w:val="28"/>
          <w:szCs w:val="28"/>
          <w:rtl w:val="true"/>
          <w:lang w:bidi="fa-IR"/>
        </w:rPr>
        <w:t>، و هما فی طرفی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ثالث یفصّل بین وجوب الموافقة القطعیّة فیمنع، و حرمة المخالفة القطعیّة فیذعن بها، کما عن الشیخ رحمه اللّه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من یشرع فی ارتکاب تلک الکثرة؛ لأجل ارتکاب ما هو النجس و الخمر فی البین، و بین من لا یکون من قصده ذلک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وجه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کون الشبهة محصورة أوّلا، ثمّ صارت غیر محصورة تدریجا، و بین ما کانت من الابتداء غیر محصورة مثلا، بعد کون البحث هنا فی القلیل فی الکثیر، و أمّا الکثیر فی الکثیر فهو یأتی فی ذیل هذه المسألة</w:t>
      </w:r>
      <w:r>
        <w:rPr>
          <w:rStyle w:val="FootnoteAnchor"/>
          <w:rtl w:val="true"/>
        </w:rPr>
        <w:footnoteReference w:id="1024"/>
      </w:r>
      <w:r>
        <w:rPr>
          <w:rFonts w:ascii="IRNazanin" w:hAnsi="IRNazanin" w:eastAsia="IRNazanin"/>
          <w:color w:val="111111"/>
          <w:sz w:val="28"/>
          <w:sz w:val="28"/>
          <w:szCs w:val="28"/>
          <w:rtl w:val="true"/>
          <w:lang w:bidi="fa-IR"/>
        </w:rPr>
        <w:t>، فإذا علم إجمالا بحرمة أکل إحدی الجوزتین، ثمّ زاد علیهما جوزة اخری، و هکذا إلی أن صارت غیر محصورة، فإنّها کالمحصورة، بخلاف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یمیل إلیه العلّامة النائینیّ من جواز المخالفة القطعیّة فی الشبهات التحریمیّة، و التفصیل فی الشبهات الوجوبیّة بلزوم الاحتیاط فی الجملة</w:t>
      </w:r>
      <w:r>
        <w:rPr>
          <w:rStyle w:val="FootnoteAnchor"/>
          <w:rtl w:val="true"/>
        </w:rPr>
        <w:footnoteReference w:id="1025"/>
      </w:r>
      <w:r>
        <w:rPr>
          <w:rFonts w:ascii="IRNazanin" w:hAnsi="IRNazanin" w:eastAsia="IRNazanin"/>
          <w:color w:val="111111"/>
          <w:sz w:val="28"/>
          <w:sz w:val="28"/>
          <w:szCs w:val="28"/>
          <w:rtl w:val="true"/>
          <w:lang w:bidi="fa-IR"/>
        </w:rPr>
        <w:t>، و هذا من غرائب ما صدر عنه و إن کثرت غرائبه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ینبغی خفاؤه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غیر المحصورة لا یتصوّر لها فرض صحیح؛ نظرا إلی أنّ تعاریفها غیر مضبوطة</w:t>
      </w:r>
      <w:r>
        <w:rPr>
          <w:rStyle w:val="FootnoteAnchor"/>
          <w:rtl w:val="true"/>
        </w:rPr>
        <w:footnoteReference w:id="1026"/>
      </w:r>
      <w:r>
        <w:rPr>
          <w:rFonts w:ascii="IRNazanin" w:hAnsi="IRNazanin" w:eastAsia="IRNazanin"/>
          <w:color w:val="111111"/>
          <w:sz w:val="28"/>
          <w:sz w:val="28"/>
          <w:szCs w:val="28"/>
          <w:rtl w:val="true"/>
          <w:lang w:bidi="fa-IR"/>
        </w:rPr>
        <w:t xml:space="preserve">، غفلة عن أنّ البحث حول أنّ کثرة الأطراف بما هی هی، هل توجب سقوط العلم عن التنجیز، أم لا؟ و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البحث کی یتفحّص عن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تعابیر القوم تحکی عن عدم التفاتهم إلی ما هی الجهة المبحوث عنها فی المقام، إلّا من شذّ منهم </w:t>
      </w:r>
      <w:r>
        <w:rPr>
          <w:rStyle w:val="FootnoteAnchor"/>
          <w:rtl w:val="true"/>
        </w:rPr>
        <w:footnoteReference w:id="1027"/>
      </w:r>
      <w:r>
        <w:rPr>
          <w:rFonts w:ascii="IRNazanin" w:hAnsi="IRNazanin" w:eastAsia="IRNazanin"/>
          <w:color w:val="111111"/>
          <w:sz w:val="28"/>
          <w:sz w:val="28"/>
          <w:szCs w:val="28"/>
          <w:rtl w:val="true"/>
          <w:lang w:bidi="fa-IR"/>
        </w:rPr>
        <w:t>، فلیدقّق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فالذی هو الحقّ حسب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المحصورة و غیر المحصورة، و تجری الاصول المرخّصة فی جمیع الأطراف هنا بالأولویّة و الأحقّیة؛ و ذلک لأنّ قضیّة إطلاق الخطاب و الحکم بحسب الأدلّة الواقعیّة، بعد انضمام العلم بالصغری؛ و الانطباق علی الخارج، مع کونه واجدا لجمیع الشرائط العقلیّة لتنجز الحکم عقابا، و عدم قصور من ناحیة القدرة و التمکّن، و لا من ناحیة من النواحی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تمامیّة الحجّة و البیان بالنسبة إلی واحد من تلک الکثرة، و عندئذ لا یکون العقاب علی ذلک الواحد جزافا و بلا جهة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الجهالة التی هی عذر فی الشبهة البدویّة لیست عذرا هنا؛ لتمامیّة الحجّة فیما بین تلک الکثرة، و تمامیّة الحجة منوطة بالعلم بالصغری و الکبری، مع اجتماع سائر الشرائط العامّة و الخاصّة</w:t>
      </w:r>
      <w:r>
        <w:rPr>
          <w:rFonts w:eastAsia="IRNazanin" w:cs="IRNazanin"/>
          <w:color w:val="111111"/>
          <w:sz w:val="28"/>
          <w:szCs w:val="28"/>
          <w:rtl w:val="true"/>
          <w:lang w:bidi="fa-IR"/>
        </w:rPr>
        <w:t>.</w:t>
      </w:r>
      <w:bookmarkStart w:id="807" w:name="pg13173_325087"/>
    </w:p>
    <w:p>
      <w:pPr>
        <w:pStyle w:val="BookText"/>
        <w:rPr/>
      </w:pPr>
      <w:bookmarkEnd w:id="807"/>
      <w:r>
        <w:rPr>
          <w:rFonts w:ascii="IRNazanin" w:hAnsi="IRNazanin" w:eastAsia="IRNazanin"/>
          <w:color w:val="111111"/>
          <w:sz w:val="28"/>
          <w:sz w:val="28"/>
          <w:szCs w:val="28"/>
          <w:rtl w:val="true"/>
          <w:lang w:bidi="fa-IR"/>
        </w:rPr>
        <w:t xml:space="preserve">و التعلیل بعدم تمکّن العبد المکلّف </w:t>
      </w:r>
      <w:r>
        <w:rPr>
          <w:rStyle w:val="FootnoteAnchor"/>
          <w:rtl w:val="true"/>
        </w:rPr>
        <w:footnoteReference w:id="1028"/>
      </w:r>
      <w:r>
        <w:rPr>
          <w:rFonts w:ascii="IRNazanin" w:hAnsi="IRNazanin" w:eastAsia="IRNazanin"/>
          <w:color w:val="111111"/>
          <w:sz w:val="28"/>
          <w:sz w:val="28"/>
          <w:szCs w:val="28"/>
          <w:rtl w:val="true"/>
          <w:lang w:bidi="fa-IR"/>
        </w:rPr>
        <w:t>، فی غایة الضعف؛ لخروجه أوّلا عن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صادف ما ارتکبه الواقع، فقد ارتکبه و هو قادر علیه بحسب الواقع، و لا عجز عن التکلیف،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Style w:val="FootnoteAnchor"/>
          <w:rtl w:val="true"/>
        </w:rPr>
        <w:footnoteReference w:id="1029"/>
      </w:r>
      <w:r>
        <w:rPr>
          <w:rFonts w:ascii="IRNazanin" w:hAnsi="IRNazanin" w:eastAsia="IRNazanin"/>
          <w:color w:val="111111"/>
          <w:sz w:val="28"/>
          <w:sz w:val="28"/>
          <w:szCs w:val="28"/>
          <w:rtl w:val="true"/>
          <w:lang w:bidi="fa-IR"/>
        </w:rPr>
        <w:t>بعینه یجری فی المقام، فلا فرق بین المسألتین صناعة</w:t>
      </w:r>
      <w:r>
        <w:rPr>
          <w:rFonts w:eastAsia="IRNazanin" w:cs="IRNazanin"/>
          <w:color w:val="111111"/>
          <w:sz w:val="28"/>
          <w:szCs w:val="28"/>
          <w:rtl w:val="true"/>
          <w:lang w:bidi="fa-IR"/>
        </w:rPr>
        <w:t>.</w:t>
      </w:r>
    </w:p>
    <w:p>
      <w:pPr>
        <w:pStyle w:val="Heading6"/>
        <w:numPr>
          <w:ilvl w:val="5"/>
          <w:numId w:val="1"/>
        </w:numPr>
        <w:rPr/>
      </w:pPr>
      <w:bookmarkStart w:id="808" w:name="__RefHeading___Toc735257_3244359995"/>
      <w:bookmarkStart w:id="809" w:name="_Toc303"/>
      <w:bookmarkEnd w:id="808"/>
      <w:r>
        <w:rPr>
          <w:rtl w:val="true"/>
        </w:rPr>
        <w:t>بقی شی‌ء</w:t>
      </w:r>
      <w:r>
        <w:rPr>
          <w:rtl w:val="true"/>
        </w:rPr>
        <w:t xml:space="preserve">: </w:t>
      </w:r>
      <w:r>
        <w:rPr>
          <w:rtl w:val="true"/>
        </w:rPr>
        <w:t xml:space="preserve">حول بیان بدیع لشیخ مشایخنا فی </w:t>
      </w:r>
      <w:r>
        <w:rPr>
          <w:rtl w:val="true"/>
        </w:rPr>
        <w:t>«</w:t>
      </w:r>
      <w:r>
        <w:rPr>
          <w:rtl w:val="true"/>
        </w:rPr>
        <w:t>الدرر</w:t>
      </w:r>
      <w:r>
        <w:rPr>
          <w:rtl w:val="true"/>
        </w:rPr>
        <w:t>»</w:t>
      </w:r>
      <w:bookmarkEnd w:id="809"/>
    </w:p>
    <w:p>
      <w:pPr>
        <w:pStyle w:val="BookText"/>
        <w:rPr/>
      </w:pPr>
      <w:r>
        <w:rPr>
          <w:rFonts w:ascii="IRNazanin" w:hAnsi="IRNazanin" w:eastAsia="IRNazanin"/>
          <w:color w:val="111111"/>
          <w:sz w:val="28"/>
          <w:sz w:val="28"/>
          <w:szCs w:val="28"/>
          <w:rtl w:val="true"/>
          <w:lang w:bidi="fa-IR"/>
        </w:rPr>
        <w:t xml:space="preserve">إنّ فی موارد الشبهة غیر المحصورة، یکون کلّ واحد من الأطراف مورد الوثوق و الاطمینان؛ بأنّه لیس مورد التکلیف الإلزامیّ التحریمیّ، أو الإیجابیّ، و نتیجة ذلک جواز الاقتحام فی المجموع، و بذلک یحصل الفرق بین الشبهة غیر المحصورة و المحصورة فی الکبری و الصغری، کما فی کلام شیخ مشایخنا جدّ أولادی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xml:space="preserve">و تبعه الوالد المحقّق </w:t>
      </w:r>
      <w:r>
        <w:rPr>
          <w:rStyle w:val="FootnoteAnchor"/>
          <w:rtl w:val="true"/>
        </w:rPr>
        <w:footnoteReference w:id="1031"/>
      </w:r>
      <w:r>
        <w:rPr>
          <w:rFonts w:ascii="Amiri" w:hAnsi="Amiri" w:eastAsia="Amiri" w:cs="Amiri"/>
          <w:color w:val="111111"/>
          <w:sz w:val="28"/>
          <w:sz w:val="28"/>
          <w:szCs w:val="28"/>
          <w:rtl w:val="true"/>
          <w:lang w:bidi="ar-SA"/>
        </w:rPr>
        <w:t xml:space="preserve">، و العلّامة الأراکیّ </w:t>
      </w:r>
      <w:r>
        <w:rPr>
          <w:rStyle w:val="FootnoteAnchor"/>
          <w:rtl w:val="true"/>
        </w:rPr>
        <w:footnoteReference w:id="1032"/>
      </w:r>
      <w:r>
        <w:rPr>
          <w:rFonts w:ascii="IRNazanin" w:hAnsi="IRNazanin" w:eastAsia="IRNazanin"/>
          <w:color w:val="111111"/>
          <w:sz w:val="28"/>
          <w:sz w:val="28"/>
          <w:szCs w:val="28"/>
          <w:rtl w:val="true"/>
          <w:lang w:bidi="fa-IR"/>
        </w:rPr>
        <w:t xml:space="preserve">، و لعلّه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الأنصاری رحمه اللّه </w:t>
      </w:r>
      <w:r>
        <w:rPr>
          <w:rStyle w:val="FootnoteAnchor"/>
          <w:rtl w:val="true"/>
        </w:rPr>
        <w:footnoteReference w:id="1033"/>
      </w:r>
      <w:r>
        <w:rPr>
          <w:rFonts w:ascii="IRNazanin" w:hAnsi="IRNazanin" w:eastAsia="IRNazanin"/>
          <w:color w:val="111111"/>
          <w:sz w:val="28"/>
          <w:sz w:val="28"/>
          <w:szCs w:val="28"/>
          <w:rtl w:val="true"/>
          <w:lang w:bidi="fa-IR"/>
        </w:rPr>
        <w:t>مع تغییر 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خروج عن الجهة المبحوث عنها؛ ضرورة أنّه إذا علم إجمالا فی المحصورة علی نعت یکون احتمال کون الإناء الشرقیّ نجسا موهونا ضعیفا جدّا، و یکون من قبیل أحد الاحتمالات فی غیر المحصورة، یعدّ الوثوق المذکور حجّة و أمارة مثبتة للتکلیف فی الطرف، و الطرف الآخر طاهر، و یصحّ التوضّؤ منه، و هکذا سائر آثاره، من غیر الحاجة إلی الاصول المرخّصة، و یکون العلم لا علم،</w:t>
      </w:r>
    </w:p>
    <w:p>
      <w:pPr>
        <w:pStyle w:val="BookText"/>
        <w:rPr/>
      </w:pPr>
      <w:r>
        <w:rPr>
          <w:rFonts w:ascii="IRNazanin" w:hAnsi="IRNazanin" w:eastAsia="IRNazanin"/>
          <w:color w:val="111111"/>
          <w:sz w:val="28"/>
          <w:sz w:val="28"/>
          <w:szCs w:val="28"/>
          <w:rtl w:val="true"/>
          <w:lang w:bidi="fa-IR"/>
        </w:rPr>
        <w:t>و الشبهة لا شبهة فی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یمنع عن تأثیر العلم بما هو هو؛ و فی اللحاظ البدویّ الفارغ عن سائر اللحاظات إذا حصل الوثوق المذکور بعد التوجّه إلی القرائن الموجودة، و إلّا فیکون الطرف الموهون خارجا عن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أیضا بعد الالتفات إلی التقریب المذکور، یعدّ الوثوق بعدم خمریّة کلّ واحد من الآنیة، بحکم الأمارة النوعیّة علی الخروج عن أطراف العلم بکون المعلوم النجس فی الباقی هذا، و المفروض تعلّق العلم الإجمالیّ بوجود النجس فی البین، و عند ذلک تلزم المعارضة بین تلک الوثوقات الملحوظ کلّ بحیال ذاته، مع الآخر، بعد العلم بالنجس فی غیر المحصورة؛ لامتناع الجمع بین العلم الإجمالیّ بالنجس بین الألف، و الوثوق و الاطمئنان بوجود النجس فی الباقی؛ و بأنّ ما هو الموجود بین الیدین هو الماء الطاهر، و لازم ذلک صیرورة العلم لا علم، و الشبهة لا شبهة، و تصیر النتیجة فیما إذا علم إجمالا بإضافة أحد الأوانی، صحّة التوضّؤ، و فی المثال الأوّل لا نحتاج إلی قاعدة الحلّ و الطهارة و حدیث الرفع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الوثوق المذکور مورد المنع، و لا دلیل واقعا علی حجّیة کلّ وثوق شخصیّ إلّا روایة مسعدة، التی لا تخلو من مناقشات سندیّة و دلالیّة، کما مرّ مرارا</w:t>
      </w:r>
      <w:r>
        <w:rPr>
          <w:rStyle w:val="FootnoteAnchor"/>
          <w:rtl w:val="true"/>
        </w:rPr>
        <w:footnoteReference w:id="1034"/>
      </w:r>
      <w:r>
        <w:rPr>
          <w:rFonts w:ascii="IRNazanin" w:hAnsi="IRNazanin" w:eastAsia="IRNazanin"/>
          <w:color w:val="111111"/>
          <w:sz w:val="28"/>
          <w:sz w:val="28"/>
          <w:szCs w:val="28"/>
          <w:rtl w:val="true"/>
          <w:lang w:bidi="fa-IR"/>
        </w:rPr>
        <w:t>، و لو أمکن حلّ ما یتوجّه إلیها دلالة، یشکل أمر سندها جدّا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المناقضة المذکورة تمنع عن شمول إطلاقها لما نحن فیه، و ما فی کلام شیخ المشایخ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الجمع بین السالبة الکلّیة و الموجبة الجزئیّة هنا غیر</w:t>
      </w:r>
    </w:p>
    <w:p>
      <w:pPr>
        <w:pStyle w:val="BookText"/>
        <w:rPr/>
      </w:pP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یمکن دفعه باختلاف اللحاظ و النظر، مع أنّه أیضا لا یوجب تغییرا فی الواقع و نفس الأمر، فما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w:t>
      </w:r>
      <w:r>
        <w:rPr>
          <w:rStyle w:val="FootnoteAnchor"/>
          <w:rtl w:val="true"/>
        </w:rPr>
        <w:footnoteReference w:id="1036"/>
      </w:r>
      <w:r>
        <w:rPr>
          <w:rFonts w:ascii="IRNazanin" w:hAnsi="IRNazanin" w:eastAsia="IRNazanin"/>
          <w:color w:val="111111"/>
          <w:sz w:val="28"/>
          <w:sz w:val="28"/>
          <w:szCs w:val="28"/>
          <w:rtl w:val="true"/>
          <w:lang w:bidi="fa-IR"/>
        </w:rPr>
        <w:t>غیر مقنع إنصافا، إلّا من ناحیة أنّه لا یمکن الجمع بین لحاظ کلّ واحد مستقلّا و فی قبال الاخریات، و لحاظه فی الجمع، فإذا لوحظ کلّ واحد بحیال المجموع، فالوثوق ناهض علی أنّ النجاسة فی البقیّة، و إذا لوحض المجموع یعلم بوجودها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موهونیّة الاحتمال المذکور فی الألف، ممّا لا یمکن إنکارها تکوینا، و لازمه الاطمئنان بعدم خمریّة الإناء المذکور فی حدّ نفسه، و حیث لا یمکن الجمع علی التقریب المذکور، نمنع حجّیة ذلک الاطمئنان، فیکون العلم مؤثّرا و لو کان الاحتمال موهونا، کما لا یخفی فاغتنم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ما سلکناه من إمکان جریان الأمارات و الاصول فی کافّة الأطراف، مع کونها علی خلاف المعلوم قائمة</w:t>
      </w:r>
      <w:r>
        <w:rPr>
          <w:rStyle w:val="FootnoteAnchor"/>
          <w:rtl w:val="true"/>
        </w:rPr>
        <w:footnoteReference w:id="1037"/>
      </w:r>
      <w:r>
        <w:rPr>
          <w:rFonts w:ascii="IRNazanin" w:hAnsi="IRNazanin" w:eastAsia="IRNazanin"/>
          <w:color w:val="111111"/>
          <w:sz w:val="28"/>
          <w:sz w:val="28"/>
          <w:szCs w:val="28"/>
          <w:rtl w:val="true"/>
          <w:lang w:bidi="fa-IR"/>
        </w:rPr>
        <w:t>، فلا منع ثبوتا، إلّا أنّه لا دلیل علیها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 بناء العقلاء علیه علی الإطلاق النافع هنا، أو بإلغاء الخصوصیّة فی مثال المقام، فالإشکال الأوّل وارد أیضا؛ لأنّ التلازم بین کثرة الأطراف، و کون کلّ واحد منها مورد قیام الأمارة العقلائیّة علی خروجه عن مورد العلم، لا یوجب قصورا فی العلم إذا لوحظ المجموع بما هو هو؛ فإنّ التقریبین المذکورین و أنّ العقاب لیس جزافا فی صورة الإصابة، إنّما هو إذا ارتکب أحد الأطراف فی التحریمیّة، أو ترک واحدا منها فی الوجوبیّة، و العقل یدرک لزوم القطع بامتناع صدور العقاب منه تعالی؛ لأنّه جزاف و قبیح</w:t>
      </w:r>
      <w:r>
        <w:rPr>
          <w:rFonts w:eastAsia="IRNazanin" w:cs="IRNazanin"/>
          <w:color w:val="111111"/>
          <w:sz w:val="28"/>
          <w:szCs w:val="28"/>
          <w:rtl w:val="true"/>
          <w:lang w:bidi="fa-IR"/>
        </w:rPr>
        <w:t>.</w:t>
      </w:r>
      <w:bookmarkStart w:id="810" w:name="pg13173_325090"/>
    </w:p>
    <w:p>
      <w:pPr>
        <w:pStyle w:val="Heading6"/>
        <w:numPr>
          <w:ilvl w:val="5"/>
          <w:numId w:val="1"/>
        </w:numPr>
        <w:rPr/>
      </w:pPr>
      <w:bookmarkStart w:id="811" w:name="__RefHeading___Toc735259_3244359995"/>
      <w:bookmarkStart w:id="812" w:name="_Toc304"/>
      <w:bookmarkEnd w:id="810"/>
      <w:bookmarkEnd w:id="811"/>
      <w:r>
        <w:rPr>
          <w:rtl w:val="true"/>
        </w:rPr>
        <w:t>بقی تذنیب</w:t>
      </w:r>
      <w:r>
        <w:rPr>
          <w:rtl w:val="true"/>
        </w:rPr>
        <w:t xml:space="preserve">: </w:t>
      </w:r>
      <w:r>
        <w:rPr>
          <w:rtl w:val="true"/>
        </w:rPr>
        <w:t>حول أدلّة الترخیص</w:t>
      </w:r>
      <w:bookmarkEnd w:id="812"/>
    </w:p>
    <w:p>
      <w:pPr>
        <w:pStyle w:val="BookText"/>
        <w:rPr/>
      </w:pPr>
      <w:r>
        <w:rPr>
          <w:rFonts w:ascii="IRNazanin" w:hAnsi="IRNazanin" w:eastAsia="IRNazanin"/>
          <w:color w:val="111111"/>
          <w:sz w:val="28"/>
          <w:sz w:val="28"/>
          <w:szCs w:val="28"/>
          <w:rtl w:val="true"/>
          <w:lang w:bidi="fa-IR"/>
        </w:rPr>
        <w:t xml:space="preserve">إنّ الأدلّة المرخّصة، لا تنحصر بالأخبار الخاصّة الواردة فی الجبن </w:t>
      </w:r>
      <w:r>
        <w:rPr>
          <w:rStyle w:val="FootnoteAnchor"/>
          <w:rtl w:val="true"/>
        </w:rPr>
        <w:footnoteReference w:id="1038"/>
      </w:r>
      <w:r>
        <w:rPr>
          <w:rFonts w:ascii="IRNazanin" w:hAnsi="IRNazanin" w:eastAsia="IRNazanin"/>
          <w:color w:val="111111"/>
          <w:sz w:val="28"/>
          <w:sz w:val="28"/>
          <w:szCs w:val="28"/>
          <w:rtl w:val="true"/>
          <w:lang w:bidi="fa-IR"/>
        </w:rPr>
        <w:t>، أو الروایات المشتملة علی 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أو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صدر روایة مسعدة، کی یشکل سندا و دلالة؛ لعدم تمامیّة کثیر منها سندا، و ظهور بعضها فی الامور الخارجة عن محلّ الابتلاء؛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أجل مکان واحد یجعل فیه المیتة، حرم فی جمیع الأرضین؟</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xml:space="preserve">مع ما فیه من الإشکالات الاخر، و الأخبار الواردة فی المختلط بالحرام </w:t>
      </w:r>
      <w:r>
        <w:rPr>
          <w:rStyle w:val="FootnoteAnchor"/>
          <w:rtl w:val="true"/>
        </w:rPr>
        <w:footnoteReference w:id="1041"/>
      </w:r>
      <w:r>
        <w:rPr>
          <w:rFonts w:ascii="IRNazanin" w:hAnsi="IRNazanin" w:eastAsia="IRNazanin"/>
          <w:color w:val="111111"/>
          <w:sz w:val="28"/>
          <w:sz w:val="28"/>
          <w:szCs w:val="28"/>
          <w:rtl w:val="true"/>
          <w:lang w:bidi="fa-IR"/>
        </w:rPr>
        <w:t xml:space="preserve">، کی یقال بمعارضتها بما دلّ علی أنّ فیه الخمس </w:t>
      </w:r>
      <w:r>
        <w:rPr>
          <w:rStyle w:val="FootnoteAnchor"/>
          <w:rtl w:val="true"/>
        </w:rPr>
        <w:footnoteReference w:id="1042"/>
      </w:r>
      <w:r>
        <w:rPr>
          <w:rFonts w:ascii="IRNazanin" w:hAnsi="IRNazanin" w:eastAsia="IRNazanin"/>
          <w:color w:val="111111"/>
          <w:sz w:val="28"/>
          <w:sz w:val="28"/>
          <w:szCs w:val="28"/>
          <w:rtl w:val="true"/>
          <w:lang w:bidi="fa-IR"/>
        </w:rPr>
        <w:t>، مع احتیاجها فی نفسها إلی التقریب حتّی تشمل المقام، بل الأدلّة السابقة القائمة علی البراءة الشرعیّة تکفینا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خصوص الأموال إمّا یعمل بها فیها و لو کانت غیر محصورة، و یطرح معارضها، أو یعامل معها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بعضها علی الشبهة المحصورة، و الآخر علی غیر المحصورة، یحتاج إلی الشاهد، و یطلب تمام الکلام فی کتاب الخمس</w:t>
      </w:r>
      <w:r>
        <w:rPr>
          <w:rFonts w:eastAsia="IRNazanin" w:cs="IRNazanin"/>
          <w:color w:val="111111"/>
          <w:sz w:val="28"/>
          <w:szCs w:val="28"/>
          <w:rtl w:val="true"/>
          <w:lang w:bidi="fa-IR"/>
        </w:rPr>
        <w:t>.</w:t>
      </w:r>
      <w:bookmarkStart w:id="813" w:name="pg13173_325091"/>
    </w:p>
    <w:p>
      <w:pPr>
        <w:pStyle w:val="Heading6"/>
        <w:numPr>
          <w:ilvl w:val="5"/>
          <w:numId w:val="1"/>
        </w:numPr>
        <w:rPr/>
      </w:pPr>
      <w:bookmarkStart w:id="814" w:name="__RefHeading___Toc735261_3244359995"/>
      <w:bookmarkStart w:id="815" w:name="_Toc305"/>
      <w:bookmarkEnd w:id="813"/>
      <w:bookmarkEnd w:id="814"/>
      <w:r>
        <w:rPr>
          <w:rtl w:val="true"/>
        </w:rPr>
        <w:t>ذنابة</w:t>
      </w:r>
      <w:r>
        <w:rPr>
          <w:rtl w:val="true"/>
        </w:rPr>
        <w:t xml:space="preserve">: </w:t>
      </w:r>
      <w:r>
        <w:rPr>
          <w:rtl w:val="true"/>
        </w:rPr>
        <w:t>حول التفصیل بین الشبهة المحصورة و غیرها</w:t>
      </w:r>
      <w:bookmarkEnd w:id="815"/>
    </w:p>
    <w:p>
      <w:pPr>
        <w:pStyle w:val="BookText"/>
        <w:rPr/>
      </w:pPr>
      <w:r>
        <w:rPr>
          <w:rFonts w:ascii="IRNazanin" w:hAnsi="IRNazanin" w:eastAsia="IRNazanin"/>
          <w:color w:val="111111"/>
          <w:sz w:val="28"/>
          <w:sz w:val="28"/>
          <w:szCs w:val="28"/>
          <w:rtl w:val="true"/>
          <w:lang w:bidi="fa-IR"/>
        </w:rPr>
        <w:t>ممّا یتوجّه إلی القائلین بالتفصیل بین الشبهة المحصورة و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الأزدنیّة</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أو السمسمیّة، فإنّه لو اشتبه النجس بغیره فی إناءین، ثمّ شرع الاشتباه فی الزیادة، فمتی تحصل تلک الکثرة، و کیف یمکن تعیین المناط علی وجه إذا نقصنا واحدة منها تکون محصورة، و إذا زیدت علیها واحدة تصیر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الضرورة قائمة علی أنّه فی وقت ما و فی مورد، یکون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مرحلة الإثبات یشکل، و لا بدّ من الاحتیاط حتّی یتبیّن أنّها غیر محصورة؛ لأنّ فی صورة الشکّ فی المحصوریّة و غیر المحصوریّة یؤثّر العلم؛ لأنّ المسألة من قبیل المخصّصات اللبّیة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تعاریف القوم و تحدیداتهم لمناط الشبهة غیر المحصورة، یلزم تلک الشبهة السمسمیّة،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ما یعسر عدّها</w:t>
      </w:r>
      <w:r>
        <w:rPr>
          <w:rStyle w:val="FootnoteAnchor"/>
          <w:rtl w:val="true"/>
        </w:rPr>
        <w:footnoteReference w:id="1044"/>
      </w:r>
      <w:r>
        <w:rPr>
          <w:rFonts w:ascii="IRNazanin" w:hAnsi="IRNazanin" w:eastAsia="IRNazanin"/>
          <w:color w:val="111111"/>
          <w:sz w:val="28"/>
          <w:sz w:val="28"/>
          <w:szCs w:val="28"/>
          <w:rtl w:val="true"/>
          <w:lang w:bidi="fa-IR"/>
        </w:rPr>
        <w:t>، أو قلنا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ما یعسر موافقتها القطعیّة</w:t>
      </w:r>
      <w:r>
        <w:rPr>
          <w:rStyle w:val="FootnoteAnchor"/>
          <w:rtl w:val="true"/>
        </w:rPr>
        <w:footnoteReference w:id="1045"/>
      </w:r>
      <w:r>
        <w:rPr>
          <w:rFonts w:ascii="IRNazanin" w:hAnsi="IRNazanin" w:eastAsia="IRNazanin"/>
          <w:color w:val="111111"/>
          <w:sz w:val="28"/>
          <w:sz w:val="28"/>
          <w:szCs w:val="28"/>
          <w:rtl w:val="true"/>
          <w:lang w:bidi="fa-IR"/>
        </w:rPr>
        <w:t xml:space="preserve">، أو قلنا بمقالة الشیخ </w:t>
      </w:r>
      <w:r>
        <w:rPr>
          <w:rStyle w:val="FootnoteAnchor"/>
          <w:rtl w:val="true"/>
        </w:rPr>
        <w:footnoteReference w:id="1046"/>
      </w:r>
      <w:r>
        <w:rPr>
          <w:rFonts w:ascii="Amiri" w:hAnsi="Amiri" w:eastAsia="Amiri" w:cs="Amiri"/>
          <w:color w:val="111111"/>
          <w:sz w:val="28"/>
          <w:sz w:val="28"/>
          <w:szCs w:val="28"/>
          <w:rtl w:val="true"/>
          <w:lang w:bidi="ar-SA"/>
        </w:rPr>
        <w:t xml:space="preserve">، أو العلّامة الحائریّ </w:t>
      </w:r>
      <w:r>
        <w:rPr>
          <w:rStyle w:val="FootnoteAnchor"/>
          <w:rtl w:val="true"/>
        </w:rPr>
        <w:footnoteReference w:id="1047"/>
      </w:r>
      <w:r>
        <w:rPr>
          <w:rFonts w:ascii="IRNazanin" w:hAnsi="IRNazanin" w:eastAsia="IRNazanin"/>
          <w:color w:val="111111"/>
          <w:sz w:val="28"/>
          <w:sz w:val="28"/>
          <w:szCs w:val="28"/>
          <w:rtl w:val="true"/>
          <w:lang w:bidi="fa-IR"/>
        </w:rPr>
        <w:t>، أو غیره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غیر المحصورة محوّل إلی العرف </w:t>
      </w:r>
      <w:r>
        <w:rPr>
          <w:rStyle w:val="FootnoteAnchor"/>
          <w:rtl w:val="true"/>
        </w:rPr>
        <w:footnoteReference w:id="1048"/>
      </w:r>
      <w:r>
        <w:rPr>
          <w:rFonts w:ascii="IRNazanin" w:hAnsi="IRNazanin" w:eastAsia="IRNazanin"/>
          <w:color w:val="111111"/>
          <w:sz w:val="28"/>
          <w:sz w:val="28"/>
          <w:szCs w:val="28"/>
          <w:rtl w:val="true"/>
          <w:lang w:bidi="fa-IR"/>
        </w:rPr>
        <w:t>، أو قلنا بمقالة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مالا یتمکّن عادة من المخالفة القطعیّة بارتکاب جمیع</w:t>
      </w:r>
    </w:p>
    <w:p>
      <w:pPr>
        <w:pStyle w:val="BookText"/>
        <w:rPr/>
      </w:pPr>
      <w:r>
        <w:rPr>
          <w:rFonts w:ascii="IRNazanin" w:hAnsi="IRNazanin" w:eastAsia="IRNazanin"/>
          <w:color w:val="111111"/>
          <w:sz w:val="28"/>
          <w:sz w:val="28"/>
          <w:szCs w:val="28"/>
          <w:rtl w:val="true"/>
          <w:lang w:bidi="fa-IR"/>
        </w:rPr>
        <w:t xml:space="preserve">الأطراف </w:t>
      </w:r>
      <w:r>
        <w:rPr>
          <w:rStyle w:val="FootnoteAnchor"/>
          <w:rtl w:val="true"/>
        </w:rPr>
        <w:footnoteReference w:id="1049"/>
      </w:r>
      <w:r>
        <w:rPr>
          <w:rFonts w:ascii="IRNazanin" w:hAnsi="IRNazanin" w:eastAsia="IRNazanin"/>
          <w:color w:val="111111"/>
          <w:sz w:val="28"/>
          <w:sz w:val="28"/>
          <w:szCs w:val="28"/>
          <w:rtl w:val="true"/>
          <w:lang w:bidi="fa-IR"/>
        </w:rPr>
        <w:t xml:space="preserve">، فإنّ علی کلّ تعریف و تحدید تتوجّه تلک الشبهة، فلا بدّ من حلّ المشکلة بإیجاب الاحتیاط عقلا، إلّا إذا احرزت تلک الکثرة الکذائیّة، أو یقال بالتفصیل بین الصورتین، کما مرّ فی أوائل البحث احتماله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العلم بوجود القلیل فی الکثیر بدوا لا تدریجا، یمکن منع تأثیر العلم فی حدّ خاصّ من الکثرة؛ لما یشکّ فی تنجّز التکلیف من الابتداء، لاحتمال کون المورد من تلک الکثرة التی لیس العلم فیها مؤثّرا، کما یأتی من ذی قبل بعض الکلام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فلکون القلیل متحرّکا نحو الکثیر، یکون العلم فیه مؤثّرا، و یصیر کلّ واحد من الأطراف متنجّزا، و یشبه بعد لحوق الأعداد به الکثیر فی الکثیر، و لازم ذلک أنّه إذا کان مقدار من الکثرة المعیّنة مورد العلم بدوا، یکون مجری البراءة، بخلاف ما کان ذلک المقدار بعینه مورد العلم تدریجا، فإنّه لمکان تنجّز الأطراف لا 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بلغ إلی کثرة فوق تلک الکثرة و أضعافها؛ بحیث یکون من القلیل فی الکثیر لطروّ مراحل الشکّ بلحوق عدد کثیر إلیه تدریجا، فیصیر من الشبهة غیر المحصورة، و لا معنی لتوهّم استصحاب بقاء الشبهة المحصورة صغری و کبری،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العویصة من تبعات القول بالتفصیل بین الصورتین، و أمّا علی مسلکنا فلا مشکلة؛ ضرورة أنّه بحسب العقل لا بدّ من الاحتیاط، و بحسب الشرع یجوز الاقتحام علی الإطلاق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تزید علی هذه المشکلة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القلیل فی الکثیر و فی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التفاسیر الخمسة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العلم أوّلا، ثمّ شرع ینقص الأطراف إلی أن بلغ المقدار المذکور؛ بوجه یعلم بأنّ الواحد المحرّم فی الباقی، کما لو قامت البیّنة علی أنّ ذلک المحرّم فیه، و لیس فیما تلف مثلا، فإنّه لا یجب الاحتیاط طبعا، فعلی هذا فی مثل خمسمائة إناء علی الفرض الأوّل یجب الاحتیاط، و علی الفرض الثانی یشکّ فی وجوبه، و علی الفرض الثالث لا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عمّا اشیر إلیه </w:t>
      </w:r>
      <w:r>
        <w:rPr>
          <w:rStyle w:val="FootnoteAnchor"/>
          <w:rtl w:val="true"/>
        </w:rPr>
        <w:footnoteReference w:id="1051"/>
      </w:r>
      <w:r>
        <w:rPr>
          <w:rFonts w:ascii="IRNazanin" w:hAnsi="IRNazanin" w:eastAsia="IRNazanin"/>
          <w:color w:val="111111"/>
          <w:sz w:val="28"/>
          <w:sz w:val="28"/>
          <w:szCs w:val="28"/>
          <w:rtl w:val="true"/>
          <w:lang w:bidi="fa-IR"/>
        </w:rPr>
        <w:t>، إنّ فی موارد الشکّ فی الموضوع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الاحتیاط؛ نظرا إلی تمامیّة شرائط التأثیر، و عدم تمامیّة وجه المنع و تلک الکثرة، و احتمال حصولها ثبوتا غیر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مقتضی طائفة من الأخبار جواز المخالفة فی غیر المحصورة، فإذا شکّ فلا بدّ من تبعیّة العقل؛ و هو الاحتیاط</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الشک المذکور ینتهی إلی الشکّ فی تمامیّة الحجّة؛ لأنّ موضوع العقل مبیّن، و إذا شکّ فی الموضوع یحصل القطع بانتفاء الحجّة، فلو قامت الضرورة و الروایة علی جواز المخالفة القطعیّة فی غیر المحصورة، یلزم العلم بعدم تمامیّة الحجّة بالنسبة إلی الاحتیاط؛ لأنّ النتیجة تابعة لأخسّ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العلّامة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تختلف باختلاف المبانی، فعلی أنّ المیزان لغیر المحصورة ما أفاده الشیخ رحمه اللّه فالبراءة، و علی أنّ المناط عدم التمکّن عادة من المخالفة فالاشتغال</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الاولی قضیّة العقل هی البراءة؛ لأنّه إذا شکّ فی أنّ الشبهة غیر المحصورة، یکون فیه الحکم منجّزا و العلم علّة، فالبراءة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قلنا بمرجعیّة العلم مطلقا، و إنّما الشکّ فی أنّ الشرع رخّص فی غیر المحصور أم لم یرخّص، و أنّ الأدلّة هل تکون ناهضة لتجویز المخالفة، أم لا؟ بناء علی إمکانه کما عرفت </w:t>
      </w:r>
      <w:r>
        <w:rPr>
          <w:rStyle w:val="FootnoteAnchor"/>
          <w:rtl w:val="true"/>
        </w:rPr>
        <w:footnoteReference w:id="1054"/>
      </w:r>
      <w:r>
        <w:rPr>
          <w:rFonts w:ascii="IRNazanin" w:hAnsi="IRNazanin" w:eastAsia="IRNazanin"/>
          <w:color w:val="111111"/>
          <w:sz w:val="28"/>
          <w:sz w:val="28"/>
          <w:szCs w:val="28"/>
          <w:rtl w:val="true"/>
          <w:lang w:bidi="fa-IR"/>
        </w:rPr>
        <w:t>، فالاشتغال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القضیّة الخارجیّة؛ و أنّ ما فی الخارج غیر محصور أم لا، فالاشتغال محکّم بالضرورة؛ لأنّ جمیع الوجوه الستّة و السبعة و غیرها</w:t>
      </w:r>
      <w:r>
        <w:rPr>
          <w:rStyle w:val="FootnoteAnchor"/>
          <w:rtl w:val="true"/>
        </w:rPr>
        <w:footnoteReference w:id="1055"/>
      </w:r>
      <w:r>
        <w:rPr>
          <w:rFonts w:ascii="IRNazanin" w:hAnsi="IRNazanin" w:eastAsia="IRNazanin"/>
          <w:color w:val="111111"/>
          <w:sz w:val="28"/>
          <w:sz w:val="28"/>
          <w:szCs w:val="28"/>
          <w:rtl w:val="true"/>
          <w:lang w:bidi="fa-IR"/>
        </w:rPr>
        <w:t>، ترجع إلی ترخیص خارجیّ فی قبال الاقتضاء و العلّیة الثابتة للعلم، فلا بدّ من إقامة الحجّة الهادمة لتلک الحجّة الذاتیّة التامّة، و لا بیان فیما بین تلک التقاریب یرجع إلی قصور العلم عن التأثیر، حتّی یکون الشکّ راجعا إلی الشکّ فی قصوره و عدمه، کی تکون البراءة محکّمة، فلیلاحظ جیّدا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کلام جمع و لا سیّما العلّامة الأراکیّ </w:t>
      </w:r>
      <w:r>
        <w:rPr>
          <w:rStyle w:val="FootnoteAnchor"/>
          <w:rtl w:val="true"/>
        </w:rPr>
        <w:footnoteReference w:id="1056"/>
      </w:r>
      <w:r>
        <w:rPr>
          <w:rFonts w:ascii="IRNazanin" w:hAnsi="IRNazanin" w:eastAsia="IRNazanin"/>
          <w:color w:val="111111"/>
          <w:sz w:val="28"/>
          <w:sz w:val="28"/>
          <w:szCs w:val="28"/>
          <w:rtl w:val="true"/>
          <w:lang w:bidi="fa-IR"/>
        </w:rPr>
        <w:t xml:space="preserve">، ساقط جدّا، سواء فسّر غیر المحصور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أو بغیره </w:t>
      </w:r>
      <w:r>
        <w:rPr>
          <w:rStyle w:val="FootnoteAnchor"/>
          <w:rtl w:val="true"/>
        </w:rPr>
        <w:footnoteReference w:id="1059"/>
      </w:r>
      <w:r>
        <w:rPr>
          <w:rFonts w:ascii="IRNazanin" w:hAnsi="IRNazanin" w:eastAsia="IRNazanin"/>
          <w:color w:val="111111"/>
          <w:sz w:val="28"/>
          <w:sz w:val="28"/>
          <w:szCs w:val="28"/>
          <w:rtl w:val="true"/>
          <w:lang w:bidi="fa-IR"/>
        </w:rPr>
        <w:t>لأنّ مرجع تفسیرهما فی صورة الشکّ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بلغ إلی حدّ لا یعتنی العقلاء، أم لا؟</w:t>
      </w:r>
      <w:bookmarkStart w:id="816" w:name="pg13173_325095"/>
    </w:p>
    <w:p>
      <w:pPr>
        <w:pStyle w:val="BookText"/>
        <w:rPr/>
      </w:pPr>
      <w:bookmarkEnd w:id="816"/>
      <w:r>
        <w:rPr>
          <w:rFonts w:ascii="IRNazanin" w:hAnsi="IRNazanin" w:eastAsia="IRNazanin"/>
          <w:color w:val="111111"/>
          <w:sz w:val="28"/>
          <w:sz w:val="28"/>
          <w:szCs w:val="28"/>
          <w:rtl w:val="true"/>
          <w:lang w:bidi="fa-IR"/>
        </w:rPr>
        <w:t>نعم، یمکن دعوی البراءة حسب إطلاق أدلّة الترخیص؛ لجواز التمسّک به فی الشبهة المصداقیّة بعد کون المخصّص لبّیا کما تحرّر</w:t>
      </w:r>
      <w:r>
        <w:rPr>
          <w:rStyle w:val="FootnoteAnchor"/>
          <w:rtl w:val="true"/>
        </w:rPr>
        <w:footnoteReference w:id="106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735263_3244359995"/>
      <w:bookmarkStart w:id="818" w:name="_Toc306"/>
      <w:bookmarkEnd w:id="817"/>
      <w:r>
        <w:rPr>
          <w:rtl w:val="true"/>
        </w:rPr>
        <w:t>تنبیه</w:t>
      </w:r>
      <w:r>
        <w:rPr>
          <w:rtl w:val="true"/>
        </w:rPr>
        <w:t xml:space="preserve">: </w:t>
      </w:r>
      <w:r>
        <w:rPr>
          <w:rtl w:val="true"/>
        </w:rPr>
        <w:t>فی صیرورة الشبهة لا شبهة، کالعلم</w:t>
      </w:r>
      <w:bookmarkEnd w:id="818"/>
    </w:p>
    <w:p>
      <w:pPr>
        <w:pStyle w:val="BookText"/>
        <w:rPr/>
      </w:pPr>
      <w:r>
        <w:rPr>
          <w:rFonts w:ascii="IRNazanin" w:hAnsi="IRNazanin" w:eastAsia="IRNazanin"/>
          <w:color w:val="111111"/>
          <w:sz w:val="28"/>
          <w:sz w:val="28"/>
          <w:szCs w:val="28"/>
          <w:rtl w:val="true"/>
          <w:lang w:bidi="fa-IR"/>
        </w:rPr>
        <w:t>قد مرّ فی مطاوی بحوثنا وجه سقوط العلم أثرا؛ و صیرورته لا علم، و وجه صیرورة الشبهة لا شبهة، و تبیّن أنّ التحقیق عدم سقوط العلم، و مع ذلک یمکن الترخیص إلی حدّ المخالفة القطعیّة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قلنا بتمامیّة السیرة الخارجیّة العملیّة علی عدم الاعتناء فی الشبهة غیر المحصورة بالعلم، و أنّ الطرف و الأطراف غیر المحتاج إلیها فی الاستعمال و الاستفادة حین الحاجة إلی أحد الأطراف معیّنا أو غیر معیّن، بحیث یستلزم الغفلة عادة عن ملاحظة سائر الجهات، یمکن دعوی صیرورة الشبهة لا شبهة، فیجوز التوضّؤ بالمختلط بالمغصوب، أو المضاف، أو المختلط بالأحجار غیر الباکرة فی المشعر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یکن العلم قاصرا فی غیر المحصورة، و لکنّ الأدلّة المرخّصة مقدّمة علیه فی التعذیر، فی قبال تنجیز العلم الثابت لولاها، و یمکن فی هذه الحالة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کلا شبهة؛ لأجل السیرة المذکورة التی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المحصورة و غیر المحصورة؛ لأنّ بعضا من الشبهة المحصورة أیضا مورد السیرة المذکورة، کما إذا علم المارّ أنّ ترشّح البول إمّا إلی ثوبه، أو إلی الأرض التی فی جنبه، فإنّ مقتضی العلم بالنهی و جنس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النهی عن الصلاة فی ثوبه، أو السجدة أو التیمّم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 و الاحتیاط، و مع ذلک لا</w:t>
      </w:r>
      <w:bookmarkStart w:id="819" w:name="pg13173_325096"/>
    </w:p>
    <w:p>
      <w:pPr>
        <w:pStyle w:val="BookText"/>
        <w:rPr/>
      </w:pPr>
      <w:bookmarkEnd w:id="819"/>
      <w:r>
        <w:rPr>
          <w:rFonts w:ascii="IRNazanin" w:hAnsi="IRNazanin" w:eastAsia="IRNazanin"/>
          <w:color w:val="111111"/>
          <w:sz w:val="28"/>
          <w:sz w:val="28"/>
          <w:szCs w:val="28"/>
          <w:rtl w:val="true"/>
          <w:lang w:bidi="fa-IR"/>
        </w:rPr>
        <w:t>یعتنون بمثله، و یصلّون فی الثوب الذی هو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ظاهر القوم من أنّ البحث عن أنّ الشبهة لا شبهة، بعد الفراغ من سقوط العلم و صیرورته 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تنافی بین کون العلم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الشبهة لا شبهة،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مبنی المسألة اختلاف التقاریب فی إسقاط تنجیز العلم، کما یظهر من العلّامتین النائینیّ </w:t>
      </w:r>
      <w:r>
        <w:rPr>
          <w:rStyle w:val="FootnoteAnchor"/>
          <w:rtl w:val="true"/>
        </w:rPr>
        <w:footnoteReference w:id="1062"/>
      </w:r>
      <w:r>
        <w:rPr>
          <w:rFonts w:ascii="Amiri" w:hAnsi="Amiri" w:eastAsia="Amiri" w:cs="Amiri"/>
          <w:color w:val="111111"/>
          <w:sz w:val="28"/>
          <w:sz w:val="28"/>
          <w:szCs w:val="28"/>
          <w:rtl w:val="true"/>
          <w:lang w:bidi="ar-SA"/>
        </w:rPr>
        <w:t xml:space="preserve">و الأراکیّ </w:t>
      </w:r>
      <w:r>
        <w:rPr>
          <w:rStyle w:val="FootnoteAnchor"/>
          <w:rtl w:val="true"/>
        </w:rPr>
        <w:footnoteReference w:id="1063"/>
      </w:r>
      <w:r>
        <w:rPr>
          <w:rFonts w:ascii="IRNazanin" w:hAnsi="IRNazanin" w:eastAsia="IRNazanin"/>
          <w:color w:val="111111"/>
          <w:sz w:val="28"/>
          <w:sz w:val="28"/>
          <w:szCs w:val="28"/>
          <w:rtl w:val="true"/>
          <w:lang w:bidi="fa-IR"/>
        </w:rPr>
        <w:t>و أتباعهما</w:t>
      </w:r>
      <w:r>
        <w:rPr>
          <w:rStyle w:val="FootnoteAnchor"/>
          <w:rtl w:val="true"/>
        </w:rPr>
        <w:footnoteReference w:id="1064"/>
      </w:r>
      <w:r>
        <w:rPr>
          <w:rFonts w:ascii="Amiri" w:hAnsi="Amiri" w:eastAsia="Amiri" w:cs="Amiri"/>
          <w:color w:val="111111"/>
          <w:sz w:val="28"/>
          <w:sz w:val="28"/>
          <w:szCs w:val="28"/>
          <w:rtl w:val="true"/>
          <w:lang w:bidi="ar-SA"/>
        </w:rPr>
        <w:t>، بل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لما عرفت من قیام السیرة علی عدم الاعتناء بآثار الطرف الممنوعة حسب القاعدة الأوّلیة</w:t>
      </w:r>
      <w:r>
        <w:rPr>
          <w:rFonts w:eastAsia="IRNazanin" w:cs="IRNazanin"/>
          <w:color w:val="111111"/>
          <w:sz w:val="28"/>
          <w:szCs w:val="28"/>
          <w:rtl w:val="true"/>
          <w:lang w:bidi="fa-IR"/>
        </w:rPr>
        <w:t>.</w:t>
      </w:r>
    </w:p>
    <w:p>
      <w:pPr>
        <w:pStyle w:val="Heading6"/>
        <w:numPr>
          <w:ilvl w:val="5"/>
          <w:numId w:val="1"/>
        </w:numPr>
        <w:rPr/>
      </w:pPr>
      <w:bookmarkStart w:id="820" w:name="__RefHeading___Toc735265_3244359995"/>
      <w:bookmarkStart w:id="821" w:name="_Toc307"/>
      <w:bookmarkEnd w:id="820"/>
      <w:r>
        <w:rPr>
          <w:rtl w:val="true"/>
        </w:rPr>
        <w:t>تکمیل</w:t>
      </w:r>
      <w:r>
        <w:rPr>
          <w:rtl w:val="true"/>
        </w:rPr>
        <w:t xml:space="preserve">: </w:t>
      </w:r>
      <w:r>
        <w:rPr>
          <w:rtl w:val="true"/>
        </w:rPr>
        <w:t>حول ترخیص المخالفة القطعیّة فی غیر المحصورة</w:t>
      </w:r>
      <w:bookmarkEnd w:id="821"/>
    </w:p>
    <w:p>
      <w:pPr>
        <w:pStyle w:val="BookText"/>
        <w:rPr/>
      </w:pPr>
      <w:r>
        <w:rPr>
          <w:rFonts w:ascii="IRNazanin" w:hAnsi="IRNazanin" w:eastAsia="IRNazanin"/>
          <w:color w:val="111111"/>
          <w:sz w:val="28"/>
          <w:sz w:val="28"/>
          <w:szCs w:val="28"/>
          <w:rtl w:val="true"/>
          <w:lang w:bidi="fa-IR"/>
        </w:rPr>
        <w:t xml:space="preserve">بناء علی ما سلکناه تجوز المخالفة القطعیّة؛ لأنّها قابلة للترخیص بجعل الأدلّة المرخّصة عذرا، کما مرّ تفصیله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القوم، فمقتضی القاعدة ممنوعیّتها؛ سواء کان من قصده المخالفة من الأوّل، أو کان قد اتفق له ذلک فی طول الأزمنة؛ لاتحاد المناط بین المحصورة و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کذلک حتّی بالنسبة إلی الموافقة القطعیّة؛ لامتناع کون التکلیف فعلیّا بین الأطراف، مع اعتبار حجّیة شی‌ء یؤدّی إلی خلافه،</w:t>
      </w:r>
      <w:bookmarkStart w:id="822" w:name="pg13173_325097"/>
    </w:p>
    <w:p>
      <w:pPr>
        <w:pStyle w:val="BookText"/>
        <w:rPr/>
      </w:pPr>
      <w:bookmarkEnd w:id="822"/>
      <w:r>
        <w:rPr>
          <w:rFonts w:ascii="IRNazanin" w:hAnsi="IRNazanin" w:eastAsia="IRNazanin"/>
          <w:color w:val="111111"/>
          <w:sz w:val="28"/>
          <w:sz w:val="28"/>
          <w:szCs w:val="28"/>
          <w:rtl w:val="true"/>
          <w:lang w:bidi="fa-IR"/>
        </w:rPr>
        <w:t xml:space="preserve">أو یحتمل إصابته؛ لأنّه یشبه احتمال المناقضة الذی مرّ فی المحصورة بتفصیل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سبیل إلی تجویز أحد الأطراف، و لا المجموع؛ إلّا علی ما سلکناه المنتهی إلی جواز الترخیص علی الإطلاق فی مطلق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بل و الشیخ رحمه اللّه </w:t>
      </w:r>
      <w:r>
        <w:rPr>
          <w:rStyle w:val="FootnoteAnchor"/>
          <w:rtl w:val="true"/>
        </w:rPr>
        <w:footnoteReference w:id="1069"/>
      </w:r>
      <w:r>
        <w:rPr>
          <w:rFonts w:ascii="IRNazanin" w:hAnsi="IRNazanin" w:eastAsia="IRNazanin"/>
          <w:color w:val="111111"/>
          <w:sz w:val="28"/>
          <w:sz w:val="28"/>
          <w:szCs w:val="28"/>
          <w:rtl w:val="true"/>
          <w:lang w:bidi="fa-IR"/>
        </w:rPr>
        <w:t>یلزم خروج أحد الأطراف عن طرفیّة العلم، و یکون خارجا عن الجهة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بعد الالتفات إلی أنّ کلّ واحد من الأطراف مورد الاطمئنان بعدم انطباق المعلوم علیه، یلزم أن یتوجّه المکلّف إلی امتناع اعتبار حجّیة هذا الاطمئنان و لو کان تدریجیّ الوجود؛ لانتهائه إلی التناقض،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مقتضی مبنی الشیخ العلّامة رحمه اللّه هو التفصیل</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تفصیل الشیخ بین القاصد للمخالفة و غیر القاصد</w:t>
      </w:r>
      <w:r>
        <w:rPr>
          <w:rStyle w:val="FootnoteAnchor"/>
          <w:rtl w:val="true"/>
        </w:rPr>
        <w:footnoteReference w:id="1071"/>
      </w:r>
      <w:r>
        <w:rPr>
          <w:rFonts w:ascii="IRNazanin" w:hAnsi="IRNazanin" w:eastAsia="IRNazanin"/>
          <w:color w:val="111111"/>
          <w:sz w:val="28"/>
          <w:sz w:val="28"/>
          <w:szCs w:val="28"/>
          <w:rtl w:val="true"/>
          <w:lang w:bidi="fa-IR"/>
        </w:rPr>
        <w:t>، أیضا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یتوجّه إلیه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قاصد المخالفة هل یمنع عن خلاف الاحتیاط، و یجب علیه ذلک، أم یجوز له ذلک بارتکاب بعض الأطراف؟ و الظاهر هو الأوّل کما لا یخفی، و تدبّر</w:t>
      </w:r>
      <w:r>
        <w:rPr>
          <w:rFonts w:eastAsia="IRNazanin" w:cs="IRNazanin"/>
          <w:color w:val="111111"/>
          <w:sz w:val="28"/>
          <w:szCs w:val="28"/>
          <w:rtl w:val="true"/>
          <w:lang w:bidi="fa-IR"/>
        </w:rPr>
        <w:t>.</w:t>
      </w:r>
    </w:p>
    <w:p>
      <w:pPr>
        <w:pStyle w:val="Heading6"/>
        <w:numPr>
          <w:ilvl w:val="5"/>
          <w:numId w:val="1"/>
        </w:numPr>
        <w:rPr/>
      </w:pPr>
      <w:bookmarkStart w:id="823" w:name="__RefHeading___Toc735267_3244359995"/>
      <w:bookmarkStart w:id="824" w:name="_Toc308"/>
      <w:bookmarkEnd w:id="823"/>
      <w:r>
        <w:rPr>
          <w:rtl w:val="true"/>
        </w:rPr>
        <w:t>تتمّة</w:t>
      </w:r>
      <w:r>
        <w:rPr>
          <w:rtl w:val="true"/>
        </w:rPr>
        <w:t xml:space="preserve">: </w:t>
      </w:r>
      <w:r>
        <w:rPr>
          <w:rtl w:val="true"/>
        </w:rPr>
        <w:t>فی الشبهة الوجوبیة من غیر المحصورة</w:t>
      </w:r>
      <w:bookmarkEnd w:id="824"/>
    </w:p>
    <w:p>
      <w:pPr>
        <w:pStyle w:val="BookText"/>
        <w:rPr/>
      </w:pPr>
      <w:r>
        <w:rPr>
          <w:rFonts w:ascii="IRNazanin" w:hAnsi="IRNazanin" w:eastAsia="IRNazanin"/>
          <w:color w:val="111111"/>
          <w:sz w:val="28"/>
          <w:sz w:val="28"/>
          <w:szCs w:val="28"/>
          <w:rtl w:val="true"/>
          <w:lang w:bidi="fa-IR"/>
        </w:rPr>
        <w:t>فی الشبهات الوجوبیّة لا یجب الاحتیاط؛ لجریان الأدلّة المرخّصة العامّة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الغریب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بالأدلّة المرخّصة</w:t>
      </w:r>
      <w:r>
        <w:rPr>
          <w:rStyle w:val="FootnoteAnchor"/>
          <w:rtl w:val="true"/>
        </w:rPr>
        <w:footnoteReference w:id="1072"/>
      </w:r>
      <w:r>
        <w:rPr>
          <w:rFonts w:ascii="Amiri" w:hAnsi="Amiri" w:eastAsia="Amiri" w:cs="Amiri"/>
          <w:color w:val="111111"/>
          <w:sz w:val="28"/>
          <w:sz w:val="28"/>
          <w:szCs w:val="28"/>
          <w:rtl w:val="true"/>
          <w:lang w:bidi="ar-SA"/>
        </w:rPr>
        <w:t>، مع أنّها</w:t>
      </w:r>
    </w:p>
    <w:p>
      <w:pPr>
        <w:pStyle w:val="BookText"/>
        <w:rPr/>
      </w:pPr>
      <w:r>
        <w:rPr>
          <w:rFonts w:ascii="IRNazanin" w:hAnsi="IRNazanin" w:eastAsia="IRNazanin"/>
          <w:color w:val="111111"/>
          <w:sz w:val="28"/>
          <w:sz w:val="28"/>
          <w:szCs w:val="28"/>
          <w:rtl w:val="true"/>
          <w:lang w:bidi="fa-IR"/>
        </w:rPr>
        <w:t>مخصوصة بالشبهات التحریمیّة، و بعد ذهابه فی مسألة البراءة إلی أنّ حدیث الرفع و أشباهه، مخصوص بالشکوک البدویّة؛ و انصرافه عن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موارد العلم الإجمالیّ تکون الغایة حاصلة</w:t>
      </w:r>
      <w:r>
        <w:rPr>
          <w:rStyle w:val="FootnoteAnchor"/>
          <w:rtl w:val="true"/>
        </w:rPr>
        <w:footnoteReference w:id="1073"/>
      </w:r>
      <w:r>
        <w:rPr>
          <w:rFonts w:ascii="IRNazanin" w:hAnsi="IRNazanin" w:eastAsia="IRNazanin"/>
          <w:color w:val="111111"/>
          <w:sz w:val="28"/>
          <w:sz w:val="28"/>
          <w:szCs w:val="28"/>
          <w:rtl w:val="true"/>
          <w:lang w:bidi="fa-IR"/>
        </w:rPr>
        <w:t xml:space="preserve">، کما فی حاشیة جدّی العلّامة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بتبعیض الاحتیاط، فربّما یستند إلی إمکان المخالفة القطعیّة، و أنّه یکون بینها و بین وجوب الموافقة القطعیّة تلازم </w:t>
      </w:r>
      <w:r>
        <w:rPr>
          <w:rStyle w:val="FootnoteAnchor"/>
          <w:rtl w:val="true"/>
        </w:rPr>
        <w:footnoteReference w:id="1075"/>
      </w:r>
      <w:r>
        <w:rPr>
          <w:rFonts w:ascii="IRNazanin" w:hAnsi="IRNazanin" w:eastAsia="IRNazanin"/>
          <w:color w:val="111111"/>
          <w:sz w:val="28"/>
          <w:sz w:val="28"/>
          <w:szCs w:val="28"/>
          <w:rtl w:val="true"/>
          <w:lang w:bidi="fa-IR"/>
        </w:rPr>
        <w:t xml:space="preserve">، و قد مرّ فساده بما لا مزید علیه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دلیل علی أصل التلازم، فما افید فی تقریر العلّامة النائینیّ 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مستند جواز المخالفة القطعیّة ما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 أولادی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جواز المخالفة هنا؛ لأنّ کلّ واحد من الأطراف مورد الوثوق بأنّه غیر منطبق علیه ذلک الواجب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فی صورة التمکّن من إتیان مقدار نسبته إلی غیر المتمکّن منه نسبة محصور إلی محصور، یجب الاحتیاط</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فهو محمول علی ضعف تقریر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الظاهر ممّا مرّ، فالقول بأنّ المسألة تدور مدار انقلاب النسبة فی الفرض المذکور</w:t>
      </w:r>
      <w:r>
        <w:rPr>
          <w:rStyle w:val="FootnoteAnchor"/>
          <w:rtl w:val="true"/>
        </w:rPr>
        <w:footnoteReference w:id="1079"/>
      </w:r>
      <w:r>
        <w:rPr>
          <w:rFonts w:ascii="Amiri" w:hAnsi="Amiri" w:eastAsia="Amiri" w:cs="Amiri"/>
          <w:color w:val="111111"/>
          <w:sz w:val="28"/>
          <w:sz w:val="28"/>
          <w:szCs w:val="28"/>
          <w:rtl w:val="true"/>
          <w:lang w:bidi="ar-SA"/>
        </w:rPr>
        <w:t>، غیر جیّد</w:t>
      </w:r>
      <w:r>
        <w:rPr>
          <w:rFonts w:eastAsia="Amiri" w:cs="Amiri" w:ascii="Amiri" w:hAnsi="Amiri"/>
          <w:color w:val="111111"/>
          <w:sz w:val="28"/>
          <w:szCs w:val="28"/>
          <w:rtl w:val="true"/>
          <w:lang w:bidi="ar-SA"/>
        </w:rPr>
        <w:t>.</w:t>
      </w:r>
      <w:bookmarkStart w:id="825" w:name="pg13173_325099"/>
    </w:p>
    <w:p>
      <w:pPr>
        <w:pStyle w:val="Heading6"/>
        <w:numPr>
          <w:ilvl w:val="5"/>
          <w:numId w:val="1"/>
        </w:numPr>
        <w:rPr/>
      </w:pPr>
      <w:bookmarkStart w:id="826" w:name="__RefHeading___Toc735269_3244359995"/>
      <w:bookmarkStart w:id="827" w:name="_Toc309"/>
      <w:bookmarkEnd w:id="825"/>
      <w:bookmarkEnd w:id="826"/>
      <w:r>
        <w:rPr>
          <w:rtl w:val="true"/>
        </w:rPr>
        <w:t>بقی شی‌ء</w:t>
      </w:r>
      <w:r>
        <w:rPr>
          <w:rtl w:val="true"/>
        </w:rPr>
        <w:t xml:space="preserve">: </w:t>
      </w:r>
      <w:r>
        <w:rPr>
          <w:rtl w:val="true"/>
        </w:rPr>
        <w:t>حول الشبهة الوجوبیة من غیر المحصورة</w:t>
      </w:r>
      <w:bookmarkEnd w:id="827"/>
    </w:p>
    <w:p>
      <w:pPr>
        <w:pStyle w:val="BookText"/>
        <w:rPr/>
      </w:pPr>
      <w:r>
        <w:rPr>
          <w:rFonts w:ascii="IRNazanin" w:hAnsi="IRNazanin" w:eastAsia="IRNazanin"/>
          <w:color w:val="111111"/>
          <w:sz w:val="28"/>
          <w:sz w:val="28"/>
          <w:szCs w:val="28"/>
          <w:rtl w:val="true"/>
          <w:lang w:bidi="fa-IR"/>
        </w:rPr>
        <w:t>إنّ الشبهة غیر المحصورة الوجوبیّة تتصوّر فی موارد النذر و إخوته، کما لو علم أنّه نذر یوما معیّنا من أیّام خمس سنین أن یصومه؛ بناء علی انعقاد النذر المذکور، أو نذر أن یصلّی فی موضع خاصّ من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إذا علم بنجاسة جزء یسیر من المسجد الحرام مثلا، البالغ فی هذه الأیّام إلی حدّ غیر محصور جدّا، فإنّه یجب علیه التطهیر إجمالا، و یمکن له ذلک تدریجا فی طول الأزمنة، و یسهل علیه ذلک، و لکنّه ممنوع لقیام السیرة؛ ضرورة أنّ المتعارف وجود هذا العلم بعد مضیّ أیّام، و بعد ما نجد من اختلاط النجاسات و الموجبات لتسریتها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مقتضی أدلّة البراءة أیضا، کما مرّ تحقیقه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تلک الأدلّة هذه السیرة،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تشهد علی عدم تنجیس النجس أو المتنجّس فی الجملة، فتکون ساقطة بالنسبة إلی مسألتنا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إذا علم ببطلان إحدی صلواته فی السنین الماضیة، و قلنا باعتبار الترتیب بین الصلوات علی الإطلاق، کما قیل به </w:t>
      </w:r>
      <w:r>
        <w:rPr>
          <w:rStyle w:val="FootnoteAnchor"/>
          <w:rtl w:val="true"/>
        </w:rPr>
        <w:footnoteReference w:id="1081"/>
      </w:r>
      <w:r>
        <w:rPr>
          <w:rFonts w:ascii="IRNazanin" w:hAnsi="IRNazanin" w:eastAsia="IRNazanin"/>
          <w:color w:val="111111"/>
          <w:sz w:val="28"/>
          <w:sz w:val="28"/>
          <w:szCs w:val="28"/>
          <w:rtl w:val="true"/>
          <w:lang w:bidi="fa-IR"/>
        </w:rPr>
        <w:t xml:space="preserve">، أو کانت الفائتة عشر صلوات، و قلنا بالترتیب بین الفوائت </w:t>
      </w:r>
      <w:r>
        <w:rPr>
          <w:rStyle w:val="FootnoteAnchor"/>
          <w:rtl w:val="true"/>
        </w:rPr>
        <w:footnoteReference w:id="1082"/>
      </w:r>
      <w:r>
        <w:rPr>
          <w:rFonts w:ascii="IRNazanin" w:hAnsi="IRNazanin" w:eastAsia="IRNazanin"/>
          <w:color w:val="111111"/>
          <w:sz w:val="28"/>
          <w:sz w:val="28"/>
          <w:szCs w:val="28"/>
          <w:rtl w:val="true"/>
          <w:lang w:bidi="fa-IR"/>
        </w:rPr>
        <w:t>، فإنّ نسبة الفائت و ما یحرز به الترتیب، نسبة المحصور إلی غیر المحصور فی بعض الفروض قطعا و هکذا، فلیلاحظ جیّدا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الشبهات المهتمّ بها، لا بدّ من الاحتیاط، و منها</w:t>
      </w:r>
      <w:bookmarkStart w:id="828" w:name="pg13173_325100"/>
    </w:p>
    <w:p>
      <w:pPr>
        <w:pStyle w:val="BookText"/>
        <w:rPr/>
      </w:pPr>
      <w:bookmarkEnd w:id="828"/>
      <w:r>
        <w:rPr>
          <w:rFonts w:ascii="IRNazanin" w:hAnsi="IRNazanin" w:eastAsia="IRNazanin"/>
          <w:color w:val="111111"/>
          <w:sz w:val="28"/>
          <w:sz w:val="28"/>
          <w:szCs w:val="28"/>
          <w:rtl w:val="true"/>
          <w:lang w:bidi="fa-IR"/>
        </w:rPr>
        <w:t xml:space="preserve">الصلوات، و لذلک نجد أنّه ورد فی مورد اشتباه القبلة إیجاب أربع صلوات </w:t>
      </w:r>
      <w:r>
        <w:rPr>
          <w:rStyle w:val="FootnoteAnchor"/>
          <w:rtl w:val="true"/>
        </w:rPr>
        <w:footnoteReference w:id="1083"/>
      </w:r>
      <w:r>
        <w:rPr>
          <w:rFonts w:ascii="IRNazanin" w:hAnsi="IRNazanin" w:eastAsia="IRNazanin"/>
          <w:color w:val="111111"/>
          <w:sz w:val="28"/>
          <w:sz w:val="28"/>
          <w:szCs w:val="28"/>
          <w:rtl w:val="true"/>
          <w:lang w:bidi="fa-IR"/>
        </w:rPr>
        <w:t xml:space="preserve">، و فی مورد العلم بفوت واحدة من الخمس ثلاث صلوات </w:t>
      </w:r>
      <w:r>
        <w:rPr>
          <w:rStyle w:val="FootnoteAnchor"/>
          <w:rtl w:val="true"/>
        </w:rPr>
        <w:footnoteReference w:id="1084"/>
      </w:r>
      <w:r>
        <w:rPr>
          <w:rFonts w:ascii="IRNazanin" w:hAnsi="IRNazanin" w:eastAsia="IRNazanin"/>
          <w:color w:val="111111"/>
          <w:sz w:val="28"/>
          <w:sz w:val="28"/>
          <w:szCs w:val="28"/>
          <w:rtl w:val="true"/>
          <w:lang w:bidi="fa-IR"/>
        </w:rPr>
        <w:t>، علی خلاف ما هو المحرّر عندنا</w:t>
      </w:r>
      <w:r>
        <w:rPr>
          <w:rStyle w:val="FootnoteAnchor"/>
          <w:rtl w:val="true"/>
        </w:rPr>
        <w:footnoteReference w:id="1085"/>
      </w:r>
      <w:r>
        <w:rPr>
          <w:rFonts w:ascii="IRNazanin" w:hAnsi="IRNazanin" w:eastAsia="IRNazanin"/>
          <w:color w:val="111111"/>
          <w:sz w:val="28"/>
          <w:sz w:val="28"/>
          <w:szCs w:val="28"/>
          <w:rtl w:val="true"/>
          <w:lang w:bidi="fa-IR"/>
        </w:rPr>
        <w:t>، و عندئذ یجوز إیجاب الاحتیاط فی غیر المحصور أیضا؛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لزوم الضرر و إیجاب العسر و الحرج، غیر تامّ؛ لأنّ المفروض أنّ الکثرة المذکورة، غیر بالغة إلی تلک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نحن فیه خارج عن موارد قاعدة نفی الضرر و الحرج؛ لاختلاط حکم الشرع بدرک العقل، و ما هو الواجب الواقعیّ غیر ضرریّ و لا حرجیّ کی یتمسّک بهما؛ لعدم الإیصاء به بصرف مقدار یعتنی به من المال فیه،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لعدم قیامه بنفسه بتلک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سببیّته لذلک، أو أنّ درک العقل وراء إطلاق الدلیل، فیقیّد</w:t>
      </w:r>
      <w:r>
        <w:rPr>
          <w:rFonts w:eastAsia="IRNazanin" w:cs="IRNazanin"/>
          <w:color w:val="111111"/>
          <w:sz w:val="28"/>
          <w:szCs w:val="28"/>
          <w:rtl w:val="true"/>
          <w:lang w:bidi="fa-IR"/>
        </w:rPr>
        <w:t>.</w:t>
      </w:r>
    </w:p>
    <w:p>
      <w:pPr>
        <w:pStyle w:val="Heading6"/>
        <w:numPr>
          <w:ilvl w:val="5"/>
          <w:numId w:val="1"/>
        </w:numPr>
        <w:rPr/>
      </w:pPr>
      <w:bookmarkStart w:id="829" w:name="__RefHeading___Toc735271_3244359995"/>
      <w:bookmarkStart w:id="830" w:name="_Toc310"/>
      <w:bookmarkEnd w:id="829"/>
      <w:r>
        <w:rPr>
          <w:rtl w:val="true"/>
        </w:rPr>
        <w:t>خاتمة</w:t>
      </w:r>
      <w:r>
        <w:rPr>
          <w:rtl w:val="true"/>
        </w:rPr>
        <w:t xml:space="preserve">: </w:t>
      </w:r>
      <w:r>
        <w:rPr>
          <w:rtl w:val="true"/>
        </w:rPr>
        <w:t>فی موارد الکثیر فی الکثیر و الکثیر فی القلیل</w:t>
      </w:r>
      <w:bookmarkEnd w:id="83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فیهما یجب الاحتیاط، فضلا عن حرمة المخالفة القطعیّة؛ لأنّه من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الفرض الثانی ربّما لا تجری فیه الأدلّة المرخّصة حتّی علی مسلکنا؛ للوثوق بأنّ المعلوم فی الطرف، مثلا إذا علم فی ألف إناء محرّم أنّ أحدها غیر محرّم، یشکل إجراء الأدلّة؛ لأنّ موضوعها ما لا یعلم عرفا و ما هو المشکوک، و هو غیر 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جواز شرب الألف جزاف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فی عکس الفرض </w:t>
      </w:r>
      <w:r>
        <w:rPr>
          <w:rStyle w:val="FootnoteAnchor"/>
          <w:rtl w:val="true"/>
        </w:rPr>
        <w:footnoteReference w:id="1086"/>
      </w:r>
      <w:r>
        <w:rPr>
          <w:rFonts w:ascii="IRNazanin" w:hAnsi="IRNazanin" w:eastAsia="IRNazanin"/>
          <w:color w:val="111111"/>
          <w:sz w:val="28"/>
          <w:sz w:val="28"/>
          <w:szCs w:val="28"/>
          <w:rtl w:val="true"/>
          <w:lang w:bidi="fa-IR"/>
        </w:rPr>
        <w:t>لا یجری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المشکلة العقلیّة مندفعة بما تحرّر</w:t>
      </w:r>
      <w:r>
        <w:rPr>
          <w:rStyle w:val="FootnoteAnchor"/>
          <w:rtl w:val="true"/>
        </w:rPr>
        <w:footnoteReference w:id="1087"/>
      </w:r>
      <w:r>
        <w:rPr>
          <w:rFonts w:ascii="IRNazanin" w:hAnsi="IRNazanin" w:eastAsia="IRNazanin"/>
          <w:color w:val="111111"/>
          <w:sz w:val="28"/>
          <w:sz w:val="28"/>
          <w:szCs w:val="28"/>
          <w:rtl w:val="true"/>
          <w:lang w:bidi="fa-IR"/>
        </w:rPr>
        <w:t xml:space="preserve">ضرورة امتناع الجمع بین لحاظ واحد منها مستقلّا و فانیا فی المجموع؛ لأنّه من الجمع بین اللحاظ و اللالحاظ، کما تحرّر تفصیله فی اعتبار جزء المرکّب </w:t>
      </w:r>
      <w:r>
        <w:rPr>
          <w:rStyle w:val="FootnoteAnchor"/>
          <w:rtl w:val="true"/>
        </w:rPr>
        <w:footnoteReference w:id="1088"/>
      </w:r>
      <w:r>
        <w:rPr>
          <w:rFonts w:ascii="IRNazanin" w:hAnsi="IRNazanin" w:eastAsia="IRNazanin"/>
          <w:color w:val="111111"/>
          <w:sz w:val="28"/>
          <w:sz w:val="28"/>
          <w:szCs w:val="28"/>
          <w:rtl w:val="true"/>
          <w:lang w:bidi="fa-IR"/>
        </w:rPr>
        <w:t>، فإنّه فی صورة لحاظه مستقلّا لیس جزء بالفعل، و فیما یکون جزء بالفعل لا یتعلّق اللحاظ إلّا بالمرکّب بما هو المرکّب الفانیة فیه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غیر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مقتضی تفسیر العلّامة النائینیّ رحمه اللّه </w:t>
      </w:r>
      <w:r>
        <w:rPr>
          <w:rStyle w:val="FootnoteAnchor"/>
          <w:rtl w:val="true"/>
        </w:rPr>
        <w:footnoteReference w:id="1089"/>
      </w:r>
      <w:r>
        <w:rPr>
          <w:rFonts w:ascii="IRNazanin" w:hAnsi="IRNazanin" w:eastAsia="IRNazanin"/>
          <w:color w:val="111111"/>
          <w:sz w:val="28"/>
          <w:sz w:val="28"/>
          <w:szCs w:val="28"/>
          <w:rtl w:val="true"/>
          <w:lang w:bidi="fa-IR"/>
        </w:rPr>
        <w:t>جواز المخالفة فی موارد الکثیر فی الکثیر؛ لامتناع المخالفة القطعیّة عادة،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بناء علی أنّ الخروج عن محلّ الابتلاء لا یضرّ بالتنجیز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تفصیله إن شاء اللّه تعالی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الشبهات البدویّة مورد العلم الإجمالیّ بالکثیر فی الکثیر؛ ضرورة أنّا نعلم بتنجّس الثیاب الموجودة فی العالم علی نعت الکثیر فی الکثیر، فیلزم الاحتیاط</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بالسیرة، و هی لو تمّت غیر کافیة بالنسبة إلی جمیع الموارد، فالمرجع الحقیقیّ هی الأدلّة الظاهریّة المرخّصة فی أطراف العلوم الإجمالیّة علی الإطلاق، فتأمّل</w:t>
      </w:r>
      <w:r>
        <w:rPr>
          <w:rFonts w:eastAsia="IRNazanin" w:cs="IRNazanin"/>
          <w:color w:val="111111"/>
          <w:sz w:val="28"/>
          <w:szCs w:val="28"/>
          <w:rtl w:val="true"/>
          <w:lang w:bidi="fa-IR"/>
        </w:rPr>
        <w:t>.</w:t>
      </w:r>
      <w:bookmarkStart w:id="831" w:name="pg13173_325102"/>
    </w:p>
    <w:p>
      <w:pPr>
        <w:pStyle w:val="Heading6"/>
        <w:numPr>
          <w:ilvl w:val="5"/>
          <w:numId w:val="1"/>
        </w:numPr>
        <w:rPr/>
      </w:pPr>
      <w:bookmarkStart w:id="832" w:name="__RefHeading___Toc735273_3244359995"/>
      <w:bookmarkStart w:id="833" w:name="_Toc311"/>
      <w:bookmarkEnd w:id="831"/>
      <w:bookmarkEnd w:id="832"/>
      <w:r>
        <w:rPr>
          <w:rtl w:val="true"/>
        </w:rPr>
        <w:t>التنبیه الثامن فی حکم الخروج عن محلّ الابتلاء</w:t>
      </w:r>
      <w:bookmarkEnd w:id="833"/>
    </w:p>
    <w:p>
      <w:pPr>
        <w:pStyle w:val="Heading6"/>
        <w:numPr>
          <w:ilvl w:val="5"/>
          <w:numId w:val="1"/>
        </w:numPr>
        <w:rPr/>
      </w:pPr>
      <w:bookmarkStart w:id="834" w:name="__RefHeading___Toc735275_3244359995"/>
      <w:bookmarkStart w:id="835" w:name="_Toc312"/>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قد اشتهر و بلغ نصاب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یؤثّر فی موارد یکون ذا أثر فعلیّ </w:t>
      </w:r>
      <w:r>
        <w:rPr>
          <w:rStyle w:val="FootnoteAnchor"/>
          <w:rtl w:val="true"/>
        </w:rPr>
        <w:footnoteReference w:id="1091"/>
      </w:r>
      <w:r>
        <w:rPr>
          <w:rFonts w:ascii="IRNazanin" w:hAnsi="IRNazanin" w:eastAsia="IRNazanin"/>
          <w:color w:val="111111"/>
          <w:sz w:val="28"/>
          <w:sz w:val="28"/>
          <w:szCs w:val="28"/>
          <w:rtl w:val="true"/>
          <w:lang w:bidi="fa-IR"/>
        </w:rPr>
        <w:t>، و یوجب حدوث حجّة تامّة علی التکلیف بتمامیّة الکبری و الصغری فی الشبهات الموضوعیّة، أو الکبری فقط فیما إذا کان المعلوم جنس التکلیف، کما إذا علم بوجوب الظهر أو حرمة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مثلا بوقوع قطرة بول إمّا علی ثوبه، أو فی البحر و الحیاض الکبیرة، أو الثوب المتنجّس بالبول، أو فی کأس بول، أو غیر ذلک، لا تتمّ الحجّة بالنسبة إلی مورد الشکّ؛ لعدم حصول العلم بالمصداق الجدید، و لا بالتکلیف الخاصّ المحتاج إلی الجواب، فلا بدّ من کونه فعلیّا علی کلّ تقدیر، و باعثا أو زاجرا علی أیّ حال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اختلفوا فی صغری هذه المسألة فی موارد الخروج عن محلّ الابتلاء، و موارد الاضطرار، بل و موارد اخر تأتی إن شاء اللّه تعالی، و لم یکن البحث فی الشبهة غیر المحصورة من البحث عن حال صغری تلک الکبری؛ لأنّ المفروض فیها تمامیّة الأثر علی کلّ تقدیر فی الوجوبیّة و التحریمیّة، کما أشرنا إلیه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bookmarkStart w:id="836" w:name="pg13173_325103"/>
    </w:p>
    <w:p>
      <w:pPr>
        <w:pStyle w:val="BookText"/>
        <w:rPr/>
      </w:pPr>
      <w:bookmarkEnd w:id="836"/>
      <w:r>
        <w:rPr>
          <w:rFonts w:ascii="IRNazanin" w:hAnsi="IRNazanin" w:eastAsia="IRNazanin"/>
          <w:color w:val="111111"/>
          <w:sz w:val="28"/>
          <w:sz w:val="28"/>
          <w:szCs w:val="28"/>
          <w:rtl w:val="true"/>
          <w:lang w:bidi="fa-IR"/>
        </w:rPr>
        <w:t xml:space="preserve">فما سلکه القوم هنا إلّا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النشاط العلمیّ؛ لأنّ ما هو التنبیه هو هذا، دون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یقع الکلام فی مرحلتین</w:t>
      </w:r>
      <w:r>
        <w:rPr>
          <w:rFonts w:eastAsia="IRNazanin" w:cs="IRNazanin"/>
          <w:color w:val="111111"/>
          <w:sz w:val="28"/>
          <w:szCs w:val="28"/>
          <w:rtl w:val="true"/>
          <w:lang w:bidi="fa-IR"/>
        </w:rPr>
        <w:t>:</w:t>
      </w:r>
    </w:p>
    <w:p>
      <w:pPr>
        <w:pStyle w:val="Heading6"/>
        <w:numPr>
          <w:ilvl w:val="5"/>
          <w:numId w:val="1"/>
        </w:numPr>
        <w:rPr/>
      </w:pPr>
      <w:bookmarkStart w:id="837" w:name="__RefHeading___Toc735277_3244359995"/>
      <w:bookmarkStart w:id="838" w:name="_Toc313"/>
      <w:bookmarkEnd w:id="837"/>
      <w:r>
        <w:rPr>
          <w:rtl w:val="true"/>
        </w:rPr>
        <w:t>المرحلة الاولی</w:t>
      </w:r>
      <w:r>
        <w:rPr>
          <w:rtl w:val="true"/>
        </w:rPr>
        <w:t xml:space="preserve">: </w:t>
      </w:r>
      <w:r>
        <w:rPr>
          <w:rtl w:val="true"/>
        </w:rPr>
        <w:t>حول شرطیّة العلم بالتکلیف الفعلی و عدمها</w:t>
      </w:r>
      <w:bookmarkEnd w:id="838"/>
    </w:p>
    <w:p>
      <w:pPr>
        <w:pStyle w:val="Heading6"/>
        <w:numPr>
          <w:ilvl w:val="5"/>
          <w:numId w:val="1"/>
        </w:numPr>
        <w:rPr/>
      </w:pPr>
      <w:bookmarkStart w:id="839" w:name="__RefHeading___Toc735279_3244359995"/>
      <w:bookmarkStart w:id="840" w:name="_Toc314"/>
      <w:bookmarkEnd w:id="839"/>
      <w:r>
        <w:rPr>
          <w:rtl w:val="true"/>
        </w:rPr>
        <w:t>اشارة</w:t>
      </w:r>
      <w:bookmarkEnd w:id="840"/>
    </w:p>
    <w:p>
      <w:pPr>
        <w:pStyle w:val="BookText"/>
        <w:rPr/>
      </w:pPr>
      <w:r>
        <w:rPr>
          <w:rFonts w:ascii="IRNazanin" w:hAnsi="IRNazanin" w:eastAsia="IRNazanin"/>
          <w:color w:val="111111"/>
          <w:sz w:val="28"/>
          <w:sz w:val="28"/>
          <w:szCs w:val="28"/>
          <w:rtl w:val="true"/>
          <w:lang w:bidi="fa-IR"/>
        </w:rPr>
        <w:t>و عدم تمامیّة ما هو المفروغ منه عندهم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اشیر إلیه فی کلماتهم فی غیر المقام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إذا کان المعلوم بالإجمال فی طرف حکما فعلیّا منجّزا، و فی الطرف الآخر حکما مشروطا معلوما تحقّق شرطه، فإنّه لا یعلم المکلّف بالتکلیف الفعلیّ المنجّز بالضرورة، و لکن جریان البراءة العقلیّة ممنوع کما تحرّر</w:t>
      </w:r>
      <w:r>
        <w:rPr>
          <w:rStyle w:val="FootnoteAnchor"/>
          <w:rtl w:val="true"/>
        </w:rPr>
        <w:footnoteReference w:id="1095"/>
      </w:r>
      <w:r>
        <w:rPr>
          <w:rFonts w:ascii="IRNazanin" w:hAnsi="IRNazanin" w:eastAsia="IRNazanin"/>
          <w:color w:val="111111"/>
          <w:sz w:val="28"/>
          <w:sz w:val="28"/>
          <w:szCs w:val="28"/>
          <w:rtl w:val="true"/>
          <w:lang w:bidi="fa-IR"/>
        </w:rPr>
        <w:t>، بخلاف ما إذا کان الطرف حکما مشکوکا تحقّق شرطه، أو یعتقد بأنّه لا یتحقّق شرطه، فلو علم بأنّه إمّا یجب علیه الحجّ المشروط مع عدم العلم بتحقّق شرطه، أو یجب علیه صوم شهر شعبان، تجری البراءة العقلیّة بالنسبة إلی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یجب علیه الوضوء المقدور، أو الغسل المشکوک اقتداره علیه، فإنّه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یعلم بالتکلیف الفعلیّ؛ لأنّ فی صورة العجز الواقعیّ لیس تکلیف ثبوتا، فلا یعلم بالتکلیف علی کلّ تقدیر، و لکن مع ذلک یجب الاحتیاط، فلا یعتبر فی جمیع الموارد العلم الإجمالیّ بالتکلیف الفعلیّ و بتمامیّة الحجّة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استشکل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الشبهة البدویّة فیه منجّزة، فلا إشکال فی</w:t>
      </w:r>
      <w:bookmarkStart w:id="841" w:name="pg13173_325104"/>
    </w:p>
    <w:p>
      <w:pPr>
        <w:pStyle w:val="BookText"/>
        <w:rPr/>
      </w:pPr>
      <w:bookmarkEnd w:id="841"/>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الشکّ فی القدرة یوجب التنجیز فی غیر ما هو المذکور مثالا فیما نحن فیه، فلا تخلط</w:t>
      </w:r>
      <w:r>
        <w:rPr>
          <w:rFonts w:eastAsia="IRNazanin" w:cs="IRNazanin"/>
          <w:color w:val="111111"/>
          <w:sz w:val="28"/>
          <w:szCs w:val="28"/>
          <w:rtl w:val="true"/>
          <w:lang w:bidi="fa-IR"/>
        </w:rPr>
        <w:t>.</w:t>
      </w:r>
    </w:p>
    <w:p>
      <w:pPr>
        <w:pStyle w:val="Heading6"/>
        <w:numPr>
          <w:ilvl w:val="5"/>
          <w:numId w:val="1"/>
        </w:numPr>
        <w:rPr/>
      </w:pPr>
      <w:bookmarkStart w:id="842" w:name="__RefHeading___Toc735281_3244359995"/>
      <w:bookmarkStart w:id="843" w:name="_Toc315"/>
      <w:bookmarkEnd w:id="842"/>
      <w:r>
        <w:rPr>
          <w:rtl w:val="true"/>
        </w:rPr>
        <w:t>تکمیل</w:t>
      </w:r>
      <w:r>
        <w:rPr>
          <w:rtl w:val="true"/>
        </w:rPr>
        <w:t xml:space="preserve">: </w:t>
      </w:r>
      <w:r>
        <w:rPr>
          <w:rtl w:val="true"/>
        </w:rPr>
        <w:t>فی أنّ مجرد العلم بالحکم الفعلی لا یوجب التنجیز</w:t>
      </w:r>
      <w:bookmarkEnd w:id="843"/>
    </w:p>
    <w:p>
      <w:pPr>
        <w:pStyle w:val="BookText"/>
        <w:rPr/>
      </w:pPr>
      <w:r>
        <w:rPr>
          <w:rFonts w:ascii="IRNazanin" w:hAnsi="IRNazanin" w:eastAsia="IRNazanin"/>
          <w:color w:val="111111"/>
          <w:sz w:val="28"/>
          <w:sz w:val="28"/>
          <w:szCs w:val="28"/>
          <w:rtl w:val="true"/>
          <w:lang w:bidi="fa-IR"/>
        </w:rPr>
        <w:t>یمکن إنکار التنجیز علی بعض المبانی و لو کان العلم بالحکم الفعلیّ موجودا، و ذلک علی القول بإمکان تصویر الحکم الفعلیّ فی موارد العجز</w:t>
      </w:r>
      <w:r>
        <w:rPr>
          <w:rStyle w:val="FootnoteAnchor"/>
          <w:rtl w:val="true"/>
        </w:rPr>
        <w:footnoteReference w:id="1096"/>
      </w:r>
      <w:r>
        <w:rPr>
          <w:rFonts w:ascii="IRNazanin" w:hAnsi="IRNazanin" w:eastAsia="IRNazanin"/>
          <w:color w:val="111111"/>
          <w:sz w:val="28"/>
          <w:sz w:val="28"/>
          <w:szCs w:val="28"/>
          <w:rtl w:val="true"/>
          <w:lang w:bidi="fa-IR"/>
        </w:rPr>
        <w:t>، فإذا علم بالعجز تفصیلا و بالتکلیف، یکون الحکم فعلیّا غیر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مورد العلم الإجمالیّ بالتکلیف، و أنّ طرفا مورد العجز تفصیلا دون طرف، فإنّه و إن یعلم بالإلزام، إلّا أنّه لا یعلم باستحقاق العقوبة علی کلّ تقدیر، و مناط تنجیز العلم فی موارد التکلیف الفعلیّ المعلوم إجمالا، هو العلم بتبعات التکلیف؛ و هو استحقاق المؤاخذة، و أمّا مجرد العلم بالتکلیف بما هو هو، فلا یورث التنجیز، و لا یدرک العقل 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أنّه إمّا یجب علیه الحجّ، و هو عاجز عنه، أو الصلاة المنذورة المقدورة، فإنّه و إن یعلم علی المبنی المذکور بالإلزام الفعلیّ إمّا فی ناحیة الحجّ، أو الصلاة، و لکن لمکان عدم العلم بالاستحقاق یمکن المناقشة فی لزوم الاحتیاط؛ لأنّ العجز فی ناحیة الحجّ عذر، و الجهالة فی ناحیة الصلاة عذر آخر، فمجرّد العلم الإجمالیّ بالتکلیف الفعلیّ علی کلّ تقدیر، لا یوجب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ستأتی تتمّة بحث حول هذه المسألة فی أصل البحث إن شاء اللّه تعالی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العلم بالمبغوضیّة الإجمالیّة، أو العلم الإجمالیّ بالمطلوب الإلزامیّ، یجب الاحتیاط و إن لم یعلم بالتکلیف علی الاصطلاح</w:t>
      </w:r>
      <w:r>
        <w:rPr>
          <w:rFonts w:eastAsia="IRNazanin" w:cs="IRNazanin"/>
          <w:color w:val="111111"/>
          <w:sz w:val="28"/>
          <w:szCs w:val="28"/>
          <w:rtl w:val="true"/>
          <w:lang w:bidi="fa-IR"/>
        </w:rPr>
        <w:t>.</w:t>
      </w:r>
      <w:bookmarkStart w:id="844" w:name="pg13173_325105"/>
    </w:p>
    <w:p>
      <w:pPr>
        <w:pStyle w:val="Heading6"/>
        <w:numPr>
          <w:ilvl w:val="5"/>
          <w:numId w:val="1"/>
        </w:numPr>
        <w:rPr/>
      </w:pPr>
      <w:bookmarkStart w:id="845" w:name="__RefHeading___Toc735283_3244359995"/>
      <w:bookmarkStart w:id="846" w:name="_Toc316"/>
      <w:bookmarkEnd w:id="844"/>
      <w:bookmarkEnd w:id="845"/>
      <w:r>
        <w:rPr>
          <w:rtl w:val="true"/>
        </w:rPr>
        <w:t>المرحلة الثانیة</w:t>
      </w:r>
      <w:r>
        <w:rPr>
          <w:rtl w:val="true"/>
        </w:rPr>
        <w:t xml:space="preserve">: </w:t>
      </w:r>
      <w:r>
        <w:rPr>
          <w:rtl w:val="true"/>
        </w:rPr>
        <w:t>حول حدیث اشتراط تأثیر العلم بعدم کون بعض الأطراف خارجا عن محلّ الابتلاء</w:t>
      </w:r>
      <w:bookmarkEnd w:id="846"/>
    </w:p>
    <w:p>
      <w:pPr>
        <w:pStyle w:val="Heading6"/>
        <w:numPr>
          <w:ilvl w:val="5"/>
          <w:numId w:val="1"/>
        </w:numPr>
        <w:rPr/>
      </w:pPr>
      <w:bookmarkStart w:id="847" w:name="__RefHeading___Toc735285_3244359995"/>
      <w:bookmarkStart w:id="848" w:name="_Toc317"/>
      <w:bookmarkEnd w:id="847"/>
      <w:r>
        <w:rPr>
          <w:rtl w:val="true"/>
        </w:rPr>
        <w:t>اشارة</w:t>
      </w:r>
      <w:bookmarkEnd w:id="848"/>
    </w:p>
    <w:p>
      <w:pPr>
        <w:pStyle w:val="BookText"/>
        <w:rPr/>
      </w:pPr>
      <w:r>
        <w:rPr>
          <w:rFonts w:ascii="IRNazanin" w:hAnsi="IRNazanin" w:eastAsia="IRNazanin"/>
          <w:color w:val="111111"/>
          <w:sz w:val="28"/>
          <w:sz w:val="28"/>
          <w:szCs w:val="28"/>
          <w:rtl w:val="true"/>
          <w:lang w:bidi="fa-IR"/>
        </w:rPr>
        <w:t>و تمام الکلام بطیّ امور</w:t>
      </w:r>
      <w:r>
        <w:rPr>
          <w:rFonts w:eastAsia="IRNazanin" w:cs="IRNazanin"/>
          <w:color w:val="111111"/>
          <w:sz w:val="28"/>
          <w:szCs w:val="28"/>
          <w:rtl w:val="true"/>
          <w:lang w:bidi="fa-IR"/>
        </w:rPr>
        <w:t>:</w:t>
      </w:r>
    </w:p>
    <w:p>
      <w:pPr>
        <w:pStyle w:val="Heading6"/>
        <w:numPr>
          <w:ilvl w:val="5"/>
          <w:numId w:val="1"/>
        </w:numPr>
        <w:rPr/>
      </w:pPr>
      <w:bookmarkStart w:id="849" w:name="__RefHeading___Toc735287_3244359995"/>
      <w:bookmarkStart w:id="850" w:name="_Toc318"/>
      <w:bookmarkEnd w:id="849"/>
      <w:r>
        <w:rPr>
          <w:rtl w:val="true"/>
        </w:rPr>
        <w:t>الأمر الأوّل</w:t>
      </w:r>
      <w:r>
        <w:rPr>
          <w:rtl w:val="true"/>
        </w:rPr>
        <w:t xml:space="preserve">: </w:t>
      </w:r>
      <w:r>
        <w:rPr>
          <w:rtl w:val="true"/>
        </w:rPr>
        <w:t>حول ما ذهب إلیه الأعلام فی المسألة</w:t>
      </w:r>
      <w:bookmarkEnd w:id="850"/>
    </w:p>
    <w:p>
      <w:pPr>
        <w:pStyle w:val="BookText"/>
        <w:rPr/>
      </w:pPr>
      <w:r>
        <w:rPr>
          <w:rFonts w:ascii="IRNazanin" w:hAnsi="IRNazanin" w:eastAsia="IRNazanin"/>
          <w:color w:val="111111"/>
          <w:sz w:val="28"/>
          <w:sz w:val="28"/>
          <w:szCs w:val="28"/>
          <w:rtl w:val="true"/>
          <w:lang w:bidi="fa-IR"/>
        </w:rPr>
        <w:t>الظاهر أنّ الشیخ رحمه اللّه اعتبر هذا الشرط فی خصوص الشبهات التحریمیّة</w:t>
      </w:r>
      <w:r>
        <w:rPr>
          <w:rStyle w:val="FootnoteAnchor"/>
          <w:rtl w:val="true"/>
        </w:rPr>
        <w:footnoteReference w:id="1098"/>
      </w:r>
      <w:r>
        <w:rPr>
          <w:rFonts w:ascii="IRNazanin" w:hAnsi="IRNazanin" w:eastAsia="IRNazanin"/>
          <w:color w:val="111111"/>
          <w:sz w:val="28"/>
          <w:sz w:val="28"/>
          <w:szCs w:val="28"/>
          <w:rtl w:val="true"/>
          <w:lang w:bidi="fa-IR"/>
        </w:rPr>
        <w:t>نظرا إلی أنّ مع کون بعض الأطراف خارجا و غیر مقدور عادة یقبح الزجر، و حیث لا یصدر القبیح منه تعالی، فلا یعلم بالتکلیف الفعلیّ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الشبهات الوجوبیّة فلا منع عنه، کما یری تکلیف الامّة بالحجّ مع بعدهم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کالعلّامة الأراکیّ رحمه اللّه إلی عدم الفرق بین الأمر و النهی </w:t>
      </w:r>
      <w:r>
        <w:rPr>
          <w:rStyle w:val="FootnoteAnchor"/>
          <w:rtl w:val="true"/>
        </w:rPr>
        <w:footnoteReference w:id="1101"/>
      </w:r>
      <w:r>
        <w:rPr>
          <w:rFonts w:ascii="IRNazanin" w:hAnsi="IRNazanin" w:eastAsia="IRNazanin"/>
          <w:color w:val="111111"/>
          <w:sz w:val="28"/>
          <w:sz w:val="28"/>
          <w:szCs w:val="28"/>
          <w:rtl w:val="true"/>
          <w:lang w:bidi="fa-IR"/>
        </w:rPr>
        <w:t xml:space="preserve">، تبعا لشیخه رحمه اللّه فی هوامش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استهجان الأمر بما لا یبتلی به المکلّف عادة، کالنهی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الشرط المذکور ممنوع، و لا یعتبر أزید من القدرة</w:t>
      </w:r>
      <w:bookmarkStart w:id="851" w:name="pg13173_325106"/>
    </w:p>
    <w:p>
      <w:pPr>
        <w:pStyle w:val="BookText"/>
        <w:rPr/>
      </w:pPr>
      <w:bookmarkEnd w:id="851"/>
      <w:r>
        <w:rPr>
          <w:rFonts w:ascii="IRNazanin" w:hAnsi="IRNazanin" w:eastAsia="IRNazanin"/>
          <w:color w:val="111111"/>
          <w:sz w:val="28"/>
          <w:sz w:val="28"/>
          <w:szCs w:val="28"/>
          <w:rtl w:val="true"/>
          <w:lang w:bidi="fa-IR"/>
        </w:rPr>
        <w:t>العقلیّة فی صحّة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إلحاقه ما یمتنع صدوره عادة من المکلّف بالممتنع عقلا</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مع أنّه راجع إلی ما لا یمکن عادة الواقع فی کلام القوم رحمهم اللّه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أیضا هو الظاهر بل صریح العلّامة المحشّی قدّس سرّه </w:t>
      </w:r>
      <w:r>
        <w:rPr>
          <w:rStyle w:val="FootnoteAnchor"/>
          <w:rtl w:val="true"/>
        </w:rPr>
        <w:footnoteReference w:id="1105"/>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قبالهم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یعتبر القدرة الشخصیّة فی توجیه الخطابات القانونیّة، و إنّما العبرة بالقدرة النوعیّة</w:t>
      </w:r>
      <w:r>
        <w:rPr>
          <w:rStyle w:val="FootnoteAnchor"/>
          <w:rtl w:val="true"/>
        </w:rPr>
        <w:footnoteReference w:id="1106"/>
      </w:r>
      <w:r>
        <w:rPr>
          <w:rFonts w:ascii="IRNazanin" w:hAnsi="IRNazanin" w:eastAsia="IRNazanin"/>
          <w:color w:val="111111"/>
          <w:sz w:val="28"/>
          <w:sz w:val="28"/>
          <w:szCs w:val="28"/>
          <w:rtl w:val="true"/>
          <w:lang w:bidi="fa-IR"/>
        </w:rPr>
        <w:t xml:space="preserve">، فلو کان فی الامّة جمع قادرون علی الإطاعة و العصیان، یمکن التوجیه إلی الکلّ، و یصیر الأمر مورد التکلیف الفعلیّ علی نحو العموم الاصولیّ و لو کان بعضهم عاجزین، کما مرّ تحقیقه فی مباحث الألفاظ بتفصیل </w:t>
      </w:r>
      <w:r>
        <w:rPr>
          <w:rStyle w:val="FootnoteAnchor"/>
          <w:rtl w:val="true"/>
        </w:rPr>
        <w:footnoteReference w:id="1107"/>
      </w:r>
      <w:r>
        <w:rPr>
          <w:rFonts w:ascii="IRNazanin" w:hAnsi="IRNazanin" w:eastAsia="IRNazanin"/>
          <w:color w:val="111111"/>
          <w:sz w:val="28"/>
          <w:sz w:val="28"/>
          <w:szCs w:val="28"/>
          <w:rtl w:val="true"/>
          <w:lang w:bidi="fa-IR"/>
        </w:rPr>
        <w:t>، و لأجل ذلک اختار الاحتیاط فی موارد الخروج عن محلّ الابتلاء</w:t>
      </w:r>
      <w:r>
        <w:rPr>
          <w:rStyle w:val="FootnoteAnchor"/>
          <w:rtl w:val="true"/>
        </w:rPr>
        <w:footnoteReference w:id="1108"/>
      </w:r>
      <w:r>
        <w:rPr>
          <w:rFonts w:ascii="IRNazanin" w:hAnsi="IRNazanin" w:eastAsia="IRNazanin"/>
          <w:color w:val="111111"/>
          <w:sz w:val="28"/>
          <w:sz w:val="28"/>
          <w:szCs w:val="28"/>
          <w:rtl w:val="true"/>
          <w:lang w:bidi="fa-IR"/>
        </w:rPr>
        <w:t>، و لازم کلامه وجوبه فی مورد کون الطرف معجوزا عنه، خلافا لما عرفت فی المرحلة الاولی، و سیظهر تحقیق البحث فی الامور الآتیة إن شاء اللّه تعالی</w:t>
      </w:r>
      <w:r>
        <w:rPr>
          <w:rFonts w:eastAsia="IRNazanin" w:cs="IRNazanin"/>
          <w:color w:val="111111"/>
          <w:sz w:val="28"/>
          <w:szCs w:val="28"/>
          <w:rtl w:val="true"/>
          <w:lang w:bidi="fa-IR"/>
        </w:rPr>
        <w:t>.</w:t>
      </w:r>
    </w:p>
    <w:p>
      <w:pPr>
        <w:pStyle w:val="Heading6"/>
        <w:numPr>
          <w:ilvl w:val="5"/>
          <w:numId w:val="1"/>
        </w:numPr>
        <w:rPr/>
      </w:pPr>
      <w:bookmarkStart w:id="852" w:name="__RefHeading___Toc735289_3244359995"/>
      <w:bookmarkStart w:id="853" w:name="_Toc319"/>
      <w:bookmarkEnd w:id="852"/>
      <w:r>
        <w:rPr>
          <w:rtl w:val="true"/>
        </w:rPr>
        <w:t>الأمر الثانی</w:t>
      </w:r>
      <w:r>
        <w:rPr>
          <w:rtl w:val="true"/>
        </w:rPr>
        <w:t xml:space="preserve">: </w:t>
      </w:r>
      <w:r>
        <w:rPr>
          <w:rtl w:val="true"/>
        </w:rPr>
        <w:t>فی بیان صور الخروج عن محلّ الابتلاء</w:t>
      </w:r>
      <w:bookmarkEnd w:id="853"/>
    </w:p>
    <w:p>
      <w:pPr>
        <w:pStyle w:val="Heading6"/>
        <w:numPr>
          <w:ilvl w:val="5"/>
          <w:numId w:val="1"/>
        </w:numPr>
        <w:rPr/>
      </w:pPr>
      <w:bookmarkStart w:id="854" w:name="__RefHeading___Toc735291_3244359995"/>
      <w:bookmarkStart w:id="855" w:name="_Toc320"/>
      <w:bookmarkEnd w:id="854"/>
      <w:r>
        <w:rPr>
          <w:rtl w:val="true"/>
        </w:rPr>
        <w:t>اشارة</w:t>
      </w:r>
      <w:bookmarkEnd w:id="855"/>
    </w:p>
    <w:p>
      <w:pPr>
        <w:pStyle w:val="BookText"/>
        <w:rPr/>
      </w:pPr>
      <w:r>
        <w:rPr>
          <w:rFonts w:ascii="IRNazanin" w:hAnsi="IRNazanin" w:eastAsia="IRNazanin"/>
          <w:color w:val="111111"/>
          <w:sz w:val="28"/>
          <w:sz w:val="28"/>
          <w:szCs w:val="28"/>
          <w:rtl w:val="true"/>
          <w:lang w:bidi="fa-IR"/>
        </w:rPr>
        <w:t>إنّ الصور التی تقع مورد البحث کثیرة نشیر إلیها إجمالا؛ ضرورة أنّه تارة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الطرف مورد العجز العقلیّ من غیر کونه بعیدا زمانا و مکانا عن المکلّف؛</w:t>
      </w:r>
    </w:p>
    <w:p>
      <w:pPr>
        <w:pStyle w:val="BookText"/>
        <w:rPr/>
      </w:pPr>
      <w:r>
        <w:rPr>
          <w:rFonts w:ascii="IRNazanin" w:hAnsi="IRNazanin" w:eastAsia="IRNazanin"/>
          <w:color w:val="111111"/>
          <w:sz w:val="28"/>
          <w:sz w:val="28"/>
          <w:szCs w:val="28"/>
          <w:rtl w:val="true"/>
          <w:lang w:bidi="fa-IR"/>
        </w:rPr>
        <w:t>سواء کان من الشبهة الوجوبیّة، أو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مورد العجز العادیّ لجهة من الجهات، و منها البعد المکانیّ أو الزمانیّ، کما مرّ فی تنبیه تنجیز العلم فی التدریجیّات </w:t>
      </w:r>
      <w:r>
        <w:rPr>
          <w:rStyle w:val="FootnoteAnchor"/>
          <w:rtl w:val="true"/>
        </w:rPr>
        <w:footnoteReference w:id="1109"/>
      </w:r>
      <w:r>
        <w:rPr>
          <w:rFonts w:ascii="IRNazanin" w:hAnsi="IRNazanin" w:eastAsia="IRNazanin"/>
          <w:color w:val="111111"/>
          <w:sz w:val="28"/>
          <w:sz w:val="28"/>
          <w:szCs w:val="28"/>
          <w:rtl w:val="true"/>
          <w:lang w:bidi="fa-IR"/>
        </w:rPr>
        <w:t>، فإنّه لا فرق بین البعدین بعد کون محطّ الکلام هو العلم بالتکلیف الفعلیّ غیر الموقّت القابل عقلا للامتثال، أو الموقّت الموسّع، مع احتمال وصوله إلی متعلّق التکلیف، و إلّا فلو علم بعدم وصوله إلیه یصیر عاجزا عقلا؛ سواء کان عدم الوصول لأجل البعد المکانیّ، أو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مورد القدرتین العادیّة و العقلیّة، إلّا أنّ التکلیف التحریمیّ أو الإیجابیّ قبیح، لا لأجل العجز کما فی الموردین، بل لأجل الامور الاخر المعتبرة فی حسن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کونه باعثا و زاجرا بالفعل، أو قابلا للباعثیّة و الزاجریّة قابلیّة عرفیّة، لا فرضیّة عقلیّة، و ذلک فی موارد وجود الدواعی الشدیدة علی الترک فی موارد التحریم، و علی الفعل فی موارد الإیجاب؛ بحیث لو لم یکن أمر و لا نهی یحصل ما هو مطلوب المولی، و لا یحصل ما هو مبغوضه، مثل النهی عن أکل القاذورات، و الأمر بحفظ النفس من الأخطار، و سدّ الجوع، و رفع العطش، و جلب المقام و الرئاسة بالنسبة إلی من فیه الدواعی الطبیعیّة متوفّرة بالغة إلی حدّ لو نهی عنه الشرع لعصی، فإنّه یقبح الإیجاب، بل لا یعقل حصول الجدّ و تحقّق الإرادة الجدّیة الزاجرة، و لا الباعثة فی نفس المولی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الصور مشترکة مع موارد العجز العقلیّ، و أمسّ إلیها من موارد العجز العادیّ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بین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اللذین یجب امتثالهما، ما کانا جدّیین واقعیّین، لا صوریّین، و الجدّ لا یحصل فی هذه الموارد</w:t>
      </w:r>
    </w:p>
    <w:p>
      <w:pPr>
        <w:pStyle w:val="BookText"/>
        <w:rPr/>
      </w:pPr>
      <w:r>
        <w:rPr>
          <w:rFonts w:ascii="IRNazanin" w:hAnsi="IRNazanin" w:eastAsia="IRNazanin"/>
          <w:color w:val="111111"/>
          <w:sz w:val="28"/>
          <w:sz w:val="28"/>
          <w:szCs w:val="28"/>
          <w:rtl w:val="true"/>
          <w:lang w:bidi="fa-IR"/>
        </w:rPr>
        <w:t>بالنسبة إلی المولی العارف العالم بالوقائع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المقدور عقلا و عادة، و لیس مورد الدواعی النفسانیّة الباعثة أو الزاجرة، و لکنّه غیر واقع فی محطّ الحاجة، و لیس مورد الابتلاء حین تعلّق العلم، و یبعد مسیس الاحتیاج إلیه، مثل ما إذا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القطرة إمّا وقعت فی الإناء الذی یرید التوضّؤ به، أو فی إبریق المسجد الذی لا یبتلی به مادام موجودا، أو وقعت فیه، أو علی ثوب صدیقه الذی لا تمسّ الحاجة إلی الصلاة فیه حسب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الفرض هو فرض الابتلاء و اللاابتلاء بحسب اللغة، و إلّا فسائر الفروض خارجة عن هذا المفهوم أیضا و إن کان الملاک و المناط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الصورة و الصورة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السابقة تکون الدواعی النفسانیّة علی ترکها؛ بحیث یعصی اللّه تعالی و لو أمر به مثلا، بخلاف هذه الصورة، فإنّه لا داعی له فیها إلی الترک، و لیس مورد التنفّر و الانزجار الطبیعیّ، فإنّه لو علم بوقوع القطرة إمّا علی ثوبه، أو علی أرض الدار، أو الزقاق و الشارع، لا یکون انزجار عن السجدة علی تلک الأرض، و لا تنفّر الطباع منها، بخلاف ما إذا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فی أحد الإناءین خمرا، أو سنخ متلوّث و کان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الناس مختلفین بحسب الأحوال و الأفراد فی الدواعی الزاجرة و الباعثة، و فی فقدها، فربّما یکون بعضهم صاحب الدواعی الباعثة، و بعضهم بلا داع فی موارد التکلیف الإیجابیّ، و بعضهم ذوی الداعی الزاجرة فی مورد التکلیف التحریمیّ، و بعضهم بلا داع</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المحرّکات نحو الفعل علی وجه العلّیة التامّة، و إلی الزجر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الصور، فالذی هو مورد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ترشّح الإرادة الجدّیة إلی البعث و الزجر فی الواجبات و المحرّمات، غیر ممکن بعد علم المولی بتلک الأحوال و الأفراد، و بعد الالتفات إلی أنّ الأمر و النهی لیس إلّا لأجل الباعثیّة و الزاجریّة، و لیس لهما شأن إلّا تحریک العباد إلی جانب الفعل و الزجر عنه، فإذا کانت فی أنفسهم المبادئ اللازمة الکافیة موجودة، فلا أمر واقعیّ، و لا نهی حقیقیّ، کما لا یکون فی موارد العجز العقلیّ و العادیّ، فإنّ جمیع الصور مشترکة فی هذا المناط و الملاک الموجب لقبح التکلیف، بل و امتناع صدور الإرادة بعد الالتفات إلی أطراف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النتیجة فی موارد العلم الإجمالیّ التی یکون بعض الأطراف داخلا فی إحدی الصور الخمس دون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التنجّز؛ لعدم العلم بالتکلیف الفعلیّ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الأمر و هو عدم کون الأمر منجّزا، إشکال آخر یتوجّه إلی کثیر من المحرّمات التشریعیّة، و الواجبات الإسلامیّة؛ ضرورة امتناع صدور الإرادة الإلزامیّة فی هذه الموارد التی تتنفّر منها الطباع، و لا تمسّ إلیها الحاجة، و تکون الدواعی الباعثة إلی إیجادها کافیة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الخلط بین هذه المسألة، و ما مرّ فی المجلّد الأوّل حول الخطابات الشخصیّة و القانونیّة و المشاکل المترتّبة علی القول بانحلال الخطاب إلی الخطابات </w:t>
      </w:r>
      <w:r>
        <w:rPr>
          <w:rStyle w:val="FootnoteAnchor"/>
          <w:rtl w:val="true"/>
        </w:rPr>
        <w:footnoteReference w:id="1110"/>
      </w:r>
      <w:r>
        <w:rPr>
          <w:rFonts w:ascii="IRNazanin" w:hAnsi="IRNazanin" w:eastAsia="IRNazanin"/>
          <w:color w:val="111111"/>
          <w:sz w:val="28"/>
          <w:sz w:val="28"/>
          <w:szCs w:val="28"/>
          <w:rtl w:val="true"/>
          <w:lang w:bidi="fa-IR"/>
        </w:rPr>
        <w:t>ضرورة أنّ فی موارد الصورة الثالثة، لا تنحلّ المشکلة بالخطابات القانونیّة؛ لتنفّر النوع منها، أو لتوفّر الدواعی إلی إیجادها و انحفاظها، کحفظ النفس و أشباهه</w:t>
      </w:r>
      <w:r>
        <w:rPr>
          <w:rFonts w:eastAsia="IRNazanin" w:cs="IRNazanin"/>
          <w:color w:val="111111"/>
          <w:sz w:val="28"/>
          <w:szCs w:val="28"/>
          <w:rtl w:val="true"/>
          <w:lang w:bidi="fa-IR"/>
        </w:rPr>
        <w:t>.</w:t>
      </w:r>
      <w:bookmarkStart w:id="856" w:name="pg13173_325110"/>
    </w:p>
    <w:p>
      <w:pPr>
        <w:pStyle w:val="Heading6"/>
        <w:numPr>
          <w:ilvl w:val="5"/>
          <w:numId w:val="1"/>
        </w:numPr>
        <w:rPr/>
      </w:pPr>
      <w:bookmarkStart w:id="857" w:name="__RefHeading___Toc735293_3244359995"/>
      <w:bookmarkStart w:id="858" w:name="_Toc321"/>
      <w:bookmarkEnd w:id="856"/>
      <w:bookmarkEnd w:id="857"/>
      <w:r>
        <w:rPr>
          <w:rtl w:val="true"/>
        </w:rPr>
        <w:t>تنبیه</w:t>
      </w:r>
      <w:r>
        <w:rPr>
          <w:rtl w:val="true"/>
        </w:rPr>
        <w:t xml:space="preserve">: </w:t>
      </w:r>
      <w:r>
        <w:rPr>
          <w:rtl w:val="true"/>
        </w:rPr>
        <w:t>حول الخلط الواقع فی کلمات الباحثین</w:t>
      </w:r>
      <w:bookmarkEnd w:id="858"/>
    </w:p>
    <w:p>
      <w:pPr>
        <w:pStyle w:val="BookText"/>
        <w:rPr/>
      </w:pPr>
      <w:r>
        <w:rPr>
          <w:rFonts w:ascii="IRNazanin" w:hAnsi="IRNazanin" w:eastAsia="IRNazanin"/>
          <w:color w:val="111111"/>
          <w:sz w:val="28"/>
          <w:sz w:val="28"/>
          <w:szCs w:val="28"/>
          <w:rtl w:val="true"/>
          <w:lang w:bidi="fa-IR"/>
        </w:rPr>
        <w:t>و ممّا أشرنا إلیه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الکلام و الإشکال فی المقام؛ هو أن تکون الدواعی الزاجرة و الباعثة، متوفّرة بالنسبة إلی الترک و الفعل؛ علی وجه لو أمر المولی علی خلافها لعصی العبد مثلا، ففرض کون الداعی ضعیفا، أو جزء، أو کالجزء و هکذا، خروج عن البحث، و تفصیل و إطالة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سلکه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ادعاء عدم اللغویّة فی موارد الخروج عن محلّ الابتلاء علی الإطلاق من غیر فرق بین الأمر و النهی؛ مستدلّا بما مرّ فی الصورة الثالثة</w:t>
      </w:r>
      <w:r>
        <w:rPr>
          <w:rStyle w:val="FootnoteAnchor"/>
          <w:rtl w:val="true"/>
        </w:rPr>
        <w:footnoteReference w:id="1111"/>
      </w:r>
      <w:r>
        <w:rPr>
          <w:rFonts w:ascii="IRNazanin" w:hAnsi="IRNazanin" w:eastAsia="IRNazanin"/>
          <w:color w:val="111111"/>
          <w:sz w:val="28"/>
          <w:sz w:val="28"/>
          <w:szCs w:val="28"/>
          <w:rtl w:val="true"/>
          <w:lang w:bidi="fa-IR"/>
        </w:rPr>
        <w:t>، خال من التحصیل، فإنّها أساس المشکلة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کونه ممّا لا یمکن الالتزام به، لا یفی بحلّ المشکلة العقلیّة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کثیرا من الباحثین خلطوا فیما یهمّنا و یهمّ بالبحث هنا؛ و ذلک لعدم وصولهم إلی مغزی المرام فی المقام، و سیمرّ علیک تحقیق المسألة، و ذکر ما تشبّثوا به هنا لحلّ المشکلة إن شاء اللّه تعالی</w:t>
      </w:r>
      <w:r>
        <w:rPr>
          <w:rFonts w:eastAsia="IRNazanin" w:cs="IRNazanin"/>
          <w:color w:val="111111"/>
          <w:sz w:val="28"/>
          <w:szCs w:val="28"/>
          <w:rtl w:val="true"/>
          <w:lang w:bidi="fa-IR"/>
        </w:rPr>
        <w:t>.</w:t>
      </w:r>
    </w:p>
    <w:p>
      <w:pPr>
        <w:pStyle w:val="Heading6"/>
        <w:numPr>
          <w:ilvl w:val="5"/>
          <w:numId w:val="1"/>
        </w:numPr>
        <w:rPr/>
      </w:pPr>
      <w:bookmarkStart w:id="859" w:name="__RefHeading___Toc735295_3244359995"/>
      <w:bookmarkStart w:id="860" w:name="_Toc322"/>
      <w:bookmarkEnd w:id="859"/>
      <w:r>
        <w:rPr>
          <w:rtl w:val="true"/>
        </w:rPr>
        <w:t>الأمر الثالث</w:t>
      </w:r>
      <w:r>
        <w:rPr>
          <w:rtl w:val="true"/>
        </w:rPr>
        <w:t xml:space="preserve">: </w:t>
      </w:r>
      <w:r>
        <w:rPr>
          <w:rtl w:val="true"/>
        </w:rPr>
        <w:t>فی التفصیل بین الشبهات الوجوبیة و التحریمیة</w:t>
      </w:r>
      <w:bookmarkEnd w:id="860"/>
    </w:p>
    <w:p>
      <w:pPr>
        <w:pStyle w:val="BookText"/>
        <w:rPr/>
      </w:pPr>
      <w:r>
        <w:rPr>
          <w:rFonts w:ascii="IRNazanin" w:hAnsi="IRNazanin" w:eastAsia="IRNazanin"/>
          <w:color w:val="111111"/>
          <w:sz w:val="28"/>
          <w:sz w:val="28"/>
          <w:szCs w:val="28"/>
          <w:rtl w:val="true"/>
          <w:lang w:bidi="fa-IR"/>
        </w:rPr>
        <w:t>اختلفوا فیما نحن فیه فی الشبهة المقرونة بالعلم الإجمالیّ فی الشبهات الوجوبیّة و التحریمیّة، کما مرّ</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المتروک عادة إذا لم یترتّب علیه شی‌ء</w:t>
      </w:r>
    </w:p>
    <w:p>
      <w:pPr>
        <w:pStyle w:val="BookText"/>
        <w:rPr/>
      </w:pPr>
      <w:r>
        <w:rPr>
          <w:rFonts w:ascii="IRNazanin" w:hAnsi="IRNazanin" w:eastAsia="IRNazanin"/>
          <w:color w:val="111111"/>
          <w:sz w:val="28"/>
          <w:sz w:val="28"/>
          <w:szCs w:val="28"/>
          <w:rtl w:val="true"/>
          <w:lang w:bidi="fa-IR"/>
        </w:rPr>
        <w:t>کقصد القربة، یختصّ بمزیّة دون الأمر، ضرورة أنّه مع فقد القدرة العادیّة، یجوز الأمر المنتهی إلی تحصیل القدرة عقلا، و صرف الاستطاعة فی تحصیلها حتّی الإمکان؛ لأنّ الواجب المذکور ذو أهمیّة عند الآمر، کما إذا یأمر بالحجّ من البلاد النائیة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خلاف کون الإسلام دینا سهلا و سمحا، إلّا أنّه بحسب النوع، لا بحسب الشخص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من الأمثلة الخارجة عن القدرة العادیّة ربّما یستهجن فیها الأمر؛ لکون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کنکاح بنت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یهمّ عند الشرع، فلا ینبغی الخلط بین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حفظ نفس إنسان محترم، موقوفا علی شی‌ء لا یکون مقدورا عادة، فإنّه یجوز إیجاب ذلک الشی‌ء، و یصیر مورد التنجیز بالعلم الإجمالیّ و لو کان خارجا عن القدرة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التحلّی بالصفات الکمالیّة، و التنزّه عن الرذائل الأخلاقیّة، مورد الأمر، مع أنّ الامتثال فی غایة الإشکال، إلّا أنّ لمکان الإمکان بالأسباب القریبة و البعیدة یکون جائزا، بل واقعا، و حبّ الدنیا مذموم، مع أنّه من الامور الخارجة عن القدرة العادیّة،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کلام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إطاعة ما هو الخارج عن القدرة العادیّة إذا کانت ممکنة و کافیة للأمر، فعصیانه أیضا ممکن، و هو کاف للنهی؛ لأنّ إبقاء العدم و الانتراک بعدم عصیانه، مستند إلیه قهرا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من الخلط بین اللغویّة و الاستهجان؛ فإنّه و إن لم یکن مستهجنا، و لکنّه لغو؛ لحصول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المقصود هو الترک قربة للّه تعالی، فإن کان یکفی بعض التقاریب المذکورة للوجوه المقرّبة فیمکن، و إلّا فالظاهر أنّه لا یقع ذلک</w:t>
      </w:r>
      <w:bookmarkStart w:id="861" w:name="pg13173_325112"/>
    </w:p>
    <w:p>
      <w:pPr>
        <w:pStyle w:val="BookText"/>
        <w:rPr/>
      </w:pPr>
      <w:bookmarkEnd w:id="861"/>
      <w:r>
        <w:rPr>
          <w:rFonts w:ascii="IRNazanin" w:hAnsi="IRNazanin" w:eastAsia="IRNazanin"/>
          <w:color w:val="111111"/>
          <w:sz w:val="28"/>
          <w:sz w:val="28"/>
          <w:szCs w:val="28"/>
          <w:rtl w:val="true"/>
          <w:lang w:bidi="fa-IR"/>
        </w:rPr>
        <w:t>الانتراک عن قربة،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هنا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المذهب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انحلال الخطابات القانونیّة الإلهیّة إلی الخطابات الشخصیّة؛ حسب الأفراد و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التفصیل بین النواهی و الأوامر، خلافا 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لم یکن شرب الإناء مورد القدرة العادیّة لا یکون نهی، و لا انحلال، فإذا وقع مورد القدرة ینحلّ الخطاب، و یتعلّق به النهی للحاجة الماسّة إلیه، و سیزیدک نفعا ما یأتی فی الأمر الآتی إن شاء اللّه تعالی</w:t>
      </w:r>
      <w:r>
        <w:rPr>
          <w:rFonts w:eastAsia="IRNazanin" w:cs="IRNazanin"/>
          <w:color w:val="111111"/>
          <w:sz w:val="28"/>
          <w:szCs w:val="28"/>
          <w:rtl w:val="true"/>
          <w:lang w:bidi="fa-IR"/>
        </w:rPr>
        <w:t>.</w:t>
      </w:r>
    </w:p>
    <w:p>
      <w:pPr>
        <w:pStyle w:val="Heading6"/>
        <w:numPr>
          <w:ilvl w:val="5"/>
          <w:numId w:val="1"/>
        </w:numPr>
        <w:rPr/>
      </w:pPr>
      <w:bookmarkStart w:id="862" w:name="__RefHeading___Toc735297_3244359995"/>
      <w:bookmarkStart w:id="863" w:name="_Toc323"/>
      <w:bookmarkEnd w:id="862"/>
      <w:r>
        <w:rPr>
          <w:rtl w:val="true"/>
        </w:rPr>
        <w:t>الأمر الرابع</w:t>
      </w:r>
      <w:r>
        <w:rPr>
          <w:rtl w:val="true"/>
        </w:rPr>
        <w:t xml:space="preserve">: </w:t>
      </w:r>
      <w:r>
        <w:rPr>
          <w:rtl w:val="true"/>
        </w:rPr>
        <w:t>فی وجوه الجواب عن الشبهة السابقة</w:t>
      </w:r>
      <w:bookmarkEnd w:id="863"/>
    </w:p>
    <w:p>
      <w:pPr>
        <w:pStyle w:val="Heading6"/>
        <w:numPr>
          <w:ilvl w:val="5"/>
          <w:numId w:val="1"/>
        </w:numPr>
        <w:rPr/>
      </w:pPr>
      <w:bookmarkStart w:id="864" w:name="__RefHeading___Toc735299_3244359995"/>
      <w:bookmarkStart w:id="865" w:name="_Toc324"/>
      <w:bookmarkEnd w:id="864"/>
      <w:r>
        <w:rPr>
          <w:rtl w:val="true"/>
        </w:rPr>
        <w:t>اشارة</w:t>
      </w:r>
      <w:bookmarkEnd w:id="865"/>
    </w:p>
    <w:p>
      <w:pPr>
        <w:pStyle w:val="BookText"/>
        <w:rPr/>
      </w:pPr>
      <w:r>
        <w:rPr>
          <w:rFonts w:ascii="IRNazanin" w:hAnsi="IRNazanin" w:eastAsia="IRNazanin"/>
          <w:color w:val="111111"/>
          <w:sz w:val="28"/>
          <w:sz w:val="28"/>
          <w:szCs w:val="28"/>
          <w:rtl w:val="true"/>
          <w:lang w:bidi="fa-IR"/>
        </w:rPr>
        <w:t>قد تشبّث لحلّ المشکلة التی مرّت، جمع من المحصّلین بوجوه لا تخلو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فی کلام العلّامة المحشّی </w:t>
      </w:r>
      <w:r>
        <w:rPr>
          <w:rStyle w:val="FootnoteAnchor"/>
          <w:rtl w:val="true"/>
        </w:rPr>
        <w:footnoteReference w:id="1114"/>
      </w:r>
      <w:r>
        <w:rPr>
          <w:rFonts w:ascii="IRNazanin" w:hAnsi="IRNazanin" w:eastAsia="IRNazanin"/>
          <w:color w:val="111111"/>
          <w:sz w:val="28"/>
          <w:sz w:val="28"/>
          <w:szCs w:val="28"/>
          <w:rtl w:val="true"/>
          <w:lang w:bidi="fa-IR"/>
        </w:rPr>
        <w:t xml:space="preserve">و المیرزا النائینیّ رحمهما اللّه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مناط الخروج عن الاستهجان هو الإمکان؛ و قابلیّة الأمر و النهی للداعویّة و الزاجریّة، دون الفعلیّة، و هذا هو الحاصل فی موارد انصراف الدواعی عن المبغوض، و وجود الدواعی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هذه المقالة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التأکیدیّ الواقع بعد الأمر الأوّل قابل لما ذکر، مع أنّه لا یکون حجّة بالضرورة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الإمکان الذاتیّ و الوقوعیّ غیر کاف؛ لامتناع حصول جدّ</w:t>
      </w:r>
    </w:p>
    <w:p>
      <w:pPr>
        <w:pStyle w:val="BookText"/>
        <w:rPr/>
      </w:pPr>
      <w:r>
        <w:rPr>
          <w:rFonts w:ascii="IRNazanin" w:hAnsi="IRNazanin" w:eastAsia="IRNazanin"/>
          <w:color w:val="111111"/>
          <w:sz w:val="28"/>
          <w:sz w:val="28"/>
          <w:szCs w:val="28"/>
          <w:rtl w:val="true"/>
          <w:lang w:bidi="fa-IR"/>
        </w:rPr>
        <w:t>المولی العالم بعدم انتراک الواجب المطلوب، و بعدم تحقّق المحرّم المبغوض، فإنّه یکون الأمر و النهی لغوا، و اللغو بعید عن ساحته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جانب الأمر یکون الانبعاث القربیّ مستندا إلیه، و هکذا فی النهی القربیّ، فاسد و منشاه تخیّل أنّ القربیّة من تبعات الأمر و النهی، مع أنّک عرفت فی مباحث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الأمر إلیهما غلط، بل القربیّة و التوصّلیة تجی‌ء من الجهات الخارجة، و الأمر یدعو إلی ما هو المقرّب و هکذا، من غیر أن یکون شخص الأمر قربیّا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الانبعاث عن البعث ربّما یعدّ قربیّا، و لکنّه فی غیر المقام، فالأمر لغو فی مفروض الکلام، و هکذا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 مجرّد القابلیّة کافیا، لکان الأمر و النهی سیّان، فتفصیل العلّامة النائینیّ بینهما</w:t>
      </w:r>
      <w:r>
        <w:rPr>
          <w:rStyle w:val="FootnoteAnchor"/>
          <w:rtl w:val="true"/>
        </w:rPr>
        <w:footnoteReference w:id="1117"/>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القدرة العادیّة مع وجود الدواعی الزاجرة بالنسبة إلی المنهیّ، و الباعثة بالنسبة إلی المأمور به، یمکن الأمر و النهی، بخلاف صورة فقد القدرة، فإنّ التقیید بالقدرة ممکن، و التقیید بالإرادة ممتنع؛ ضرورة أنّ الأمر و النهی لصرف الإرادة فی الواجب، و زجرها عن المحرّم، فکیف یقیّد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کلام العلّامة النائینیّ رحمه اللّه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فإنّه فرق بین التقیید، و بین کون المولی عارفا بوجود الدواعی المنتهیة إلی وجود الإرادة و عدمها، و ما هو المفروض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خلاف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کفایة الإمکان الذاتیّ، بل و الوقوعیّ </w:t>
      </w:r>
      <w:r>
        <w:rPr>
          <w:rStyle w:val="FootnoteAnchor"/>
          <w:rtl w:val="true"/>
        </w:rPr>
        <w:footnoteReference w:id="1119"/>
      </w:r>
      <w:r>
        <w:rPr>
          <w:rFonts w:ascii="IRNazanin" w:hAnsi="IRNazanin" w:eastAsia="IRNazanin"/>
          <w:color w:val="111111"/>
          <w:sz w:val="28"/>
          <w:sz w:val="28"/>
          <w:szCs w:val="28"/>
          <w:rtl w:val="true"/>
          <w:lang w:bidi="fa-IR"/>
        </w:rPr>
        <w:t>لأنّهما حاصلان بالضرورة، فالتقیید لا یورث الخروج عن الإمکان،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التقیید بالإرادة واقع فی مسألة قصد إقامة عشرة أیّام، و جائز بنحو الاشتراط؛ لأنّه إذا حصلت الإرادة بالنسبة إلی لقاء الصدیق یجب اللقاء و لا یجوز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بنحو التقیید أیضا؛ لأنّ الإرادة اختیاریّة،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الدواعی للأمر و النهی مختلفة،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داعی الأمر انبعاث المأمور، و هکذا فی ناحیة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تکمیل نفس المکلّفین؛ بتذکّر اللّه تعالی حین الالتفات إلی الأمر و النهی و غیر ذلک، فعندئذ یکون الأمر و النهی فیما ترغب فیه الامّة، و تتنفّر عنه الطباع لأجل الأخیر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ذلک فی موارد العجز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یستلزم العقاب و الثواب، و لا یکون له الإطاعة و العصیان، مع أنّ المقصود من الأمر و النهی و من حلّ المشکلة؛ أن یکون ارتکاب أکل القاذورة حراما شرعیّا، فما فی کلام بعض المعاصرین </w:t>
      </w:r>
      <w:r>
        <w:rPr>
          <w:rStyle w:val="FootnoteAnchor"/>
          <w:rtl w:val="true"/>
        </w:rPr>
        <w:footnoteReference w:id="1121"/>
      </w:r>
      <w:r>
        <w:rPr>
          <w:rFonts w:ascii="IRNazanin" w:hAnsi="IRNazanin" w:eastAsia="IRNazanin"/>
          <w:color w:val="111111"/>
          <w:sz w:val="28"/>
          <w:sz w:val="28"/>
          <w:szCs w:val="28"/>
          <w:rtl w:val="true"/>
          <w:lang w:bidi="fa-IR"/>
        </w:rPr>
        <w:t>غیر راجع إلی محصّل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العلّامة الاستاذ السیّد البروجردیّ قدّس سرّه فی غیر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فی جمیع موارد الأمر و النهی، لا یکون ذات الأمر و النهی باعثا و زاجرا، بل فی جمیع الأحیان، الدواعی و العلم بتبعات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الانبعاث و الانزجار، فکما أنّ فی الانزجار عن أکل القاذورات الدنیویّة لا یکون</w:t>
      </w:r>
    </w:p>
    <w:p>
      <w:pPr>
        <w:pStyle w:val="BookText"/>
        <w:rPr/>
      </w:pPr>
      <w:r>
        <w:rPr>
          <w:rFonts w:ascii="IRNazanin" w:hAnsi="IRNazanin" w:eastAsia="IRNazanin"/>
          <w:color w:val="111111"/>
          <w:sz w:val="28"/>
          <w:sz w:val="28"/>
          <w:szCs w:val="28"/>
          <w:rtl w:val="true"/>
          <w:lang w:bidi="fa-IR"/>
        </w:rPr>
        <w:t>النهی زاجرا، کذلک الابتلاء بجهنّم و أکل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أسوأ بمراتب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الانزجار فی ناحیة الأمر و النهی، و هکذا فی ناحیة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r>
        <w:rPr>
          <w:rStyle w:val="FootnoteAnchor"/>
          <w:rtl w:val="true"/>
        </w:rPr>
        <w:footnoteReference w:id="1122"/>
      </w:r>
      <w:r>
        <w:rPr>
          <w:rFonts w:ascii="IRNazanin" w:hAnsi="IRNazanin" w:eastAsia="IRNazanin"/>
          <w:color w:val="111111"/>
          <w:sz w:val="28"/>
          <w:sz w:val="28"/>
          <w:szCs w:val="28"/>
          <w:rtl w:val="true"/>
          <w:lang w:bidi="fa-IR"/>
        </w:rPr>
        <w:t>الذین تکون عباداتهم و أفعالهم و تروکهم أفعال الأحرار، و إلّا فالنوع عبادتهم عبادة الاجراء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لیس الأمر و النهی إلّا موضوعا للإطاعة و العصیان، و منشأ لاعتبارهما، و البعث التشریعیّ و الزجر التشریعیّ، لیس إلّا بعثا مجازیّا و تخیّلیا و زجرا توهّمیا، و ما هو الباعث الزاجر هی الامور الاخر الموجودة فی النفس علی اختلافها؛ بحسب اختلاف الناس نقصا و کمالا</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یعتبران إلّا عن موارد التخلّف عن الأمر الجدّی النفسیّ، و النهی الجدّی النفسیّ، و لا یعتبران من الهزلیّات، و لا من الغیریّات، و الإرشادیّات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هنا حول أنّ حصول الجدّ ممّا لا بدّ منه، کما لا بدّ و أن یکون مورد جدّ الآمر و الناهی معلوما، و أنّه لیس جدّیة الأمر و النهی،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مورد الجدّ، بل الجدّ هو فی ناحیة متعلّق الأمر و النهی، و ما هو من تبعات الأمر و النهی؛ هو من تبعات عصیان الأمر و النهی و إطاعتهما، فلا بدّ من تحقّق العصیان و الطاعة، و هما لا یحصلان إلّا فی صورة حصول الإرادة الجدّیة التشریعیّة المتعلّقة بالمادّة و الطبیعة و المتعلّق متوجّهین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الامّة بعد الالتفات إلی تبعات الأمر و النهی ترغب فی الطاعة، و تنزجر عن العصیان، و ربّما تجد أنّه لا تتحقّق الإطاعة إلّا بالانبعاث عن البعث، کما فی العبادات، و تجد أنّه لا یترتّب الثواب و الفرار من العقاب</w:t>
      </w:r>
    </w:p>
    <w:p>
      <w:pPr>
        <w:pStyle w:val="BookText"/>
        <w:rPr/>
      </w:pPr>
      <w:r>
        <w:rPr>
          <w:rFonts w:ascii="IRNazanin" w:hAnsi="IRNazanin" w:eastAsia="IRNazanin"/>
          <w:color w:val="111111"/>
          <w:sz w:val="28"/>
          <w:sz w:val="28"/>
          <w:szCs w:val="28"/>
          <w:rtl w:val="true"/>
          <w:lang w:bidi="fa-IR"/>
        </w:rPr>
        <w:t>إلّا بذلک، فیکون الباعث الأوّلی هو ما یترتّب علیهما، و الباعث الزاجر الثانویّ هو الأمر و النهی، فلا یتمّ ما أفاده قدّس سرّه و لا ینفع لحلّ المشکلة هنا، 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بعض الأجلّة</w:t>
      </w:r>
      <w:r>
        <w:rPr>
          <w:rStyle w:val="FootnoteAnchor"/>
          <w:rtl w:val="true"/>
        </w:rPr>
        <w:footnoteReference w:id="1124"/>
      </w:r>
      <w:r>
        <w:rPr>
          <w:rFonts w:ascii="IRNazanin" w:hAnsi="IRNazanin" w:eastAsia="IRNazanin"/>
          <w:color w:val="111111"/>
          <w:sz w:val="28"/>
          <w:sz w:val="28"/>
          <w:szCs w:val="28"/>
          <w:rtl w:val="true"/>
          <w:lang w:bidi="fa-IR"/>
        </w:rPr>
        <w:t xml:space="preserve">، و قد مرّ فی هذا الکتاب ذکره و فساده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التکلیف لیس إلّا معنی وضعیّا اعتباریّا فی الذمّة، أو التزاما وضعیّا و تعهّدا، فلا خطاب حقیقة، و لا بعث و لا زجر واقعا، و لا کنایة عن هذا المعنی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فی المحرّمات، و لا سیّما المستحبّات و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معنی للاعتبار الوضعیّ إلّا باستتباعه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التکلیف بأداء ما فی الذمّة، فیلزم التسلسل، أو حکم العقل، فیلزم إنکار الوجوب و التحریم الشرعیّین الواضح خلافه عند العرف و اللغة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جوازه فی موارد العجز و امتناع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أبدعناه، و به تنحلّ المشکلة، و مقتضاه تنجیز العلم الإجمالیّ فی جمیع الصور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مناط تنجّز العقاب لیس العلم بالتکلیف، بل العلم بالمبغوضیّة الإلزامیّة و المطلوبیّة الحتمیّة و المحبوبیّة اللابدّیّة، یقتضی التبعیّة و القیام بالوظیفة و إن لم یکن تکلیف، و لا خطاب، و لا بعث، و لا زجر، کما فی العلم التفصیلیّ بذلک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کما یمکن إعلام المبغوضیّة بالجمل الخبریّة، یمکن ذلک بالجمل الإنشائیّة؛ ضرورة أنّه یستکشف بهما المصالح الإلزامیّة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أن یکون فی جمیع موارد الأمر و النهی انبعاث، أو إمکان انبعاث، بل لا بدّ من وجود</w:t>
      </w:r>
    </w:p>
    <w:p>
      <w:pPr>
        <w:pStyle w:val="BookText"/>
        <w:rPr/>
      </w:pPr>
      <w:r>
        <w:rPr>
          <w:rFonts w:ascii="IRNazanin" w:hAnsi="IRNazanin" w:eastAsia="IRNazanin"/>
          <w:color w:val="111111"/>
          <w:sz w:val="28"/>
          <w:sz w:val="28"/>
          <w:szCs w:val="28"/>
          <w:rtl w:val="true"/>
          <w:lang w:bidi="fa-IR"/>
        </w:rPr>
        <w:t>غرض فی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اطلاع الامّة الإسلامیّة علی حدود المطلوبات و المحبوبات و المبغوضات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أحد الأطراف معجوزا عقلا، أو عادة، و کان العلم الإجمالیّ بالمبغوض المذکور منجّزا، یکفی النهی للإعلام؛ للزوم الاحتیاط بالنسبة إلی الطرف المقدور العقلیّ و العادیّ، و هکذا بالنسبة إلی الأطراف المتوفّرة فیها الدواعی الباعثة و الزاجرة، و هکذا فی سائر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الصور بملاک واحد مورد وجوب الاحتیاط، من غیر حاجة إلی حدیث الخطابات القانونیّة لحلّ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حلّها بها محلّ إشکال، بل منع، کما سیظهر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 عدم تنجیز التکلیف؛ إمّا قبح الخطاب و لغویّة الأمر و النهی، أو استهجان الطلب، و الکلّ منتف؛ لما لا خطاب و لا إنشاء، بل المقصود من ذلک البعث و النهی هو توجیه الامّة إلی ما اشیر إلیه فی هذه المواقف الخاصّة ثبوتا و إثباتا، و فی غیرها ثبوتا، و أمّا فی مرحلة الإثبات فکسائر الأوامر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مجرّد فرض لا دلیل علیه؛ ضرورة أنّ الجهة المبحوث عنها هی حلّ مشکلة المسألة عقلا، و إثبات استحقاق العقاب علی أکل القاذورات، و علی ترک حفظ النفس،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الموجبات المخرجة لإعلام المولی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ذلک الاستحقاق الذی لا یمکن إنکاره، فلو قام إجماع تعبّدی قطعیّ علی محرّمیة هذه الامور، أو وجوب شی‌ء، فهو لا یزاحم بالمشکلة العقلیّة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الموازین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العلم الإجمالیّ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قضیّة ما تحرّر منّا قیام السیرة العملیّة علی عدم الاحتیاط فی مجموع</w:t>
      </w:r>
    </w:p>
    <w:p>
      <w:pPr>
        <w:pStyle w:val="BookText"/>
        <w:rPr/>
      </w:pPr>
      <w:r>
        <w:rPr>
          <w:rFonts w:ascii="IRNazanin" w:hAnsi="IRNazanin" w:eastAsia="IRNazanin"/>
          <w:color w:val="111111"/>
          <w:sz w:val="28"/>
          <w:sz w:val="28"/>
          <w:szCs w:val="28"/>
          <w:rtl w:val="true"/>
          <w:lang w:bidi="fa-IR"/>
        </w:rPr>
        <w:t>الصور الخمس، و عدم بناء العقلاء علیه فی الاولی و الثانیة فی الشبهات التحریمیّة، دون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جریان الاصول العملیّة عدم وجوب الاحتیاط مطلقا، و جواز المخالفة القطعیّة هنا کما مرّ فی أصل المسألة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تؤیّدنا صحیحة علیّ بن جعفر علیهما السّلام فی قصّة العلم الإجمالی بوقوع الدم فی الإناء أو خارجه </w:t>
      </w:r>
      <w:r>
        <w:rPr>
          <w:rStyle w:val="FootnoteAnchor"/>
          <w:rtl w:val="true"/>
        </w:rPr>
        <w:footnoteReference w:id="1127"/>
      </w:r>
      <w:r>
        <w:rPr>
          <w:rFonts w:ascii="IRNazanin" w:hAnsi="IRNazanin" w:eastAsia="IRNazanin"/>
          <w:color w:val="111111"/>
          <w:sz w:val="28"/>
          <w:sz w:val="28"/>
          <w:szCs w:val="28"/>
          <w:rtl w:val="true"/>
          <w:lang w:bidi="fa-IR"/>
        </w:rPr>
        <w:t xml:space="preserve">، فإنّ الخارج فیها خارج عن محلّ الحاجة، و لذلک لم یحکم فیها بالاحتیاط، بخلاف موارد القبلة المشتبهة و الإناءین المشتبهین، فلا حاجة إلی طرحها، أو حملها علی المحامل الضعیفة، أو الذهاب إلی مذهب الشیخ قدّس سرّه </w:t>
      </w:r>
      <w:r>
        <w:rPr>
          <w:rStyle w:val="FootnoteAnchor"/>
          <w:rtl w:val="true"/>
        </w:rPr>
        <w:footnoteReference w:id="1128"/>
      </w:r>
      <w:r>
        <w:rPr>
          <w:rFonts w:ascii="IRNazanin" w:hAnsi="IRNazanin" w:eastAsia="IRNazanin"/>
          <w:color w:val="111111"/>
          <w:sz w:val="28"/>
          <w:sz w:val="28"/>
          <w:szCs w:val="28"/>
          <w:rtl w:val="true"/>
          <w:lang w:bidi="fa-IR"/>
        </w:rPr>
        <w:t>علی ما حرّرناه فی کتاب الطهارة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حول هذه المسألة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بنینا علیه فی أصل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تشحیذا للأذهان، و لحلّ المشاکل علی مبانی الفضلاء و الأعیان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أبدعه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الخطابات القانونیّة</w:t>
      </w:r>
      <w:r>
        <w:rPr>
          <w:rStyle w:val="FootnoteAnchor"/>
          <w:rtl w:val="true"/>
        </w:rPr>
        <w:footnoteReference w:id="1130"/>
      </w:r>
      <w:r>
        <w:rPr>
          <w:rFonts w:ascii="IRNazanin" w:hAnsi="IRNazanin" w:eastAsia="IRNazanin"/>
          <w:color w:val="111111"/>
          <w:sz w:val="28"/>
          <w:sz w:val="28"/>
          <w:szCs w:val="28"/>
          <w:rtl w:val="true"/>
          <w:lang w:bidi="fa-IR"/>
        </w:rPr>
        <w:t>، و من خلط الأعلام بینها و بین الخطابات الشخصیّة، و من قولهم بانحلال الاولی إلی الثانیة، و اشتراط ما فی الثانیة فی الاولی بعد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تفصیله فی المجلّد</w:t>
      </w:r>
      <w:bookmarkStart w:id="866" w:name="pg13173_325119"/>
    </w:p>
    <w:p>
      <w:pPr>
        <w:pStyle w:val="BookText"/>
        <w:rPr/>
      </w:pPr>
      <w:bookmarkEnd w:id="866"/>
      <w:r>
        <w:rPr>
          <w:rFonts w:ascii="IRNazanin" w:hAnsi="IRNazanin" w:eastAsia="IRNazanin"/>
          <w:color w:val="111111"/>
          <w:sz w:val="28"/>
          <w:sz w:val="28"/>
          <w:szCs w:val="28"/>
          <w:rtl w:val="true"/>
          <w:lang w:bidi="fa-IR"/>
        </w:rPr>
        <w:t xml:space="preserve">الأوّل و ثمراته و إشکالاته بما لا مزید علیه </w:t>
      </w:r>
      <w:r>
        <w:rPr>
          <w:rStyle w:val="FootnoteAnchor"/>
          <w:rtl w:val="true"/>
        </w:rPr>
        <w:footnoteReference w:id="1131"/>
      </w:r>
      <w:r>
        <w:rPr>
          <w:rFonts w:ascii="IRNazanin" w:hAnsi="IRNazanin" w:eastAsia="IRNazanin"/>
          <w:color w:val="111111"/>
          <w:sz w:val="28"/>
          <w:sz w:val="28"/>
          <w:szCs w:val="28"/>
          <w:rtl w:val="true"/>
          <w:lang w:bidi="fa-IR"/>
        </w:rPr>
        <w:t>، و لا یوجد إلّا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الثمرات تنجیز موارد الصورة الاولی و الثانیة؛ ضرورة أنّه لا یستهجن الخطاب العامّ و ضرب القانون الکلّی، بعد کون شرب الخمر مورد ابتلاء عموم الطائفة و الامّة، و لا تعتبر القدرة الشخصیّة فی ذلک، بل تکفی القدرة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الأسف، لا تنحلّ به المشکلة فی الصورة الثالثة و إن انحلّت به الرابعة و الخامسة؛ ضرورة أنّه فی الثالثة تکون الدواعی النوعیّة علی الانزجار موجودة، فلا یصحّ حینئذ ضرب القانون العامّ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مثل حدیث حفظ النفس، واردا فی مسألة حرمة قتل النفس المحترمة الشامل للنفس و الغیر، یمکن ضرب ذلک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حدیث حرمة أکل القاذورات، واردا فی مسألة حرمة الخبائث، یصحّ ضرب القانون الکلّی؛ لأنّ تنفّر الطبع و توفّر الدواعی بالنسبة إلی صنف أو فرد، لا یضرّ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المسألة بحسب مقام الإثبات مشکلة، کما تشکل فی مثل تحریم نکاح الامّهات،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بتنجیز العلم لأجل ذلک فی الصورة الثالثة، لا نقول به فی غیرها؛ لقیام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فی خارج مجلس البحث تلک السیرة فلیلاحظ، و اغتنم جیّدا</w:t>
      </w:r>
      <w:r>
        <w:rPr>
          <w:rFonts w:eastAsia="IRNazanin" w:cs="IRNazanin"/>
          <w:color w:val="111111"/>
          <w:sz w:val="28"/>
          <w:szCs w:val="28"/>
          <w:rtl w:val="true"/>
          <w:lang w:bidi="fa-IR"/>
        </w:rPr>
        <w:t>.</w:t>
      </w:r>
    </w:p>
    <w:p>
      <w:pPr>
        <w:pStyle w:val="Heading6"/>
        <w:numPr>
          <w:ilvl w:val="5"/>
          <w:numId w:val="1"/>
        </w:numPr>
        <w:rPr/>
      </w:pPr>
      <w:bookmarkStart w:id="867" w:name="__RefHeading___Toc735301_3244359995"/>
      <w:bookmarkStart w:id="868" w:name="_Toc325"/>
      <w:bookmarkEnd w:id="867"/>
      <w:r>
        <w:rPr>
          <w:rtl w:val="true"/>
        </w:rPr>
        <w:t>تتمّة</w:t>
      </w:r>
      <w:r>
        <w:rPr>
          <w:rtl w:val="true"/>
        </w:rPr>
        <w:t xml:space="preserve">: </w:t>
      </w:r>
      <w:r>
        <w:rPr>
          <w:rtl w:val="true"/>
        </w:rPr>
        <w:t>فی حکم عدم العلم بالمحبوبیة و المبغوضیة الإلزامیّتین</w:t>
      </w:r>
      <w:bookmarkEnd w:id="86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یجری فی موارد یعلم بالمحبوبیّة و المبغوضیّة الإلزامیّتین، و أمّا فی موارد عدم العلم؛ لاحتمال دخالة القدرة مثلا فی ذلک، فلا یکون العلم منجّزا؛ لعدم العلم الإجمالیّ باستحقاق العقوبة، ففی مثل الصورة الاولی و الثانیة لا تنجیز</w:t>
      </w:r>
      <w:bookmarkStart w:id="869" w:name="pg13173_325120"/>
    </w:p>
    <w:p>
      <w:pPr>
        <w:pStyle w:val="BookText"/>
        <w:rPr/>
      </w:pPr>
      <w:bookmarkEnd w:id="869"/>
      <w:r>
        <w:rPr>
          <w:rFonts w:ascii="IRNazanin" w:hAnsi="IRNazanin" w:eastAsia="IRNazanin"/>
          <w:color w:val="111111"/>
          <w:sz w:val="28"/>
          <w:sz w:val="28"/>
          <w:szCs w:val="28"/>
          <w:rtl w:val="true"/>
          <w:lang w:bidi="fa-IR"/>
        </w:rPr>
        <w:t>للعلم إلّا من ناحیة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تمامیّة الخطابات القانونیّة، و فی الصورة الثالثة بعد وجود الأدلّة لا یعتنی بتلک الشبهة، و یکون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 دون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و الخامسة أیضا، فهما مثل الاولیین فی تمامیّة الوجه الأخیر فیهما علی الإطلاق، و هکذا الوجه الذی أشرنا إلیه فی بعض الأحیان،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الدلیل مبغوضیّة المعجوز علیه و الخارج عن محلّ الابتلاء؛ ضرورة أنّ الأوامر و النواهی لها الخواصّ و الآثار، فلو لم یکن بعض منها معقولا للاستهجان؛ و هو البعث بداعی الانبعاث و الزجر لغرض الترک، فلا یلزم سقوطهما رأسا، بل یکشف بهما المحبوبیّة الإلزامیّة و المبغوضیّة الإلزامیّة، و تصیر النتیجة وجوب الاحتیاط فی الطرف المبتلی به و المقدور علیه و المحتاج إلیه حسب الصناعة، فإذا لم تکن السیرة تامّة فی بعض الشبهات التحریمیّة و الشبهات الوجوبیّة، فالاحتیاط متعیّن إلّا عندنا؛ لما عرفت فی أصل المسألة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0" w:name="__RefHeading___Toc735303_3244359995"/>
      <w:bookmarkStart w:id="871" w:name="_Toc326"/>
      <w:bookmarkEnd w:id="870"/>
      <w:r>
        <w:rPr>
          <w:rtl w:val="true"/>
        </w:rPr>
        <w:t>بقی شی‌ء</w:t>
      </w:r>
      <w:r>
        <w:rPr>
          <w:rtl w:val="true"/>
        </w:rPr>
        <w:t xml:space="preserve">: </w:t>
      </w:r>
      <w:r>
        <w:rPr>
          <w:rtl w:val="true"/>
        </w:rPr>
        <w:t>حول إثبات الاحتیاط بناء علی الخطابات القانونیة</w:t>
      </w:r>
      <w:bookmarkEnd w:id="871"/>
    </w:p>
    <w:p>
      <w:pPr>
        <w:pStyle w:val="BookText"/>
        <w:rPr/>
      </w:pPr>
      <w:r>
        <w:rPr>
          <w:rFonts w:ascii="IRNazanin" w:hAnsi="IRNazanin" w:eastAsia="IRNazanin"/>
          <w:color w:val="111111"/>
          <w:sz w:val="28"/>
          <w:sz w:val="28"/>
          <w:szCs w:val="28"/>
          <w:rtl w:val="true"/>
          <w:lang w:bidi="fa-IR"/>
        </w:rPr>
        <w:t>و هو أنّ مقتضی الخطابات القانونیّة، لیس إلّا العلم الإجمالیّ بالتکلیف الفعلیّ و لو کان بعض الأطراف مورد العجز، أو خارجا عن محلّ الابتلاء و القدرة العادیّة، و أمّا کفایة کونه منجّزا فمحل المناقشة؛ ضرورة أنّ المیزان هو العلم الإجمالیّ باستحقاق العقوبة علی کلّ تقدیر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المدار علی العلم الإجمالیّ بالتکلیف الفعلیّ </w:t>
      </w:r>
      <w:r>
        <w:rPr>
          <w:rStyle w:val="FootnoteAnchor"/>
          <w:rtl w:val="true"/>
        </w:rPr>
        <w:footnoteReference w:id="1133"/>
      </w:r>
      <w:r>
        <w:rPr>
          <w:rFonts w:ascii="IRNazanin" w:hAnsi="IRNazanin" w:eastAsia="IRNazanin"/>
          <w:color w:val="111111"/>
          <w:sz w:val="28"/>
          <w:sz w:val="28"/>
          <w:szCs w:val="28"/>
          <w:rtl w:val="true"/>
          <w:lang w:bidi="fa-IR"/>
        </w:rPr>
        <w:t>، محمول علی المسامحة و المتعارف؛ و أنّه یلازم نوعا العلم الإجمالیّ بالاستحقاق؛</w:t>
      </w:r>
      <w:bookmarkStart w:id="872" w:name="pg13173_325121"/>
    </w:p>
    <w:p>
      <w:pPr>
        <w:pStyle w:val="BookText"/>
        <w:rPr/>
      </w:pPr>
      <w:bookmarkEnd w:id="872"/>
      <w:r>
        <w:rPr>
          <w:rFonts w:ascii="IRNazanin" w:hAnsi="IRNazanin" w:eastAsia="IRNazanin"/>
          <w:color w:val="111111"/>
          <w:sz w:val="28"/>
          <w:sz w:val="28"/>
          <w:szCs w:val="28"/>
          <w:rtl w:val="true"/>
          <w:lang w:bidi="fa-IR"/>
        </w:rPr>
        <w:t>لذهاب أکثرهم فی موارد الخروج و کلّهم فی موارد العجز إلی انتفاء التکلیف الفعلیّ، فلا علم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بالتکلیف الفعلیّ مع انتفاء العلم الإجمالیّ بالاستحقاق </w:t>
      </w:r>
      <w:r>
        <w:rPr>
          <w:rStyle w:val="FootnoteAnchor"/>
          <w:rtl w:val="true"/>
        </w:rPr>
        <w:footnoteReference w:id="1134"/>
      </w:r>
      <w:r>
        <w:rPr>
          <w:rFonts w:ascii="IRNazanin" w:hAnsi="IRNazanin" w:eastAsia="IRNazanin"/>
          <w:color w:val="111111"/>
          <w:sz w:val="28"/>
          <w:sz w:val="28"/>
          <w:szCs w:val="28"/>
          <w:rtl w:val="true"/>
          <w:lang w:bidi="fa-IR"/>
        </w:rPr>
        <w:t xml:space="preserve">، خارج عن محطّ بحثهم، فلا بدّ من التدبّر فیه، و قد مرّ شطر من الکلام حوله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غایة ما یمکن أن یقال لوجوب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وجود التکلیف الفعلیّ لا بدّ من تحصیل العذر العقلیّ، و هو فی طرف العجز ثابت، و أمّا فی طرف القدرة فغیر ثابت؛ لاحتمال أن لا تکون الجهالة المقرونة بالعلم المذکور عذرا؛ لأنّ ما هو العذر هی الجهالة المطلقة غیر المشوبة بالعلم بالتکلیف الإلزامیّ، و یکفی لوجوب الاحتیاط الشکّ فی العذریّة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و لو کان قانونیّا و جاریا فی الطرفین و یتعارض، أو غیر جار فی أطراف العلم، إلّا أنّه هنا جار فی الطرف المقدور و المبتلی به؛ لأنّ رفع الخارج و المعجوز عنه لیس فیه المنّة، و المدار فی المنّة هی المنّة الشخصیّة لا النوعیّة، فالبراءة العقلیّة و لو لم تکن جاریة إلّا أنّ الشرعیّة جاریة، فافهم و تدبّر</w:t>
      </w:r>
      <w:r>
        <w:rPr>
          <w:rFonts w:eastAsia="IRNazanin" w:cs="IRNazanin"/>
          <w:color w:val="111111"/>
          <w:sz w:val="28"/>
          <w:szCs w:val="28"/>
          <w:rtl w:val="true"/>
          <w:lang w:bidi="fa-IR"/>
        </w:rPr>
        <w:t>.</w:t>
      </w:r>
    </w:p>
    <w:p>
      <w:pPr>
        <w:pStyle w:val="Heading6"/>
        <w:numPr>
          <w:ilvl w:val="5"/>
          <w:numId w:val="1"/>
        </w:numPr>
        <w:rPr/>
      </w:pPr>
      <w:bookmarkStart w:id="873" w:name="__RefHeading___Toc735305_3244359995"/>
      <w:bookmarkStart w:id="874" w:name="_Toc327"/>
      <w:bookmarkEnd w:id="873"/>
      <w:r>
        <w:rPr>
          <w:rtl w:val="true"/>
        </w:rPr>
        <w:t>الأمر الخامس</w:t>
      </w:r>
      <w:r>
        <w:rPr>
          <w:rtl w:val="true"/>
        </w:rPr>
        <w:t xml:space="preserve">: </w:t>
      </w:r>
      <w:r>
        <w:rPr>
          <w:rtl w:val="true"/>
        </w:rPr>
        <w:t>حول عدم تنجیز العلم الإجمالی مع سبق الخروج عن محل الابتلاء أو تقارنه</w:t>
      </w:r>
      <w:bookmarkEnd w:id="87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اتفقت کلمات المتعرّضین للمسألة علی أنّ الخروج عن الابتلاء إذا کان</w:t>
      </w:r>
      <w:bookmarkStart w:id="875" w:name="pg13173_325122"/>
    </w:p>
    <w:p>
      <w:pPr>
        <w:pStyle w:val="BookText"/>
        <w:rPr/>
      </w:pPr>
      <w:bookmarkEnd w:id="875"/>
      <w:r>
        <w:rPr>
          <w:rFonts w:ascii="IRNazanin" w:hAnsi="IRNazanin" w:eastAsia="IRNazanin"/>
          <w:color w:val="111111"/>
          <w:sz w:val="28"/>
          <w:sz w:val="28"/>
          <w:szCs w:val="28"/>
          <w:rtl w:val="true"/>
          <w:lang w:bidi="fa-IR"/>
        </w:rPr>
        <w:t xml:space="preserve">سابقا علی العلم الإجمالیّ أو مقارنا، یضرّ بتأثیر العلم الإجمالیّ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مورد النظر؛ ضرورة أنّه فی صورة التقارن یحصل العلم بالخطاب الفعلیّ، و نتیجة ذلک تنجّز الطرف المبتلی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کون کلّ واحد من الطرفین مورد الابتلاء قبل العلم یستلزم التفصیل؛ ضرورة أنّه یلزم إنکار تنجیز العلم إذا خرج أحد الطرفین عن مورد الابتلاء بعد زمان یقصر عن العصیان فیه، فلا بدّ إمّا من التفصیل المذکور، أو کفایة التقارن الزمانیّ؛ لعدم اعتبار الأزید من العلم بالتکلیف الفعلیّ الحاصل فی ظرف التقارن،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التفصیل هنا بین الشبهات الوجوبیّة و التحریمیّة؛ لأنّ اعتبار القدرة فی جانب الفعل لازم کی یکون التکلیف فعلیّا، و أمّا فی جانب الترک فلا؛ لحصول الانتراک و إمکان الزجر،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هو الحقّ من أنّ الأمر و النهی کما یترتّب علیهما الانبعاث و الانزجار، یستکشف بهما المحبوبیّة و المبغوضیة الإلزامیّتین، فلا یضرّ الخروج عن محلّ الابتلاء حسب القواعد بالتنجیز، فضلا عن هذه الصورة، و کذلک علی الخطابات القانونیّة</w:t>
      </w:r>
      <w:r>
        <w:rPr>
          <w:rFonts w:eastAsia="IRNazanin" w:cs="IRNazanin"/>
          <w:color w:val="111111"/>
          <w:sz w:val="28"/>
          <w:szCs w:val="28"/>
          <w:rtl w:val="true"/>
          <w:lang w:bidi="fa-IR"/>
        </w:rPr>
        <w:t>.</w:t>
      </w:r>
    </w:p>
    <w:p>
      <w:pPr>
        <w:pStyle w:val="Heading6"/>
        <w:numPr>
          <w:ilvl w:val="5"/>
          <w:numId w:val="1"/>
        </w:numPr>
        <w:rPr/>
      </w:pPr>
      <w:bookmarkStart w:id="876" w:name="__RefHeading___Toc735307_3244359995"/>
      <w:bookmarkStart w:id="877" w:name="_Toc328"/>
      <w:bookmarkEnd w:id="876"/>
      <w:r>
        <w:rPr>
          <w:rtl w:val="true"/>
        </w:rPr>
        <w:t>الأمر السادس</w:t>
      </w:r>
      <w:r>
        <w:rPr>
          <w:rtl w:val="true"/>
        </w:rPr>
        <w:t xml:space="preserve">: </w:t>
      </w:r>
      <w:r>
        <w:rPr>
          <w:rtl w:val="true"/>
        </w:rPr>
        <w:t>حول صور الشکّ فی المسألة و بیان أحکامها</w:t>
      </w:r>
      <w:bookmarkEnd w:id="877"/>
    </w:p>
    <w:p>
      <w:pPr>
        <w:pStyle w:val="Heading6"/>
        <w:numPr>
          <w:ilvl w:val="5"/>
          <w:numId w:val="1"/>
        </w:numPr>
        <w:rPr/>
      </w:pPr>
      <w:bookmarkStart w:id="878" w:name="__RefHeading___Toc735309_3244359995"/>
      <w:bookmarkStart w:id="879" w:name="_Toc329"/>
      <w:bookmarkEnd w:id="878"/>
      <w:r>
        <w:rPr>
          <w:rtl w:val="true"/>
        </w:rPr>
        <w:t>اشارة</w:t>
      </w:r>
      <w:bookmarkEnd w:id="879"/>
    </w:p>
    <w:p>
      <w:pPr>
        <w:pStyle w:val="BookText"/>
        <w:rPr/>
      </w:pPr>
      <w:r>
        <w:rPr>
          <w:rFonts w:ascii="IRNazanin" w:hAnsi="IRNazanin" w:eastAsia="IRNazanin"/>
          <w:color w:val="111111"/>
          <w:sz w:val="28"/>
          <w:sz w:val="28"/>
          <w:szCs w:val="28"/>
          <w:rtl w:val="true"/>
          <w:lang w:bidi="fa-IR"/>
        </w:rPr>
        <w:t>صور الشکّ فی هذه المسألة کثیرة؛ ضرورة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تقدّم العلم و الخروج</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المسألة الاصولیّة، و هی إضرار الخروج بمناطه الشامل لکثیر من المسائل، و منها الشکّ فی إضرار العجز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الصدقیّة اصطلاحا؛ و هی أنّ الخارج الموجود فی الحلّة غیر قابل للنهی، و الموجود فی ذی الکفل محلّ الشک فی أنّه خارج أم لا، بعد کون الکوفة بالنسبة إلی النجف داخلة فی محلّ الابتلاء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المصداقیّة، و هو أنّ الطرف هل هو فی الکوفة أم فی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الطرف مورد الابتلاء، ثمّ یشکّ فی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خارجا، ثمّ یشکّ فی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ما ذهب إلیه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w:t>
      </w:r>
      <w:r>
        <w:rPr>
          <w:rStyle w:val="FootnoteAnchor"/>
          <w:rtl w:val="true"/>
        </w:rPr>
        <w:footnoteReference w:id="1137"/>
      </w:r>
      <w:r>
        <w:rPr>
          <w:rFonts w:ascii="IRNazanin" w:hAnsi="IRNazanin" w:eastAsia="IRNazanin"/>
          <w:color w:val="111111"/>
          <w:sz w:val="28"/>
          <w:sz w:val="28"/>
          <w:szCs w:val="28"/>
          <w:rtl w:val="true"/>
          <w:lang w:bidi="fa-IR"/>
        </w:rPr>
        <w:t>، و هکذا علی ما سلکناه لحلّ المشکلة فی هذه المسألة</w:t>
      </w:r>
      <w:r>
        <w:rPr>
          <w:rStyle w:val="FootnoteAnchor"/>
          <w:rtl w:val="true"/>
        </w:rPr>
        <w:footnoteReference w:id="1138"/>
      </w:r>
      <w:r>
        <w:rPr>
          <w:rFonts w:ascii="IRNazanin" w:hAnsi="IRNazanin" w:eastAsia="IRNazanin"/>
          <w:color w:val="111111"/>
          <w:sz w:val="28"/>
          <w:sz w:val="28"/>
          <w:szCs w:val="28"/>
          <w:rtl w:val="true"/>
          <w:lang w:bidi="fa-IR"/>
        </w:rPr>
        <w:t>، یکون مقتضی القاعدة هو التنجیز؛ لأنّ موارد الشکّ لا تزید علی موارد القطع بالعجز و الخروج، فلا أثر للشکّ کی تقع الصور مورد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موارد الشکّ فی قیام السیرة فی الشبهات التحریمیّة و الوجوبیّة یلزم الاحتیاط، إلّا علی ما سلکناه من جریان الاصول فی مجموع الأطراف من غیر لزوم إشکال، کما حرّرناه فی محلّه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مسالک القوم، فالشکّ فی موارد الخروج عن محلّ الابتلاء علی أقسام، و هکذا علی مسلک بعضهم من إضرار العجز فقط بالتنجیز، یکون الشکّ فی المسألة الاصولیّة و فی وجود القدرة مورد الکلام، و لا بأس بالإشارة الإجمالیّة إلیها</w:t>
      </w:r>
      <w:r>
        <w:rPr>
          <w:rFonts w:eastAsia="IRNazanin" w:cs="IRNazanin"/>
          <w:color w:val="111111"/>
          <w:sz w:val="28"/>
          <w:szCs w:val="28"/>
          <w:rtl w:val="true"/>
          <w:lang w:bidi="fa-IR"/>
        </w:rPr>
        <w:t>.</w:t>
      </w:r>
      <w:bookmarkStart w:id="880" w:name="pg13173_325124"/>
    </w:p>
    <w:p>
      <w:pPr>
        <w:pStyle w:val="BookText"/>
        <w:rPr/>
      </w:pPr>
      <w:bookmarkEnd w:id="880"/>
      <w:r>
        <w:rPr>
          <w:rFonts w:ascii="IRNazanin" w:hAnsi="IRNazanin" w:eastAsia="IRNazanin"/>
          <w:color w:val="111111"/>
          <w:sz w:val="28"/>
          <w:sz w:val="28"/>
          <w:szCs w:val="28"/>
          <w:rtl w:val="true"/>
          <w:lang w:bidi="fa-IR"/>
        </w:rPr>
        <w:t>و غیر خفیّ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بأنّ الخروج عن محلّ الابتلاء بعد العلم، یوجب قصوره فی التنجیز، و هکذا فی العجز الطارئ، فلا ثمرة فی بعض صور الشکّ، و تحقیق هذه المسألة یأتی فی بعض التنبیهات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لیس أثرا للعلم کأثریّة المعلول للعلّة، بل هو إدراک العقل استحقاق العقوبة عند الإصابة، فإذا کان الطرف المبتلی به و المقدور علیه، ممّا استحقّ علیه المؤاخذة عند الإصابة، فالخروج و طروّ العجز لا یوجب شیئا جدیدا؛ کی یتوهّم جواز التخلّف عن الاحتیاط، و لا وجه لتوهّم الشکّ فی الاستحقاق کی یتمسّک بالاستصحاب، حتّی یقال بعدم جریانه، أو یقال بجریان استصحاب حجّیة الاحتمال؛ لأنّ الاقتران بالعلم لا یورث تعدّد الموضوع، بل العلم کان سببا لتنجیز الواقع فی کلّ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الحیثیّات التعلیلیّة فی الأحکام العقلیّة ترجع إلی التقییدیّة، فیلزم تعدّد الموضوع، فلاحظ</w:t>
      </w:r>
      <w:r>
        <w:rPr>
          <w:rFonts w:eastAsia="IRNazanin" w:cs="IRNazanin"/>
          <w:color w:val="111111"/>
          <w:sz w:val="28"/>
          <w:szCs w:val="28"/>
          <w:rtl w:val="true"/>
          <w:lang w:bidi="fa-IR"/>
        </w:rPr>
        <w:t>.</w:t>
      </w:r>
    </w:p>
    <w:p>
      <w:pPr>
        <w:pStyle w:val="Heading6"/>
        <w:numPr>
          <w:ilvl w:val="5"/>
          <w:numId w:val="1"/>
        </w:numPr>
        <w:rPr/>
      </w:pPr>
      <w:bookmarkStart w:id="881" w:name="__RefHeading___Toc735311_3244359995"/>
      <w:bookmarkStart w:id="882" w:name="_Toc330"/>
      <w:bookmarkEnd w:id="881"/>
      <w:r>
        <w:rPr>
          <w:rtl w:val="true"/>
        </w:rPr>
        <w:t>تفصیل صور الشکّ فی الخروج عن محلّ الابتلاء و أحکامها الصورة الاولی</w:t>
      </w:r>
      <w:r>
        <w:rPr>
          <w:rtl w:val="true"/>
        </w:rPr>
        <w:t>:</w:t>
      </w:r>
      <w:bookmarkEnd w:id="882"/>
    </w:p>
    <w:p>
      <w:pPr>
        <w:pStyle w:val="Heading6"/>
        <w:numPr>
          <w:ilvl w:val="5"/>
          <w:numId w:val="1"/>
        </w:numPr>
        <w:rPr/>
      </w:pPr>
      <w:bookmarkStart w:id="883" w:name="__RefHeading___Toc735313_3244359995"/>
      <w:bookmarkStart w:id="884" w:name="_Toc331"/>
      <w:bookmarkEnd w:id="883"/>
      <w:r>
        <w:rPr>
          <w:rtl w:val="true"/>
        </w:rPr>
        <w:t>اشارة</w:t>
      </w:r>
      <w:bookmarkEnd w:id="884"/>
    </w:p>
    <w:p>
      <w:pPr>
        <w:pStyle w:val="BookText"/>
        <w:rPr/>
      </w:pPr>
      <w:r>
        <w:rPr>
          <w:rFonts w:ascii="IRNazanin" w:hAnsi="IRNazanin" w:eastAsia="IRNazanin"/>
          <w:color w:val="111111"/>
          <w:sz w:val="28"/>
          <w:sz w:val="28"/>
          <w:szCs w:val="28"/>
          <w:rtl w:val="true"/>
          <w:lang w:bidi="fa-IR"/>
        </w:rPr>
        <w:t>إذا شکّ فی التقدّم و التأخّر بالنسبة إلی العجز و الخروج عن محلّ الابتلاء، و إلی العلم، بعد کونه فعلا خارجا عن محلّ الابتلاء، و إلّا فربّما یؤثّر العلم فعلا، فلا یخفی، و تأمّل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ذهب العلّامة الأراکیّ رحمه اللّه إلی الاحتیاط؛ نظرا إلی رجوعه إلی الشکّ فی</w:t>
      </w:r>
    </w:p>
    <w:p>
      <w:pPr>
        <w:pStyle w:val="BookText"/>
        <w:rPr/>
      </w:pPr>
      <w:r>
        <w:rPr>
          <w:rFonts w:ascii="IRNazanin" w:hAnsi="IRNazanin" w:eastAsia="IRNazanin"/>
          <w:color w:val="111111"/>
          <w:sz w:val="28"/>
          <w:sz w:val="28"/>
          <w:szCs w:val="28"/>
          <w:rtl w:val="true"/>
          <w:lang w:bidi="fa-IR"/>
        </w:rPr>
        <w:t>القدرة، و فیه یلزم الاحتیاط</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یأتی تفصیله فی بعض الصور الآتیة إن شاء اللّه تعالی </w:t>
      </w:r>
      <w:r>
        <w:rPr>
          <w:rStyle w:val="FootnoteAnchor"/>
          <w:rtl w:val="true"/>
        </w:rPr>
        <w:footnoteReference w:id="1141"/>
      </w:r>
      <w:r>
        <w:rPr>
          <w:rFonts w:ascii="IRNazanin" w:hAnsi="IRNazanin" w:eastAsia="IRNazanin"/>
          <w:color w:val="111111"/>
          <w:sz w:val="28"/>
          <w:sz w:val="28"/>
          <w:szCs w:val="28"/>
          <w:rtl w:val="true"/>
          <w:lang w:bidi="fa-IR"/>
        </w:rPr>
        <w:t>الذی هو الوجه المشترک للبراءة أو الاحتیاط فی مجموع موارد الشکوک، و إنّما المقصود الإشارة إلی ما یختصّ ببعض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یمکن دعوی البراءة فی هذه الصورة؛ من جهة أنّ تمامیّة تنجیز العلم مرهونة بمعارضة الاصول، و حیث لا معنی للأصل بالنسبة إلی ما هو الخارج و المعجوز علیه، کما فی الخطابات الأوّلیة و الأحکام الواقعیّة، فیبقی الأصل فی الطرف المقدور عقلا أو عادة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جریان أدلّة الاصول فی أطراف العلم الإجمالیّ و لو کان غیر منجّز؛ لانصرافها إلی المجهول المطلق، و أمّا المجهول المقرون بالعلم فلا</w:t>
      </w:r>
      <w:r>
        <w:rPr>
          <w:rStyle w:val="FootnoteAnchor"/>
          <w:rtl w:val="true"/>
        </w:rPr>
        <w:footnoteReference w:id="1142"/>
      </w:r>
      <w:r>
        <w:rPr>
          <w:rFonts w:ascii="IRNazanin" w:hAnsi="IRNazanin" w:eastAsia="IRNazanin"/>
          <w:color w:val="111111"/>
          <w:sz w:val="28"/>
          <w:sz w:val="28"/>
          <w:szCs w:val="28"/>
          <w:rtl w:val="true"/>
          <w:lang w:bidi="fa-IR"/>
        </w:rPr>
        <w:t>،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توهّم اختصاصها بما لا یحتمل تنجّزه ثبوتا، و حیث إنّ الطرف المقدور یحتمل تنجزه، فهو أیضا خارج عنها، غیر تامّ، و لا یلتزم به الأصحاب، فلا تغفل، و لا تخلط</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 جریان استصحاب عدم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أنّه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جار؛ لأنّ منشأه قصور المکلّف، کما فی کلام العلّامة الأراکیّ رحمه اللّه </w:t>
      </w:r>
      <w:r>
        <w:rPr>
          <w:rStyle w:val="FootnoteAnchor"/>
          <w:rtl w:val="true"/>
        </w:rPr>
        <w:footnoteReference w:id="1143"/>
      </w:r>
      <w:r>
        <w:rPr>
          <w:rFonts w:ascii="IRNazanin" w:hAnsi="IRNazanin" w:eastAsia="IRNazanin"/>
          <w:color w:val="111111"/>
          <w:sz w:val="28"/>
          <w:sz w:val="28"/>
          <w:szCs w:val="28"/>
          <w:rtl w:val="true"/>
          <w:lang w:bidi="fa-IR"/>
        </w:rPr>
        <w:t>غیر مسموعة؛ للزوم عدم جریان البراءة العقلیّة أیضا فی الشبهات الموضوعیّة، لتمامیّة المقتضی من قبل الشرع انکشافا و کشفا، و إنّما القصور من ناحیة المکلّف،</w:t>
      </w:r>
    </w:p>
    <w:p>
      <w:pPr>
        <w:pStyle w:val="BookText"/>
        <w:rPr/>
      </w:pPr>
      <w:r>
        <w:rPr>
          <w:rFonts w:ascii="IRNazanin" w:hAnsi="IRNazanin" w:eastAsia="IRNazanin"/>
          <w:color w:val="111111"/>
          <w:sz w:val="28"/>
          <w:sz w:val="28"/>
          <w:szCs w:val="28"/>
          <w:rtl w:val="true"/>
          <w:lang w:bidi="fa-IR"/>
        </w:rPr>
        <w:t xml:space="preserve">کما اختاره سیّدنا الاستاذ البروجردیّ </w:t>
      </w:r>
      <w:r>
        <w:rPr>
          <w:rStyle w:val="FootnoteAnchor"/>
          <w:rtl w:val="true"/>
        </w:rPr>
        <w:footnoteReference w:id="1144"/>
      </w:r>
      <w:r>
        <w:rPr>
          <w:rFonts w:ascii="IRNazanin" w:hAnsi="IRNazanin" w:eastAsia="IRNazanin"/>
          <w:color w:val="111111"/>
          <w:sz w:val="28"/>
          <w:sz w:val="28"/>
          <w:szCs w:val="28"/>
          <w:rtl w:val="true"/>
          <w:lang w:bidi="fa-IR"/>
        </w:rPr>
        <w:t xml:space="preserve">، و العلّامة الإیروانیّ رحمهما اللّه </w:t>
      </w:r>
      <w:r>
        <w:rPr>
          <w:rStyle w:val="FootnoteAnchor"/>
          <w:rtl w:val="true"/>
        </w:rPr>
        <w:footnoteReference w:id="1145"/>
      </w:r>
      <w:r>
        <w:rPr>
          <w:rFonts w:ascii="IRNazanin" w:hAnsi="IRNazanin" w:eastAsia="IRNazanin"/>
          <w:color w:val="111111"/>
          <w:sz w:val="28"/>
          <w:sz w:val="28"/>
          <w:szCs w:val="28"/>
          <w:rtl w:val="true"/>
          <w:lang w:bidi="fa-IR"/>
        </w:rPr>
        <w:t xml:space="preserve">، و قد مرّ أنّه خلاف التحقیق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جریان أمثال هذه الاستصحابات عندی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العدم النعتیّ منه غیر مسبوق؛ لاحتمال وجوب الاجتناب من أوّل زمن کون الطرف مورد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الطرف المبتلی به أوّلا مورد الشبهة البدویّة، ثمّ علمنا إجمالا بالتقدّم و التأخّر المذکورین، فللعدم النعتیّ المزبور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الاحتیاط لیس موضوعا ذا حکم، و لا حکما، غیر تامّ، کتوهّم عدم جریان استصحاب عدم الوجوب و الحرمة، کما فی کلام العلّامة المذکور</w:t>
      </w:r>
      <w:r>
        <w:rPr>
          <w:rStyle w:val="FootnoteAnchor"/>
          <w:rtl w:val="true"/>
        </w:rPr>
        <w:footnoteReference w:id="1147"/>
      </w:r>
      <w:r>
        <w:rPr>
          <w:rFonts w:ascii="IRNazanin" w:hAnsi="IRNazanin" w:eastAsia="IRNazanin"/>
          <w:color w:val="111111"/>
          <w:sz w:val="28"/>
          <w:sz w:val="28"/>
          <w:szCs w:val="28"/>
          <w:rtl w:val="true"/>
          <w:lang w:bidi="fa-IR"/>
        </w:rPr>
        <w:t>ضرورة جریانه عندهم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غیر جار ذاتا عندنا؛ لما یأتی فی الاستصحاب إن شاء اللّه تعالی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تحرّر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لا یفید إلّا التعبّد ببقاء الطریق المنجّز و المعذّر؛ من غیر النظر إلی ذی الطریق فی محیط التعبّد</w:t>
      </w:r>
      <w:r>
        <w:rPr>
          <w:rStyle w:val="FootnoteAnchor"/>
          <w:rtl w:val="true"/>
        </w:rPr>
        <w:footnoteReference w:id="1149"/>
      </w:r>
      <w:r>
        <w:rPr>
          <w:rFonts w:ascii="IRNazanin" w:hAnsi="IRNazanin" w:eastAsia="IRNazanin"/>
          <w:color w:val="111111"/>
          <w:sz w:val="28"/>
          <w:sz w:val="28"/>
          <w:szCs w:val="28"/>
          <w:rtl w:val="true"/>
          <w:lang w:bidi="fa-IR"/>
        </w:rPr>
        <w:t>، و لذلک یصحّ إجراء استصحاب عدم استحقاقه العقاب علی شربه و أکله، فإنّه أیضا أثر فی محیط الشرع، و تعذیر فی صورة التخلّف، و لا یعارض بمثله فی الطرف؛ لخروجه عن محلّ الابتلاء فرضا، و لغویّة جریان الاصول الظاهریّة کالخطابات الواقعیّة علی حدّ سواء، فلا تغفل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بقاء القدرة العقلیّة أو العادیّة إلی زمان حدوث العلم</w:t>
      </w:r>
      <w:bookmarkStart w:id="885" w:name="pg13173_325127"/>
    </w:p>
    <w:p>
      <w:pPr>
        <w:pStyle w:val="BookText"/>
        <w:rPr/>
      </w:pPr>
      <w:bookmarkEnd w:id="885"/>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ینفع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یعارض باستصحاب بقاء الجهل، و عدم تنجّز التکلیف، و عدم الاستحقاق إلی زمان الخروج و حدوث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أولی ممّا ذکره العلّامة المذکور رحمه اللّه </w:t>
      </w:r>
      <w:r>
        <w:rPr>
          <w:rStyle w:val="FootnoteAnchor"/>
          <w:rtl w:val="true"/>
        </w:rPr>
        <w:footnoteReference w:id="1150"/>
      </w:r>
      <w:r>
        <w:rPr>
          <w:rFonts w:ascii="IRNazanin" w:hAnsi="IRNazanin" w:eastAsia="IRNazanin"/>
          <w:color w:val="111111"/>
          <w:sz w:val="28"/>
          <w:sz w:val="28"/>
          <w:szCs w:val="28"/>
          <w:rtl w:val="true"/>
          <w:lang w:bidi="fa-IR"/>
        </w:rPr>
        <w:t xml:space="preserve">فإنّه غیر تامّ کما یأتی تحقیقه إن شاء اللّه تعالی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6" w:name="__RefHeading___Toc735315_3244359995"/>
      <w:bookmarkStart w:id="887" w:name="_Toc332"/>
      <w:bookmarkEnd w:id="886"/>
      <w:r>
        <w:rPr>
          <w:rtl w:val="true"/>
        </w:rPr>
        <w:t>الصورة الثانیة</w:t>
      </w:r>
      <w:r>
        <w:rPr>
          <w:rtl w:val="true"/>
        </w:rPr>
        <w:t>:</w:t>
      </w:r>
      <w:bookmarkEnd w:id="887"/>
    </w:p>
    <w:p>
      <w:pPr>
        <w:pStyle w:val="Heading6"/>
        <w:numPr>
          <w:ilvl w:val="5"/>
          <w:numId w:val="1"/>
        </w:numPr>
        <w:rPr/>
      </w:pPr>
      <w:bookmarkStart w:id="888" w:name="__RefHeading___Toc735317_3244359995"/>
      <w:bookmarkStart w:id="889" w:name="_Toc333"/>
      <w:bookmarkEnd w:id="888"/>
      <w:r>
        <w:rPr>
          <w:rtl w:val="true"/>
        </w:rPr>
        <w:t>اشارة</w:t>
      </w:r>
      <w:bookmarkEnd w:id="889"/>
    </w:p>
    <w:p>
      <w:pPr>
        <w:pStyle w:val="BookText"/>
        <w:rPr/>
      </w:pPr>
      <w:r>
        <w:rPr>
          <w:rFonts w:ascii="IRNazanin" w:hAnsi="IRNazanin" w:eastAsia="IRNazanin"/>
          <w:color w:val="111111"/>
          <w:sz w:val="28"/>
          <w:sz w:val="28"/>
          <w:szCs w:val="28"/>
          <w:rtl w:val="true"/>
          <w:lang w:bidi="fa-IR"/>
        </w:rPr>
        <w:t>هل القدرة العقلیّة دخیلة فی التنجیز بالنسبة إلی الطرف المقدور، بعد کون العجز تعذیرا بلا شبهة فی التکالیف، إلّا فی موارد العجز الاختیاریّ الطارئ بسوء الاختیار؟</w:t>
      </w:r>
    </w:p>
    <w:p>
      <w:pPr>
        <w:pStyle w:val="BookText"/>
        <w:rPr/>
      </w:pPr>
      <w:r>
        <w:rPr>
          <w:rFonts w:ascii="IRNazanin" w:hAnsi="IRNazanin" w:eastAsia="IRNazanin"/>
          <w:color w:val="111111"/>
          <w:sz w:val="28"/>
          <w:sz w:val="28"/>
          <w:szCs w:val="28"/>
          <w:rtl w:val="true"/>
          <w:lang w:bidi="fa-IR"/>
        </w:rPr>
        <w:t>و هل الخروج عن محلّ الابتلاء یضرّ کما هو مسلک الأکثر، أم لا یعتبر؟</w:t>
      </w:r>
    </w:p>
    <w:p>
      <w:pPr>
        <w:pStyle w:val="BookText"/>
        <w:rPr/>
      </w:pPr>
      <w:r>
        <w:rPr>
          <w:rFonts w:ascii="IRNazanin" w:hAnsi="IRNazanin" w:eastAsia="IRNazanin"/>
          <w:color w:val="111111"/>
          <w:sz w:val="28"/>
          <w:sz w:val="28"/>
          <w:szCs w:val="28"/>
          <w:rtl w:val="true"/>
          <w:lang w:bidi="fa-IR"/>
        </w:rPr>
        <w:t>لا شبهة فی أنّ العجز العقلیّ بالنسبة إلی الإناءین، یوجب عدم الاستحقاق عند کافّة المحصّلین، و أمّا فی سائر المحتملات ففیه الخلاف، فهل مقتضی القواعد عند الشکّ فی هذه المسألة الاصولیّة هو الاحتیاط، أم البراءة؟ خلاف ناشئ عن الخلاف فی الصورة الآتیة إن شاء اللّه تعالی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الوجه هنا و إن أمکن التمسّک به فی بعض الصور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میزان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منّا</w:t>
      </w:r>
      <w:r>
        <w:rPr>
          <w:rStyle w:val="FootnoteAnchor"/>
          <w:rtl w:val="true"/>
        </w:rPr>
        <w:footnoteReference w:id="1152"/>
      </w:r>
      <w:r>
        <w:rPr>
          <w:rFonts w:ascii="IRNazanin" w:hAnsi="IRNazanin" w:eastAsia="IRNazanin"/>
          <w:color w:val="111111"/>
          <w:sz w:val="28"/>
          <w:sz w:val="28"/>
          <w:szCs w:val="28"/>
          <w:rtl w:val="true"/>
          <w:lang w:bidi="fa-IR"/>
        </w:rPr>
        <w:t>و یستفاد من الشیخ رحمه اللّه هنا</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بالغرض الإلزامیّ، فإذن کان الشکّ المذکور موجبا للشکّ فی حسن الخطاب و جواز التکلیف، و موجبا للشکّ فی الاشتغال الناشئ من الخطاب، و لکنّه لا یوجب الشکّ فی الغرض المستکشف به؛ ضرورة أنّ القدرة و العجز من لواحق التکالیف و المصالح و المفاسد</w:t>
      </w:r>
    </w:p>
    <w:p>
      <w:pPr>
        <w:pStyle w:val="BookText"/>
        <w:rPr/>
      </w:pPr>
      <w:r>
        <w:rPr>
          <w:rFonts w:ascii="IRNazanin" w:hAnsi="IRNazanin" w:eastAsia="IRNazanin"/>
          <w:color w:val="111111"/>
          <w:sz w:val="28"/>
          <w:sz w:val="28"/>
          <w:szCs w:val="28"/>
          <w:rtl w:val="true"/>
          <w:lang w:bidi="fa-IR"/>
        </w:rPr>
        <w:t>تعذیرا و تنجیزا، لا ملاکا و مناطا، و قد ارتضی بهذا الوجه جمع من التلامذة</w:t>
      </w:r>
      <w:r>
        <w:rPr>
          <w:rStyle w:val="FootnoteAnchor"/>
          <w:rtl w:val="true"/>
        </w:rPr>
        <w:footnoteReference w:id="1154"/>
      </w:r>
    </w:p>
    <w:p>
      <w:pPr>
        <w:pStyle w:val="BookText"/>
        <w:rPr/>
      </w:pP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فعندئذ یتعیّن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لازمه الاحتیاط مطلقا حتّی فی صورة العلم بدخالته فی حسن الخطاب و رفع قبح التکلیف؛ لأنّ انکشاف الملاک ممکن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العلّامة الأراکیّ من عدم جواز الخلط</w:t>
      </w:r>
      <w:r>
        <w:rPr>
          <w:rStyle w:val="FootnoteAnchor"/>
          <w:rtl w:val="true"/>
        </w:rPr>
        <w:footnoteReference w:id="1155"/>
      </w:r>
      <w:r>
        <w:rPr>
          <w:rFonts w:ascii="IRNazanin" w:hAnsi="IRNazanin" w:eastAsia="IRNazanin"/>
          <w:color w:val="111111"/>
          <w:sz w:val="28"/>
          <w:sz w:val="28"/>
          <w:szCs w:val="28"/>
          <w:rtl w:val="true"/>
          <w:lang w:bidi="fa-IR"/>
        </w:rPr>
        <w:t xml:space="preserve">، لا یقنع؛ ضرورة أنّ ملاک درک العقل الاحتیاط هو العلم بالغرض و المبغوض الإلزامیّ للمولی، أو المطلوب و المحبوب الإلزامیّ له، دون الشکّ فی القدرة، کی یقال بعدم الشکّ فی هذه الصورة دون تلک، کما فی کلامه رحمه اللّه </w:t>
      </w:r>
      <w:r>
        <w:rPr>
          <w:rStyle w:val="FootnoteAnchor"/>
          <w:rtl w:val="true"/>
        </w:rPr>
        <w:footnoteReference w:id="1156"/>
      </w:r>
      <w:r>
        <w:rPr>
          <w:rFonts w:ascii="IRNazanin" w:hAnsi="IRNazanin" w:eastAsia="IRNazanin"/>
          <w:color w:val="111111"/>
          <w:sz w:val="28"/>
          <w:sz w:val="28"/>
          <w:szCs w:val="28"/>
          <w:rtl w:val="true"/>
          <w:lang w:bidi="fa-IR"/>
        </w:rPr>
        <w:t>فإنّه قد خلط بین درک العقل،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المقدّس لیس صاحب الغرض و المصالح و المفاسد الراجعة إلی شخصه، فإنّه کفر، بل کلّ هذه الامور ترجع إلی مصالح المجتمع و مفاسده، و مصالح الدیانة الإسلامیّة و المسلمین دنیا و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یقوی فی النظر أنّ السهولة و التسامح و اللاحرجیّة و اللاضیقیّة ممّا روعیت فی ضرب الحکم و جعل التحریم و الإیجاب، فکیف یعقل عند ذلک کشف الغرض و المقصود الإلزامیّ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الشکّ فی توجیه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الحقیقة شکّ فی تمامیّة البیان و الحجّة، فالعقاب علیه بلا بیان بالضرورة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یکشف بالأمر و النهی شی‌ء، و إنّما هما منجّزان عند الإصابة، و معذّران عند الخطأ کالطرق، فهو ممنوع عند العقلاء، و یعدّون التوهّم</w:t>
      </w:r>
      <w:bookmarkStart w:id="890" w:name="pg13173_325129"/>
    </w:p>
    <w:p>
      <w:pPr>
        <w:pStyle w:val="BookText"/>
        <w:rPr/>
      </w:pPr>
      <w:bookmarkEnd w:id="890"/>
      <w:r>
        <w:rPr>
          <w:rFonts w:ascii="IRNazanin" w:hAnsi="IRNazanin" w:eastAsia="IRNazanin"/>
          <w:color w:val="111111"/>
          <w:sz w:val="28"/>
          <w:sz w:val="28"/>
          <w:szCs w:val="28"/>
          <w:rtl w:val="true"/>
          <w:lang w:bidi="fa-IR"/>
        </w:rPr>
        <w:t>المذکور فی حد التوسوس فی أمر الدین، بعد کون بناء المذهب علی المصالح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عدم جواز الإفتاء علی طبق الأمر و النهی، و عدم جواز إسناد مفادهما إلیه تعالی، و هو خلاف دیدنهم، کما مرّ فی باب الأوامر و النواهی تفصیله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لیس النهی و الأمر سواء کانا فی الکتاب أو السنّة، کاشفین عقلیّین، إلّا أنّهما کاشفان عقلائیّان، و هو کاف للتنجیز و التعذیر فی المقام</w:t>
      </w:r>
      <w:r>
        <w:rPr>
          <w:rFonts w:eastAsia="IRNazanin" w:cs="IRNazanin"/>
          <w:color w:val="111111"/>
          <w:sz w:val="28"/>
          <w:szCs w:val="28"/>
          <w:rtl w:val="true"/>
          <w:lang w:bidi="fa-IR"/>
        </w:rPr>
        <w:t>.</w:t>
      </w:r>
    </w:p>
    <w:p>
      <w:pPr>
        <w:pStyle w:val="Heading6"/>
        <w:numPr>
          <w:ilvl w:val="5"/>
          <w:numId w:val="1"/>
        </w:numPr>
        <w:rPr/>
      </w:pPr>
      <w:bookmarkStart w:id="891" w:name="__RefHeading___Toc735319_3244359995"/>
      <w:bookmarkStart w:id="892" w:name="_Toc334"/>
      <w:bookmarkEnd w:id="891"/>
      <w:r>
        <w:rPr>
          <w:rtl w:val="true"/>
        </w:rPr>
        <w:t>بقی شی‌ء</w:t>
      </w:r>
      <w:r>
        <w:rPr>
          <w:rtl w:val="true"/>
        </w:rPr>
        <w:t xml:space="preserve">: </w:t>
      </w:r>
      <w:r>
        <w:rPr>
          <w:rtl w:val="true"/>
        </w:rPr>
        <w:t>فی التمسّک بعمومات الأدلّة و إطلاقاتها لرفع الشکّ فی المسألة الاصولیّة</w:t>
      </w:r>
      <w:bookmarkEnd w:id="892"/>
    </w:p>
    <w:p>
      <w:pPr>
        <w:pStyle w:val="BookText"/>
        <w:rPr/>
      </w:pPr>
      <w:r>
        <w:rPr>
          <w:rFonts w:ascii="IRNazanin" w:hAnsi="IRNazanin" w:eastAsia="IRNazanin"/>
          <w:color w:val="111111"/>
          <w:sz w:val="28"/>
          <w:sz w:val="28"/>
          <w:szCs w:val="28"/>
          <w:rtl w:val="true"/>
          <w:lang w:bidi="fa-IR"/>
        </w:rPr>
        <w:t>و هو أنّ الشکّ المذکور یرجع إلی الشکّ فی شرطیّة القدرة و قیدیّتها للموضوع، أو متعلّق المتعلّق، و هکذا إلی مانعیّة العجز مثلا، أو شرطیّة عدم الخروج عن محلّ الابتلاء، و کلّ ذلک لا یزید علی الشکّ فی دخالة القید أو الشرط الآخر فی سائر المقامات، فکما یتمسّک بإطلاقات الأدلّة و عموماتها لرفعه،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الفرق بین مسألتنا هذه و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سائر الموارد، لا یکون الشکّ فی دخالة ما یمکن و یعقل ثبوت العموم و الإطلاق بالنسبة إلیه، و فی المقام یکون الشکّ فی معقولیّة التکلیف فی مورد العجز العقلیّ أو العادیّ، و لازمه الشکّ فی ثبوت الإطلاق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لا یکون فارقا؛ لأنّ الإطلاق الاستعمالیّ فی الفرضین متحقّق، و قضیّة أصالة الجدّ و التطابق ثبوت الإطلاق و العموم الجدّی، و الإطلاق و العموم الجدّی فی الفرضین، غیر ثابت و غیر محرز إلّا من هذا الطریق، فما أشبه مسألتنا هذه بما مرّ</w:t>
      </w:r>
    </w:p>
    <w:p>
      <w:pPr>
        <w:pStyle w:val="BookText"/>
        <w:rPr/>
      </w:pPr>
      <w:r>
        <w:rPr>
          <w:rFonts w:ascii="IRNazanin" w:hAnsi="IRNazanin" w:eastAsia="IRNazanin"/>
          <w:color w:val="111111"/>
          <w:sz w:val="28"/>
          <w:sz w:val="28"/>
          <w:szCs w:val="28"/>
          <w:rtl w:val="true"/>
          <w:lang w:bidi="fa-IR"/>
        </w:rPr>
        <w:t>فی مسألة إمکان التعبّد بالظنون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یعتبر إحراز الإمکان الذاتیّ للأخذ بالأدلّة الواردة فی التعبّد بالظنّ و الطرق، بل یکفی عدم إحراز الامتناع الذاتیّ لعدم جواز طرح تلک الأدلّة، و ربّما یستکشف بتلک الأدلّة الإمکان الذاتیّ، کما تحرّر فی محلّه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لا یعتبر إمکان ترشّح جعل التکلیف جدّا فی مورد العجز، حتّی یتمسّک بالعموم و الإطلاق، بل یکفی عدم ثبوت الامتناع، و نتیجة ذلک وجوب الأخذ بالعموم و الإطلاق؛ و تنجّز التکلیف فی موارد کون بعض الأطراف متعذّرا عقلا أو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الاستهجان و القبح لا یمنع عن صحّة 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المفروض أنّ الدلیل قائم علی أنّ کل خمر حرام علی کلّ أحد؛ فی کلّ حال و زمان و مکان، و هذا العامّ حجّة بعد جریان أصالة الجدّ، فربّما یستکشف به عرفا معقولیّته، و یترتّب علیه الأثر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مجرّد الشکّ فی المعقولیّة مانعا عن التمسّک، للزم ذلک فی جمیع الموارد، و هذا غلط؛ لأنّه یرجع إلی الشکّ فی ورود المخصّص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المخصّص هنا علی فرض الامتناع الثبوتیّ هو العقل، و یجوز أیضا أن یکون للشرع إرشادا، و هذا أیضا لا یوجب قصور العموم و الإطلاق، و لا أظنّ التزام العلّامة الخراسانیّ رحمه اللّه </w:t>
      </w:r>
      <w:r>
        <w:rPr>
          <w:rStyle w:val="FootnoteAnchor"/>
          <w:rtl w:val="true"/>
        </w:rPr>
        <w:footnoteReference w:id="1160"/>
      </w:r>
      <w:r>
        <w:rPr>
          <w:rFonts w:ascii="IRNazanin" w:hAnsi="IRNazanin" w:eastAsia="IRNazanin"/>
          <w:color w:val="111111"/>
          <w:sz w:val="28"/>
          <w:sz w:val="28"/>
          <w:szCs w:val="28"/>
          <w:rtl w:val="true"/>
          <w:lang w:bidi="fa-IR"/>
        </w:rPr>
        <w:t xml:space="preserve">و من تبعه </w:t>
      </w:r>
      <w:r>
        <w:rPr>
          <w:rStyle w:val="FootnoteAnchor"/>
          <w:rtl w:val="true"/>
        </w:rPr>
        <w:footnoteReference w:id="1161"/>
      </w:r>
      <w:r>
        <w:rPr>
          <w:rFonts w:ascii="IRNazanin" w:hAnsi="IRNazanin" w:eastAsia="IRNazanin"/>
          <w:color w:val="111111"/>
          <w:sz w:val="28"/>
          <w:sz w:val="28"/>
          <w:szCs w:val="28"/>
          <w:rtl w:val="true"/>
          <w:lang w:bidi="fa-IR"/>
        </w:rPr>
        <w:t>فی الإشکال علی الصورة الثالثة به فی هذه الصورة، کما لا یخفی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یتمسّک بعموم لزوم الوفاء بالعقود لصحّة العقود</w:t>
      </w:r>
      <w:bookmarkStart w:id="893" w:name="pg13173_325131"/>
    </w:p>
    <w:p>
      <w:pPr>
        <w:pStyle w:val="BookText"/>
        <w:rPr/>
      </w:pPr>
      <w:bookmarkEnd w:id="893"/>
      <w:r>
        <w:rPr>
          <w:rFonts w:ascii="IRNazanin" w:hAnsi="IRNazanin" w:eastAsia="IRNazanin"/>
          <w:color w:val="111111"/>
          <w:sz w:val="28"/>
          <w:sz w:val="28"/>
          <w:szCs w:val="28"/>
          <w:rtl w:val="true"/>
          <w:lang w:bidi="fa-IR"/>
        </w:rPr>
        <w:t>المتقدّمة اعتبارا علی اللزوم؛ لقاعدة الملازمة، کذلک هنا یتمسّک حسب الصناعة، و إذا کان مقتضی العموم تنجّز التکلیف، فلازمه الإمکان الذاتیّ المتقدّم رتبة علی الجعل و الإیجاب أو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المناقشة علی هذا التقریب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تأتی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هنا من قبیل الشکّ فی الشبهة الموضوعیّة؛ لأجل أنّه شکّ فی حصول الخطاب بالنسبة إلی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یتوجّه فی مورد الشکّ فی اعتبار إیمان الرقبة؛ لأنّه یرجع الشکّ إلی الشکّ فی الخطاب بالنسبة إلی من لا یقدر علی العبد المؤمن، لأنّه لعدم قدرته إلّا علی العبد الکافر یشکّ فی توجیه الخطاب إلیه، و لا شبهة فی تمسّکهم بالإطلاق و العموم بعد کون موضوع الخطاب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اعتقوا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اعتبار إیمانها یتمسّک به، و لا یجوز الاعتذار بالوجه المذکور، أو بالانصراف و نحوه، أو بقصور بناء العقلاء علی إجراء أصالة التطابق بین الإرادتین الاستعمالیّة و الجدّیة</w:t>
      </w:r>
      <w:r>
        <w:rPr>
          <w:rFonts w:eastAsia="IRNazanin" w:cs="IRNazanin"/>
          <w:color w:val="111111"/>
          <w:sz w:val="28"/>
          <w:szCs w:val="28"/>
          <w:rtl w:val="true"/>
          <w:lang w:bidi="fa-IR"/>
        </w:rPr>
        <w:t>.</w:t>
      </w:r>
    </w:p>
    <w:p>
      <w:pPr>
        <w:pStyle w:val="Heading6"/>
        <w:numPr>
          <w:ilvl w:val="5"/>
          <w:numId w:val="1"/>
        </w:numPr>
        <w:rPr/>
      </w:pPr>
      <w:bookmarkStart w:id="894" w:name="__RefHeading___Toc735321_3244359995"/>
      <w:bookmarkStart w:id="895" w:name="_Toc335"/>
      <w:bookmarkEnd w:id="894"/>
      <w:r>
        <w:rPr>
          <w:rtl w:val="true"/>
        </w:rPr>
        <w:t>بقی شی‌ء آخر</w:t>
      </w:r>
      <w:r>
        <w:rPr>
          <w:rtl w:val="true"/>
        </w:rPr>
        <w:t xml:space="preserve">: </w:t>
      </w:r>
      <w:r>
        <w:rPr>
          <w:rtl w:val="true"/>
        </w:rPr>
        <w:t>فی التمسّک بحدیث البراءة لرفع الشکّ المذکور</w:t>
      </w:r>
      <w:bookmarkEnd w:id="895"/>
    </w:p>
    <w:p>
      <w:pPr>
        <w:pStyle w:val="BookText"/>
        <w:rPr/>
      </w:pPr>
      <w:r>
        <w:rPr>
          <w:rFonts w:ascii="IRNazanin" w:hAnsi="IRNazanin" w:eastAsia="IRNazanin"/>
          <w:color w:val="111111"/>
          <w:sz w:val="28"/>
          <w:sz w:val="28"/>
          <w:szCs w:val="28"/>
          <w:rtl w:val="true"/>
          <w:lang w:bidi="fa-IR"/>
        </w:rPr>
        <w:t>لو لم یکن فی موارد الشکّ المذکور إطلاق أو عموم، فهل یصحّ الرجوع إلی أدلّة البراءة و حدیث الرفع، أم لا؟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لا معنی للرفع إلّا فی موارد إمکان الوضع، و الشکّ المذکور یرجع إلی الشکّ فی إمکان الوضع، فلا یصلح للمرجعیّة حدیث الرفع و غیره و لو کانت الشبهة حکمیّة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البیان المزبور فی التمسّک بالإطلاق و العموم الثابتین للأدلّة المتکفّلة</w:t>
      </w:r>
      <w:bookmarkStart w:id="896" w:name="pg13173_325132"/>
    </w:p>
    <w:p>
      <w:pPr>
        <w:pStyle w:val="BookText"/>
        <w:rPr/>
      </w:pPr>
      <w:bookmarkEnd w:id="896"/>
      <w:r>
        <w:rPr>
          <w:rFonts w:ascii="IRNazanin" w:hAnsi="IRNazanin" w:eastAsia="IRNazanin"/>
          <w:color w:val="111111"/>
          <w:sz w:val="28"/>
          <w:sz w:val="28"/>
          <w:szCs w:val="28"/>
          <w:rtl w:val="true"/>
          <w:lang w:bidi="fa-IR"/>
        </w:rPr>
        <w:t>للأحکام الواقعیّة، یجری هنا أیضا؛ ضرورة أنّ شرطیّة القدرة و قیدیّتها، مجهولة بالضرورة بحسب اللغة و الاستعمال، فیشملها الحدیث بحسب هذه الإرادة الاستعمالیّة، فیتمّ المطلوب، إلّا فی موارد ثبوت امتناع الوضع، فإنّه لا معنی للرفع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علم إجمالا بخمریّة ما فی الإناء بین یدیه، و ما هو المعجوز علیه عجزا عقلیّا، أو عرفیّا و عادیّا،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الإطلاق المذکور واقعیّا کان أو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جزافیّة العقاب؛ لتمامیّة البیان علی تقدیر الإصابة فی الطرف المقدور و تصحّ العقوبة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إشکال المثبتیّة لا یختصّ بالمقام، کما لا یخفی علی ذوی الأفهام</w:t>
      </w:r>
      <w:r>
        <w:rPr>
          <w:rFonts w:eastAsia="IRNazanin" w:cs="IRNazanin"/>
          <w:color w:val="111111"/>
          <w:sz w:val="28"/>
          <w:szCs w:val="28"/>
          <w:rtl w:val="true"/>
          <w:lang w:bidi="fa-IR"/>
        </w:rPr>
        <w:t>.</w:t>
      </w:r>
    </w:p>
    <w:p>
      <w:pPr>
        <w:pStyle w:val="Heading6"/>
        <w:numPr>
          <w:ilvl w:val="5"/>
          <w:numId w:val="1"/>
        </w:numPr>
        <w:rPr/>
      </w:pPr>
      <w:bookmarkStart w:id="897" w:name="__RefHeading___Toc735323_3244359995"/>
      <w:bookmarkStart w:id="898" w:name="_Toc336"/>
      <w:bookmarkEnd w:id="897"/>
      <w:r>
        <w:rPr>
          <w:rtl w:val="true"/>
        </w:rPr>
        <w:t>الصورة الثالثة</w:t>
      </w:r>
      <w:r>
        <w:rPr>
          <w:rtl w:val="true"/>
        </w:rPr>
        <w:t>:</w:t>
      </w:r>
      <w:bookmarkEnd w:id="898"/>
    </w:p>
    <w:p>
      <w:pPr>
        <w:pStyle w:val="Heading6"/>
        <w:numPr>
          <w:ilvl w:val="5"/>
          <w:numId w:val="1"/>
        </w:numPr>
        <w:rPr/>
      </w:pPr>
      <w:bookmarkStart w:id="899" w:name="__RefHeading___Toc735325_3244359995"/>
      <w:bookmarkStart w:id="900" w:name="_Toc337"/>
      <w:bookmarkEnd w:id="899"/>
      <w:r>
        <w:rPr>
          <w:rtl w:val="true"/>
        </w:rPr>
        <w:t>اشارة</w:t>
      </w:r>
      <w:bookmarkEnd w:id="900"/>
    </w:p>
    <w:p>
      <w:pPr>
        <w:pStyle w:val="BookText"/>
        <w:rPr/>
      </w:pPr>
      <w:r>
        <w:rPr>
          <w:rFonts w:ascii="IRNazanin" w:hAnsi="IRNazanin" w:eastAsia="IRNazanin"/>
          <w:color w:val="111111"/>
          <w:sz w:val="28"/>
          <w:sz w:val="28"/>
          <w:szCs w:val="28"/>
          <w:rtl w:val="true"/>
          <w:lang w:bidi="fa-IR"/>
        </w:rPr>
        <w:t>و هی المورد المذکور فی کلامهم، و مصبّ النفی و الإثبات، و قد ذهب الشیخ فیها إلی الاحتیاط؛ لجواز مرجعیّة العموم و الإطلاق بعد کون المخصّص مجملا، و لا سیّما لبّا</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إلی عدم مرجعیّتهما؛ ضرورة أنّ مرحلة الإثبات فرع إمکان الثبوت </w:t>
      </w:r>
      <w:r>
        <w:rPr>
          <w:rStyle w:val="FootnoteAnchor"/>
          <w:rtl w:val="true"/>
        </w:rPr>
        <w:footnoteReference w:id="1163"/>
      </w:r>
      <w:r>
        <w:rPr>
          <w:rFonts w:ascii="IRNazanin" w:hAnsi="IRNazanin" w:eastAsia="IRNazanin"/>
          <w:color w:val="111111"/>
          <w:sz w:val="28"/>
          <w:sz w:val="28"/>
          <w:szCs w:val="28"/>
          <w:rtl w:val="true"/>
          <w:lang w:bidi="fa-IR"/>
        </w:rPr>
        <w:t xml:space="preserve">، و هو هنا محلّ خفاء حسب الفرض؛ لابتلاء المکلّف بمفهوم مجمل،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المقدور غیر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حیث لا یمکن فی موارد الخروج جعل الحکم ثبوتا، یشکل و یمتنع جعله هنا إثباتا،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التفصیل بین الدلیل الوارد، فإن کان عامّا فالاشتغال، و إن کان مطلقا فالبراءة، کما یأتی وجهه إن شاء اللّه تعالی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عمّا سلف من سقوط بحوث الشکّ علی مسلک بدیع تحرّر</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و ما یکون وجها للاشتغال بعض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من الشکّ فی القدرة، و قضیّة الصناعة هو الاحتیاط</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و علیه بناء الأصحاب رحمهم اللّه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القدرة لا یعقل إلّا ملازما للشکّ فی التکلیف؛ بعد کون القدرة قیدا، و العجز مانعا، أو التکلیف فی مورده مستهجنا، أو غیر ذلک و لا معنی لإیجاب الاحتیاط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القدرة، مورده ما إذا تردّد المکلّف بین أنّه قادر أو مقصّر، فإنّه عندئذ یجب الاحتیاط، واضح الفساد؛ لأنّه إذا کان مقصّرا فهو أیضا قادر، فالقضیّة الترددیّة المذکورة رجعت إلی العلم بالقدرة بلا الوسط، أو مع الوسط الذی یرجع إلی الأوّل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القدرة لا یوجب الاحتیاط إلّا علی مسلک 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قلنا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الأمر أیضا، فلیتدبّر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موارد الشکّ فی القدرة یجوز أحیانا التمسّک بالعمومات و غیرها لکشف حال الفرد؛ نظرا إلی لبیّة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کون نفس الشکّ فی القدرة</w:t>
      </w:r>
    </w:p>
    <w:p>
      <w:pPr>
        <w:pStyle w:val="BookText"/>
        <w:rPr/>
      </w:pPr>
      <w:r>
        <w:rPr>
          <w:rFonts w:ascii="IRNazanin" w:hAnsi="IRNazanin" w:eastAsia="IRNazanin"/>
          <w:color w:val="111111"/>
          <w:sz w:val="28"/>
          <w:sz w:val="28"/>
          <w:szCs w:val="28"/>
          <w:rtl w:val="true"/>
          <w:lang w:bidi="fa-IR"/>
        </w:rPr>
        <w:t>موضوع الاحتیاط، فلا تخلط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الإطلاقات و العمومات فی موارد الشکّ فی الابتلاء مفهوما، هو الاحتیاط؛ لما تحرّر من التمسّک بهما فی الشبهة المصداقیّة الناشئة عن إجمال الدلیل، و لا سیّما فی المخصّص اللبّی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یتوجّه إلیه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ضرورة أنّ شمول العموم لفظیا، یکفی لجریان تطابق الجدّ و الاستعمال، و لا یعتبر إحراز الإمکان کما تحرّر</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یکشف به ذلک کشفا عرفیّا، کما یکشف بأدلّة التعبّد بالظنّ إمکان التعبّد به علی الوجه المحرّر فی محلّه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کلامه بما فی کلام العلّامة الأراکی رحمه اللّه </w:t>
      </w:r>
      <w:r>
        <w:rPr>
          <w:rStyle w:val="FootnoteAnchor"/>
          <w:rtl w:val="true"/>
        </w:rPr>
        <w:footnoteReference w:id="1172"/>
      </w:r>
      <w:r>
        <w:rPr>
          <w:rFonts w:ascii="IRNazanin" w:hAnsi="IRNazanin" w:eastAsia="IRNazanin"/>
          <w:color w:val="111111"/>
          <w:sz w:val="28"/>
          <w:sz w:val="28"/>
          <w:szCs w:val="28"/>
          <w:rtl w:val="true"/>
          <w:lang w:bidi="fa-IR"/>
        </w:rPr>
        <w:t>توجیه أسوأ، و من شاء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یتوجّه أیضا إلیه ما فی حاشیة العلّامة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مرجعیّة الإطلاقات إنّما هی بالنسبة إلی الشکّ فی قیدیّة ما هو من الانقسامات السابقة علی الخطاب، الأجنبیّة عنه و غیر الراجعة إلیه، و ما هو من الانقسامات اللاحقة لا تصلح للمرجعیّة، و حدیث الخروج عن محلّ الابتلاء من الثانی </w:t>
      </w:r>
      <w:r>
        <w:rPr>
          <w:rStyle w:val="FootnoteAnchor"/>
          <w:rtl w:val="true"/>
        </w:rPr>
        <w:footnoteReference w:id="1173"/>
      </w:r>
      <w:r>
        <w:rPr>
          <w:rFonts w:ascii="IRNazanin" w:hAnsi="IRNazanin" w:eastAsia="IRNazanin"/>
          <w:color w:val="111111"/>
          <w:sz w:val="28"/>
          <w:sz w:val="28"/>
          <w:szCs w:val="28"/>
          <w:rtl w:val="true"/>
          <w:lang w:bidi="fa-IR"/>
        </w:rPr>
        <w:t>، انتهی ملخصه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اعتبار من تعلّق الحکم بالموضوع، و لا یرجع إلی ذات الموضوع إلّا بمعناه الغلط کما تحرّر، فتکون جمیع القیود من الانقسامات اللاحقة، و باعتبار آخر کلّها من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هو مجرّد تخیّل و شعر فی کلمات</w:t>
      </w:r>
    </w:p>
    <w:p>
      <w:pPr>
        <w:pStyle w:val="BookText"/>
        <w:rPr/>
      </w:pPr>
      <w:r>
        <w:rPr>
          <w:rFonts w:ascii="IRNazanin" w:hAnsi="IRNazanin" w:eastAsia="IRNazanin"/>
          <w:color w:val="111111"/>
          <w:sz w:val="28"/>
          <w:sz w:val="28"/>
          <w:szCs w:val="28"/>
          <w:rtl w:val="true"/>
          <w:lang w:bidi="fa-IR"/>
        </w:rPr>
        <w:t xml:space="preserve">جمع </w:t>
      </w:r>
      <w:r>
        <w:rPr>
          <w:rStyle w:val="FootnoteAnchor"/>
          <w:rtl w:val="true"/>
        </w:rPr>
        <w:footnoteReference w:id="1174"/>
      </w:r>
      <w:r>
        <w:rPr>
          <w:rFonts w:ascii="IRNazanin" w:hAnsi="IRNazanin" w:eastAsia="IRNazanin"/>
          <w:color w:val="111111"/>
          <w:sz w:val="28"/>
          <w:sz w:val="28"/>
          <w:szCs w:val="28"/>
          <w:rtl w:val="true"/>
          <w:lang w:bidi="fa-IR"/>
        </w:rPr>
        <w:t xml:space="preserve">، و القوانین مرجع صالح لرفع جمیع الشکوک المتصوّرة، کما مرّ فی التعبّدی و التوصّلی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یتوجّه إلی بیان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التخصیصات اللبّیة المنفصلة من الغلط المغفول عنه عند الأعلام؛ و ذلک لأنّ اللبّیات إمّا عقلیّات، أو عرفیّات، أو إجماعیّات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الثالث، فهو بحکم المخصّص اللفظیّ؛ لأنّ حجّیة الإجماع لیست إلّا لکونه کاشفا عن السنّة أو الرأی، فلا معنی لعدّه من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من قبیل الأوّل و الثانی، فهو طبعا یکون من القرائن الحافّة المانعة عن انعقاد ظهور تصدیقیّ للکلام، فیکون متّصلا به، و عندئذ یسقط البحث المذکور، و لأجل ذلک لا یتمسّک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الشکّ فی حال الید؛ و أنّها أمینة، أو غاصبة، بعد کون انصرافها عن الغصب علی وجه یکون من القیود الحافّة به، و هکذا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انقسام الارتکازات إلی الواضحة الجلیّة، و ما هو کالواضح المختفی بدوا و المغفول عنه ابتداء، و علیه یکون الکلام منعقد الظهور، و یرجع إلیه عند الشکّ، کما هو کذلک فی الشبهات المصداقیّة اللفظیّة عندنا، فهو أفسد؛ لأنّ الابتلاء و القدرة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منها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 لأنّ العقل و العقلاء بعد الالتفات إلی حدود المدارک و المرتکزات، یتوجّهون إلی أنّه أمر سابق، فتکون الغفلة عنه کالغفلة عن الاستثناء</w:t>
      </w:r>
    </w:p>
    <w:p>
      <w:pPr>
        <w:pStyle w:val="BookText"/>
        <w:rPr/>
      </w:pPr>
      <w:r>
        <w:rPr>
          <w:rFonts w:ascii="IRNazanin" w:hAnsi="IRNazanin" w:eastAsia="IRNazanin"/>
          <w:color w:val="111111"/>
          <w:sz w:val="28"/>
          <w:sz w:val="28"/>
          <w:szCs w:val="28"/>
          <w:rtl w:val="true"/>
          <w:lang w:bidi="fa-IR"/>
        </w:rPr>
        <w:t xml:space="preserve">و المخصّص المتّصل اللفظیّ، و یلتفت إلی تضیّق الأمر إثباتا من الأوّل، و التفصیل فی العامّ و الخاصّ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بمثابة هذا الوهم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الخروج عن محلّ الابتلاء و لو کان متّصلا، یکون الإطلاق محکّما، کما فی تقریرات العلّامة النائینی رحمه اللّه لکونه ذا مراتب </w:t>
      </w:r>
      <w:r>
        <w:rPr>
          <w:rStyle w:val="FootnoteAnchor"/>
          <w:rtl w:val="true"/>
        </w:rPr>
        <w:footnoteReference w:id="1177"/>
      </w:r>
      <w:r>
        <w:rPr>
          <w:rFonts w:ascii="IRNazanin" w:hAnsi="IRNazanin" w:eastAsia="IRNazanin"/>
          <w:color w:val="111111"/>
          <w:sz w:val="28"/>
          <w:sz w:val="28"/>
          <w:szCs w:val="28"/>
          <w:rtl w:val="true"/>
          <w:lang w:bidi="fa-IR"/>
        </w:rPr>
        <w:t xml:space="preserve">، فإنّه مزلّة الأقدام، و قد ذکر بعضها جمع من الأعلام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أشد التصاقا بالإطلاق من الاستثناء، فکیف رحمه اللّه یرتضی بجواز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للفاضل الخلط بین الشکّ فی التخصیص، و بین الشکّ فی مفهوم المخصّص، فإنّه فی الأوّل لو ارید التخصیص یأتی الدلیل لإخراج الأفراد، و فی الثانی یأتی الدلیل لتوضیح حال مفهوم المخصّص سعة و ضیقا، فاغتنم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قطع النظر عمّا أوردناه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المواقف لا یمکن اطلاع العقلاء علی الجهة الجامعة الواضحة، و لو أمکن لهم ذلک لا یجوز إسناده إلی الشرع، کی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حرّم الخمر الداخلة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هی خارجة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ذلک بتاتا عقلا، و لا شرعا، عقلیّا کان اللبّ، أو عقلائیّا، فیکون التخصیص فردیّا، و الشکّ فی کلّ مورد شکّا فی التخصیص، فتأمّل</w:t>
      </w:r>
      <w:r>
        <w:rPr>
          <w:rFonts w:eastAsia="IRNazanin" w:cs="IRNazanin"/>
          <w:color w:val="111111"/>
          <w:sz w:val="28"/>
          <w:szCs w:val="28"/>
          <w:rtl w:val="true"/>
          <w:lang w:bidi="fa-IR"/>
        </w:rPr>
        <w:t>.</w:t>
      </w:r>
      <w:bookmarkStart w:id="901" w:name="pg13173_325137"/>
    </w:p>
    <w:p>
      <w:pPr>
        <w:pStyle w:val="Heading6"/>
        <w:numPr>
          <w:ilvl w:val="5"/>
          <w:numId w:val="1"/>
        </w:numPr>
        <w:rPr/>
      </w:pPr>
      <w:bookmarkStart w:id="902" w:name="__RefHeading___Toc735327_3244359995"/>
      <w:bookmarkStart w:id="903" w:name="_Toc338"/>
      <w:bookmarkEnd w:id="901"/>
      <w:bookmarkEnd w:id="902"/>
      <w:r>
        <w:rPr>
          <w:rtl w:val="true"/>
        </w:rPr>
        <w:t>تذنیب</w:t>
      </w:r>
      <w:bookmarkEnd w:id="903"/>
    </w:p>
    <w:p>
      <w:pPr>
        <w:pStyle w:val="BookText"/>
        <w:rPr/>
      </w:pPr>
      <w:r>
        <w:rPr>
          <w:rFonts w:ascii="IRNazanin" w:hAnsi="IRNazanin" w:eastAsia="IRNazanin"/>
          <w:color w:val="111111"/>
          <w:sz w:val="28"/>
          <w:sz w:val="28"/>
          <w:szCs w:val="28"/>
          <w:rtl w:val="true"/>
          <w:lang w:bidi="fa-IR"/>
        </w:rPr>
        <w:t>ربّما یتخیّل فی محلّه التفصیل بین بابی الإطلاق و العموم؛ و أنّه فی الأوّل لا یجوز التمسّک علی الإطلاق فی جمیع المواضع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هو مصبّ کلامهم هو الثانی، و إلّا فالأوّل مفروغ عنه، و لذلک ذکروا مباحث التمسّک بالعامّ فی الشبهات المصداقیّة علی سعتها فی باب العموم دون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ربّما یستظهر بل هو صریح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الأراکی قدّس سرّه فلیراجع </w:t>
      </w:r>
      <w:r>
        <w:rPr>
          <w:rStyle w:val="FootnoteAnchor"/>
          <w:rtl w:val="true"/>
        </w:rPr>
        <w:footnoteReference w:id="1179"/>
      </w:r>
      <w:r>
        <w:rPr>
          <w:rFonts w:ascii="IRNazanin" w:hAnsi="IRNazanin" w:eastAsia="IRNazanin"/>
          <w:color w:val="111111"/>
          <w:sz w:val="28"/>
          <w:sz w:val="28"/>
          <w:szCs w:val="28"/>
          <w:rtl w:val="true"/>
          <w:lang w:bidi="fa-IR"/>
        </w:rPr>
        <w:t>، و النتیجة هنا هی التفصیل علی اختلاف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عندی عدم الفرق بین البابین، کما حقّقناه فی محلّه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735329_3244359995"/>
      <w:bookmarkStart w:id="905" w:name="_Toc339"/>
      <w:bookmarkEnd w:id="904"/>
      <w:r>
        <w:rPr>
          <w:rtl w:val="true"/>
        </w:rPr>
        <w:t>الصورة الرابعة</w:t>
      </w:r>
      <w:r>
        <w:rPr>
          <w:rtl w:val="true"/>
        </w:rPr>
        <w:t>:</w:t>
      </w:r>
      <w:bookmarkEnd w:id="905"/>
    </w:p>
    <w:p>
      <w:pPr>
        <w:pStyle w:val="BookText"/>
        <w:rPr/>
      </w:pPr>
      <w:r>
        <w:rPr>
          <w:rFonts w:ascii="IRNazanin" w:hAnsi="IRNazanin" w:eastAsia="IRNazanin"/>
          <w:color w:val="111111"/>
          <w:sz w:val="28"/>
          <w:sz w:val="28"/>
          <w:szCs w:val="28"/>
          <w:rtl w:val="true"/>
          <w:lang w:bidi="fa-IR"/>
        </w:rPr>
        <w:t>مورد الشکّ فی الشبهة المصداقیّة، دون الصدقیّة المفهومیّة، و حکمها یعلم ممّا مرّ</w:t>
      </w:r>
      <w:r>
        <w:rPr>
          <w:rFonts w:eastAsia="IRNazanin" w:cs="IRNazanin"/>
          <w:color w:val="111111"/>
          <w:sz w:val="28"/>
          <w:szCs w:val="28"/>
          <w:rtl w:val="true"/>
          <w:lang w:bidi="fa-IR"/>
        </w:rPr>
        <w:t>.</w:t>
      </w:r>
    </w:p>
    <w:p>
      <w:pPr>
        <w:pStyle w:val="Heading6"/>
        <w:numPr>
          <w:ilvl w:val="5"/>
          <w:numId w:val="1"/>
        </w:numPr>
        <w:rPr/>
      </w:pPr>
      <w:bookmarkStart w:id="906" w:name="__RefHeading___Toc735331_3244359995"/>
      <w:bookmarkStart w:id="907" w:name="_Toc340"/>
      <w:bookmarkEnd w:id="906"/>
      <w:r>
        <w:rPr>
          <w:rtl w:val="true"/>
        </w:rPr>
        <w:t>و أمّا الصورة الخامسة</w:t>
      </w:r>
      <w:r>
        <w:rPr>
          <w:rtl w:val="true"/>
        </w:rPr>
        <w:t>:</w:t>
      </w:r>
      <w:bookmarkEnd w:id="907"/>
    </w:p>
    <w:p>
      <w:pPr>
        <w:pStyle w:val="BookText"/>
        <w:rPr/>
      </w:pPr>
      <w:r>
        <w:rPr>
          <w:rFonts w:ascii="IRNazanin" w:hAnsi="IRNazanin" w:eastAsia="IRNazanin"/>
          <w:color w:val="111111"/>
          <w:sz w:val="28"/>
          <w:sz w:val="28"/>
          <w:szCs w:val="28"/>
          <w:rtl w:val="true"/>
          <w:lang w:bidi="fa-IR"/>
        </w:rPr>
        <w:t>و هی ما کان خارجا فدخل، فهی واضحة لا کلام حولها</w:t>
      </w:r>
      <w:r>
        <w:rPr>
          <w:rFonts w:eastAsia="IRNazanin" w:cs="IRNazanin"/>
          <w:color w:val="111111"/>
          <w:sz w:val="28"/>
          <w:szCs w:val="28"/>
          <w:rtl w:val="true"/>
          <w:lang w:bidi="fa-IR"/>
        </w:rPr>
        <w:t>.</w:t>
      </w:r>
    </w:p>
    <w:p>
      <w:pPr>
        <w:pStyle w:val="Heading6"/>
        <w:numPr>
          <w:ilvl w:val="5"/>
          <w:numId w:val="1"/>
        </w:numPr>
        <w:rPr/>
      </w:pPr>
      <w:bookmarkStart w:id="908" w:name="__RefHeading___Toc735333_3244359995"/>
      <w:bookmarkStart w:id="909" w:name="_Toc341"/>
      <w:bookmarkEnd w:id="908"/>
      <w:r>
        <w:rPr>
          <w:rtl w:val="true"/>
        </w:rPr>
        <w:t>نعم، الصورة السادسة</w:t>
      </w:r>
      <w:r>
        <w:rPr>
          <w:rtl w:val="true"/>
        </w:rPr>
        <w:t>:</w:t>
      </w:r>
      <w:bookmarkEnd w:id="90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ما إذا کان داخلا فخرج، حکمها حکم تلف بعض الأطراف، و قد مرّ إجمال الکلام حول خروج بعض الأطراف و أمثاله، و بیان بقاء الأثر و إن کان العلم غیر باق أو غیر واجد للشرائط بقاء</w:t>
      </w:r>
      <w:r>
        <w:rPr>
          <w:rStyle w:val="FootnoteAnchor"/>
          <w:rtl w:val="true"/>
        </w:rPr>
        <w:footnoteReference w:id="1181"/>
      </w:r>
      <w:r>
        <w:rPr>
          <w:rFonts w:ascii="IRNazanin" w:hAnsi="IRNazanin" w:eastAsia="IRNazanin"/>
          <w:color w:val="111111"/>
          <w:sz w:val="28"/>
          <w:sz w:val="28"/>
          <w:szCs w:val="28"/>
          <w:rtl w:val="true"/>
          <w:lang w:bidi="fa-IR"/>
        </w:rPr>
        <w:t>، و یأتی إن شاء اللّه</w:t>
      </w:r>
      <w:bookmarkStart w:id="910" w:name="pg13173_325138"/>
    </w:p>
    <w:p>
      <w:pPr>
        <w:pStyle w:val="BookText"/>
        <w:rPr/>
      </w:pPr>
      <w:bookmarkEnd w:id="910"/>
      <w:r>
        <w:rPr>
          <w:rFonts w:ascii="IRNazanin" w:hAnsi="IRNazanin" w:eastAsia="IRNazanin"/>
          <w:color w:val="111111"/>
          <w:sz w:val="28"/>
          <w:sz w:val="28"/>
          <w:szCs w:val="28"/>
          <w:rtl w:val="true"/>
          <w:lang w:bidi="fa-IR"/>
        </w:rPr>
        <w:t>تفصیله فی بعض المباحث و التنبیهات الآتیة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1" w:name="__RefHeading___Toc735335_3244359995"/>
      <w:bookmarkStart w:id="912" w:name="_Toc342"/>
      <w:bookmarkEnd w:id="911"/>
      <w:r>
        <w:rPr>
          <w:rtl w:val="true"/>
        </w:rPr>
        <w:t>ذنابة</w:t>
      </w:r>
      <w:r>
        <w:rPr>
          <w:rtl w:val="true"/>
        </w:rPr>
        <w:t xml:space="preserve">: </w:t>
      </w:r>
      <w:r>
        <w:rPr>
          <w:rtl w:val="true"/>
        </w:rPr>
        <w:t xml:space="preserve">فی بیان شبهة متوجّهة من ناحیة </w:t>
      </w:r>
      <w:r>
        <w:rPr>
          <w:rtl w:val="true"/>
        </w:rPr>
        <w:t>«</w:t>
      </w:r>
      <w:r>
        <w:rPr>
          <w:rtl w:val="true"/>
        </w:rPr>
        <w:t xml:space="preserve">رفع </w:t>
      </w:r>
      <w:r>
        <w:rPr>
          <w:rtl w:val="true"/>
        </w:rPr>
        <w:t xml:space="preserve">... </w:t>
      </w:r>
      <w:r>
        <w:rPr>
          <w:rtl w:val="true"/>
        </w:rPr>
        <w:t>ما لا یطیقون</w:t>
      </w:r>
      <w:r>
        <w:rPr>
          <w:rtl w:val="true"/>
        </w:rPr>
        <w:t>»</w:t>
      </w:r>
      <w:bookmarkEnd w:id="912"/>
    </w:p>
    <w:p>
      <w:pPr>
        <w:pStyle w:val="BookText"/>
        <w:rPr/>
      </w:pPr>
      <w:r>
        <w:rPr>
          <w:rFonts w:ascii="IRNazanin" w:hAnsi="IRNazanin" w:eastAsia="IRNazanin"/>
          <w:color w:val="111111"/>
          <w:sz w:val="28"/>
          <w:sz w:val="28"/>
          <w:szCs w:val="28"/>
          <w:rtl w:val="true"/>
          <w:lang w:bidi="fa-IR"/>
        </w:rPr>
        <w:t>بناء علی ما عرفت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التقیید لفظیّا، و تکون المسألة واردة فی واد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التمسّک عندنا، فیلزم الاشتغال، و عدم جوازه عند الآخرین إلّا من شذّ، و تکون موارد الشکّ من الشبهة المصداقیّة للعامّ و الموضوعیّة لدلیل الحاکم؛ بناء علی القول بالحکومة،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صحّة التکلیف فی موارد عدم الطاقة و القدرة العادیّة و العقلیّة، فیکون دلیلا علی جوازه و إمکانه، و کاشفا عن صحّة الخطابات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مسلک القوم لا أثر لهذه الفقرة؛ لأنّ الطاقة العادیّة و العرفیّة و العقلیّة عندهم، شرط الجعل من الأوّل، و عند فقدها لا جعل کی یرفع، و لیس المقام من قبیل ما قیل فی إیجاب الاحتیاط و التحفّظ بالنسبة إلی الفقرتین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النسیان،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وقعنا فی مشکلة؛ نظرا إلی ذهابنا إلی إمکان التکلیف الفعلیّ، و إلی جواز التمسّک فی الشبهة المصداقیّة بالعموم و الإطلاق</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من قبیل المخصّص الناظر إلی العامّ و المطلق الأوّلین، و قد مرّ فی العامّ و الخاصّ أنّه بحکم المتّصل فی المنع عن التمسّک، فلیتدبّر</w:t>
      </w:r>
      <w:r>
        <w:rPr>
          <w:rFonts w:eastAsia="IRNazanin" w:cs="IRNazanin"/>
          <w:color w:val="111111"/>
          <w:sz w:val="28"/>
          <w:szCs w:val="28"/>
          <w:rtl w:val="true"/>
          <w:lang w:bidi="fa-IR"/>
        </w:rPr>
        <w:t>.</w:t>
      </w:r>
      <w:bookmarkStart w:id="913" w:name="pg13173_325139"/>
    </w:p>
    <w:p>
      <w:pPr>
        <w:pStyle w:val="BookText"/>
        <w:rPr/>
      </w:pPr>
      <w:bookmarkEnd w:id="913"/>
      <w:r>
        <w:rPr>
          <w:rFonts w:ascii="IRNazanin" w:hAnsi="IRNazanin" w:eastAsia="IRNazanin"/>
          <w:color w:val="111111"/>
          <w:sz w:val="28"/>
          <w:sz w:val="28"/>
          <w:szCs w:val="28"/>
          <w:rtl w:val="true"/>
          <w:lang w:bidi="fa-IR"/>
        </w:rPr>
        <w:t>هذا فی الشبهة الوجوبیّة المقرونة بالعلم، دون التحریمیّة، و قد عرفت أنّ اعتبار عدم الخروج مخصوص بها</w:t>
      </w:r>
      <w:r>
        <w:rPr>
          <w:rStyle w:val="FootnoteAnchor"/>
          <w:rtl w:val="true"/>
        </w:rPr>
        <w:footnoteReference w:id="1183"/>
      </w:r>
      <w:r>
        <w:rPr>
          <w:rFonts w:ascii="IRNazanin" w:hAnsi="IRNazanin" w:eastAsia="IRNazanin"/>
          <w:color w:val="111111"/>
          <w:sz w:val="28"/>
          <w:sz w:val="28"/>
          <w:szCs w:val="28"/>
          <w:rtl w:val="true"/>
          <w:lang w:bidi="fa-IR"/>
        </w:rPr>
        <w:t>، لا الأعمّ علی القول بأصل الاعتبار، خلافا للتحقیق، فلا تغفل</w:t>
      </w:r>
      <w:r>
        <w:rPr>
          <w:rFonts w:eastAsia="IRNazanin" w:cs="IRNazanin"/>
          <w:color w:val="111111"/>
          <w:sz w:val="28"/>
          <w:szCs w:val="28"/>
          <w:rtl w:val="true"/>
          <w:lang w:bidi="fa-IR"/>
        </w:rPr>
        <w:t>.</w:t>
      </w:r>
    </w:p>
    <w:p>
      <w:pPr>
        <w:pStyle w:val="Heading6"/>
        <w:numPr>
          <w:ilvl w:val="5"/>
          <w:numId w:val="1"/>
        </w:numPr>
        <w:rPr/>
      </w:pPr>
      <w:bookmarkStart w:id="914" w:name="__RefHeading___Toc735337_3244359995"/>
      <w:bookmarkStart w:id="915" w:name="_Toc343"/>
      <w:bookmarkEnd w:id="914"/>
      <w:r>
        <w:rPr>
          <w:rtl w:val="true"/>
        </w:rPr>
        <w:t>تتمیم</w:t>
      </w:r>
      <w:r>
        <w:rPr>
          <w:rtl w:val="true"/>
        </w:rPr>
        <w:t xml:space="preserve">: </w:t>
      </w:r>
      <w:r>
        <w:rPr>
          <w:rtl w:val="true"/>
        </w:rPr>
        <w:t>حول عدم تأثیر العلم فی موارد الامتناع الشرعی</w:t>
      </w:r>
      <w:bookmarkEnd w:id="915"/>
    </w:p>
    <w:p>
      <w:pPr>
        <w:pStyle w:val="BookText"/>
        <w:rPr/>
      </w:pPr>
      <w:r>
        <w:rPr>
          <w:rFonts w:ascii="IRNazanin" w:hAnsi="IRNazanin" w:eastAsia="IRNazanin"/>
          <w:color w:val="111111"/>
          <w:sz w:val="28"/>
          <w:sz w:val="28"/>
          <w:szCs w:val="28"/>
          <w:rtl w:val="true"/>
          <w:lang w:bidi="fa-IR"/>
        </w:rPr>
        <w:t>ربّما یظهر من العلّامة النائینیّ هنا فی موارد الامتناع الشرعیّ و الممنوعیّة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یؤثّر العلم؛ لفقد الشرط، و هو العلم بالتکلیف و الأثر علی کلّ تقدیر، فإذا کان عنده ثوب غصبیّ، أو کان عنده ثوب أمانیّ و هکذا، و تقطّرت القطرة علیه أو علی ثوبه، فإنّه تجری القاعدة فی ثوبه؛ لممنوعیّته من التصرّف فی الثوب الأوّل علی الإطلاق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الأمر کما توهّم؛ ضرورة أنّه ربّما تکون الممنوعیّة ثابتة، إلّا أنّ الأثر یزداد بزیادة العلم، مثلا إذا علم بنجاسة أحد الماءین المغصوب أحدهما المعیّن دون الآخر، و بادر إلی شرب المغصوب، و صادف أنّه نجس، یعاقب مرّتین بالضرورة حسب الأصل الأوّلی لتنجّز التکلیف المذکور، مع أنّه ممنوع من التصرّف علی الإطلاق</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الممنوع شرعا لا یمنع ثانیا و المتنجّز لا یتنجّز، غیر مسموعة کما یأتی </w:t>
      </w:r>
      <w:r>
        <w:rPr>
          <w:rStyle w:val="FootnoteAnchor"/>
          <w:rtl w:val="true"/>
        </w:rPr>
        <w:footnoteReference w:id="1185"/>
      </w:r>
      <w:r>
        <w:rPr>
          <w:rFonts w:ascii="IRNazanin" w:hAnsi="IRNazanin" w:eastAsia="IRNazanin"/>
          <w:color w:val="111111"/>
          <w:sz w:val="28"/>
          <w:sz w:val="28"/>
          <w:szCs w:val="28"/>
          <w:rtl w:val="true"/>
          <w:lang w:bidi="fa-IR"/>
        </w:rPr>
        <w:t>، و لا سیّما فی صورة ازدیاد الأثر و تعدّد التکلیف، فإنّ التصرّف الممنوع بالنسبة إلی مال الغیر، یختلف مع ممنوعیّة التصرّف فی النجس فی الاعتبار</w:t>
      </w:r>
      <w:bookmarkStart w:id="916" w:name="pg13173_325140"/>
    </w:p>
    <w:p>
      <w:pPr>
        <w:pStyle w:val="BookText"/>
        <w:rPr/>
      </w:pPr>
      <w:bookmarkEnd w:id="916"/>
      <w:r>
        <w:rPr>
          <w:rFonts w:ascii="IRNazanin" w:hAnsi="IRNazanin" w:eastAsia="IRNazanin"/>
          <w:color w:val="111111"/>
          <w:sz w:val="28"/>
          <w:sz w:val="28"/>
          <w:szCs w:val="28"/>
          <w:rtl w:val="true"/>
          <w:lang w:bidi="fa-IR"/>
        </w:rPr>
        <w:t>و الحیثیّة،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الأکاذیب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الممنوع الشرعیّ کالممنوع العقلیّ</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تجری القاعدة حتّی فی الثوبین، و تکون النتیجة سقوطهما و الاحتیاط، و هذا کاف للثمرة فی الجریان؛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الاحتیاط معلول التساقط،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معلول العلم، و التساقط أیضا من 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ذهاب العلّامة النائینیّ رحمه اللّه فی بعض تقاریبه </w:t>
      </w:r>
      <w:r>
        <w:rPr>
          <w:rStyle w:val="FootnoteAnchor"/>
          <w:rtl w:val="true"/>
        </w:rPr>
        <w:footnoteReference w:id="1187"/>
      </w:r>
      <w:r>
        <w:rPr>
          <w:rFonts w:ascii="IRNazanin" w:hAnsi="IRNazanin" w:eastAsia="IRNazanin"/>
          <w:color w:val="111111"/>
          <w:sz w:val="28"/>
          <w:sz w:val="28"/>
          <w:szCs w:val="28"/>
          <w:rtl w:val="true"/>
          <w:lang w:bidi="fa-IR"/>
        </w:rPr>
        <w:t xml:space="preserve">و بعض تلامذته إلی أنّ التنجّز فرع تساقط الاصول فی الأطراف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فیما مضی وجه فساده عقلا و عرفا عقلائیّا</w:t>
      </w:r>
      <w:r>
        <w:rPr>
          <w:rFonts w:eastAsia="IRNazanin" w:cs="IRNazanin"/>
          <w:color w:val="111111"/>
          <w:sz w:val="28"/>
          <w:szCs w:val="28"/>
          <w:rtl w:val="true"/>
          <w:lang w:bidi="fa-IR"/>
        </w:rPr>
        <w:t>.</w:t>
      </w:r>
    </w:p>
    <w:p>
      <w:pPr>
        <w:pStyle w:val="Heading6"/>
        <w:numPr>
          <w:ilvl w:val="5"/>
          <w:numId w:val="1"/>
        </w:numPr>
        <w:rPr/>
      </w:pPr>
      <w:bookmarkStart w:id="917" w:name="__RefHeading___Toc735339_3244359995"/>
      <w:bookmarkStart w:id="918" w:name="_Toc344"/>
      <w:bookmarkEnd w:id="917"/>
      <w:r>
        <w:rPr>
          <w:rtl w:val="true"/>
        </w:rPr>
        <w:t>التنبیه التاسع فیما إذا اضطرّ إلی أحد الأطراف، و هکذا لو اکره علیه</w:t>
      </w:r>
      <w:bookmarkEnd w:id="918"/>
    </w:p>
    <w:p>
      <w:pPr>
        <w:pStyle w:val="Heading6"/>
        <w:numPr>
          <w:ilvl w:val="5"/>
          <w:numId w:val="1"/>
        </w:numPr>
        <w:rPr/>
      </w:pPr>
      <w:bookmarkStart w:id="919" w:name="__RefHeading___Toc735341_3244359995"/>
      <w:bookmarkStart w:id="920" w:name="_Toc345"/>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 xml:space="preserve">فإنّ توهّم أعمّیة الاضطرار هنا من الإکراه </w:t>
      </w:r>
      <w:r>
        <w:rPr>
          <w:rStyle w:val="FootnoteAnchor"/>
          <w:rtl w:val="true"/>
        </w:rPr>
        <w:footnoteReference w:id="1189"/>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علمت أنّه حسب الذوق لیس تنبیها، بل هو من موارد فقد الشرط مثلا المعتبر فی تأثیر العلم </w:t>
      </w:r>
      <w:r>
        <w:rPr>
          <w:rStyle w:val="FootnoteAnchor"/>
          <w:rtl w:val="true"/>
        </w:rPr>
        <w:footnoteReference w:id="1190"/>
      </w:r>
      <w:r>
        <w:rPr>
          <w:rFonts w:ascii="IRNazanin" w:hAnsi="IRNazanin" w:eastAsia="IRNazanin"/>
          <w:color w:val="111111"/>
          <w:sz w:val="28"/>
          <w:sz w:val="28"/>
          <w:szCs w:val="28"/>
          <w:rtl w:val="true"/>
          <w:lang w:bidi="fa-IR"/>
        </w:rPr>
        <w:t>، و علی کلّ، الأمر سهل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 حکم المسألة لا بأس بالإشارة إلی امور وجیزة</w:t>
      </w:r>
      <w:r>
        <w:rPr>
          <w:rFonts w:eastAsia="IRNazanin" w:cs="IRNazanin"/>
          <w:color w:val="111111"/>
          <w:sz w:val="28"/>
          <w:szCs w:val="28"/>
          <w:rtl w:val="true"/>
          <w:lang w:bidi="fa-IR"/>
        </w:rPr>
        <w:t>:</w:t>
      </w:r>
      <w:bookmarkStart w:id="921" w:name="pg13173_325141"/>
    </w:p>
    <w:p>
      <w:pPr>
        <w:pStyle w:val="Heading6"/>
        <w:numPr>
          <w:ilvl w:val="5"/>
          <w:numId w:val="1"/>
        </w:numPr>
        <w:rPr/>
      </w:pPr>
      <w:bookmarkStart w:id="922" w:name="__RefHeading___Toc735343_3244359995"/>
      <w:bookmarkStart w:id="923" w:name="_Toc346"/>
      <w:bookmarkEnd w:id="921"/>
      <w:bookmarkEnd w:id="922"/>
      <w:r>
        <w:rPr>
          <w:rtl w:val="true"/>
        </w:rPr>
        <w:t>الأمر الأوّل</w:t>
      </w:r>
      <w:r>
        <w:rPr>
          <w:rtl w:val="true"/>
        </w:rPr>
        <w:t xml:space="preserve">: </w:t>
      </w:r>
      <w:r>
        <w:rPr>
          <w:rtl w:val="true"/>
        </w:rPr>
        <w:t>فی صور الاضطرار</w:t>
      </w:r>
      <w:bookmarkEnd w:id="923"/>
    </w:p>
    <w:p>
      <w:pPr>
        <w:pStyle w:val="BookText"/>
        <w:rPr/>
      </w:pPr>
      <w:r>
        <w:rPr>
          <w:rFonts w:ascii="IRNazanin" w:hAnsi="IRNazanin" w:eastAsia="IRNazanin"/>
          <w:color w:val="111111"/>
          <w:sz w:val="28"/>
          <w:sz w:val="28"/>
          <w:szCs w:val="28"/>
          <w:rtl w:val="true"/>
          <w:lang w:bidi="fa-IR"/>
        </w:rPr>
        <w:t>قد تصوّروا صورا عدیدة؛ من تقدّم الاضطرار علی التکلیف و العلم به، و وقوعه بین التکلیف و العلم به، و تأخّره عنهما، و مقارنته لأحدهما،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یضطرّ إلی المعیّن، أو إلی غیر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الاضطرار فی الشبهات الوجوبیّة إلی الترک، فلا معنی صحیح له، 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المضطرّ إلیه حکما نفسیّا، أو شرطیّا و غیریا، کما إذا اضطرّ إلی لبس أحد الثوبین المعلوم نجاسة واحد منهما، فإنّه هل یجوز لبس الآخر فی الصلاة، أم لا، أو فیه تفصیل؟</w:t>
      </w:r>
    </w:p>
    <w:p>
      <w:p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تقدّم الاضطرار علی التکلیف تارة، و علی العلم به اخری </w:t>
      </w:r>
      <w:r>
        <w:rPr>
          <w:rStyle w:val="FootnoteAnchor"/>
          <w:rtl w:val="true"/>
        </w:rPr>
        <w:footnoteReference w:id="1192"/>
      </w:r>
      <w:r>
        <w:rPr>
          <w:rFonts w:ascii="IRNazanin" w:hAnsi="IRNazanin" w:eastAsia="IRNazanin"/>
          <w:color w:val="111111"/>
          <w:sz w:val="28"/>
          <w:sz w:val="28"/>
          <w:szCs w:val="28"/>
          <w:rtl w:val="true"/>
          <w:lang w:bidi="fa-IR"/>
        </w:rPr>
        <w:t>، لا یرجع إلی محصّل؛ لأنّ التکلیف بمعناه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الاجتناب عن النجس فی شرع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عن ملاقیه أیضا معلوم بنحو کلّی، و عن الملاقیات الموجودة فی محلّ الابتلاء أیضا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مرادهم من تقدّم الاضطرار علی التکلیف دون العلم، هذا العلم الکلّی، بل مقصودهم هو التکلیف الفعلیّ تارة، و المنجّز اخری، مع أنّ التکلیف الفعلیّ علی العناوین الکلّیة معلوم، و إذا بلغ الکلام إلی الخارج و المتشخّص المعلوم تعلّق النهی بالإناء الخاصّ، فلا یبقی وجه حینئذ لتقدّم الاضطرار علی التکلیف تارة، و علی العلم به اخری، أو وقوعه بین التکلیف و العلم به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للتقدّم و التأخّر الجزئیّین حسب حال المکلّف إلّا بلحاظ ما یطرأ علیه من العلم و الاضطرار، و أمّا التکلیف فهو محفوظ دائما علی</w:t>
      </w:r>
      <w:bookmarkStart w:id="924" w:name="pg13173_325142"/>
    </w:p>
    <w:p>
      <w:pPr>
        <w:pStyle w:val="BookText"/>
        <w:rPr/>
      </w:pPr>
      <w:bookmarkEnd w:id="924"/>
      <w:r>
        <w:rPr>
          <w:rFonts w:ascii="IRNazanin" w:hAnsi="IRNazanin" w:eastAsia="IRNazanin"/>
          <w:color w:val="111111"/>
          <w:sz w:val="28"/>
          <w:sz w:val="28"/>
          <w:szCs w:val="28"/>
          <w:rtl w:val="true"/>
          <w:lang w:bidi="fa-IR"/>
        </w:rPr>
        <w:t>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الملاقاة یمکن ذلک، و لکنّه لا ینفع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یسقط جملة من صور المسألة، و تصیر النتیجة أنّ الاضطرار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تنجیز التکلیف و العلم به،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التقسیم المذکور</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فی مقام ذکر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اشیر إلیه</w:t>
      </w:r>
      <w:r>
        <w:rPr>
          <w:rFonts w:eastAsia="IRNazanin" w:cs="IRNazanin"/>
          <w:color w:val="111111"/>
          <w:sz w:val="28"/>
          <w:szCs w:val="28"/>
          <w:rtl w:val="true"/>
          <w:lang w:bidi="fa-IR"/>
        </w:rPr>
        <w:t>.</w:t>
      </w:r>
    </w:p>
    <w:p>
      <w:pPr>
        <w:pStyle w:val="Heading6"/>
        <w:numPr>
          <w:ilvl w:val="5"/>
          <w:numId w:val="1"/>
        </w:numPr>
        <w:rPr/>
      </w:pPr>
      <w:bookmarkStart w:id="925" w:name="__RefHeading___Toc735345_3244359995"/>
      <w:bookmarkStart w:id="926" w:name="_Toc347"/>
      <w:bookmarkEnd w:id="925"/>
      <w:r>
        <w:rPr>
          <w:rtl w:val="true"/>
        </w:rPr>
        <w:t>الأمر الثانی</w:t>
      </w:r>
      <w:r>
        <w:rPr>
          <w:rtl w:val="true"/>
        </w:rPr>
        <w:t xml:space="preserve">: </w:t>
      </w:r>
      <w:r>
        <w:rPr>
          <w:rtl w:val="true"/>
        </w:rPr>
        <w:t>فی بیان الأقوال فی المسألة</w:t>
      </w:r>
      <w:bookmarkEnd w:id="926"/>
    </w:p>
    <w:p>
      <w:pPr>
        <w:pStyle w:val="BookText"/>
        <w:rPr/>
      </w:pPr>
      <w:r>
        <w:rPr>
          <w:rFonts w:ascii="IRNazanin" w:hAnsi="IRNazanin" w:eastAsia="IRNazanin"/>
          <w:color w:val="111111"/>
          <w:sz w:val="28"/>
          <w:sz w:val="28"/>
          <w:szCs w:val="28"/>
          <w:rtl w:val="true"/>
          <w:lang w:bidi="fa-IR"/>
        </w:rPr>
        <w:t>إنّ الأقوال فی المسألة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الشیخ رحمه اللّه إلی التنجیز فی الصور الأربع الرئیسة إلّا فی صورة تقدّم الاضطرار إلی المعیّن علی العلم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عدم التنجیز علی الإطلاق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فی الحاشیة إلی عدم التنجیز إلّا فی صورة تقدّم العلم علی الاضطرار إلی المعیّن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یأتی بعض الأقوال أو الاحتمالات الاخر فی المسألة، و الأمر سهل</w:t>
      </w:r>
      <w:r>
        <w:rPr>
          <w:rFonts w:eastAsia="IRNazanin" w:cs="IRNazanin"/>
          <w:color w:val="111111"/>
          <w:sz w:val="28"/>
          <w:szCs w:val="28"/>
          <w:rtl w:val="true"/>
          <w:lang w:bidi="fa-IR"/>
        </w:rPr>
        <w:t>.</w:t>
      </w:r>
    </w:p>
    <w:p>
      <w:pPr>
        <w:pStyle w:val="Heading6"/>
        <w:numPr>
          <w:ilvl w:val="5"/>
          <w:numId w:val="1"/>
        </w:numPr>
        <w:rPr/>
      </w:pPr>
      <w:bookmarkStart w:id="927" w:name="__RefHeading___Toc735347_3244359995"/>
      <w:bookmarkStart w:id="928" w:name="_Toc348"/>
      <w:bookmarkEnd w:id="927"/>
      <w:r>
        <w:rPr>
          <w:rtl w:val="true"/>
        </w:rPr>
        <w:t>الأمر الثالث</w:t>
      </w:r>
      <w:r>
        <w:rPr>
          <w:rtl w:val="true"/>
        </w:rPr>
        <w:t xml:space="preserve">: </w:t>
      </w:r>
      <w:r>
        <w:rPr>
          <w:rtl w:val="true"/>
        </w:rPr>
        <w:t>حول أنّ المرتفع هو الأثر المضطرّ إلیه دون مطلق الأثر</w:t>
      </w:r>
      <w:bookmarkEnd w:id="92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إلی التنبیه علی أنّ الاضطرار الطارئ أو المسبوق لو کان یمنع عن تأثیر العلم، فإنّما هو بالنسبة إلی الأثر المضطرّ إلیه، دون مطلق الأثر، کما فی</w:t>
      </w:r>
      <w:bookmarkStart w:id="929" w:name="pg13173_325143"/>
    </w:p>
    <w:p>
      <w:pPr>
        <w:pStyle w:val="BookText"/>
        <w:rPr/>
      </w:pPr>
      <w:bookmarkEnd w:id="929"/>
      <w:r>
        <w:rPr>
          <w:rFonts w:ascii="IRNazanin" w:hAnsi="IRNazanin" w:eastAsia="IRNazanin"/>
          <w:color w:val="111111"/>
          <w:sz w:val="28"/>
          <w:sz w:val="28"/>
          <w:szCs w:val="28"/>
          <w:rtl w:val="true"/>
          <w:lang w:bidi="fa-IR"/>
        </w:rPr>
        <w:t xml:space="preserve">بعض کتب القوم </w:t>
      </w:r>
      <w:r>
        <w:rPr>
          <w:rStyle w:val="FootnoteAnchor"/>
          <w:rtl w:val="true"/>
        </w:rPr>
        <w:footnoteReference w:id="1197"/>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أثر الأثر المضطرّ إلیه أیضا غیر ثابت، فلو اضطرّ إلی شرب الإناء المعیّن، و کان یعلم بخمریّة الواحد منهما، فإن قلنا بارتفاع الأثر و سقوط العلم، فهو بالنسبة إلی حرمة الشرب، دون جواز البیع کی تجری أصالة الحلّ، فیباع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أثر الأثر المضطرّ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کالحدّ،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مرفوع و غیر ثابت، إلّا بعض الآثار التی تکون خارجة عن أدلّة الاضطرار، فلیتدبّر</w:t>
      </w:r>
      <w:r>
        <w:rPr>
          <w:rFonts w:eastAsia="IRNazanin" w:cs="IRNazanin"/>
          <w:color w:val="111111"/>
          <w:sz w:val="28"/>
          <w:szCs w:val="28"/>
          <w:rtl w:val="true"/>
          <w:lang w:bidi="fa-IR"/>
        </w:rPr>
        <w:t>.</w:t>
      </w:r>
    </w:p>
    <w:p>
      <w:pPr>
        <w:pStyle w:val="Heading6"/>
        <w:numPr>
          <w:ilvl w:val="5"/>
          <w:numId w:val="1"/>
        </w:numPr>
        <w:rPr/>
      </w:pPr>
      <w:bookmarkStart w:id="930" w:name="__RefHeading___Toc735349_3244359995"/>
      <w:bookmarkStart w:id="931" w:name="_Toc349"/>
      <w:bookmarkEnd w:id="930"/>
      <w:r>
        <w:rPr>
          <w:rtl w:val="true"/>
        </w:rPr>
        <w:t>الأمر الرابع</w:t>
      </w:r>
      <w:r>
        <w:rPr>
          <w:rtl w:val="true"/>
        </w:rPr>
        <w:t xml:space="preserve">: </w:t>
      </w:r>
      <w:r>
        <w:rPr>
          <w:rtl w:val="true"/>
        </w:rPr>
        <w:t>فی أولویة ذکر صور الإکراه</w:t>
      </w:r>
      <w:bookmarkEnd w:id="931"/>
    </w:p>
    <w:p>
      <w:pPr>
        <w:pStyle w:val="BookText"/>
        <w:rPr/>
      </w:pPr>
      <w:r>
        <w:rPr>
          <w:rFonts w:ascii="IRNazanin" w:hAnsi="IRNazanin" w:eastAsia="IRNazanin"/>
          <w:color w:val="111111"/>
          <w:sz w:val="28"/>
          <w:sz w:val="28"/>
          <w:szCs w:val="28"/>
          <w:rtl w:val="true"/>
          <w:lang w:bidi="fa-IR"/>
        </w:rPr>
        <w:t>کان الأولی تعرّضهم لصور الإکراه و أحکامها؛ لجریانه فی الشبهات التحریمیّة و الإیجابیّة، مع أنّ جریان أدلّة الاضطرار فی الإیجابیّة ممنوع کبرویّا، إلّا علی تسامح</w:t>
      </w:r>
      <w:r>
        <w:rPr>
          <w:rFonts w:eastAsia="IRNazanin" w:cs="IRNazanin"/>
          <w:color w:val="111111"/>
          <w:sz w:val="28"/>
          <w:szCs w:val="28"/>
          <w:rtl w:val="true"/>
          <w:lang w:bidi="fa-IR"/>
        </w:rPr>
        <w:t>.</w:t>
      </w:r>
    </w:p>
    <w:p>
      <w:pPr>
        <w:pStyle w:val="Heading6"/>
        <w:numPr>
          <w:ilvl w:val="5"/>
          <w:numId w:val="1"/>
        </w:numPr>
        <w:rPr/>
      </w:pPr>
      <w:bookmarkStart w:id="932" w:name="__RefHeading___Toc735351_3244359995"/>
      <w:bookmarkStart w:id="933" w:name="_Toc350"/>
      <w:bookmarkEnd w:id="932"/>
      <w:r>
        <w:rPr>
          <w:rtl w:val="true"/>
        </w:rPr>
        <w:t>الأمر الخامس</w:t>
      </w:r>
      <w:r>
        <w:rPr>
          <w:rtl w:val="true"/>
        </w:rPr>
        <w:t xml:space="preserve">: </w:t>
      </w:r>
      <w:r>
        <w:rPr>
          <w:rtl w:val="true"/>
        </w:rPr>
        <w:t>فی شمول الاضطرار للعقلی و العرفی</w:t>
      </w:r>
      <w:bookmarkEnd w:id="933"/>
    </w:p>
    <w:p>
      <w:pPr>
        <w:pStyle w:val="Heading6"/>
        <w:numPr>
          <w:ilvl w:val="5"/>
          <w:numId w:val="1"/>
        </w:numPr>
        <w:rPr/>
      </w:pPr>
      <w:bookmarkStart w:id="934" w:name="__RefHeading___Toc735353_3244359995"/>
      <w:bookmarkStart w:id="935" w:name="_Toc351"/>
      <w:bookmarkEnd w:id="934"/>
      <w:r>
        <w:rPr>
          <w:rtl w:val="true"/>
        </w:rPr>
        <w:t>اشارة</w:t>
      </w:r>
      <w:bookmarkEnd w:id="935"/>
    </w:p>
    <w:p>
      <w:pPr>
        <w:pStyle w:val="BookText"/>
        <w:rPr/>
      </w:pPr>
      <w:r>
        <w:rPr>
          <w:rFonts w:ascii="IRNazanin" w:hAnsi="IRNazanin" w:eastAsia="IRNazanin"/>
          <w:color w:val="111111"/>
          <w:sz w:val="28"/>
          <w:sz w:val="28"/>
          <w:szCs w:val="28"/>
          <w:rtl w:val="true"/>
          <w:lang w:bidi="fa-IR"/>
        </w:rPr>
        <w:t>أنّ الاضطرار المانع عن التکلیف أعمّ من العقلیّ و العرفیّ؛ لإطلاق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یتراءی من بعضهم من أنّ المقصود هنا هو الاضطرار العقلیّ، فی غیر محلّه؛ لأنّ الجمع بین فعلیّة التکلیف مع الاضطرار، ممکن علی کلّ تقدیر، کما هو الواقع؛ لالتزام الشرع بتبعاته، و لیس هو مثل العجز، و تفصیله فی ذیل المسألة الاولی إن شاء اللّه تعالی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الامور، فالکلام فی ضمن مسائل مهمّة فی المقام</w:t>
      </w:r>
      <w:r>
        <w:rPr>
          <w:rFonts w:eastAsia="IRNazanin" w:cs="IRNazanin"/>
          <w:color w:val="111111"/>
          <w:sz w:val="28"/>
          <w:szCs w:val="28"/>
          <w:rtl w:val="true"/>
          <w:lang w:bidi="fa-IR"/>
        </w:rPr>
        <w:t>:</w:t>
      </w:r>
      <w:bookmarkStart w:id="936" w:name="pg13173_325144"/>
    </w:p>
    <w:p>
      <w:pPr>
        <w:pStyle w:val="Heading6"/>
        <w:numPr>
          <w:ilvl w:val="5"/>
          <w:numId w:val="1"/>
        </w:numPr>
        <w:rPr/>
      </w:pPr>
      <w:bookmarkStart w:id="937" w:name="__RefHeading___Toc735355_3244359995"/>
      <w:bookmarkStart w:id="938" w:name="_Toc352"/>
      <w:bookmarkEnd w:id="936"/>
      <w:bookmarkEnd w:id="937"/>
      <w:r>
        <w:rPr>
          <w:rtl w:val="true"/>
        </w:rPr>
        <w:t>المسألة الاولی</w:t>
      </w:r>
      <w:r>
        <w:rPr>
          <w:rtl w:val="true"/>
        </w:rPr>
        <w:t xml:space="preserve">: </w:t>
      </w:r>
      <w:r>
        <w:rPr>
          <w:rtl w:val="true"/>
        </w:rPr>
        <w:t>فی وجوب الاحتیاط فی جمیع صور الاضطرار</w:t>
      </w:r>
      <w:bookmarkEnd w:id="938"/>
    </w:p>
    <w:p>
      <w:pPr>
        <w:pStyle w:val="Heading6"/>
        <w:numPr>
          <w:ilvl w:val="5"/>
          <w:numId w:val="1"/>
        </w:numPr>
        <w:rPr/>
      </w:pPr>
      <w:bookmarkStart w:id="939" w:name="__RefHeading___Toc735357_3244359995"/>
      <w:bookmarkStart w:id="940" w:name="_Toc353"/>
      <w:bookmarkEnd w:id="939"/>
      <w:r>
        <w:rPr>
          <w:rtl w:val="true"/>
        </w:rPr>
        <w:t>اشارة</w:t>
      </w:r>
      <w:bookmarkEnd w:id="940"/>
    </w:p>
    <w:p>
      <w:pPr>
        <w:pStyle w:val="BookText"/>
        <w:rPr/>
      </w:pPr>
      <w:r>
        <w:rPr>
          <w:rFonts w:ascii="IRNazanin" w:hAnsi="IRNazanin" w:eastAsia="IRNazanin"/>
          <w:color w:val="111111"/>
          <w:sz w:val="28"/>
          <w:sz w:val="28"/>
          <w:szCs w:val="28"/>
          <w:rtl w:val="true"/>
          <w:lang w:bidi="fa-IR"/>
        </w:rPr>
        <w:t>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لا یورث قصورا فی العلم علی الإطلاق، و لا یمنع عن تنجیزه؛ و ذلک لأنّ الأدلّة الشرعیّة المتکفّلة له، لیست قابلة للاعتماد علیها علی إطلاقها؛ سواء کانت من قبیل ما ورد فی أدلّة التقیّة</w:t>
      </w:r>
      <w:r>
        <w:rPr>
          <w:rStyle w:val="FootnoteAnchor"/>
          <w:rtl w:val="true"/>
        </w:rPr>
        <w:footnoteReference w:id="1200"/>
      </w:r>
      <w:r>
        <w:rPr>
          <w:rFonts w:ascii="IRNazanin" w:hAnsi="IRNazanin" w:eastAsia="IRNazanin"/>
          <w:color w:val="111111"/>
          <w:sz w:val="28"/>
          <w:sz w:val="28"/>
          <w:szCs w:val="28"/>
          <w:rtl w:val="true"/>
          <w:lang w:bidi="fa-IR"/>
        </w:rPr>
        <w:t xml:space="preserve">، أو فی حدیث الرفع و غیره </w:t>
      </w:r>
      <w:r>
        <w:rPr>
          <w:rStyle w:val="FootnoteAnchor"/>
          <w:rtl w:val="true"/>
        </w:rPr>
        <w:footnoteReference w:id="1201"/>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فِی مَخْمَصَةٍ غَیْرَ مُتَجانِفٍ لِإِثْمٍ فَإِنَّ اللَّهَ غَفُورٌ رَحِیمٌ </w:t>
      </w:r>
      <w:r>
        <w:rPr>
          <w:rStyle w:val="FootnoteAnchor"/>
          <w:rtl w:val="true"/>
        </w:rPr>
        <w:footnoteReference w:id="1203"/>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یکون الاضطرار العقلیّ و ما یعدّ عذرا عقلا، موضوعا فی الأدلّة الشرعیّة، و عندئذ لا یکون إلّا إرشادا إلیه، و لا یزید علی ما یحکم به العقلاء، و ما کان شأنه ذلک لا یمکن أن یکون تقییدا لأدلّة الأحکام الأوّلیة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الإجمالیّ بالتکلیف الفعلیّ علی کلّ تقدیر موجود، و الاضطرار إلی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عن التکلیف الواقعیّ الفعلیّ قطعا؛ لإمکان الجمع بینهما، کما جمعناه بین الأحکام الظاهریّة و الواقعیّة</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هنا أسهل، و تکون الأدلّة فیما نحن فیه إمضاء لحکم العقلاء بعذریّة الاضطرار، کما لا تمضی الآیات الشریفة الاضطرار الآتی بسوء الاختیار موافقا لفهم العرف و العقلاء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العلم الإجمالیّ بالتکلیف الفعلیّ علی هذا المسلک، لا یکفی للتنجیز و استحقاق العقوبة، بل المناط هو العلم الإجمالیّ بالاستحقاق </w:t>
      </w:r>
      <w:r>
        <w:rPr>
          <w:rStyle w:val="FootnoteAnchor"/>
          <w:rtl w:val="true"/>
        </w:rPr>
        <w:footnoteReference w:id="1205"/>
      </w:r>
      <w:r>
        <w:rPr>
          <w:rFonts w:ascii="IRNazanin" w:hAnsi="IRNazanin" w:eastAsia="IRNazanin"/>
          <w:color w:val="111111"/>
          <w:sz w:val="28"/>
          <w:sz w:val="28"/>
          <w:szCs w:val="28"/>
          <w:rtl w:val="true"/>
          <w:lang w:bidi="fa-IR"/>
        </w:rPr>
        <w:t>، و هذا غیر محقّق فی موارد الاضطرار فی الجملة؛ ضرورة أنّه لو کان الاضطرار سابقا علی العلم یعدّ عذرا، فلو علم إجمالا فالعلم بالتکلیف حاصل، إلّا أنّه لا یستتبع العلم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 العلم بالغرض الأقصی و المبغوض منجّز، و هو حاصل، حیث إنّ العقلاء یکتشفون بالعلم بالتکلیف الفعلیّ و بالتحریم، مبغوض المولی، فإذا کان فی الطرف المضطرّ إلیه فله العذر، دون الطرف الآخر، فما جعلناه محورا لتنجیز العلم من الوجهین </w:t>
      </w:r>
      <w:r>
        <w:rPr>
          <w:rStyle w:val="FootnoteAnchor"/>
          <w:rtl w:val="true"/>
        </w:rPr>
        <w:footnoteReference w:id="1206"/>
      </w:r>
      <w:r>
        <w:rPr>
          <w:rFonts w:ascii="IRNazanin" w:hAnsi="IRNazanin" w:eastAsia="IRNazanin"/>
          <w:color w:val="111111"/>
          <w:sz w:val="28"/>
          <w:sz w:val="28"/>
          <w:szCs w:val="28"/>
          <w:rtl w:val="true"/>
          <w:lang w:bidi="fa-IR"/>
        </w:rPr>
        <w:t>یأتی هنا</w:t>
      </w:r>
    </w:p>
    <w:p>
      <w:pPr>
        <w:pStyle w:val="BookText"/>
        <w:rPr/>
      </w:pPr>
      <w:r>
        <w:rPr>
          <w:rFonts w:ascii="IRNazanin" w:hAnsi="IRNazanin" w:eastAsia="IRNazanin"/>
          <w:color w:val="111111"/>
          <w:sz w:val="28"/>
          <w:sz w:val="28"/>
          <w:szCs w:val="28"/>
          <w:rtl w:val="true"/>
          <w:lang w:bidi="fa-IR"/>
        </w:rPr>
        <w:t>نعم، علی مسلک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الاحتیاط متفرّع علی سقوط الاصول بالمعارضة، فالبراءة عن الطرف محکّمة، و لکنّه فاسد فاحش کما عرفت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لا یخلو من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الحکم الفعلیّ الصالح للاحتجاج و إن کان ممنوعا، و لکن کشف أنّ فی مورد الاضطرار یکون المولی ذا غرض إلزامیّ ممکن، و علی هذا یلزم الاحتیاط، إلّا علی ما أسّسناه من جریان الاصول فی الأطراف علی الإطلاق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قصور الطرق و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الأغراض و المصالح و المفاسد، ففی غیر محلّه، و لا سیّما بعد بناء الإمامیّة علی</w:t>
      </w:r>
    </w:p>
    <w:p>
      <w:pPr>
        <w:pStyle w:val="BookText"/>
        <w:rPr/>
      </w:pPr>
      <w:r>
        <w:rPr>
          <w:rFonts w:ascii="IRNazanin" w:hAnsi="IRNazanin" w:eastAsia="IRNazanin"/>
          <w:color w:val="111111"/>
          <w:sz w:val="28"/>
          <w:sz w:val="28"/>
          <w:szCs w:val="28"/>
          <w:rtl w:val="true"/>
          <w:lang w:bidi="fa-IR"/>
        </w:rPr>
        <w:t>التبعیّة، فإنّه ینکشف به کشفا عقلائیّا، و هو کاف للتنجیز کما مرّ مرارا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الذی هو العذر هو العقلیّ منه، و ما هو موضوع الأدلّة هو العرفیّ، و هو أوسع، فعلی هذا یلزم حکومة الأدلّة الواقعیّة الثانویّة علی الأوّلیة، و تصیر النتیجة تقییدها بها، و یلزم عدم فعلیّة الحکم فی مورد الاضطرار، کما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الخطابات شخصیّة، فإنّه لا یمکن الالتزام بارتضاء الشرع بعذریّة الاضطرار، مع التزامه بالتحریم و الزجر الجدّی، و لازمه عدم ثبوت الحکم الفعلیّ فی صورة تقدّم الاضطرار علی العلم، کما علیه جلّ الأصحاب، بل کلهم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الاضطرار العرفیّ عذر عقلائیّ ممضی و لو بعدم الردع، و لیس ما هو العذر منحصرا بالاضطرار العقلیّ بالضرورة و لو لم یکن فی الشریعة حدیث عن الاضطرار، فالأدلّة اللفظیّة لا تزید علی ما عند العقلاء فی باب التعذیرات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ظاهر حدیث الرفع و بعض آخر من أدلّة الاضطرار</w:t>
      </w:r>
      <w:r>
        <w:rPr>
          <w:rStyle w:val="FootnoteAnchor"/>
          <w:rtl w:val="true"/>
        </w:rPr>
        <w:footnoteReference w:id="1212"/>
      </w:r>
      <w:r>
        <w:rPr>
          <w:rFonts w:ascii="IRNazanin" w:hAnsi="IRNazanin" w:eastAsia="IRNazanin"/>
          <w:color w:val="111111"/>
          <w:sz w:val="28"/>
          <w:sz w:val="28"/>
          <w:szCs w:val="28"/>
          <w:rtl w:val="true"/>
          <w:lang w:bidi="fa-IR"/>
        </w:rPr>
        <w:t>، هو التصرّف فی الأدلّة الأوّلیة؛ إمّا برفع ما هو المحرّم، أو بجعل الحلّیة المضادّة مع الحرمة، و لکونها حاکمة و مقدّمة لا یبقی وجه لکشف مبغوض المولی بتوسّط الأدلّة الأوّلیة، و إن کان ظاهر الکتاب الإلهیّ أنّه لا إثم علیه، و هو بضمیمة الأدلّة الأوّلیة ینتج فعلیّة التکلیف، و لکن بضمیمة أخبار حلّیة المضطرّ إلیه، یلزم انتفاء الفعلیّة و التقیید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عدم جریان أدلّة الاضطرار فی أطراف العلم، کالشبهة البدویّة؛ لأنّ کلّ واحد مشکوک الحرمة، و لا معنی لتحلیل ما هو الحلال،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شی‌ء اضطرّ إلیه ابن آدم فقد أحلّه اللّه</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و غیره، لا یجری إلّا فی صورة العلم بالحرمة تفصیلا، فهو ممنوع؛ لأنّ الطرف المضطرّ إلیه إمّا حلال، أو حرام مرفوع و محلّل، و هذا کاف لجریانه و إن کان المورد مشکوک الحرمة و المصداقیّة،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بیان آخر ینتهی إلی منع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میزان التنجیز إن کان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الاشتغال الیقینیّ یقتضی البراءة الیقینیّة، أو أنّ الحجّة التامّة فی البین متقوّمة بالجواب، فلا سبیل إلی منعه علی الإطلاق، و هکذا إن کان العلم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الوجه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العبد ذا عذر فی قبال المخالفة</w:t>
      </w:r>
      <w:r>
        <w:rPr>
          <w:rStyle w:val="FootnoteAnchor"/>
          <w:rtl w:val="true"/>
        </w:rPr>
        <w:footnoteReference w:id="1214"/>
      </w:r>
      <w:r>
        <w:rPr>
          <w:rFonts w:ascii="IRNazanin" w:hAnsi="IRNazanin" w:eastAsia="IRNazanin"/>
          <w:color w:val="111111"/>
          <w:sz w:val="28"/>
          <w:sz w:val="28"/>
          <w:szCs w:val="28"/>
          <w:rtl w:val="true"/>
          <w:lang w:bidi="fa-IR"/>
        </w:rPr>
        <w:t>، فإنّه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الجهالة المذکورة لیست عذرا؛ لأنّها لیست کالجهالة البدویّة، ضرورة أنّ الأحکام الواقعیّة الثانویّة، سیاسیّة راجحة علی مصالح و مفاسد نفس الأمر المرعیّة فی جانب الأحکام الواقعیّة الأوّلیة، و لأجل ذاک و ذلک اعتبرا أوّلیا و ثانویّا، و هذا لا ینافی مبغوضیّة الشرب المحرّم المضطرّ إلیه حتّی حین الاضطرار الذی رخّصه الشرع توسعة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تصحّ دعوی عدم عذریّة الجهالة فی ناحیة الطرف، و عند ذلک یلزم امتناع جریان قاعدة الحلّ فی غیر مورد الاضطرار، و لا سیّما علی القول بعدم جریانها فی الأطراف، کما هو الأظهر عندنا إذا قلنا بالمعارضة 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ما سلکناه هما جاریان غیر ساقطین، و هذا قریب من الصواب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جمیع الأطراف بالأدلّة الواقعیّة الأوّلیة و الظاهریّة و إن لم یکن ترخیصا فی الخلاف و العصیان، و لا مناقضة مع الحکم الفعلیّ، و لکنّه مناقض مع المبغوض الأوّلی المعلوم فی البین، و یقبح الترخیص علی خلاف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أنّ المسألة لا تتمّ إلّا علی القول بالخطابات القانونیّة؛ و إمکان</w:t>
      </w:r>
      <w:bookmarkStart w:id="941" w:name="pg13173_325148"/>
    </w:p>
    <w:p>
      <w:pPr>
        <w:pStyle w:val="BookText"/>
        <w:rPr/>
      </w:pPr>
      <w:bookmarkEnd w:id="941"/>
      <w:r>
        <w:rPr>
          <w:rFonts w:ascii="IRNazanin" w:hAnsi="IRNazanin" w:eastAsia="IRNazanin"/>
          <w:color w:val="111111"/>
          <w:sz w:val="28"/>
          <w:sz w:val="28"/>
          <w:szCs w:val="28"/>
          <w:rtl w:val="true"/>
          <w:lang w:bidi="fa-IR"/>
        </w:rPr>
        <w:t>الترخیص فی جمیع الأطراف حتّی بالأدلّة الظاهریّة، فضلا عن الواقعیّة الثانویّة،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البحث هنا حول الاضطرار العرفیّ و أدلّته، بل البحث حول الاضطرار العقلیّ الذی هو مثل العجز فی امتناع التکلیف فی مورده، و حول أنّ المیزان العقلیّ یقتضی الاشتغال أو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کلماتهم ذلک، إلّا أنّ الاضطرار العقلیّ مضافا إلی عدم إمکان تحدیده، و وقوع المسألة فی الأهمّ و المهمّ؛ و هو حفظ النفس من جهة، و الابتلاء بالحرام من جهة اخری؛ ضرورة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یجوز رفع الاضطرار بالمحرّم و لو هلک، یکون الحرام فعلیّا، أنّ المتعارف و المبتلی به عرفا هو الاضطرار العادیّ، مع أنّ الأدلّة تشمل الاضطرار العقلیّ، فالأولی صرف الکلام فی المقام علی نحو ما بذلناه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عذریّة الاضطرار تحتاج إلی الإمضاء، و إلّا فمجرّد الاضطرار غیر کاف؛ لإمکان أن یلتزم الشرع بجمیع لوازمه حتّی الملاک، کما هو ظاهر بعض الأخبار فی الاضطرار إلی شرب الخمر، بل و مطلق الحرام، فلا تغفل</w:t>
      </w:r>
      <w:r>
        <w:rPr>
          <w:rFonts w:eastAsia="IRNazanin" w:cs="IRNazanin"/>
          <w:color w:val="111111"/>
          <w:sz w:val="28"/>
          <w:szCs w:val="28"/>
          <w:rtl w:val="true"/>
          <w:lang w:bidi="fa-IR"/>
        </w:rPr>
        <w:t>.</w:t>
      </w:r>
    </w:p>
    <w:p>
      <w:pPr>
        <w:pStyle w:val="Heading6"/>
        <w:numPr>
          <w:ilvl w:val="5"/>
          <w:numId w:val="1"/>
        </w:numPr>
        <w:rPr/>
      </w:pPr>
      <w:bookmarkStart w:id="942" w:name="__RefHeading___Toc735359_3244359995"/>
      <w:bookmarkStart w:id="943" w:name="_Toc354"/>
      <w:bookmarkEnd w:id="942"/>
      <w:r>
        <w:rPr>
          <w:rtl w:val="true"/>
        </w:rPr>
        <w:t>تذنیب</w:t>
      </w:r>
      <w:r>
        <w:rPr>
          <w:rtl w:val="true"/>
        </w:rPr>
        <w:t xml:space="preserve">: </w:t>
      </w:r>
      <w:r>
        <w:rPr>
          <w:rtl w:val="true"/>
        </w:rPr>
        <w:t xml:space="preserve">حول مختار </w:t>
      </w:r>
      <w:r>
        <w:rPr>
          <w:rtl w:val="true"/>
        </w:rPr>
        <w:t>«</w:t>
      </w:r>
      <w:r>
        <w:rPr>
          <w:rtl w:val="true"/>
        </w:rPr>
        <w:t>الکفایة</w:t>
      </w:r>
      <w:r>
        <w:rPr>
          <w:rtl w:val="true"/>
        </w:rPr>
        <w:t xml:space="preserve">» </w:t>
      </w:r>
      <w:r>
        <w:rPr>
          <w:rtl w:val="true"/>
        </w:rPr>
        <w:t>من عدم التنجیز</w:t>
      </w:r>
      <w:bookmarkEnd w:id="943"/>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إلی القول بعدم التنجیز، و هو فی شقاق مع الوجه السابق؛ و ذلک نظرا إلی أنّ العلم بالتکلیف فی موارد تقدّم الاضطرار غیر حاصل، و فی موارد التأخّر غیر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ما نحن فیه بتلف بعض الأطراف؛ لأنّ التکلیف فی باب التلف غیر محدود، بخلاف ما نحن فیه </w:t>
      </w:r>
      <w:r>
        <w:rPr>
          <w:rStyle w:val="FootnoteAnchor"/>
          <w:rtl w:val="true"/>
        </w:rPr>
        <w:footnoteReference w:id="1215"/>
      </w:r>
      <w:r>
        <w:rPr>
          <w:rFonts w:ascii="IRNazanin" w:hAnsi="IRNazanin" w:eastAsia="IRNazanin"/>
          <w:color w:val="111111"/>
          <w:sz w:val="28"/>
          <w:sz w:val="28"/>
          <w:szCs w:val="28"/>
          <w:rtl w:val="true"/>
          <w:lang w:bidi="fa-IR"/>
        </w:rPr>
        <w:t>، انتهی لبّ مرامه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ینحصر لزوم الاحتیاط بالعلم بالتکلیف الفعلیّ کما</w:t>
      </w:r>
      <w:bookmarkStart w:id="944" w:name="pg13173_325149"/>
    </w:p>
    <w:p>
      <w:pPr>
        <w:pStyle w:val="BookText"/>
        <w:rPr/>
      </w:pPr>
      <w:bookmarkEnd w:id="944"/>
      <w:r>
        <w:rPr>
          <w:rFonts w:ascii="IRNazanin" w:hAnsi="IRNazanin" w:eastAsia="IRNazanin"/>
          <w:color w:val="111111"/>
          <w:sz w:val="28"/>
          <w:sz w:val="28"/>
          <w:szCs w:val="28"/>
          <w:rtl w:val="true"/>
          <w:lang w:bidi="fa-IR"/>
        </w:rPr>
        <w:t xml:space="preserve">عرفت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و إن کان فیما نحن فیه شرعیّا؛ لما مرّ</w:t>
      </w:r>
      <w:r>
        <w:rPr>
          <w:rStyle w:val="FootnoteAnchor"/>
          <w:rtl w:val="true"/>
        </w:rPr>
        <w:footnoteReference w:id="1217"/>
      </w:r>
      <w:r>
        <w:rPr>
          <w:rFonts w:ascii="IRNazanin" w:hAnsi="IRNazanin" w:eastAsia="IRNazanin"/>
          <w:color w:val="111111"/>
          <w:sz w:val="28"/>
          <w:sz w:val="28"/>
          <w:szCs w:val="28"/>
          <w:rtl w:val="true"/>
          <w:lang w:bidi="fa-IR"/>
        </w:rPr>
        <w:t>، ضرورة أنّ الاضطرار لا یضادّ عقلا فعلیّة التکلیف و لو کان إلی حدّ العقلیّ، بخلاف العجز و التحدید بعدم التلف عقلیّا، إلّا أنّه لا یوجب الفرق؛ لانتفاء العلم علی کلّ تقدیر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لفساد مرامه عدم مساعدة الوجدان علی بقاء الأثر فی صورة التلف، دون الاضطرار، مع أنّ عکسه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تمسّکه بقاعدة الاشتغال فی صورة التلف فقط</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طروّ الاضطرار بعد العلم أیضا موضوع القاعدة، و لا معنی لکشف عدم التکلیف بعد طروّه،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النقض علیه بموارد المخالفة و الامتثال و غیر ذلک </w:t>
      </w:r>
      <w:r>
        <w:rPr>
          <w:rStyle w:val="FootnoteAnchor"/>
          <w:rtl w:val="true"/>
        </w:rPr>
        <w:footnoteReference w:id="1219"/>
      </w:r>
      <w:r>
        <w:rPr>
          <w:rFonts w:ascii="IRNazanin" w:hAnsi="IRNazanin" w:eastAsia="IRNazanin"/>
          <w:color w:val="111111"/>
          <w:sz w:val="28"/>
          <w:sz w:val="28"/>
          <w:szCs w:val="28"/>
          <w:rtl w:val="true"/>
          <w:lang w:bidi="fa-IR"/>
        </w:rPr>
        <w:t>، فهو ممنوع؛ لکونه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المضطرّ إلیه بحکم التلف و إن کانت صناعیّة، إلّا أنّها غیر مسموعة؛ لعدم الإطلاق فی هذه الجهة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مدّعاه کان البراءة علی الإطلاق فیکفی لفساده عدم تمامیّته و لو فی الجملة، و إلّا ففی کلامه مواقع اخر للنظر</w:t>
      </w:r>
      <w:r>
        <w:rPr>
          <w:rFonts w:eastAsia="IRNazanin" w:cs="IRNazanin"/>
          <w:color w:val="111111"/>
          <w:sz w:val="28"/>
          <w:szCs w:val="28"/>
          <w:rtl w:val="true"/>
          <w:lang w:bidi="fa-IR"/>
        </w:rPr>
        <w:t>.</w:t>
      </w:r>
    </w:p>
    <w:p>
      <w:pPr>
        <w:pStyle w:val="Heading6"/>
        <w:numPr>
          <w:ilvl w:val="5"/>
          <w:numId w:val="1"/>
        </w:numPr>
        <w:rPr/>
      </w:pPr>
      <w:bookmarkStart w:id="945" w:name="__RefHeading___Toc735361_3244359995"/>
      <w:bookmarkStart w:id="946" w:name="_Toc355"/>
      <w:bookmarkEnd w:id="945"/>
      <w:r>
        <w:rPr>
          <w:rtl w:val="true"/>
        </w:rPr>
        <w:t>المسألة الثانیة</w:t>
      </w:r>
      <w:r>
        <w:rPr>
          <w:rtl w:val="true"/>
        </w:rPr>
        <w:t xml:space="preserve">: </w:t>
      </w:r>
      <w:r>
        <w:rPr>
          <w:rtl w:val="true"/>
        </w:rPr>
        <w:t>حول القول بالتفصیل فی المقام</w:t>
      </w:r>
      <w:bookmarkEnd w:id="946"/>
    </w:p>
    <w:p>
      <w:pPr>
        <w:pStyle w:val="Heading6"/>
        <w:numPr>
          <w:ilvl w:val="5"/>
          <w:numId w:val="1"/>
        </w:numPr>
        <w:rPr/>
      </w:pPr>
      <w:bookmarkStart w:id="947" w:name="__RefHeading___Toc735363_3244359995"/>
      <w:bookmarkStart w:id="948" w:name="_Toc356"/>
      <w:bookmarkEnd w:id="947"/>
      <w:r>
        <w:rPr>
          <w:rtl w:val="true"/>
        </w:rPr>
        <w:t>اشارة</w:t>
      </w:r>
      <w:bookmarkEnd w:id="94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الفراغ من وجه التنجیز و اللاتنجیز فی مطلق الصور، حان وقت النظر إلی القول بالتفصیل بینها کما علیه الأکثر</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بحث حوله صورة تقدّم الاضطرار</w:t>
      </w:r>
    </w:p>
    <w:p>
      <w:pPr>
        <w:pStyle w:val="BookText"/>
        <w:rPr/>
      </w:pPr>
      <w:r>
        <w:rPr>
          <w:rFonts w:ascii="IRNazanin" w:hAnsi="IRNazanin" w:eastAsia="IRNazanin"/>
          <w:color w:val="111111"/>
          <w:sz w:val="28"/>
          <w:sz w:val="28"/>
          <w:szCs w:val="28"/>
          <w:rtl w:val="true"/>
          <w:lang w:bidi="fa-IR"/>
        </w:rPr>
        <w:t>إلی المعیّن علی العلم، فإنّه لا ینعقد العلم الإجمالیّ بالتکلیف، و لا باستحقاق العقوبة، فتجری الاصول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تقدّمه علیه، و کان إلی غیر معیّن،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أیضا مجری الأصل؛ لعدم تحقّق العلم بالتکلیف، لاحتمال کون المختار لرفع الاضطرار هو مورد التکلیف، فیکون مرفوعا و حلالا و مباحا، فلا علم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الترخیص فی ناحیة الاضطرار إن کان عقلیّا، فالعلم الإجمالیّ ینعقد و یؤثّر، و إن کان شرعیّا فلا یؤثّر</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 الشیخ رحمه اللّه </w:t>
      </w:r>
      <w:r>
        <w:rPr>
          <w:rStyle w:val="FootnoteAnchor"/>
          <w:rtl w:val="true"/>
        </w:rPr>
        <w:footnoteReference w:id="1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ما یومئ إلی مشابهة هذه المسألة بمسألة الانسداد؛ و أنّه بعد سقوط الاحتیاط الکلّی لا بدّ من الاحتیاط، إلّا علی القول بأنّ الترخیص شرعیّ، و هو ینافی العلم،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ثالث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الترخیص بشکل الاضطرار و بعنوانه القابل للانطباق علی مورد التکلیف اللازم امتثاله عقلا، لا یعقل اجتماعه مع التکلیف المذکور، فعندئذ لا بدّ من التصرّف فی المعلوم، و تصیر النتیجة سقوط العلم عن التنجیز</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فالمناقشة فیه واضحة؛ ضرورة أنّ الاضطرار إلی غیر المعیّن أو إلی الواحد لا بعینه غیر معقول؛ فإنّ الاضطرار من الامور ذات الإضافة فلا بدّ من الطرف، ففی المعیّن معلوم، و أمّا فی غیر المعیّن فالکلّی متعلّقه واقعا، و إنّما یرفع عطشه بما بین یدیه؛ من غیر فرق بین کونه مضطرّا إلی الکلّی غیر المنطبق إلّا علی واحد منهما، أو إلی الکلّی المطلق، فعلی هذا یسقط الوجه الأوّل؛</w:t>
      </w:r>
    </w:p>
    <w:p>
      <w:pPr>
        <w:pStyle w:val="BookText"/>
        <w:rPr/>
      </w:pPr>
      <w:r>
        <w:rPr>
          <w:rFonts w:ascii="IRNazanin" w:hAnsi="IRNazanin" w:eastAsia="IRNazanin"/>
          <w:color w:val="111111"/>
          <w:sz w:val="28"/>
          <w:sz w:val="28"/>
          <w:szCs w:val="28"/>
          <w:rtl w:val="true"/>
          <w:lang w:bidi="fa-IR"/>
        </w:rPr>
        <w:t xml:space="preserve">لأنّ ما هو مورد الاضطرار غیر ما هو مورد التکلیف، و لو صحّ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یلزم جواز رفعه بالإناءین و إن تمکّن من رفعه بإناء آخر معلوم الحلّیة، مع أنّه غیر ملتزم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فهو أیضا غیر تامّ؛ لأنّ الاضطرار العقلیّ لا یسوّغ التصرّف، لإمکان ردع الشرع و التزامه بتبعاته، و لیس هو مثل العجز، فلا بدّ و أن یرجع إلی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ما نحن فیه بالعلم بالتکالیف </w:t>
      </w:r>
      <w:r>
        <w:rPr>
          <w:rStyle w:val="FootnoteAnchor"/>
          <w:rtl w:val="true"/>
        </w:rPr>
        <w:footnoteReference w:id="1226"/>
      </w:r>
      <w:r>
        <w:rPr>
          <w:rFonts w:ascii="IRNazanin" w:hAnsi="IRNazanin" w:eastAsia="IRNazanin"/>
          <w:color w:val="111111"/>
          <w:sz w:val="28"/>
          <w:sz w:val="28"/>
          <w:szCs w:val="28"/>
          <w:rtl w:val="true"/>
          <w:lang w:bidi="fa-IR"/>
        </w:rPr>
        <w:t>، فی غیر محلّه؛ ضرورة أنّ هناک تکالیف مستقلّة، فإذا لزم من الاحتیاط اختلال فلا بدّ من التجزّی فیه، بخلاف ما نحن فیه، فإنّه تکلیف واحد، فإذا ورد قید أو قصور ذاتیّ لأجل شی‌ء فلا وجه للاحتیاط؛ لعدم انعقاد العلم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إجراء البراءة تشبّثا بأنّ التطبیق مباح شرعا، و الانطباق قهریّ، و لا یعقل التزام الشرع بعد ذلک بالحکم، فإذا کان العلم لاحقا فلا یمکن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التطبیق لا یحصل إلّا فیما یتعقّبه الارتکاب و رفع الاضطرار، فلا تجری قاعدة الإباحة فی الطرف کی یقال بالمعارضة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تمامیّة المقتضی و فقد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العلم قابل للتأثیر، و لا یمنع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بل بعد کون الجهالة بالموضوع موجودة، و الاضطرار و إن لم یتعلّق بالخارج، و لا بمتعلّق التکلیف، یجوز قصور العلم؛ للزوم ترخیص الشرع فی مورد یجوز کونه مورد التحریم، و هذا مستحیل، فلا یبقی التکلیف الصالح، و لا العلم بالتکلیف الفعلیّ؛ کی تلزم قاعدة الاشتغال بوجوب الاحتیاط فی الطرف، و السرّ أنّ إباحة التطبیق شرعیّة، و هی تمنع عن التنجیز</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أولی ممّا فی تقریرات العلّامة الأراکیّ قدّس سرّه </w:t>
      </w:r>
      <w:r>
        <w:rPr>
          <w:rStyle w:val="FootnoteAnchor"/>
          <w:rtl w:val="true"/>
        </w:rPr>
        <w:footnoteReference w:id="1227"/>
      </w:r>
      <w:r>
        <w:rPr>
          <w:rFonts w:ascii="IRNazanin" w:hAnsi="IRNazanin" w:eastAsia="IRNazanin"/>
          <w:color w:val="111111"/>
          <w:sz w:val="28"/>
          <w:sz w:val="28"/>
          <w:szCs w:val="28"/>
          <w:rtl w:val="true"/>
          <w:lang w:bidi="fa-IR"/>
        </w:rPr>
        <w:t>لما فیه نقاط ضعف؛ من</w:t>
      </w:r>
    </w:p>
    <w:p>
      <w:pPr>
        <w:pStyle w:val="BookText"/>
        <w:rPr/>
      </w:pPr>
      <w:r>
        <w:rPr>
          <w:rFonts w:ascii="IRNazanin" w:hAnsi="IRNazanin" w:eastAsia="IRNazanin"/>
          <w:color w:val="111111"/>
          <w:sz w:val="28"/>
          <w:sz w:val="28"/>
          <w:szCs w:val="28"/>
          <w:rtl w:val="true"/>
          <w:lang w:bidi="fa-IR"/>
        </w:rPr>
        <w:t>قبیل التمسّک بعلّیة العلم الإجمالیّ، و قد مرّ فسادها</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جوابه رحمه اللّه من بقاء مطلق الفعلیّة، دون الفعلیّة المطلقة، فیجب الاحتیاط</w:t>
      </w:r>
      <w:r>
        <w:rPr>
          <w:rStyle w:val="FootnoteAnchor"/>
          <w:rtl w:val="true"/>
        </w:rPr>
        <w:footnoteReference w:id="1229"/>
      </w:r>
      <w:r>
        <w:rPr>
          <w:rFonts w:ascii="IRNazanin" w:hAnsi="IRNazanin" w:eastAsia="IRNazanin"/>
          <w:color w:val="111111"/>
          <w:sz w:val="28"/>
          <w:sz w:val="28"/>
          <w:szCs w:val="28"/>
          <w:rtl w:val="true"/>
          <w:lang w:bidi="fa-IR"/>
        </w:rPr>
        <w:t>ضرورة أنّه ممّا لا یرجع إلی مطلب صحیح إلّا إلی الوجوب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التکلیف الناقص کما ذکره فی الواجب التخییریّ </w:t>
      </w:r>
      <w:r>
        <w:rPr>
          <w:rStyle w:val="FootnoteAnchor"/>
          <w:rtl w:val="true"/>
        </w:rPr>
        <w:footnoteReference w:id="1230"/>
      </w:r>
      <w:r>
        <w:rPr>
          <w:rFonts w:ascii="IRNazanin" w:hAnsi="IRNazanin" w:eastAsia="IRNazanin"/>
          <w:color w:val="111111"/>
          <w:sz w:val="28"/>
          <w:sz w:val="28"/>
          <w:szCs w:val="28"/>
          <w:rtl w:val="true"/>
          <w:lang w:bidi="fa-IR"/>
        </w:rPr>
        <w:t xml:space="preserve">، فهو أیضا ممّا لا یصلح للرکون إلیه؛ لأنّه إن اقتضی الجواب فهو تامّ عندنا، و إلّا فلا، و تفصیله فی مقامه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هناک توسّط فی التکلیف، و لا توسّط فی التنجیز اللذان وقعا فی کلام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الأراکیّ </w:t>
      </w:r>
      <w:r>
        <w:rPr>
          <w:rStyle w:val="FootnoteAnchor"/>
          <w:rtl w:val="true"/>
        </w:rPr>
        <w:footnoteReference w:id="1232"/>
      </w:r>
      <w:r>
        <w:rPr>
          <w:rFonts w:ascii="IRNazanin" w:hAnsi="IRNazanin" w:eastAsia="IRNazanin"/>
          <w:color w:val="111111"/>
          <w:sz w:val="28"/>
          <w:sz w:val="28"/>
          <w:szCs w:val="28"/>
          <w:rtl w:val="true"/>
          <w:lang w:bidi="fa-IR"/>
        </w:rPr>
        <w:t xml:space="preserve">، و النائینیّ رحمهما اللّه </w:t>
      </w:r>
      <w:r>
        <w:rPr>
          <w:rStyle w:val="FootnoteAnchor"/>
          <w:rtl w:val="true"/>
        </w:rPr>
        <w:footnoteReference w:id="1233"/>
      </w:r>
      <w:r>
        <w:rPr>
          <w:rFonts w:ascii="IRNazanin" w:hAnsi="IRNazanin" w:eastAsia="IRNazanin"/>
          <w:color w:val="111111"/>
          <w:sz w:val="28"/>
          <w:sz w:val="28"/>
          <w:szCs w:val="28"/>
          <w:rtl w:val="true"/>
          <w:lang w:bidi="fa-IR"/>
        </w:rPr>
        <w:t>فإنّ کلّ ذلک غفلة عن الإباحة المذکورة المتعلّقة بالمعیّن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ذلک ما فی کلام الثانی رحمه اللّه من اختیار التوسّط فی التنجیز من وجه و التکلیف؛ بتوهّم أنّ الاضطرار یصدق علی ما به یرتفع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صدقا، و بما هو لازم من جواز ارتکاب المجموع؛ للزوم کون التخییر مستندا إلی الشرع، و هو مضافا إلی بطلانه لا یجامع الفعلیّة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أشار إلی جمیع ما قیل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الظاهریّة لا معنی لها؛ لما لا شکّ، و الإباحة الواقعیّة غیر قابلة للجعل، بل الحظر مجعول، و إلّا فالأشیاء علی الإباحة و الحلّیة الأصلیّة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الواقعیّة قابلة للجعل حذاء توهّم الحظر، و للمالک الحقیقیّ المنع</w:t>
      </w:r>
      <w:bookmarkStart w:id="949" w:name="pg13173_325153"/>
    </w:p>
    <w:p>
      <w:pPr>
        <w:pStyle w:val="BookText"/>
        <w:rPr/>
      </w:pPr>
      <w:bookmarkEnd w:id="949"/>
      <w:r>
        <w:rPr>
          <w:rFonts w:ascii="IRNazanin" w:hAnsi="IRNazanin" w:eastAsia="IRNazanin"/>
          <w:color w:val="111111"/>
          <w:sz w:val="28"/>
          <w:sz w:val="28"/>
          <w:szCs w:val="28"/>
          <w:rtl w:val="true"/>
          <w:lang w:bidi="fa-IR"/>
        </w:rPr>
        <w:t>عن کافّة التصرّفات، فعلی هذا یمکن ذلک، و یکفی لکشف رضاه و حلّیته عدم منعه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للشکّ مجالا؛ لاحتمال عدم جواز رفع الاضطرار بما یحتمل کونه محرّما فی الواقع، فقضیّة أدلّة الإباحة الشرعیّة المنع عن تأثیر العلم طبعا</w:t>
      </w:r>
      <w:r>
        <w:rPr>
          <w:rFonts w:eastAsia="IRNazanin" w:cs="IRNazanin"/>
          <w:color w:val="111111"/>
          <w:sz w:val="28"/>
          <w:szCs w:val="28"/>
          <w:rtl w:val="true"/>
          <w:lang w:bidi="fa-IR"/>
        </w:rPr>
        <w:t>.</w:t>
      </w:r>
    </w:p>
    <w:p>
      <w:pPr>
        <w:pStyle w:val="Heading6"/>
        <w:numPr>
          <w:ilvl w:val="5"/>
          <w:numId w:val="1"/>
        </w:numPr>
        <w:rPr/>
      </w:pPr>
      <w:bookmarkStart w:id="950" w:name="__RefHeading___Toc735365_3244359995"/>
      <w:bookmarkStart w:id="951" w:name="_Toc357"/>
      <w:bookmarkEnd w:id="950"/>
      <w:r>
        <w:rPr>
          <w:rtl w:val="true"/>
        </w:rPr>
        <w:t>بحث</w:t>
      </w:r>
      <w:r>
        <w:rPr>
          <w:rtl w:val="true"/>
        </w:rPr>
        <w:t xml:space="preserve">: </w:t>
      </w:r>
      <w:r>
        <w:rPr>
          <w:rtl w:val="true"/>
        </w:rPr>
        <w:t>حول صورتی تقدّم العلم علی الاضطرار</w:t>
      </w:r>
      <w:bookmarkEnd w:id="951"/>
    </w:p>
    <w:p>
      <w:pPr>
        <w:pStyle w:val="BookText"/>
        <w:rPr/>
      </w:pPr>
      <w:r>
        <w:rPr>
          <w:rFonts w:ascii="IRNazanin" w:hAnsi="IRNazanin" w:eastAsia="IRNazanin"/>
          <w:color w:val="111111"/>
          <w:sz w:val="28"/>
          <w:sz w:val="28"/>
          <w:szCs w:val="28"/>
          <w:rtl w:val="true"/>
          <w:lang w:bidi="fa-IR"/>
        </w:rPr>
        <w:t>بقی الموردان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صورة تقدّم العلم علی الاضطرار إلی المعیّن، أو غیر المعیّن، ضرورة أنّه یؤثّر أثره حدوثا، و لیس التکلیف مراعی بعدم طروّ الاضطرار، کی یکشف بعد طروّه عن فقده من الأوّل، فالتقیید بالأدلّة الشرعیّة ینتج انتفاء الحکم بقاء بطروّ الاضطرار فیما إذا کان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الصورة الثانیة لا تقیید؛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یبقی علی کلّ تقدیر العلم بالتکلیف الفعلیّ؛ لاحتمال کون المشروب هو المعلوم المحرّم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توهّمه بعضهم من بقاء العلم فی الصورة الثانیة؛ لأنّ التطبیق علی الطرف الواحد بحکم العقل </w:t>
      </w:r>
      <w:r>
        <w:rPr>
          <w:rStyle w:val="FootnoteAnchor"/>
          <w:rtl w:val="true"/>
        </w:rPr>
        <w:footnoteReference w:id="1235"/>
      </w:r>
      <w:r>
        <w:rPr>
          <w:rFonts w:ascii="IRNazanin" w:hAnsi="IRNazanin" w:eastAsia="IRNazanin"/>
          <w:color w:val="111111"/>
          <w:sz w:val="28"/>
          <w:sz w:val="28"/>
          <w:szCs w:val="28"/>
          <w:rtl w:val="true"/>
          <w:lang w:bidi="fa-IR"/>
        </w:rPr>
        <w:t>، غیر تامّ؛ لأنّ احتمال الانطباق لا یجامع بقاء المعلوم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بقاء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ینتفی العلم قطعا دون أثره؛ لما أنّ التنجّز لیس من الآثار التولیدیّة، بل هناک مجرّد إدراک علی نعت القضیّة الشرطیّة؛ ضرورة أنّه فی موارد العلم الإجمالیّ لیس إلّا العلم بالحجّة الإجمالیّة، فلا یعقل ترتیب القضیّة البتّیة، فإذا أدرک العقل حین العلم أنّه لو صادف ما یرتکبه الواقع یؤاخذ و یستحقّ العقوبة، تکون هذه القضیّة باقیة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ذلک أیضا؛ لأنّ الإدراک بمبدئیّة العلم و إن لم یکن</w:t>
      </w:r>
    </w:p>
    <w:p>
      <w:pPr>
        <w:pStyle w:val="BookText"/>
        <w:rPr/>
      </w:pPr>
      <w:r>
        <w:rPr>
          <w:rFonts w:ascii="IRNazanin" w:hAnsi="IRNazanin" w:eastAsia="IRNazanin"/>
          <w:color w:val="111111"/>
          <w:sz w:val="28"/>
          <w:sz w:val="28"/>
          <w:szCs w:val="28"/>
          <w:rtl w:val="true"/>
          <w:lang w:bidi="fa-IR"/>
        </w:rPr>
        <w:t>العلم مؤثّرا و مفیض الوجود، و لکنّه دخیل ثبوتا حدوثا و بقاء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بأنّ الاشتغال الیقینیّ یقتضی البراءة الیقینیّة</w:t>
      </w:r>
      <w:r>
        <w:rPr>
          <w:rStyle w:val="FootnoteAnchor"/>
          <w:rtl w:val="true"/>
        </w:rPr>
        <w:footnoteReference w:id="1236"/>
      </w:r>
      <w:r>
        <w:rPr>
          <w:rFonts w:ascii="IRNazanin" w:hAnsi="IRNazanin" w:eastAsia="IRNazanin"/>
          <w:color w:val="111111"/>
          <w:sz w:val="28"/>
          <w:sz w:val="28"/>
          <w:szCs w:val="28"/>
          <w:rtl w:val="true"/>
          <w:lang w:bidi="fa-IR"/>
        </w:rPr>
        <w:t xml:space="preserve">، فهو أیضا محلّ منع فی مثل المحرّمات، فإنّه لیس هناک إلّا لزوم الانزجار عن الزجر بترک المبغوض المکلّف به، و لیس اعتبار فی الذمّة و إن قیل به أو قالوا فی مطلق الواجبات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خارجة عن أدلّة الاضطرار لجهتین، و المحرّمات مندرجة، فالقاعدة المعروفة هنا لا تنفع شیئا، فاغتنم و تدبّر،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بقاء العلم إلی ما بعد الاضطرار، و قد عرفت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کلمات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بقاء التکلیف المتوسّط الناقص </w:t>
      </w:r>
      <w:r>
        <w:rPr>
          <w:rStyle w:val="FootnoteAnchor"/>
          <w:rtl w:val="true"/>
        </w:rPr>
        <w:footnoteReference w:id="1238"/>
      </w:r>
      <w:r>
        <w:rPr>
          <w:rFonts w:ascii="IRNazanin" w:hAnsi="IRNazanin" w:eastAsia="IRNazanin"/>
          <w:color w:val="111111"/>
          <w:sz w:val="28"/>
          <w:sz w:val="28"/>
          <w:szCs w:val="28"/>
          <w:rtl w:val="true"/>
          <w:lang w:bidi="fa-IR"/>
        </w:rPr>
        <w:t>، 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بقاء أثر العلم بالنسبة إلی الطرف، و هو أیضا ممنوع صناعة بعد کون المعلوم محتمل الانتفاء، و العلم منتف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تبقی دعوی حکم العقلاء و العقل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الترخیص یناقض القول بالعلّیة التامّة دون الاقتضاء، فیلزم التفصیل </w:t>
      </w:r>
      <w:r>
        <w:rPr>
          <w:rStyle w:val="FootnoteAnchor"/>
          <w:rtl w:val="true"/>
        </w:rPr>
        <w:footnoteReference w:id="1239"/>
      </w:r>
      <w:r>
        <w:rPr>
          <w:rFonts w:ascii="IRNazanin" w:hAnsi="IRNazanin" w:eastAsia="IRNazanin"/>
          <w:color w:val="111111"/>
          <w:sz w:val="28"/>
          <w:sz w:val="28"/>
          <w:szCs w:val="28"/>
          <w:rtl w:val="true"/>
          <w:lang w:bidi="fa-IR"/>
        </w:rPr>
        <w:t>، فهی غیر تامّة، لما مرّ من فساد أصل هذه المسألة</w:t>
      </w:r>
      <w:r>
        <w:rPr>
          <w:rStyle w:val="FootnoteAnchor"/>
          <w:rtl w:val="true"/>
        </w:rPr>
        <w:footnoteReference w:id="1240"/>
      </w:r>
      <w:r>
        <w:rPr>
          <w:rFonts w:ascii="IRNazanin" w:hAnsi="IRNazanin" w:eastAsia="IRNazanin"/>
          <w:color w:val="111111"/>
          <w:sz w:val="28"/>
          <w:sz w:val="28"/>
          <w:szCs w:val="28"/>
          <w:rtl w:val="true"/>
          <w:lang w:bidi="fa-IR"/>
        </w:rPr>
        <w:t>و أنّ التکلیف لا یکون ذا مراتب فی الفعلیّة، و أنّ العلم لا یوجب کونه ذا مراتب، فحینئذ احتمال المناقضة موجود، و یرتفع بما ارتفع به فی الشبهة البدویّة من کیفیّة الجمع بین الحکم الظاهریّ و الواقعیّ</w:t>
      </w:r>
      <w:r>
        <w:rPr>
          <w:rFonts w:eastAsia="IRNazanin" w:cs="IRNazanin"/>
          <w:color w:val="111111"/>
          <w:sz w:val="28"/>
          <w:szCs w:val="28"/>
          <w:rtl w:val="true"/>
          <w:lang w:bidi="fa-IR"/>
        </w:rPr>
        <w:t>.</w:t>
      </w:r>
      <w:bookmarkStart w:id="952" w:name="pg13173_325155"/>
    </w:p>
    <w:p>
      <w:pPr>
        <w:pStyle w:val="Heading6"/>
        <w:numPr>
          <w:ilvl w:val="5"/>
          <w:numId w:val="1"/>
        </w:numPr>
        <w:rPr/>
      </w:pPr>
      <w:bookmarkStart w:id="953" w:name="__RefHeading___Toc735367_3244359995"/>
      <w:bookmarkStart w:id="954" w:name="_Toc358"/>
      <w:bookmarkEnd w:id="952"/>
      <w:bookmarkEnd w:id="953"/>
      <w:r>
        <w:rPr>
          <w:rtl w:val="true"/>
        </w:rPr>
        <w:t>بیان آخر للقول بالاحتیاط فی الطرف</w:t>
      </w:r>
      <w:r>
        <w:rPr>
          <w:rtl w:val="true"/>
        </w:rPr>
        <w:t>:</w:t>
      </w:r>
      <w:bookmarkEnd w:id="954"/>
    </w:p>
    <w:p>
      <w:pPr>
        <w:pStyle w:val="BookText"/>
        <w:rPr/>
      </w:pPr>
      <w:r>
        <w:rPr>
          <w:rFonts w:ascii="IRNazanin" w:hAnsi="IRNazanin" w:eastAsia="IRNazanin"/>
          <w:color w:val="111111"/>
          <w:sz w:val="28"/>
          <w:sz w:val="28"/>
          <w:szCs w:val="28"/>
          <w:rtl w:val="true"/>
          <w:lang w:bidi="fa-IR"/>
        </w:rPr>
        <w:t>و هو أنّ العلم الإجمالیّ قد نجّز الواقع بالضرورة، و بذهاب العلم و إن لم یدرک العقل تنجّز التکلیف، إلّا أنّ جریان البراءة ممنوع؛ لاحتمال کون الطرف هو الواقع المنجّز، و البراءة مخصوصة بالواقع الذی لا یحتمل تنجّزه بمنجّز سابق، و لذلک ذهب المشهور فی موارد العلم الإجمالیّ بالأقلّ و الأکثر فی قضاء الصلوات إلی الاحتیاط؛ نظرا؛ إلی أنّ العادة تحکم بتنجّز تکلیف القضاء بمضیّ الوقت، لتعارف الاطلاع علیه بعد انقضاء الوقت، و اعتیاد العلم به بعده،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البراءة الشرعیّة غیر جاریة فی مورد لا تجری فیه العقلیّة و العقلائیّة، یتمّ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من بقاء أثر العلم </w:t>
      </w:r>
      <w:r>
        <w:rPr>
          <w:rStyle w:val="FootnoteAnchor"/>
          <w:rtl w:val="true"/>
        </w:rPr>
        <w:footnoteReference w:id="1241"/>
      </w:r>
      <w:r>
        <w:rPr>
          <w:rFonts w:ascii="IRNazanin" w:hAnsi="IRNazanin" w:eastAsia="IRNazanin"/>
          <w:color w:val="111111"/>
          <w:sz w:val="28"/>
          <w:sz w:val="28"/>
          <w:szCs w:val="28"/>
          <w:rtl w:val="true"/>
          <w:lang w:bidi="fa-IR"/>
        </w:rPr>
        <w:t>، أو بأنّ الاشتغال الیقینیّ یقتضی البراءة الیقینیّة</w:t>
      </w:r>
      <w:r>
        <w:rPr>
          <w:rStyle w:val="FootnoteAnchor"/>
          <w:rtl w:val="true"/>
        </w:rPr>
        <w:footnoteReference w:id="1242"/>
      </w:r>
      <w:r>
        <w:rPr>
          <w:rFonts w:ascii="IRNazanin" w:hAnsi="IRNazanin" w:eastAsia="IRNazanin"/>
          <w:color w:val="111111"/>
          <w:sz w:val="28"/>
          <w:sz w:val="28"/>
          <w:szCs w:val="28"/>
          <w:rtl w:val="true"/>
          <w:lang w:bidi="fa-IR"/>
        </w:rPr>
        <w:t>، ممّا لا أصل له فیما نحن فیه</w:t>
      </w:r>
      <w:r>
        <w:rPr>
          <w:rFonts w:eastAsia="IRNazanin" w:cs="IRNazanin"/>
          <w:color w:val="111111"/>
          <w:sz w:val="28"/>
          <w:szCs w:val="28"/>
          <w:rtl w:val="true"/>
          <w:lang w:bidi="fa-IR"/>
        </w:rPr>
        <w:t>.</w:t>
      </w:r>
    </w:p>
    <w:p>
      <w:pPr>
        <w:pStyle w:val="Heading6"/>
        <w:numPr>
          <w:ilvl w:val="5"/>
          <w:numId w:val="1"/>
        </w:numPr>
        <w:rPr/>
      </w:pPr>
      <w:bookmarkStart w:id="955" w:name="__RefHeading___Toc735369_3244359995"/>
      <w:bookmarkStart w:id="956" w:name="_Toc359"/>
      <w:bookmarkEnd w:id="955"/>
      <w:r>
        <w:rPr>
          <w:rtl w:val="true"/>
        </w:rPr>
        <w:t>تنبیهات</w:t>
      </w:r>
      <w:bookmarkEnd w:id="956"/>
    </w:p>
    <w:p>
      <w:pPr>
        <w:pStyle w:val="Heading6"/>
        <w:numPr>
          <w:ilvl w:val="5"/>
          <w:numId w:val="1"/>
        </w:numPr>
        <w:rPr/>
      </w:pPr>
      <w:bookmarkStart w:id="957" w:name="__RefHeading___Toc735371_3244359995"/>
      <w:bookmarkStart w:id="958" w:name="_Toc360"/>
      <w:bookmarkEnd w:id="957"/>
      <w:r>
        <w:rPr>
          <w:rtl w:val="true"/>
        </w:rPr>
        <w:t>الأوّل</w:t>
      </w:r>
      <w:r>
        <w:rPr>
          <w:rtl w:val="true"/>
        </w:rPr>
        <w:t xml:space="preserve">: </w:t>
      </w:r>
      <w:r>
        <w:rPr>
          <w:rtl w:val="true"/>
        </w:rPr>
        <w:t>حول جواز شرب الإناء الثانی عند احتمال انتفاء الاضطرار إلی الأوّل</w:t>
      </w:r>
      <w:bookmarkEnd w:id="958"/>
    </w:p>
    <w:p>
      <w:pPr>
        <w:pStyle w:val="BookText"/>
        <w:rPr/>
      </w:pPr>
      <w:r>
        <w:rPr>
          <w:rFonts w:ascii="IRNazanin" w:hAnsi="IRNazanin" w:eastAsia="IRNazanin"/>
          <w:color w:val="111111"/>
          <w:sz w:val="28"/>
          <w:sz w:val="28"/>
          <w:szCs w:val="28"/>
          <w:rtl w:val="true"/>
          <w:lang w:bidi="fa-IR"/>
        </w:rPr>
        <w:t>لو اضطرّ إلی شرب المائع المردّد بین الحلال و الحرام، فهل یجوز شرب الإناء الثانی مع احتمال انتفاء اضطراره بالأوّل؟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یجب الاصطبار کی یعلم بارتفاع اضطراره أو بقائه؟</w:t>
      </w:r>
      <w:bookmarkStart w:id="959" w:name="pg13173_325156"/>
    </w:p>
    <w:p>
      <w:pPr>
        <w:pStyle w:val="BookText"/>
        <w:rPr/>
      </w:pPr>
      <w:bookmarkEnd w:id="959"/>
      <w:r>
        <w:rPr>
          <w:rFonts w:ascii="IRNazanin" w:hAnsi="IRNazanin" w:eastAsia="IRNazanin"/>
          <w:color w:val="111111"/>
          <w:sz w:val="28"/>
          <w:sz w:val="28"/>
          <w:szCs w:val="28"/>
          <w:rtl w:val="true"/>
          <w:lang w:bidi="fa-IR"/>
        </w:rPr>
        <w:t>أو یجوز البدار إلی الإناء الباقیّ؛ استصحابا للعنوان؟</w:t>
      </w:r>
    </w:p>
    <w:p>
      <w:pPr>
        <w:pStyle w:val="BookText"/>
        <w:rPr/>
      </w:pPr>
      <w:r>
        <w:rPr>
          <w:rFonts w:ascii="IRNazanin" w:hAnsi="IRNazanin" w:eastAsia="IRNazanin"/>
          <w:color w:val="111111"/>
          <w:sz w:val="28"/>
          <w:sz w:val="28"/>
          <w:szCs w:val="28"/>
          <w:rtl w:val="true"/>
          <w:lang w:bidi="fa-IR"/>
        </w:rPr>
        <w:t>أم نفس الاحتمال یوجب صدق الاضطرار، فلا یبقی مورد للشک؟</w:t>
      </w:r>
    </w:p>
    <w:p>
      <w:pPr>
        <w:pStyle w:val="BookText"/>
        <w:rPr/>
      </w:pPr>
      <w:r>
        <w:rPr>
          <w:rFonts w:ascii="IRNazanin" w:hAnsi="IRNazanin" w:eastAsia="IRNazanin"/>
          <w:color w:val="111111"/>
          <w:sz w:val="28"/>
          <w:sz w:val="28"/>
          <w:szCs w:val="28"/>
          <w:rtl w:val="true"/>
          <w:lang w:bidi="fa-IR"/>
        </w:rPr>
        <w:t>فی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صور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یلتفت بعد العلم الإجمالیّ باضطراره قبل العلم إلی الإناء المعیّن، فإنّه لا یبعد أن یکون حکمه حکم الاضطرار السابق الملتفت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غیر الالتفات إلی الیقین الاستصحابیّ بعد العلم الإجمالیّ بنجاسة أحد الإناءین، فإنّه یجوز توهّم تنجیز العلم بالنسبة إلی الطرف؛ لتمامیّة الشرائط، و الانحلال المتأخّر عن التنجیز، لا یوجب الترخیص فی الطرف عندهم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0" w:name="__RefHeading___Toc735373_3244359995"/>
      <w:bookmarkStart w:id="961" w:name="_Toc361"/>
      <w:bookmarkEnd w:id="960"/>
      <w:r>
        <w:rPr>
          <w:rtl w:val="true"/>
        </w:rPr>
        <w:t>الثانی</w:t>
      </w:r>
      <w:r>
        <w:rPr>
          <w:rtl w:val="true"/>
        </w:rPr>
        <w:t xml:space="preserve">: </w:t>
      </w:r>
      <w:r>
        <w:rPr>
          <w:rtl w:val="true"/>
        </w:rPr>
        <w:t>فیما لو علم بطروّ الاضطرار</w:t>
      </w:r>
      <w:bookmarkEnd w:id="961"/>
    </w:p>
    <w:p>
      <w:pPr>
        <w:pStyle w:val="BookText"/>
        <w:rPr/>
      </w:pPr>
      <w:r>
        <w:rPr>
          <w:rFonts w:ascii="IRNazanin" w:hAnsi="IRNazanin" w:eastAsia="IRNazanin"/>
          <w:color w:val="111111"/>
          <w:sz w:val="28"/>
          <w:sz w:val="28"/>
          <w:szCs w:val="28"/>
          <w:rtl w:val="true"/>
          <w:lang w:bidi="fa-IR"/>
        </w:rPr>
        <w:t>لو علم أوّلا، ثمّ علم بطروّ الاضطرار إلی الإناء المعیّن بعد ساعة، أو بالعکس، فهل العلم بطروّ الاضطرار بعد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قصورا فی تأثیر العلم الإجمالیّ؛ کی یجوز التصرّف فی الطرف قبل طروّ الاضطرار، أم لا؟</w:t>
      </w:r>
    </w:p>
    <w:p>
      <w:pPr>
        <w:pStyle w:val="Heading6"/>
        <w:numPr>
          <w:ilvl w:val="5"/>
          <w:numId w:val="1"/>
        </w:numPr>
        <w:rPr/>
      </w:pPr>
      <w:bookmarkStart w:id="962" w:name="__RefHeading___Toc735375_3244359995"/>
      <w:bookmarkStart w:id="963" w:name="_Toc362"/>
      <w:bookmarkEnd w:id="962"/>
      <w:r>
        <w:rPr>
          <w:rtl w:val="true"/>
        </w:rPr>
        <w:t>الثالث</w:t>
      </w:r>
      <w:r>
        <w:rPr>
          <w:rtl w:val="true"/>
        </w:rPr>
        <w:t xml:space="preserve">: </w:t>
      </w:r>
      <w:r>
        <w:rPr>
          <w:rtl w:val="true"/>
        </w:rPr>
        <w:t>فی وجوب الفحص عن الفرد المحرّم لرفع الاضطرار بغیره</w:t>
      </w:r>
      <w:bookmarkEnd w:id="96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المعروف عدم وجوب الفحص عن غیر الشبهات الحکمیّة</w:t>
      </w:r>
      <w:r>
        <w:rPr>
          <w:rStyle w:val="FootnoteAnchor"/>
          <w:rtl w:val="true"/>
        </w:rPr>
        <w:footnoteReference w:id="1244"/>
      </w:r>
      <w:r>
        <w:rPr>
          <w:rFonts w:ascii="IRNazanin" w:hAnsi="IRNazanin" w:eastAsia="IRNazanin"/>
          <w:color w:val="111111"/>
          <w:sz w:val="28"/>
          <w:sz w:val="28"/>
          <w:szCs w:val="28"/>
          <w:rtl w:val="true"/>
          <w:lang w:bidi="fa-IR"/>
        </w:rPr>
        <w:t>، فهل فیما نحن فیه إذا تمکّن من الاطلاع علی الفرد المحرّم یجب ذلک، کی یرفع اضطراره بغیره، أم لا؟</w:t>
      </w:r>
      <w:bookmarkStart w:id="964" w:name="pg13173_325157"/>
    </w:p>
    <w:p>
      <w:pPr>
        <w:pStyle w:val="BookText"/>
        <w:rPr/>
      </w:pPr>
      <w:bookmarkEnd w:id="964"/>
      <w:r>
        <w:rPr>
          <w:rFonts w:ascii="IRNazanin" w:hAnsi="IRNazanin" w:eastAsia="IRNazanin"/>
          <w:color w:val="111111"/>
          <w:sz w:val="28"/>
          <w:sz w:val="28"/>
          <w:szCs w:val="28"/>
          <w:rtl w:val="true"/>
          <w:lang w:bidi="fa-IR"/>
        </w:rPr>
        <w:t>لا یبعد ذلک؛ ضرورة أنّ المضطرّ إلیه هو الجامع الذی لا حکم له بما هو هو، فعندئذ یجب التحفّظ علی المحرّم الواقعی الموجود؛ کی یکون علی عذر عقلائیّ أو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یخطر بالبال أنّ الجامع بین المحرّم و المحلّل، لیس بلا حکم؛ لأنّ طبیعة الجنس موجودة مع النوع، فالمائع المضطرّ إلیه لیس علی الإطلاق بلا حکم؛ ضرورة أنّه فی ضمن صوره الخمر محرّم و إن یمکن سلب الحرمة عنه بما هو هو، إلّا أنّه لا ینفع الحیثیّة و التفکیک بین الحیثیّات فی المقام، و لذلک لا یعقل أن یرد دلیل علی حلّیة المائع، و حرمة الخمر، إلّا أن یجمع بینهما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حیثیّة الاضطرار غیر ما اشیر إلیه، فعندئذ یجوز الاضطرار إلی حیثیّة المائع من غیر کونه ساریا إلی الموجود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فی متعلّق المضطرّ إلیه هی الساریة، و هو باطل، فافهم و اغتنم</w:t>
      </w:r>
      <w:r>
        <w:rPr>
          <w:rFonts w:eastAsia="IRNazanin" w:cs="IRNazanin"/>
          <w:color w:val="111111"/>
          <w:sz w:val="28"/>
          <w:szCs w:val="28"/>
          <w:rtl w:val="true"/>
          <w:lang w:bidi="fa-IR"/>
        </w:rPr>
        <w:t>.</w:t>
      </w:r>
    </w:p>
    <w:p>
      <w:pPr>
        <w:pStyle w:val="Heading6"/>
        <w:numPr>
          <w:ilvl w:val="5"/>
          <w:numId w:val="1"/>
        </w:numPr>
        <w:rPr/>
      </w:pPr>
      <w:bookmarkStart w:id="965" w:name="__RefHeading___Toc735377_3244359995"/>
      <w:bookmarkStart w:id="966" w:name="_Toc363"/>
      <w:bookmarkEnd w:id="965"/>
      <w:r>
        <w:rPr>
          <w:rtl w:val="true"/>
        </w:rPr>
        <w:t>الرابع</w:t>
      </w:r>
      <w:r>
        <w:rPr>
          <w:rtl w:val="true"/>
        </w:rPr>
        <w:t xml:space="preserve">: </w:t>
      </w:r>
      <w:r>
        <w:rPr>
          <w:rtl w:val="true"/>
        </w:rPr>
        <w:t>فی الاضطرار إلی ترک الواجب</w:t>
      </w:r>
      <w:bookmarkEnd w:id="966"/>
    </w:p>
    <w:p>
      <w:pPr>
        <w:pStyle w:val="BookText"/>
        <w:rPr/>
      </w:pPr>
      <w:r>
        <w:rPr>
          <w:rFonts w:ascii="IRNazanin" w:hAnsi="IRNazanin" w:eastAsia="IRNazanin"/>
          <w:color w:val="111111"/>
          <w:sz w:val="28"/>
          <w:sz w:val="28"/>
          <w:szCs w:val="28"/>
          <w:rtl w:val="true"/>
          <w:lang w:bidi="fa-IR"/>
        </w:rPr>
        <w:t>قد مضی فی مطاوی بحوثنا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ترک الواجب، لا معنی له إلّا برجوعه إلی انتفاء القدرة العادیّة علی إتیانه، فیکون خارجا عن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یشمل أدلّة الاضطرار ترک الواجبات؛ لما لا حکم له شرعا، فلو اضطرّ إلی ترک السورة فلا دلیل علی تصحیح الصلاة؛ لأنّ بطلان الکلّ بترک الجزء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اضطرّ إلی إیجاد المانع فلا بأس به، کما لا یخفی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ترک الواجب کحدیث استصحاب عدم الموضوع، فکما یرتفع الموضوع باعتبار حکمه، کذلک فیما نحن فیه، فیرفع حکم السورة و هی</w:t>
      </w:r>
      <w:bookmarkStart w:id="967" w:name="pg13173_325158"/>
    </w:p>
    <w:p>
      <w:pPr>
        <w:pStyle w:val="BookText"/>
        <w:rPr/>
      </w:pPr>
      <w:bookmarkEnd w:id="967"/>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المسألة هناک أیضا مشکلة إلّا علی القول بأماریّة الاستصحاب الشرعیّة، 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یستشمّ فرق بینهما؛ ضرورة أنّ ترک السورة مورد الاضطرار علی معناه الاسمیّ الملتفت إلیه، بخلاف عدم زید، أو عدم عدالته، فإنّ المستصحب قضیّة؛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لم یکن عادلا، و الآن لیس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فالقضیّة سالبة محصّلة، و العدم لا یضاف إلی شی‌ء إلّا فی کلمات القوم تسهیلا، فما فی تعابیرهم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استصحاب الأعدام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الغلط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یجوز لأحد دعوی أنّ التعبّد بأنّ زیدا 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انتفاء حکم العادل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بخلاف ما نحن فیه، فلیتدبّر</w:t>
      </w:r>
      <w:r>
        <w:rPr>
          <w:rFonts w:eastAsia="IRNazanin" w:cs="IRNazanin"/>
          <w:color w:val="111111"/>
          <w:sz w:val="28"/>
          <w:szCs w:val="28"/>
          <w:rtl w:val="true"/>
          <w:lang w:bidi="fa-IR"/>
        </w:rPr>
        <w:t>.</w:t>
      </w:r>
    </w:p>
    <w:p>
      <w:pPr>
        <w:pStyle w:val="Heading6"/>
        <w:numPr>
          <w:ilvl w:val="5"/>
          <w:numId w:val="1"/>
        </w:numPr>
        <w:rPr/>
      </w:pPr>
      <w:bookmarkStart w:id="968" w:name="__RefHeading___Toc735379_3244359995"/>
      <w:bookmarkStart w:id="969" w:name="_Toc364"/>
      <w:bookmarkEnd w:id="968"/>
      <w:r>
        <w:rPr>
          <w:rtl w:val="true"/>
        </w:rPr>
        <w:t>التنبیه العاشر فی ملاقی بعض أطراف العلم الإجمالی</w:t>
      </w:r>
      <w:bookmarkEnd w:id="969"/>
    </w:p>
    <w:p>
      <w:pPr>
        <w:pStyle w:val="Heading6"/>
        <w:numPr>
          <w:ilvl w:val="5"/>
          <w:numId w:val="1"/>
        </w:numPr>
        <w:rPr/>
      </w:pPr>
      <w:bookmarkStart w:id="970" w:name="__RefHeading___Toc735381_3244359995"/>
      <w:bookmarkStart w:id="971" w:name="_Toc365"/>
      <w:bookmarkEnd w:id="970"/>
      <w:r>
        <w:rPr>
          <w:rtl w:val="true"/>
        </w:rPr>
        <w:t>اشارة</w:t>
      </w:r>
      <w:bookmarkEnd w:id="971"/>
    </w:p>
    <w:p>
      <w:pPr>
        <w:pStyle w:val="BookText"/>
        <w:rPr/>
      </w:pPr>
      <w:r>
        <w:rPr>
          <w:rFonts w:ascii="IRNazanin" w:hAnsi="IRNazanin" w:eastAsia="IRNazanin"/>
          <w:color w:val="111111"/>
          <w:sz w:val="28"/>
          <w:sz w:val="28"/>
          <w:szCs w:val="28"/>
          <w:rtl w:val="true"/>
          <w:lang w:bidi="fa-IR"/>
        </w:rPr>
        <w:t>من الامور التی وقعت مورد بحثهم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نجاسة الملاقی لأطراف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مضافا إلی کونه مسألة فقهیّة خاصّة، غیر مناسب لجهة البحث هنا؛ فإنّ الفحص عن موارد العلم الإجمالیّ لیس دأب الاصولیّ، و إنّما دأبه التفتیش عن حدود شرائط تنجیز العلم، و أمّا أنّ فی المقام تکون الشرائط موجودة أم لا، فهو یطول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بعض المباحث الاخر کمسألة الاضطرار أیضا من هذا القبیل، إلّا أنّه لکونه ممّا یبتلی به فی الفقه فلا بأس به، ککثیر من المباحث الاصولیّة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نجاسة الملاقی، فهو موکول تفصیله إلی الفقه، و تنقیحه علی وجه یناسب المقام یتوقّف علی تقدیم امور و جیزة؛ و البحث عن جهات عدیدة</w:t>
      </w:r>
      <w:r>
        <w:rPr>
          <w:rFonts w:eastAsia="IRNazanin" w:cs="IRNazanin"/>
          <w:color w:val="111111"/>
          <w:sz w:val="28"/>
          <w:szCs w:val="28"/>
          <w:rtl w:val="true"/>
          <w:lang w:bidi="fa-IR"/>
        </w:rPr>
        <w:t>.</w:t>
      </w:r>
      <w:bookmarkStart w:id="972" w:name="pg13173_325159"/>
    </w:p>
    <w:p>
      <w:pPr>
        <w:pStyle w:val="Heading6"/>
        <w:numPr>
          <w:ilvl w:val="5"/>
          <w:numId w:val="1"/>
        </w:numPr>
        <w:rPr/>
      </w:pPr>
      <w:bookmarkStart w:id="973" w:name="__RefHeading___Toc735383_3244359995"/>
      <w:bookmarkStart w:id="974" w:name="_Toc366"/>
      <w:bookmarkEnd w:id="972"/>
      <w:bookmarkEnd w:id="973"/>
      <w:r>
        <w:rPr>
          <w:rtl w:val="true"/>
        </w:rPr>
        <w:t>الأمر الأوّل</w:t>
      </w:r>
      <w:r>
        <w:rPr>
          <w:rtl w:val="true"/>
        </w:rPr>
        <w:t xml:space="preserve">: </w:t>
      </w:r>
      <w:r>
        <w:rPr>
          <w:rtl w:val="true"/>
        </w:rPr>
        <w:t>فی أنّ ملاقی النجس نجس بعنوانه</w:t>
      </w:r>
      <w:bookmarkEnd w:id="974"/>
    </w:p>
    <w:p>
      <w:pPr>
        <w:pStyle w:val="BookText"/>
        <w:rPr/>
      </w:pPr>
      <w:r>
        <w:rPr>
          <w:rFonts w:ascii="IRNazanin" w:hAnsi="IRNazanin" w:eastAsia="IRNazanin"/>
          <w:color w:val="111111"/>
          <w:sz w:val="28"/>
          <w:sz w:val="28"/>
          <w:szCs w:val="28"/>
          <w:rtl w:val="true"/>
          <w:lang w:bidi="fa-IR"/>
        </w:rPr>
        <w:t>قد اتفقت آراؤهم بعد القول بمنجّسیة النجس، علی أنّ المتنجّس محکوم بأحکام النجس علی الإطلاق إلّا ما خرج بالدلیل، و له الاستقلال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الأدلّة</w:t>
      </w:r>
      <w:r>
        <w:rPr>
          <w:rStyle w:val="FootnoteAnchor"/>
          <w:rtl w:val="true"/>
        </w:rPr>
        <w:footnoteReference w:id="1245"/>
      </w:r>
      <w:r>
        <w:rPr>
          <w:rFonts w:ascii="IRNazanin" w:hAnsi="IRNazanin" w:eastAsia="IRNazanin"/>
          <w:color w:val="111111"/>
          <w:sz w:val="28"/>
          <w:sz w:val="28"/>
          <w:szCs w:val="28"/>
          <w:rtl w:val="true"/>
          <w:lang w:bidi="fa-IR"/>
        </w:rPr>
        <w:t>بعد الاعتراف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اعتبر ملاقی النجس بعنوانه من النجس، فکلّما تحقّق فی الخارج یجب الاجتناب عنه، من غیر دخالة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حدوث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یمتنع؛ لأنّ الحکم یترشّح من قبل المبادئ الموجودة عند الحاکم، و إنّما الملاقاة توجب تحقّق الموضوع، کسائر موجبات تحقّق الموضوعات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تقریرات العلّامة الأراکیّ قدّس سرّه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 ترشّح الحکم بسببیّة الملاقاة</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نسب إلی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مخصوصا بحکم </w:t>
      </w:r>
      <w:r>
        <w:rPr>
          <w:rStyle w:val="FootnoteAnchor"/>
          <w:rtl w:val="true"/>
        </w:rPr>
        <w:footnoteReference w:id="1247"/>
      </w:r>
      <w:r>
        <w:rPr>
          <w:rFonts w:ascii="IRNazanin" w:hAnsi="IRNazanin" w:eastAsia="IRNazanin"/>
          <w:color w:val="111111"/>
          <w:sz w:val="28"/>
          <w:sz w:val="28"/>
          <w:szCs w:val="28"/>
          <w:rtl w:val="true"/>
          <w:lang w:bidi="fa-IR"/>
        </w:rPr>
        <w:t>، یرجع إلی إنکاره نجاسة الملاقی بعنوانه، و لا یترتّب علی مسلکه بحث فیما نحن فیه؛ ضرورة أنّ الاختلافات الکثیرة فی هذه المسألة، ناشئة عن مقالة المشهور</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کلام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مقالته وجها لوجوب الاجتناب عن الملاقی فیما نحن فیه </w:t>
      </w:r>
      <w:r>
        <w:rPr>
          <w:rStyle w:val="FootnoteAnchor"/>
          <w:rtl w:val="true"/>
        </w:rPr>
        <w:footnoteReference w:id="1249"/>
      </w:r>
      <w:r>
        <w:rPr>
          <w:rFonts w:ascii="IRNazanin" w:hAnsi="IRNazanin" w:eastAsia="IRNazanin"/>
          <w:color w:val="111111"/>
          <w:sz w:val="28"/>
          <w:sz w:val="28"/>
          <w:szCs w:val="28"/>
          <w:rtl w:val="true"/>
          <w:lang w:bidi="fa-IR"/>
        </w:rPr>
        <w:t>، غیر سدید</w:t>
      </w:r>
      <w:r>
        <w:rPr>
          <w:rFonts w:eastAsia="IRNazanin" w:cs="IRNazanin"/>
          <w:color w:val="111111"/>
          <w:sz w:val="28"/>
          <w:szCs w:val="28"/>
          <w:rtl w:val="true"/>
          <w:lang w:bidi="fa-IR"/>
        </w:rPr>
        <w:t>.</w:t>
      </w:r>
      <w:bookmarkStart w:id="975" w:name="pg13173_325160"/>
    </w:p>
    <w:p>
      <w:pPr>
        <w:pStyle w:val="BookText"/>
        <w:rPr/>
      </w:pPr>
      <w:bookmarkEnd w:id="975"/>
      <w:r>
        <w:rPr>
          <w:rFonts w:ascii="IRNazanin" w:hAnsi="IRNazanin" w:eastAsia="IRNazanin"/>
          <w:color w:val="111111"/>
          <w:sz w:val="28"/>
          <w:sz w:val="28"/>
          <w:szCs w:val="28"/>
          <w:rtl w:val="true"/>
          <w:lang w:bidi="fa-IR"/>
        </w:rPr>
        <w:t>کما أنّ ما فی کلام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إحداث الاحتمال الثالث </w:t>
      </w:r>
      <w:r>
        <w:rPr>
          <w:rStyle w:val="FootnoteAnchor"/>
          <w:rtl w:val="true"/>
        </w:rPr>
        <w:footnoteReference w:id="1250"/>
      </w:r>
      <w:r>
        <w:rPr>
          <w:rFonts w:ascii="IRNazanin" w:hAnsi="IRNazanin" w:eastAsia="IRNazanin"/>
          <w:color w:val="111111"/>
          <w:sz w:val="28"/>
          <w:sz w:val="28"/>
          <w:szCs w:val="28"/>
          <w:rtl w:val="true"/>
          <w:lang w:bidi="fa-IR"/>
        </w:rPr>
        <w:t xml:space="preserve">، ناشئ عن الغفلة جدّا؛ فإنّ التعبّد الشرعیّ الجدید لازم بعد الملاقاة؛ سواء قلنا بالسرایة، أو لم نقل؛ ضرورة أنّ السرایة بتوسّط الأجزاء العقلیّة ممکنة، مع أنّها طاهرة عرفا و شرعا، کأجزاء الدم المعبّر عنها عرفا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إطالة الکلام حول الثمرة و الشجرة</w:t>
      </w:r>
      <w:r>
        <w:rPr>
          <w:rStyle w:val="FootnoteAnchor"/>
          <w:rtl w:val="true"/>
        </w:rPr>
        <w:footnoteReference w:id="1251"/>
      </w:r>
      <w:r>
        <w:rPr>
          <w:rFonts w:ascii="IRNazanin" w:hAnsi="IRNazanin" w:eastAsia="IRNazanin"/>
          <w:color w:val="111111"/>
          <w:sz w:val="28"/>
          <w:sz w:val="28"/>
          <w:szCs w:val="28"/>
          <w:rtl w:val="true"/>
          <w:lang w:bidi="fa-IR"/>
        </w:rPr>
        <w:t>، غیر تامّ، مع أنّها فاسدة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ملئت کلماتهم هنا بنقاط الضعف و فساد المنهج بما لا مزید علیه، و لو لم تکن مخافة الإطالة، لکشفنا عنها الغطاء؛ ضرورة أنّ فی باب الأموال تکون الشبهة منجّزة من غیر الحاجة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العلم الإجمالیّ ببطلان الظهر أو العصر، ثمّ العلم بأنّ الظهر لو کان صحیحا یجب الاحتیاطیّة، یلزم طرفیّة الاحتیاطیّة و العصر، و یلزم البحث المشابه لمبحثنا هنا، فلیتدبّر</w:t>
      </w:r>
      <w:r>
        <w:rPr>
          <w:rFonts w:eastAsia="IRNazanin" w:cs="IRNazanin"/>
          <w:color w:val="111111"/>
          <w:sz w:val="28"/>
          <w:szCs w:val="28"/>
          <w:rtl w:val="true"/>
          <w:lang w:bidi="fa-IR"/>
        </w:rPr>
        <w:t>.</w:t>
      </w:r>
    </w:p>
    <w:p>
      <w:pPr>
        <w:pStyle w:val="Heading6"/>
        <w:numPr>
          <w:ilvl w:val="5"/>
          <w:numId w:val="1"/>
        </w:numPr>
        <w:rPr/>
      </w:pPr>
      <w:bookmarkStart w:id="976" w:name="__RefHeading___Toc735385_3244359995"/>
      <w:bookmarkStart w:id="977" w:name="_Toc367"/>
      <w:bookmarkEnd w:id="976"/>
      <w:r>
        <w:rPr>
          <w:rtl w:val="true"/>
        </w:rPr>
        <w:t>الأمر الثانی</w:t>
      </w:r>
      <w:r>
        <w:rPr>
          <w:rtl w:val="true"/>
        </w:rPr>
        <w:t xml:space="preserve">: </w:t>
      </w:r>
      <w:r>
        <w:rPr>
          <w:rtl w:val="true"/>
        </w:rPr>
        <w:t>حول جریان البحث علی المبانی المختلفة</w:t>
      </w:r>
      <w:bookmarkEnd w:id="977"/>
    </w:p>
    <w:p>
      <w:pPr>
        <w:pStyle w:val="BookText"/>
        <w:rPr/>
      </w:pPr>
      <w:r>
        <w:rPr>
          <w:rFonts w:ascii="IRNazanin" w:hAnsi="IRNazanin" w:eastAsia="IRNazanin"/>
          <w:color w:val="111111"/>
          <w:sz w:val="28"/>
          <w:sz w:val="28"/>
          <w:szCs w:val="28"/>
          <w:rtl w:val="true"/>
          <w:lang w:bidi="fa-IR"/>
        </w:rPr>
        <w:t>بناء علی ما تحرّر عندنا من جریان الاصول و قاعدتی الحلّ و الطهارة فی أطراف العلم الإجمالیّ و عدم سقوطها</w:t>
      </w:r>
      <w:r>
        <w:rPr>
          <w:rStyle w:val="FootnoteAnchor"/>
          <w:rtl w:val="true"/>
        </w:rPr>
        <w:footnoteReference w:id="1252"/>
      </w:r>
      <w:r>
        <w:rPr>
          <w:rFonts w:ascii="IRNazanin" w:hAnsi="IRNazanin" w:eastAsia="IRNazanin"/>
          <w:color w:val="111111"/>
          <w:sz w:val="28"/>
          <w:sz w:val="28"/>
          <w:szCs w:val="28"/>
          <w:rtl w:val="true"/>
          <w:lang w:bidi="fa-IR"/>
        </w:rPr>
        <w:t>، لا ثمرة فی هذه المسألة، و لا بحث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علی القول بالتخییر فی الأطراف؛ و جواز المخالفة الاحتمالیّة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فالبحث ینفع علی القول بالمساقطة</w:t>
      </w:r>
      <w:r>
        <w:rPr>
          <w:rStyle w:val="FootnoteAnchor"/>
          <w:rtl w:val="true"/>
        </w:rPr>
        <w:footnoteReference w:id="1253"/>
      </w:r>
      <w:r>
        <w:rPr>
          <w:rFonts w:ascii="IRNazanin" w:hAnsi="IRNazanin" w:eastAsia="IRNazanin"/>
          <w:color w:val="111111"/>
          <w:sz w:val="28"/>
          <w:sz w:val="28"/>
          <w:szCs w:val="28"/>
          <w:rtl w:val="true"/>
          <w:lang w:bidi="fa-IR"/>
        </w:rPr>
        <w:t xml:space="preserve">، أو عدم الجریان </w:t>
      </w:r>
      <w:r>
        <w:rPr>
          <w:rStyle w:val="FootnoteAnchor"/>
          <w:rtl w:val="true"/>
        </w:rPr>
        <w:footnoteReference w:id="1254"/>
      </w:r>
      <w:r>
        <w:rPr>
          <w:rFonts w:ascii="IRNazanin" w:hAnsi="IRNazanin" w:eastAsia="IRNazanin"/>
          <w:color w:val="111111"/>
          <w:sz w:val="28"/>
          <w:sz w:val="28"/>
          <w:szCs w:val="28"/>
          <w:rtl w:val="true"/>
          <w:lang w:bidi="fa-IR"/>
        </w:rPr>
        <w:t>، علی اختلاف</w:t>
      </w:r>
      <w:bookmarkStart w:id="978" w:name="pg13173_325161"/>
    </w:p>
    <w:p>
      <w:pPr>
        <w:pStyle w:val="BookText"/>
        <w:rPr/>
      </w:pPr>
      <w:bookmarkEnd w:id="978"/>
      <w:r>
        <w:rPr>
          <w:rFonts w:ascii="IRNazanin" w:hAnsi="IRNazanin" w:eastAsia="IRNazanin"/>
          <w:color w:val="111111"/>
          <w:sz w:val="28"/>
          <w:sz w:val="28"/>
          <w:szCs w:val="28"/>
          <w:rtl w:val="true"/>
          <w:lang w:bidi="fa-IR"/>
        </w:rPr>
        <w:t xml:space="preserve">تعابیرهم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6"/>
        <w:numPr>
          <w:ilvl w:val="5"/>
          <w:numId w:val="1"/>
        </w:numPr>
        <w:rPr/>
      </w:pPr>
      <w:bookmarkStart w:id="979" w:name="__RefHeading___Toc735387_3244359995"/>
      <w:bookmarkStart w:id="980" w:name="_Toc368"/>
      <w:bookmarkEnd w:id="979"/>
      <w:r>
        <w:rPr>
          <w:rtl w:val="true"/>
        </w:rPr>
        <w:t>الأمر الثالث</w:t>
      </w:r>
      <w:r>
        <w:rPr>
          <w:rtl w:val="true"/>
        </w:rPr>
        <w:t xml:space="preserve">: </w:t>
      </w:r>
      <w:r>
        <w:rPr>
          <w:rtl w:val="true"/>
        </w:rPr>
        <w:t>فی صور الملاقاة</w:t>
      </w:r>
      <w:bookmarkEnd w:id="980"/>
    </w:p>
    <w:p>
      <w:pPr>
        <w:pStyle w:val="Heading6"/>
        <w:numPr>
          <w:ilvl w:val="5"/>
          <w:numId w:val="1"/>
        </w:numPr>
        <w:rPr/>
      </w:pPr>
      <w:bookmarkStart w:id="981" w:name="__RefHeading___Toc735389_3244359995"/>
      <w:bookmarkStart w:id="982" w:name="_Toc369"/>
      <w:bookmarkEnd w:id="981"/>
      <w:r>
        <w:rPr>
          <w:rtl w:val="true"/>
        </w:rPr>
        <w:t>اشارة</w:t>
      </w:r>
      <w:bookmarkEnd w:id="982"/>
    </w:p>
    <w:p>
      <w:pPr>
        <w:pStyle w:val="BookText"/>
        <w:rPr/>
      </w:pPr>
      <w:r>
        <w:rPr>
          <w:rFonts w:ascii="IRNazanin" w:hAnsi="IRNazanin" w:eastAsia="IRNazanin"/>
          <w:color w:val="111111"/>
          <w:sz w:val="28"/>
          <w:sz w:val="28"/>
          <w:szCs w:val="28"/>
          <w:rtl w:val="true"/>
          <w:lang w:bidi="fa-IR"/>
        </w:rPr>
        <w:t>الصور فی المسألة کثیرة، فإنّ الملاقاة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مقدّمة علی العلم بنجاسة الأطراف،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بأنّ الملاقاة وقعت مع الإناء المعیّن،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 و لکنّه یعلم بملاقاته مع أحد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الملاقی فی ظرف وجود حکم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تالفا، أو خارجا عن محلّ الابتلاء،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الإناء الشرقیّ أو الغربیّ، ثمّ بعد ذلک یعلم بنجاسة الإناء الشمالیّ أو الغربیّ، مع الالتفات إلی أنّ الشرقیّ لو کان نجسا فهو لأجل ملاقاته مع الشمالیّ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تختلف الصور باختلاف الطوارئ، کالخروج عن محلّ الابتلاء، ثمّ العود إلیه، أو العلم بالعود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إلی الاضطرار الطارئ علی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ثمّ یتبیّن 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من غیر أن یکون طرف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عن الکلّ ما یذکر من الصور الرئیسة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فالذی هو التحقیق تنجیز العلم لجمیع الآنیة العرضیّة و الطولیّة، و قضیّة العقل لزوم الاجتناب فی جمیع الصور بأنحائها؛ و ذلک لامور نشیر إلیها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یقع فی مقامین</w:t>
      </w:r>
      <w:r>
        <w:rPr>
          <w:rFonts w:eastAsia="IRNazanin" w:cs="IRNazanin"/>
          <w:color w:val="111111"/>
          <w:sz w:val="28"/>
          <w:szCs w:val="28"/>
          <w:rtl w:val="true"/>
          <w:lang w:bidi="fa-IR"/>
        </w:rPr>
        <w:t>:</w:t>
      </w:r>
      <w:bookmarkStart w:id="983" w:name="pg13173_325162"/>
    </w:p>
    <w:p>
      <w:pPr>
        <w:pStyle w:val="Heading6"/>
        <w:numPr>
          <w:ilvl w:val="5"/>
          <w:numId w:val="1"/>
        </w:numPr>
        <w:rPr/>
      </w:pPr>
      <w:bookmarkStart w:id="984" w:name="__RefHeading___Toc735391_3244359995"/>
      <w:bookmarkStart w:id="985" w:name="_Toc370"/>
      <w:bookmarkEnd w:id="983"/>
      <w:bookmarkEnd w:id="984"/>
      <w:r>
        <w:rPr>
          <w:rtl w:val="true"/>
        </w:rPr>
        <w:t>المقام الأوّل</w:t>
      </w:r>
      <w:r>
        <w:rPr>
          <w:rtl w:val="true"/>
        </w:rPr>
        <w:t xml:space="preserve">: </w:t>
      </w:r>
      <w:r>
        <w:rPr>
          <w:rtl w:val="true"/>
        </w:rPr>
        <w:t>فی مقتضی العلم الإجمالیّ</w:t>
      </w:r>
      <w:bookmarkEnd w:id="985"/>
    </w:p>
    <w:p>
      <w:pPr>
        <w:pStyle w:val="Heading6"/>
        <w:numPr>
          <w:ilvl w:val="5"/>
          <w:numId w:val="1"/>
        </w:numPr>
        <w:rPr/>
      </w:pPr>
      <w:bookmarkStart w:id="986" w:name="__RefHeading___Toc735393_3244359995"/>
      <w:bookmarkStart w:id="987" w:name="_Toc371"/>
      <w:bookmarkEnd w:id="986"/>
      <w:r>
        <w:rPr>
          <w:rtl w:val="true"/>
        </w:rPr>
        <w:t>اشارة</w:t>
      </w:r>
      <w:bookmarkEnd w:id="987"/>
    </w:p>
    <w:p>
      <w:pPr>
        <w:pStyle w:val="BookText"/>
        <w:rPr/>
      </w:pPr>
      <w:r>
        <w:rPr>
          <w:rFonts w:ascii="IRNazanin" w:hAnsi="IRNazanin" w:eastAsia="IRNazanin"/>
          <w:color w:val="111111"/>
          <w:sz w:val="28"/>
          <w:sz w:val="28"/>
          <w:szCs w:val="28"/>
          <w:rtl w:val="true"/>
          <w:lang w:bidi="fa-IR"/>
        </w:rPr>
        <w:t>و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یستدلّ علی بطلان شی‌ء أو صحّة شی‌ء بالأدلّة الکثیرة العقلیّة، و یعبّر حینئذ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البراهین الکثیرة قائمة علی بطلان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تناهی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حقیقة البرهان ما تعطی الیقین، و لا یعقل العلم بالشی‌ء مرّتین؛ و الانکشاف الثانی للشی‌ء بعد الانکشاف الأوّل، فیکون ما هو البرهان هو الموجب للعلم، و الباقی صالحا لکونه برهانا،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هذا فی باب البراهین العقلیّة علی المسائل الواقعیّة التکوینیّة و المباحث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الاحتجاجات الرائجة بین الموالی و العبید، فربّما تکون روایة معتبرة واحدة صریحة فی وجوب صلاة الزلزلة مثلا، فإنّها حجّة صالحة للاحتجاج، و تکون کاشفا عرفیّا من غیر النظر إلی کشفها فی محیط التعذیر و التنجیز، و لذلک تکون حجّة و لو کان الظنّ الشخصیّ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إذا کان فی تلک المسألة روایات ثلاث، یکون الخبر الأوّل حجّة دون الأخیرین؟</w:t>
      </w:r>
    </w:p>
    <w:p>
      <w:pPr>
        <w:pStyle w:val="BookText"/>
        <w:rPr/>
      </w:pPr>
      <w:r>
        <w:rPr>
          <w:rFonts w:ascii="IRNazanin" w:hAnsi="IRNazanin" w:eastAsia="IRNazanin"/>
          <w:color w:val="111111"/>
          <w:sz w:val="28"/>
          <w:sz w:val="28"/>
          <w:szCs w:val="28"/>
          <w:rtl w:val="true"/>
          <w:lang w:bidi="fa-IR"/>
        </w:rPr>
        <w:t>أم الحجّة هو الفرد اللابعینه، أم المجموع، أو الجامع، مع أنّ علی الاحتمال الأوّل یلزم عدم حجّیتهما؛ بحیث لو انکشف الخلاف بالنسبة إلی صدور الأوّل مثلا، لا یکون الثانی حجّة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الإنصاف یشهد علی أنّ کلّ واحد صالح للاحتجاج، و یصیر الواقع قابلا للتنجیز بکلّ واحد، و لیس التنجیز إلّا بمعنی ثبوت صلاحیة الاحتجاج بکلّ واحد، و یستحقّ العقوبة عند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التوسّط فی التنجیز؛ لأنّ الخبر</w:t>
      </w:r>
    </w:p>
    <w:p>
      <w:pPr>
        <w:pStyle w:val="BookText"/>
        <w:rPr/>
      </w:pPr>
      <w:r>
        <w:rPr>
          <w:rFonts w:ascii="IRNazanin" w:hAnsi="IRNazanin" w:eastAsia="IRNazanin"/>
          <w:color w:val="111111"/>
          <w:sz w:val="28"/>
          <w:sz w:val="28"/>
          <w:szCs w:val="28"/>
          <w:rtl w:val="true"/>
          <w:lang w:bidi="fa-IR"/>
        </w:rPr>
        <w:t>الموثوق به ربّما لا یکون مصیبا، فلا یوجب التنجیز إلّا عند الإصابة و علی تقدیر، بخلاف العلم عند العالم، فإنّه یری نفسه مصیبا، و یکون الواقع منجّزا عنده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لا بأس بتراکم المنجّزات الکثیرة علی أمر واحد بالضرورة، و الخلط بین ما نحن فیه، و بین المسائل التی تکون مورد الانکشاف بالبراهین و الحجج، غیر جائز کما هو الواضح، فإنّ هناک لا یتراکم، لما لا یحصل بالنسبة إلی شی‌ء واحد علمان، أو انکشافان مستقلّان، دون ما یوجب زیادة العلم و اشتداده، و أمّا هاهنا فیجوز تراکم المنجّزات، کقیام الصحاح علی حکم واحد شرعیّ، و یکون الکلّ منجّزا؛ بمعنی أنّه یجوز لکلّ من المولی و العبد، الاحتجاج بکلّ واحد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الوجیزة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بنجاسة الإناء الشرقیّ أو الغربیّ، لیس إلّا موجبا لتنجیز الکبری الشرعیّة الثابتة بالأدلّة الظاهریّة، و إذا لاقی الشرقیّ إناء آخر یحصل العلم الثانی بالنسبة إلی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جانب الطرف تراکم المنجّزات، و قد عرفت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هذه الغائلة و العویصة فیما هو مفروض القوم منحلّة، و لنشکر اللّه تعالی علی ذلک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المتنجّز لا یتنجّز</w:t>
      </w:r>
      <w:r>
        <w:rPr>
          <w:rStyle w:val="FootnoteAnchor"/>
          <w:rtl w:val="true"/>
        </w:rPr>
        <w:footnoteReference w:id="1256"/>
      </w:r>
      <w:r>
        <w:rPr>
          <w:rFonts w:ascii="IRNazanin" w:hAnsi="IRNazanin" w:eastAsia="IRNazanin"/>
          <w:color w:val="111111"/>
          <w:sz w:val="28"/>
          <w:sz w:val="28"/>
          <w:szCs w:val="28"/>
          <w:rtl w:val="true"/>
          <w:lang w:bidi="fa-IR"/>
        </w:rPr>
        <w:t>، لیس مثل أنّ المتنجّس لا یتنجّس، أو النجس 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 إطلاقهما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التنجیز معنی تعلیقیّ؛ أی یجوز للعبد الاحتجاج بالخبر الموجود، و یجوز للمولی ذلک، و لیس صفة التنجیز کصفة الانکشاف و المعلومیّة داخلة تحت المقولات الحقیقیّة، بل هی مجرّد إدراک عقلیّ تعلیقیّ قابل للتکثّر، کما نجد وجدانا صلاحیة کلّ من الأخبار المتعدّدة</w:t>
      </w:r>
    </w:p>
    <w:p>
      <w:pPr>
        <w:pStyle w:val="BookText"/>
        <w:rPr/>
      </w:pPr>
      <w:r>
        <w:rPr>
          <w:rFonts w:ascii="IRNazanin" w:hAnsi="IRNazanin" w:eastAsia="IRNazanin"/>
          <w:color w:val="111111"/>
          <w:sz w:val="28"/>
          <w:sz w:val="28"/>
          <w:szCs w:val="28"/>
          <w:rtl w:val="true"/>
          <w:lang w:bidi="fa-IR"/>
        </w:rPr>
        <w:t>للاحتجاج، و لیس المجموع أو الجامع حجّة کی یستشکل عقلا فی ذلک، کما لا یسقط الکلّ عن الحجّیة لأجل هذه الشبهة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اطلاع الفقیه علی خبر بعد خبر، لا یوجب کون الحجّة هو الخبر الأوّل، بل کلاهما واصل إلیه عرضا؛ لأنّ الوصول إلیه یحصل بمجرّد وجودهما فی الکتب المعدّة لهما،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تبیّنت حال هذه الصورة فالصور الاخر أیضا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أساس برهان القوم علی إنکار التنجیز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الملاقی و الطرف، و بعد کون العلم بالإناءین مقدّما علی العلم بالملاقاة، هو حدیث تراکم المنجّزات و امتناعه، و أنّ العلم الثانی بلا أثر</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الخلط بین کون العلم الإجمالیّ بلا أثر، کما إذا علم إجمالا بوقوع قطرة بول فی الکرّ أو علی ثوبه، و بین ما نحن فیه؛ فإنّ فی الأوّل لا یعلم بتکلیف إجمالا، بل یعلم بتکلیف تفصیلا، و یشکّ بدوا، و أمّا فیما نحن فیه فإنّه کما یجوز للمولی الاحتجاج علی شرب الطرف إذا صادف الواقع بالعلم الأوّل و قیام الحجّة، یجوز الاحتجاج بالثانی، و لا یعتبر هنا حدوث التکلیف علی حدة بالنسبة إلی کلّ طرف، بل هنا یعتبر حدوث الحجّة علی حدة علی التکلیف المحتمل فی الملاقی، و هو حاصل علی کلّ تقدیر؛ لأنّ العلم الثانی حجّة علی المعلوم الأوّل و المعلوم الثانی، و حجّة ثانیة علی المعلوم لو کان فی الطرف، و الحجّة علی الحجّة واقعة فی الخارج، فضلا عن جوازها، و لا یعتبر عدم سبق المنجّز لتنجیز المنجّز الثانی بالضرورة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 و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البیّنة علی نجاسة أحد الإناءین، ثمّ قامت البیّنة الاخری علی نجاسة الطرف و شی‌ء آخر، فهل تری جواز طرح البیّنة بالنسبة إلی</w:t>
      </w:r>
    </w:p>
    <w:p>
      <w:pPr>
        <w:pStyle w:val="BookText"/>
        <w:rPr/>
      </w:pPr>
      <w:r>
        <w:rPr>
          <w:rFonts w:ascii="IRNazanin" w:hAnsi="IRNazanin" w:eastAsia="IRNazanin"/>
          <w:color w:val="111111"/>
          <w:sz w:val="28"/>
          <w:sz w:val="28"/>
          <w:szCs w:val="28"/>
          <w:rtl w:val="true"/>
          <w:lang w:bidi="fa-IR"/>
        </w:rPr>
        <w:t>الشی‌ء الثالث؛ نظرا إلی امتناع تنجّز الطرف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خالف الفقیه التکلیف الواصل إلیه بخبر معتبر عنده، ثمّ اتفق له وجود خبر آخر دالّ علی ذاک التکلیف، و کان ذلک الخبر فی غیر المحلّ المعدّ للأخبار، فهل تری أنّه یعدّ متجرّیا إذا صادف کذب الخبر الأوّل صدورا، و صدق الخبر الثانی؛ نظرا إلی أنّ ما هو الحجّة هو الأوّل، و لا یعقل تعدّد الحجّة علی شی‌ء واحد، أم هو عاص، و یستحقّ العقوبة؛ لوجود الخبر الحجة؟ و کلّ ذلک لأجل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بالبراءة فی جمیع الصور، کما کان علیه الوالد المحقّق فی دورة، أو فی هذه الصورة التی هی القدر المتیقّن بین القائلین بالتفصیل </w:t>
      </w:r>
      <w:r>
        <w:rPr>
          <w:rStyle w:val="FootnoteAnchor"/>
          <w:rtl w:val="true"/>
        </w:rPr>
        <w:footnoteReference w:id="1258"/>
      </w:r>
      <w:r>
        <w:rPr>
          <w:rFonts w:ascii="IRNazanin" w:hAnsi="IRNazanin" w:eastAsia="IRNazanin"/>
          <w:color w:val="111111"/>
          <w:sz w:val="28"/>
          <w:sz w:val="28"/>
          <w:szCs w:val="28"/>
          <w:rtl w:val="true"/>
          <w:lang w:bidi="fa-IR"/>
        </w:rPr>
        <w:t>،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لا وقع للقول بأصالة عدم تنجّس الملاقی </w:t>
      </w:r>
      <w:r>
        <w:rPr>
          <w:rStyle w:val="FootnoteAnchor"/>
          <w:rtl w:val="true"/>
        </w:rPr>
        <w:footnoteReference w:id="1259"/>
      </w:r>
      <w:r>
        <w:rPr>
          <w:rFonts w:ascii="IRNazanin" w:hAnsi="IRNazanin" w:eastAsia="IRNazanin"/>
          <w:color w:val="111111"/>
          <w:sz w:val="28"/>
          <w:sz w:val="28"/>
          <w:szCs w:val="28"/>
          <w:rtl w:val="true"/>
          <w:lang w:bidi="fa-IR"/>
        </w:rPr>
        <w:t>لکونها معارضة مع الأصل المذکور الجاری فی الطرف، و هکذا قاعدة الطهارة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تمسّک بعضهم فی مثل ما إذا علم بأنّ أحد المیّتین میّت مؤمن یجب غسله، بأنّه لو لاقی بعض الأطراف لا یجب علیه غسل مسّ المیّت؛ لعدم ثبوت المسّ علی المیّت الخاصّ</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غافلا عن العلم الإجمالیّ بأنّه إمّا یجب علیه غسل مسّ المیّت، أو غسل المیت غیر الممسوس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تحقّق المسّ الموجب، معارض باستصحاب عدم وجوب غسل مسّ المیت المشار إلیه، أو بالبراءة لو قلنا بعدم جریان الاستصحاب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الحکایات المشبوهة کثیرة فی کتب المحصّلین من الاصولیّین، و الأمر سهل</w:t>
      </w:r>
      <w:r>
        <w:rPr>
          <w:rFonts w:eastAsia="IRNazanin" w:cs="IRNazanin"/>
          <w:color w:val="111111"/>
          <w:sz w:val="28"/>
          <w:szCs w:val="28"/>
          <w:rtl w:val="true"/>
          <w:lang w:bidi="fa-IR"/>
        </w:rPr>
        <w:t>.</w:t>
      </w:r>
      <w:bookmarkStart w:id="988" w:name="pg13173_325166"/>
    </w:p>
    <w:p>
      <w:pPr>
        <w:pStyle w:val="Heading6"/>
        <w:numPr>
          <w:ilvl w:val="5"/>
          <w:numId w:val="1"/>
        </w:numPr>
        <w:rPr/>
      </w:pPr>
      <w:bookmarkStart w:id="989" w:name="__RefHeading___Toc735395_3244359995"/>
      <w:bookmarkStart w:id="990" w:name="_Toc372"/>
      <w:bookmarkEnd w:id="988"/>
      <w:bookmarkEnd w:id="989"/>
      <w:r>
        <w:rPr>
          <w:rtl w:val="true"/>
        </w:rPr>
        <w:t>فذلکة الکلام</w:t>
      </w:r>
      <w:bookmarkEnd w:id="990"/>
    </w:p>
    <w:p>
      <w:pPr>
        <w:pStyle w:val="BookText"/>
        <w:rPr/>
      </w:pPr>
      <w:r>
        <w:rPr>
          <w:rFonts w:ascii="IRNazanin" w:hAnsi="IRNazanin" w:eastAsia="IRNazanin"/>
          <w:color w:val="111111"/>
          <w:sz w:val="28"/>
          <w:sz w:val="28"/>
          <w:szCs w:val="28"/>
          <w:rtl w:val="true"/>
          <w:lang w:bidi="fa-IR"/>
        </w:rPr>
        <w:t>إنّ فی موارد وجود الأخبار الکثیرة علی حکم واحد إمّا یکون الواقع متنجّزا بالمجموع، أو الجامع، أو الواحد لا بعینه، أو الواحد المعیّن، أو لا یتنجّز رأسا؛ لامتناع الاحتمالات الاخر، أو یتنجّز بالمنجّزات المتعدّدة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منجّزیة الخبر الواحد لیست صفة ثبوتیّة له و لا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تکوینیّة ثبوتیّة للحکم، بل الحجّیة تنحلّ إلی التعذیر و التنجیز، و معناهما أنّ کلّا من المولی و العبد یجوز لهما الاعتذار و الاحتجاج بالخبر المذکور، فیکون کلّ واحد من الأخبار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بعد وحدة المضمون یرجع إلی واحد، غیر تامّ کما تری؛ فإنّ وحدة المضمون غیر وحدة الحاکی، و لیس هنا بحث حول انکشاف الحکم الواقعیّ بالخبر،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یتعدّد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الأمر کذلک فی باب العلم الإجمالیّ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یصحّ للمولی الاحتجاج بالعلم الثانی علی الطرف بالضرورة، فإذا صحّ الاحتجاج به علی الطرف، صحّ علی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الحجّة تامّة و قابلة للاحتجاج علی الملاقی، یلزم الاحتیاط؛ لما لا نرید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جواز الاحتجاج بالعلم الثانی فی مورده،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العلمیّة فی مورد العلم الإجمالیّ إذا کان بین طرفین، تنعدم و تفنی إذا صارت الأطراف ثلاثة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یعلم إجمالا بأنّ أحد الماءین نجس، أو زیدا أو عمرا جنب، ثمّ بعد ما استقرّ العلم التفت إلی أنّ الأمر متردّد بین ثلاثة، لا تکون الصورة السابقة محفوظة کی تزید الصورة التصوّریة الاخری بهما، بل تلک الصورة التصدیقیّة</w:t>
      </w:r>
    </w:p>
    <w:p>
      <w:pPr>
        <w:pStyle w:val="BookText"/>
        <w:rPr/>
      </w:pPr>
      <w:r>
        <w:rPr>
          <w:rFonts w:ascii="IRNazanin" w:hAnsi="IRNazanin" w:eastAsia="IRNazanin"/>
          <w:color w:val="111111"/>
          <w:sz w:val="28"/>
          <w:sz w:val="28"/>
          <w:szCs w:val="28"/>
          <w:rtl w:val="true"/>
          <w:lang w:bidi="fa-IR"/>
        </w:rPr>
        <w:t>المردّدة تفنی و توجد صورة ترددیّة اخری ثلاثیّة الأطراف؛ ضرورة أنّ معنی التردید الأوّل و المنفصلة الاولی، انحصار النجاسة بأحدهما، و إذا زادت یلتفت إلی جهالته؛ و أنّها صورة جهل لا علم، فتوجد قضیّة علمیّة اخری متشخّصة بالأطراف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یصدّقه 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نحن فیه بمثابة تکثیر عمود السقف المرکون علی عمودین، فإنّه مجرّد تخیّل؛ ضرورة أنّ وجود الصور التی هی عین العلم عین الربط بالنفس، کما لا یخفی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علم فی الصورة المذکورة بنجاسة أحد الإناءین، ثمّ لاقی أحدهما ثوبه، فلا تبقی عنده الصورة الاولی؛ لما یجد طبعا بأنّ القضیّة الملفوظة اختلفت، و تشکّلت هنا قضیّة تردیدیّة اخری بالضرورة، و هی تحکی عن حدوث القضیّة الذهنیّة الجدیدة، و عن اضمحلال الصورة الذهنیّة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الفرض الأوّل یتوجّه إلی جهله بالمنفصلة الثنائیّة؛ و أنّها کانت منفصلة ثلاثیّة، بخلاف ما نحن فیه؛ لأنّ المنفصلة أیضا باقیة علی الثنائیّة، و یجوز للنفس التغافل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بحکم الذنب 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اضمحلال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أن یلتفت إلی أنّ هنا یجوز تشکیل القضیّة الثنائیّة مع خصوصیّة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الطرف إمّا نجس، أو الملاقی و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التغافل ممّا لا بأس، و أنّ بین المفروض أوّلا و ما نحن فیه فرقا، إلّا أنّه غیر کاف؛ لامتناع بقاء الصورة الاولی، لأنّه وجدانا یعلم علی نحو آخر، و لا یعقل دخول الملاقی فی محطّ العلم، کدخول عمود فی عمد البیت کما قد یتوهّم، و قد مرّ الإیماء إلیه، فقهرا تفنی الصورة الاولی بالضرورة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فی مقام القضیّة الملفوظة ذکر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ذکره، إلّا</w:t>
      </w:r>
    </w:p>
    <w:p>
      <w:pPr>
        <w:pStyle w:val="BookText"/>
        <w:rPr/>
      </w:pPr>
      <w:r>
        <w:rPr>
          <w:rFonts w:ascii="IRNazanin" w:hAnsi="IRNazanin" w:eastAsia="IRNazanin"/>
          <w:color w:val="111111"/>
          <w:sz w:val="28"/>
          <w:sz w:val="28"/>
          <w:szCs w:val="28"/>
          <w:rtl w:val="true"/>
          <w:lang w:bidi="fa-IR"/>
        </w:rPr>
        <w:t>أنّه لا یوجب بقاء تلک الصورة المتشخّصة بالمعلوم النجس الواحد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هناک نجسان علی تقدیر، فلا 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و لکنّه لا یورث العلم الحادث تنجّزا بالنسبة إلی الملاقی؛ لأنّ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تنجّزا بالعلم الأوّل، و قد عرفت بقاء الأثر و إن لم یبق العلم فی التنبیه السابق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أحطت خبرا بأنّا و إن اخترنا فی موضع من الکتاب بقاء الأثر</w:t>
      </w:r>
      <w:r>
        <w:rPr>
          <w:rStyle w:val="FootnoteAnchor"/>
          <w:rtl w:val="true"/>
        </w:rPr>
        <w:footnoteReference w:id="1261"/>
      </w:r>
      <w:r>
        <w:rPr>
          <w:rFonts w:ascii="IRNazanin" w:hAnsi="IRNazanin" w:eastAsia="IRNazanin"/>
          <w:color w:val="111111"/>
          <w:sz w:val="28"/>
          <w:sz w:val="28"/>
          <w:szCs w:val="28"/>
          <w:rtl w:val="true"/>
          <w:lang w:bidi="fa-IR"/>
        </w:rPr>
        <w:t xml:space="preserve">، و لکنّه بعد التأمّل و التدبّر انتقلنا إلی فساده؛ و أنّه لا یمکن توجیه بقاء تنجّز العلم بدونه بما لا مزید علیه </w:t>
      </w:r>
      <w:r>
        <w:rPr>
          <w:rStyle w:val="FootnoteAnchor"/>
          <w:rtl w:val="true"/>
        </w:rPr>
        <w:footnoteReference w:id="1262"/>
      </w:r>
      <w:r>
        <w:rPr>
          <w:rFonts w:ascii="IRNazanin" w:hAnsi="IRNazanin" w:eastAsia="IRNazanin"/>
          <w:color w:val="111111"/>
          <w:sz w:val="28"/>
          <w:sz w:val="28"/>
          <w:szCs w:val="28"/>
          <w:rtl w:val="true"/>
          <w:lang w:bidi="fa-IR"/>
        </w:rPr>
        <w:t xml:space="preserve">، فعندئذ یستند التنجّز فیما نحن فیه إلی العلم الحادث، فتکون هذه الصورة کصورة تقدّم الملاقاة علی العلم المتعلّق بالطرف و الملاقی و ما لاقاه معا، الذی اختار جمع وجوب الاجتناب فی مورده، کالعلّامة الخراسانیّ </w:t>
      </w:r>
      <w:r>
        <w:rPr>
          <w:rStyle w:val="FootnoteAnchor"/>
          <w:rtl w:val="true"/>
        </w:rPr>
        <w:footnoteReference w:id="12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و غیرهما</w:t>
      </w:r>
      <w:r>
        <w:rPr>
          <w:rStyle w:val="FootnoteAnchor"/>
          <w:rtl w:val="true"/>
        </w:rPr>
        <w:footnoteReference w:id="1265"/>
      </w:r>
      <w:r>
        <w:rPr>
          <w:rFonts w:ascii="IRNazanin" w:hAnsi="IRNazanin" w:eastAsia="IRNazanin"/>
          <w:color w:val="111111"/>
          <w:sz w:val="28"/>
          <w:sz w:val="28"/>
          <w:szCs w:val="28"/>
          <w:rtl w:val="true"/>
          <w:lang w:bidi="fa-IR"/>
        </w:rPr>
        <w:t>، فعلی هذا یتعیّن القول بالاحتیاط فی جمیع أقسام المسألة و صورها، و سیمرّ علیک حکم الاصول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الثانی و إن لم یوجب انحلال العلم الأوّل، و لکنّه یستند فی مرحلة البقاء التنجّز إلیهما معا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باشتراط منجّزیة العلم بعدم سبق المنجّز، فلا یصحّ العلم الثانی، و إن قلنا بعدم الاشتراط، فیکفی کلّ واحد من العلمین علی تقدیر عدم الانحلال، فلا تغفل</w:t>
      </w:r>
      <w:r>
        <w:rPr>
          <w:rFonts w:eastAsia="IRNazanin" w:cs="IRNazanin"/>
          <w:color w:val="111111"/>
          <w:sz w:val="28"/>
          <w:szCs w:val="28"/>
          <w:rtl w:val="true"/>
          <w:lang w:bidi="fa-IR"/>
        </w:rPr>
        <w:t>.</w:t>
      </w:r>
      <w:bookmarkStart w:id="991" w:name="pg13173_325169"/>
    </w:p>
    <w:p>
      <w:pPr>
        <w:pStyle w:val="Heading6"/>
        <w:numPr>
          <w:ilvl w:val="5"/>
          <w:numId w:val="1"/>
        </w:numPr>
        <w:rPr/>
      </w:pPr>
      <w:bookmarkStart w:id="992" w:name="__RefHeading___Toc735397_3244359995"/>
      <w:bookmarkStart w:id="993" w:name="_Toc373"/>
      <w:bookmarkEnd w:id="991"/>
      <w:bookmarkEnd w:id="992"/>
      <w:r>
        <w:rPr>
          <w:rtl w:val="true"/>
        </w:rPr>
        <w:t>المقام الثانی</w:t>
      </w:r>
      <w:r>
        <w:rPr>
          <w:rtl w:val="true"/>
        </w:rPr>
        <w:t xml:space="preserve">: </w:t>
      </w:r>
      <w:r>
        <w:rPr>
          <w:rtl w:val="true"/>
        </w:rPr>
        <w:t>حول مقتضی الأصل</w:t>
      </w:r>
      <w:bookmarkEnd w:id="993"/>
    </w:p>
    <w:p>
      <w:pPr>
        <w:pStyle w:val="Heading6"/>
        <w:numPr>
          <w:ilvl w:val="5"/>
          <w:numId w:val="1"/>
        </w:numPr>
        <w:rPr/>
      </w:pPr>
      <w:bookmarkStart w:id="994" w:name="__RefHeading___Toc735399_3244359995"/>
      <w:bookmarkStart w:id="995" w:name="_Toc374"/>
      <w:bookmarkEnd w:id="994"/>
      <w:r>
        <w:rPr>
          <w:rtl w:val="true"/>
        </w:rPr>
        <w:t>اشارة</w:t>
      </w:r>
      <w:bookmarkEnd w:id="995"/>
    </w:p>
    <w:p>
      <w:pPr>
        <w:pStyle w:val="BookText"/>
        <w:rPr/>
      </w:pPr>
      <w:r>
        <w:rPr>
          <w:rFonts w:ascii="IRNazanin" w:hAnsi="IRNazanin" w:eastAsia="IRNazanin"/>
          <w:color w:val="111111"/>
          <w:sz w:val="28"/>
          <w:sz w:val="28"/>
          <w:szCs w:val="28"/>
          <w:rtl w:val="true"/>
          <w:lang w:bidi="fa-IR"/>
        </w:rPr>
        <w:t>ذهب الشیخ و جماعة إلی عدم وجوب الاجتناب عن الملاقی و لو کان متنجّزا بالعلم الأوّل، أو بالعلم الثانی علی تقریب منّی؛ و ذلک لأنّ التنجیز لا ینافی جریان الأصل النافی؛ إذا لم یکن مخالفة عملیّة فی البین، کما نحن فیه، فإنّ المعارضة بین الاصول فی الأطراف غیر معقولة؛ ضرورة أنّ الأصل الجاری فی الملاقی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و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الملاقی، فعلیه تقع المعارضة و التساقط بین الأصلین الجاریین فی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الأصل فی الملاقی سلیما و إن کان العلم حادثا، أو کان العلم بعد الملاقاة، أو قلنا بالتنجیز علی الوجه الأوّل الذی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التنجیز العقلی لا یکفی لإیجاب الاحتیاط، و لذلک قالوا بالتنجیز فی الصورة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صورة تأخّر العلم عن الملاقاة، و مع ذلک اختاروا جریان الأصل بلا معارض؛ للاختلاف الرتبیّ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توهّم عدم کفایة الاختلاف الرتبیّ فی القوانین الشرعیّة</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الأصل السببیّ عندهم مقدّم علی المسبّبی اللذین هما فی رتبتین، مع وحدة زمانهما فی کثیر من الأمثلة، فلا یلزم تأخّر المسبّب زمانا فی انطباق القوانین الشرعیّة، کما هو الواضح</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الشیخ رحمه اللّه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بالنسبة إلی الملاقی فی صورة، و الملاقی فی صورة، إمّا غیر منجّز رأسا، فتجری القواعد الظاهریّة الشرعیّة، أو منجّز، و لکن لمکان عدم المعارضة، و عدم لزوم المخالفة</w:t>
      </w:r>
    </w:p>
    <w:p>
      <w:pPr>
        <w:pStyle w:val="BookText"/>
        <w:rPr/>
      </w:pPr>
      <w:r>
        <w:rPr>
          <w:rFonts w:ascii="IRNazanin" w:hAnsi="IRNazanin" w:eastAsia="IRNazanin"/>
          <w:color w:val="111111"/>
          <w:sz w:val="28"/>
          <w:sz w:val="28"/>
          <w:szCs w:val="28"/>
          <w:rtl w:val="true"/>
          <w:lang w:bidi="fa-IR"/>
        </w:rPr>
        <w:t>العملیّة، تجری فی الملاقی فی الصورة الاولی، بل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حتّی فی صورة تقدّم العلم الإجمالیّ بالنجاسة بین الملاقی و الطرف علی العلم الإجمالی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نظرا إلی أنّ العبرة بتقدّم المعلوم فی الرتبة، دون العلم، فلا یتنجّز الحکم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لو کان متنجّزا فرضا لا تجری أصالة الطهارة و الحلّ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نجاسة الملاقی ناشئ عنه، و لا معنی لتعارض الأصل الجاری فی المسبّب مع السبب، فیکون التعارض مستقرّا بین الاصول الجاریة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تکون سلیمة فی الملاقی و لو کان قد تنجّز</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غایة ما یمکن أن یقال فی المسألة، و إن کانت عباراتهم مختلفة و مطوّلة و غیر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الصور لا یلزم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عقلا، أو شرعا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تبقی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علم إجمالا بوجوب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خارج عن محلّ الابتلاء، دون ملاقیه أو الطرف، أو اضطرّ إلی التصرّف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إجمالا بوجوب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أو غیر ذلک من صورة امتناع التکلیف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یقال کما فی کلام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أیضا؛ لأجل أنّ خروجه عن محلّ الابتلاء، لا یوجب سقوط الأصل الجاری فیه، بعد فرض الابتلاء بأثره الذی هو نجاسة ملاقیه، فإنّ لازمه هی معارضة الأصل الجاری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الأصل الجاری فی الطرف الآخر فی الرتبة السابقة، فیبقی الأصل فی الملاقی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جریانه سلیما عن المعارض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انتهی ملخّصه، و سیأتی فساده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أنّک تعرف وجهه حسبما حرّرناه، و إنّما أشرنا إلیه تتمیما للشبهة فی المقام، فعلی هذا علی جمیع التقادیر تجری الاصول فی الملاقی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دونهما، خلافا لما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 xml:space="preserve">و جمع آخر من تلامیذه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فی الصور الرئیسة متعارضة، إلّا أنّ التعارض أوّلا یکون بین الاصول الموضوعیّة و الحکمیّة الجاریة بین الأطراف فی العلم الأوّل، ثمّ بین الجاریة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العلم الثانی؛ ضرورة أنّ الأصل الجاری فی الطرف، لیس فی طول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ما مع المتقدّم متقدّم، فالأصل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متقدّما علی الجاری فی الملاقی بالسببیة و المسبّبیة، و الجاری فی الطرف فی عرض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الأصل الجاری فی الطرف متقدّما علی الأصل الجاری فی الملاقی، فلا یتعارضان</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فهو فی محلّ المنع جدّا، و هذه الکبری باطلة حتّی فی التقدّم الزمانیّ و غیره، فضلا عن التقدّم العلّی و المعلولیّ، فإنّ ما مع المتقدّم الزمانیّ متقدّم الزمانی متقدّم علی المتأخّر الزمانیّ</w:t>
      </w:r>
    </w:p>
    <w:p>
      <w:pPr>
        <w:pStyle w:val="BookText"/>
        <w:rPr/>
      </w:pPr>
      <w:r>
        <w:rPr>
          <w:rFonts w:ascii="IRNazanin" w:hAnsi="IRNazanin" w:eastAsia="IRNazanin"/>
          <w:color w:val="111111"/>
          <w:sz w:val="28"/>
          <w:sz w:val="28"/>
          <w:szCs w:val="28"/>
          <w:rtl w:val="true"/>
          <w:lang w:bidi="fa-IR"/>
        </w:rPr>
        <w:t>بملاک یخصّه، لا بملاک المعیّة مع الزمانیّ المقارن معه، فلا 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هناک تعارضان لا معارضة واحدة؛ و ذلک المتعارضان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الإناءین المتعلّق بأحدهما العلم أوّلا، ثمّ بین الملاقی و الطرف، أو بین الملاقی و الطرف فی الصورة التی یکون العلم بلزوم اجتناب الملاقی، مقدّما علی العلم بلزوم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بین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العبرة هل هی بتقدّم العلم، أو تقدّم المعلوم </w:t>
      </w:r>
      <w:r>
        <w:rPr>
          <w:rStyle w:val="FootnoteAnchor"/>
          <w:rtl w:val="true"/>
        </w:rPr>
        <w:footnoteReference w:id="1273"/>
      </w:r>
      <w:r>
        <w:rPr>
          <w:rFonts w:ascii="IRNazanin" w:hAnsi="IRNazanin" w:eastAsia="IRNazanin"/>
          <w:color w:val="111111"/>
          <w:sz w:val="28"/>
          <w:sz w:val="28"/>
          <w:szCs w:val="28"/>
          <w:rtl w:val="true"/>
          <w:lang w:bidi="fa-IR"/>
        </w:rPr>
        <w:t xml:space="preserve">؟ فهو ینحلّ علی ما سلکناه من تنجیز العلم الثانی ما تعلّق به </w:t>
      </w:r>
      <w:r>
        <w:rPr>
          <w:rStyle w:val="FootnoteAnchor"/>
          <w:rtl w:val="true"/>
        </w:rPr>
        <w:footnoteReference w:id="1274"/>
      </w:r>
      <w:r>
        <w:rPr>
          <w:rFonts w:ascii="IRNazanin" w:hAnsi="IRNazanin" w:eastAsia="IRNazanin"/>
          <w:color w:val="111111"/>
          <w:sz w:val="28"/>
          <w:sz w:val="28"/>
          <w:szCs w:val="28"/>
          <w:rtl w:val="true"/>
          <w:lang w:bidi="fa-IR"/>
        </w:rPr>
        <w:t>، فلا فرق بین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الصور ربّما تختلف من هذه الجهة،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بعدم تنجیز العلم الثانی یجوز التفکیک بین الصور، کما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75"/>
      </w:r>
      <w:r>
        <w:rPr>
          <w:rFonts w:ascii="Amiri" w:hAnsi="Amiri" w:eastAsia="Amiri" w:cs="Amiri"/>
          <w:color w:val="111111"/>
          <w:sz w:val="28"/>
          <w:sz w:val="28"/>
          <w:szCs w:val="28"/>
          <w:rtl w:val="true"/>
          <w:lang w:bidi="ar-SA"/>
        </w:rPr>
        <w:t xml:space="preserve">و جلّ المتأخّرین </w:t>
      </w:r>
      <w:r>
        <w:rPr>
          <w:rStyle w:val="FootnoteAnchor"/>
          <w:rtl w:val="true"/>
        </w:rPr>
        <w:footnoteReference w:id="1276"/>
      </w:r>
      <w:r>
        <w:rPr>
          <w:rFonts w:ascii="IRNazanin" w:hAnsi="IRNazanin" w:eastAsia="IRNazanin"/>
          <w:color w:val="111111"/>
          <w:sz w:val="28"/>
          <w:sz w:val="28"/>
          <w:szCs w:val="28"/>
          <w:rtl w:val="true"/>
          <w:lang w:bidi="fa-IR"/>
        </w:rPr>
        <w:t>، و أمّا علی القول بتنجیزه کما هو التحقیق الحقیق بالتصدیق، فلا مورد لتوهّمه؛ نظرا إلی عدم لزوم المخالفة العملیّة من الأصل النافی لعدم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مع المتقدّم متقدّم غلط واضح، إلّا أنّ الأصل الجاری فی الطرف لا یمکن أن یعارض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اخری؛ لأنّ ذلک الأصل یعارض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فی عرضه، فإذا سقطا فلا أصل فی الطرف کی یعارض الأصل الجاری فی الآخر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مثلا فی الصورة الاولی لیس الأصل المسبّبی فی عرض الأصل</w:t>
      </w:r>
      <w:bookmarkStart w:id="996" w:name="pg13173_325173"/>
    </w:p>
    <w:p>
      <w:pPr>
        <w:pStyle w:val="BookText"/>
        <w:rPr/>
      </w:pPr>
      <w:bookmarkEnd w:id="996"/>
      <w:r>
        <w:rPr>
          <w:rFonts w:ascii="IRNazanin" w:hAnsi="IRNazanin" w:eastAsia="IRNazanin"/>
          <w:color w:val="111111"/>
          <w:sz w:val="28"/>
          <w:sz w:val="28"/>
          <w:szCs w:val="28"/>
          <w:rtl w:val="true"/>
          <w:lang w:bidi="fa-IR"/>
        </w:rPr>
        <w:t>السببیّ بالضرورة، و لا وجود لأصل الطرف کی یعارض الأصل المسبّبی، فلا حاجة إلی الکبری الکلّیة الباطلة، کما اشیر إلیها، و عندئذ یبقی الأصل الجاری فیما یختصّ بالعلم الثانی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انحلال القاعدة و الکبری الشرعیّة الظاهریّة دائمیّ، و تابع للثمرة، و لیس الساقط بالمعارضة إلّا مصداقا من قاعدتی الحلّ و الطهارة، دون کبراهما بالضرورة، و عندئذ بعد سقوط الأصل فی الطرف بالمعارضة، یوجد مصداق آخر لمعارضة الأصل الجاری فی المسبّبی؛ نظرا إلی العلم الثانی الموجود أو الفائدة المترتّبة علیه؛ لبقاء الشکّ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معارضة الأصل فی المصداق الثانی بالأصل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فاسد؛ لأنّه لغو،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کبریات الاصول یتبع الثمرات المترتّبة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علی الإطلاق، إلّا علی مسلکنا من جواز إجراء الاصول النافیة للعلم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خفت من ذلک فلا بأس بإجراء الأصل فی الملاقی و الملاقی معا، أو الطرف، کی لا تلزم المخالفة و إن کان جائزا کما عرفت تفصیله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بالمخالفة القطعیّة خلاف الاحتیاط، و أمّا المخالفة الاحتمالیّة فدائما موجودة، فلا تذهل</w:t>
      </w:r>
      <w:r>
        <w:rPr>
          <w:rFonts w:eastAsia="IRNazanin" w:cs="IRNazanin"/>
          <w:color w:val="111111"/>
          <w:sz w:val="28"/>
          <w:szCs w:val="28"/>
          <w:rtl w:val="true"/>
          <w:lang w:bidi="fa-IR"/>
        </w:rPr>
        <w:t>.</w:t>
      </w:r>
    </w:p>
    <w:p>
      <w:pPr>
        <w:pStyle w:val="Heading6"/>
        <w:numPr>
          <w:ilvl w:val="5"/>
          <w:numId w:val="1"/>
        </w:numPr>
        <w:rPr/>
      </w:pPr>
      <w:bookmarkStart w:id="997" w:name="__RefHeading___Toc735401_3244359995"/>
      <w:bookmarkStart w:id="998" w:name="_Toc375"/>
      <w:bookmarkEnd w:id="997"/>
      <w:r>
        <w:rPr>
          <w:rtl w:val="true"/>
        </w:rPr>
        <w:t>بقی ذکر فروض</w:t>
      </w:r>
      <w:bookmarkEnd w:id="99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علم إجمالا نجاسة أحد الإناءین، ثمّ اضطرّ إلی المعیّن، ثمّ لاقی المعیّن ثوبه، أو خرج أحدهما عن محلّ الابتلاء، ثمّ التفت إلی ملاقاة ثوبه مع ما خرج، أو تلف أحدهما، ثمّ التفت إلی الملاقاة، فیکون العلم بالحکم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فمقتضی مصیر القوم عدم تنجّز الحکم فی الملاقی؛ لأنّ العلم الثانی متعلّق بطرف مسبوق بمنجّز، فلا ینجّز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لفساده مضافا إلی البراهین السابقة، وجدان کلّ منصف و حکم العرف و ارتکاز العقلاء، و لیس ذلک إلّا لجهة خلطهم بین باب الاحتجاجات و المنجّزات، و باب الانکشافات و العلوم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جریان الأصل فی الخارج عن محلّ الابتلاء؛ لأجل وجود أثره فی المحلّ، فهو غلط کما فی کلام العلّامة الأراکیّ رحمه اللّه السابق </w:t>
      </w:r>
      <w:r>
        <w:rPr>
          <w:rStyle w:val="FootnoteAnchor"/>
          <w:rtl w:val="true"/>
        </w:rPr>
        <w:footnoteReference w:id="1278"/>
      </w:r>
      <w:r>
        <w:rPr>
          <w:rFonts w:ascii="IRNazanin" w:hAnsi="IRNazanin" w:eastAsia="IRNazanin"/>
          <w:color w:val="111111"/>
          <w:sz w:val="28"/>
          <w:sz w:val="28"/>
          <w:szCs w:val="28"/>
          <w:rtl w:val="true"/>
          <w:lang w:bidi="fa-IR"/>
        </w:rPr>
        <w:t>، فإنّه لا معنی لجواز الخطاب بالنسبة إلی الخارج إلّا بلحاظ وجوب الاجتناب عن أثره، دون الشبهة التی تجری فیها أصالة الطهارة النافیة للأثر تعبّدا،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الخروج عن محلّ الابتلاء لا تقاس بسائر الصور؛ لأنّ العلم ینجّز بالنسبة إلی الخارج، فی غیر محلّه؛ لأنّ الجهة المبحوث عنها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الحقّ قیام السیرة علی عدم وجوب الاجتناب بالنسبة إلی الطرف الخارج عن محلّ الابتلاء، کما علیه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xml:space="preserve">المؤسّس لأساس المسألة بتأسیس الخطابات القانونیّة، جزاه اللّه عن الإسلام خیر الجزاء، فإنّه لو وفّق أحد إلی نیل هذه المسألة، یتمکّن من حلّ معضلات الفقه و الاصول بما لا مزید علیه، کمعضلة الإجزاء، و معضلة الجمع بین الأحکام، و کثیر ممّا ذکرناه فی المجلّد الأوّل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مرّ یظهر حکم ما لو ارتفع الاضطرار، أو عاد الخارج عن الابتلاء، أو</w:t>
      </w:r>
    </w:p>
    <w:p>
      <w:pPr>
        <w:pStyle w:val="BookText"/>
        <w:rPr/>
      </w:pPr>
      <w:r>
        <w:rPr>
          <w:rFonts w:ascii="IRNazanin" w:hAnsi="IRNazanin" w:eastAsia="IRNazanin"/>
          <w:color w:val="111111"/>
          <w:sz w:val="28"/>
          <w:sz w:val="28"/>
          <w:szCs w:val="28"/>
          <w:rtl w:val="true"/>
          <w:lang w:bidi="fa-IR"/>
        </w:rPr>
        <w:t>التالف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قطع النظر عمّا ذکرناه فإنّ مجرّد کون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مسبّبا، لا یوجب کون الأصل المعارض مع الطرف هو الأصل السببیّ المحیا بعود الخارج و غیره، کما عن ظاهر جمع </w:t>
      </w:r>
      <w:r>
        <w:rPr>
          <w:rStyle w:val="FootnoteAnchor"/>
          <w:rtl w:val="true"/>
        </w:rPr>
        <w:footnoteReference w:id="1281"/>
      </w:r>
      <w:r>
        <w:rPr>
          <w:rFonts w:ascii="Amiri" w:hAnsi="Amiri" w:eastAsia="Amiri" w:cs="Amiri"/>
          <w:color w:val="111111"/>
          <w:sz w:val="28"/>
          <w:sz w:val="28"/>
          <w:szCs w:val="28"/>
          <w:rtl w:val="true"/>
          <w:lang w:bidi="ar-SA"/>
        </w:rPr>
        <w:t>، و خلافا لجماعة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مادام لم یرجع أو لم یزل الاضطرار، تقع المعارضة بین الأصل فی الملاقی و الطرف، و یسقطان، و إذا عاد و إن لم یکن العائد منجّزا فرضا، و لکن جریان الأصل المسبّبی بعد ذلک محلّ منع، فیلزم الاحتیاط بالنسبة إلی الطرف فقط؛ ضرورة أنّ الأصل الجاری فیه سقط بمعارضة الأصل الجاری فی الملاقی، و أمّا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بعد جریان الأصل فی السبب إلی الأصل الآخر، بل الشکّ المسبّبی محکوم بالعدم بالتعبّد الثابت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القول بعدم تنجیز العلم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العبرة بحال حدوث العلم، دون تقدّم المعلوم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الاجتناب عن الطرف فقط؛ لسقوط الاصول فیه بمعارضة الاصول فی الملاقی قبل عود الخارج، أو زوال الاضطرار، و إذا عاد و زال تجری فیه الاصول طبعا، و نتیجة ذلک رفع الشکّ المسبّبی تعبّدا من ناحیة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المخالفة العملیّة، فلیتدبّر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الطهارة و الحلّ فی السبب، لا تصلحان لرفع الشکّ فی المسبّب؛ لأنّ میزان رافعیّة الأصل السببیّ، کون المسبّب مترتّبا علی السبب ترتّبا شرعیّا، و لو تعبّدنا فی الملاقی بأنّه طاهر لا یلزم منه طهارة الملاقی؛ لما لم یرد فی</w:t>
      </w:r>
      <w:bookmarkStart w:id="999" w:name="pg13173_325176"/>
    </w:p>
    <w:p>
      <w:pPr>
        <w:pStyle w:val="BookText"/>
        <w:rPr/>
      </w:pPr>
      <w:bookmarkEnd w:id="999"/>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ملاقی الطاهر طاهر؛ و أن الشی‌ء الطاهر لا یوجب نجاسة ملاقیه</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و إن کان الأمر کذلک، و لکنّه غیر التعبّد الشرعیّ اللازم فی مجاری الاصول، فعلیه لا وقع لهذه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تحرّر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 و لکن بعد التعبّد بطهارة الملاقی، یکفی لعدم تنجّس الملاقی نفس عدم ملاقاته للنجس، فإذا شکّ فی نجاسة شی‌ء شکّا بدویّا، و لا قاه شی‌ء، لا حاجة إلی قاعدة الطهارة فی الملاقی؛ لأنّ التعبّد بطهارة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انعدام موضوع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الموضوع بالاصول جائز عند کافّة المحصّلین، إلّا أنّه هناک شبهة، فلا تغفل</w:t>
      </w:r>
      <w:r>
        <w:rPr>
          <w:rFonts w:eastAsia="IRNazanin" w:cs="IRNazanin"/>
          <w:color w:val="111111"/>
          <w:sz w:val="28"/>
          <w:szCs w:val="28"/>
          <w:rtl w:val="true"/>
          <w:lang w:bidi="fa-IR"/>
        </w:rPr>
        <w:t>.</w:t>
      </w:r>
    </w:p>
    <w:p>
      <w:pPr>
        <w:pStyle w:val="Heading6"/>
        <w:numPr>
          <w:ilvl w:val="5"/>
          <w:numId w:val="1"/>
        </w:numPr>
        <w:rPr/>
      </w:pPr>
      <w:bookmarkStart w:id="1000" w:name="__RefHeading___Toc735403_3244359995"/>
      <w:bookmarkStart w:id="1001" w:name="_Toc376"/>
      <w:bookmarkEnd w:id="1000"/>
      <w:r>
        <w:rPr>
          <w:rtl w:val="true"/>
        </w:rPr>
        <w:t>تذییل</w:t>
      </w:r>
      <w:r>
        <w:rPr>
          <w:rtl w:val="true"/>
        </w:rPr>
        <w:t xml:space="preserve">: </w:t>
      </w:r>
      <w:r>
        <w:rPr>
          <w:rtl w:val="true"/>
        </w:rPr>
        <w:t>حول الشبهة الحیدریة</w:t>
      </w:r>
      <w:bookmarkEnd w:id="1001"/>
    </w:p>
    <w:p>
      <w:pPr>
        <w:pStyle w:val="BookText"/>
        <w:rPr/>
      </w:pPr>
      <w:r>
        <w:rPr>
          <w:rFonts w:ascii="IRNazanin" w:hAnsi="IRNazanin" w:eastAsia="IRNazanin"/>
          <w:color w:val="111111"/>
          <w:sz w:val="28"/>
          <w:sz w:val="28"/>
          <w:szCs w:val="28"/>
          <w:rtl w:val="true"/>
          <w:lang w:bidi="fa-IR"/>
        </w:rPr>
        <w:t>حکی 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قضیّة القول بعدم وجوب الاجتناب عن الملاقی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الالتزام بحلّیة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إحراز طهارته، و بالأخرة هو التفکیک بین قاعدتی الحلّ و الطهارة؛ بجریان الاولی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یشهد أیضا علی لزوم الاجتناب</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قدّس سرّه أراد بذلک دعوی تنجیز العلم الإجمالیّ بالنسبة إلی الملاقی؛ إمّا مستندا إلی العلم الأوّل بإدخاله فی المتعلّق، أو بالعلم الثانی، أو بما ذکرناه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اصول مترتّبة؛ ففی الرتبة الاولی یجری الأصلان السببیّان فی الملاقی و الطرف، و فی الرتبة الثانیة یکون الشکّ فی حلّیة کلّ من الملاقی</w:t>
      </w:r>
    </w:p>
    <w:p>
      <w:pPr>
        <w:pStyle w:val="BookText"/>
        <w:rPr/>
      </w:pPr>
      <w:r>
        <w:rPr>
          <w:rFonts w:ascii="IRNazanin" w:hAnsi="IRNazanin" w:eastAsia="IRNazanin"/>
          <w:color w:val="111111"/>
          <w:sz w:val="28"/>
          <w:sz w:val="28"/>
          <w:szCs w:val="28"/>
          <w:rtl w:val="true"/>
          <w:lang w:bidi="fa-IR"/>
        </w:rPr>
        <w:t>و الطرف مسبّبا عن الشکّ فی طهارتهما، کما یکون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 عن طهارة الملاقی، فالاصول الثلاثة فی هذه الرتبة متعارضة، فیبقی أصل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یمکن الالتزام به علی إشکال فیه، یتبیّن تنجیز العلم بالنسبة إلی الملاقی، و تصیر النتیجة عدم جریان الاصول فی الأطراف کلّها، أو یلزم التعارض بین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أصل الطهارة الجاری فی الطرف؛ لکونهما مورد العلم الثانی، و لیس بینهما السببیّة و الرتبة کما عرفت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قاعدة الطهارة لا حاجة إلی أصالة الحلّ؛ ضرورة أنّ مقتضی الأدلّة الاجتهادیّة حلّیة الطاهر، فلا تصل النوبة إلی قاعدة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لا یمکن الالتزام بحلّیة الإناءین و لو بتنقیح موضوع تلک الأدلّة، تصل النوبة إلی قاعدة الحلّ، و هی أیضا متعارضة المصداقین مع قاعدة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الحقّ معارضتها مع القاعدة فی الطرف کما عرفت، فالشبهة تتوجّه إلی القائلین بعدم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من الصور کان،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لتوهّم معارضة قاعدة الطهارة فی الملاقی مع القاعدة فی الطرف إلّا فی صورة التنجیز، و إلّا فالمعارضة ممنوعة، کما هو الظاهر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بالتنجیز یقتضی وجوب الموافقة القطعیّة، و القول بعدمه لا یقتضی جواز المخالفة القطعیّة؛ ضرورة أنّه یمکن التفکیک بینهما، کما مرّ فی أوائل البحث </w:t>
      </w:r>
      <w:r>
        <w:rPr>
          <w:rStyle w:val="FootnoteAnchor"/>
          <w:rtl w:val="true"/>
        </w:rPr>
        <w:footnoteReference w:id="1288"/>
      </w:r>
      <w:r>
        <w:rPr>
          <w:rFonts w:ascii="IRNazanin" w:hAnsi="IRNazanin" w:eastAsia="IRNazanin"/>
          <w:color w:val="111111"/>
          <w:sz w:val="28"/>
          <w:sz w:val="28"/>
          <w:szCs w:val="28"/>
          <w:rtl w:val="true"/>
          <w:lang w:bidi="fa-IR"/>
        </w:rPr>
        <w:t>، فإذا علم وجدانا بأنّه إمّا یجب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لا یمکن تجویز المخالفة القطعیّة بشرب الملاقی و الطرف و إن لم یکن</w:t>
      </w:r>
    </w:p>
    <w:p>
      <w:pPr>
        <w:pStyle w:val="BookText"/>
        <w:rPr/>
      </w:pPr>
      <w:r>
        <w:rPr>
          <w:rFonts w:ascii="IRNazanin" w:hAnsi="IRNazanin" w:eastAsia="IRNazanin"/>
          <w:color w:val="111111"/>
          <w:sz w:val="28"/>
          <w:sz w:val="28"/>
          <w:szCs w:val="28"/>
          <w:rtl w:val="true"/>
          <w:lang w:bidi="fa-IR"/>
        </w:rPr>
        <w:t>الطرف منجّزا بمعناه المزبور، فعندئذ تقع المعارضة طبعا للمعلوم فی البین، فلا فرق عند التحقیق بین القول بالتنجیز، و القول بعدمه فی حصول المعارضة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الثانی لا أثر له، و العلم الأوّل یمنع عن جریان الاصول فی الأطراف،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أو هو علّة تامّة للمنع، کما علیه العلّامة الأراکیّ رحمه اللّه </w:t>
      </w:r>
      <w:r>
        <w:rPr>
          <w:rStyle w:val="FootnoteAnchor"/>
          <w:rtl w:val="true"/>
        </w:rPr>
        <w:footnoteReference w:id="1290"/>
      </w:r>
      <w:r>
        <w:rPr>
          <w:rFonts w:ascii="IRNazanin" w:hAnsi="IRNazanin" w:eastAsia="IRNazanin"/>
          <w:color w:val="111111"/>
          <w:sz w:val="28"/>
          <w:sz w:val="28"/>
          <w:szCs w:val="28"/>
          <w:rtl w:val="true"/>
          <w:lang w:bidi="fa-IR"/>
        </w:rPr>
        <w:t>فلا شبهة، و إلّا فالشبهة ناشئة عن السببیّة و الطولیّة بین الشکوک، و المعارضة علی کلّ تقدیر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الشبهة تأتی و إن لم تجر الاصول أطراف العلم؛ لأنّها تجری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تقع المعارضة، و یلزم التفکیک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ما أبدعناه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المعارضة مطلقا بین الاصول و العلم الإجمالیّ </w:t>
      </w:r>
      <w:r>
        <w:rPr>
          <w:rStyle w:val="FootnoteAnchor"/>
          <w:rtl w:val="true"/>
        </w:rPr>
        <w:footnoteReference w:id="1291"/>
      </w:r>
      <w:r>
        <w:rPr>
          <w:rFonts w:ascii="IRNazanin" w:hAnsi="IRNazanin" w:eastAsia="IRNazanin"/>
          <w:color w:val="111111"/>
          <w:sz w:val="28"/>
          <w:sz w:val="28"/>
          <w:szCs w:val="28"/>
          <w:rtl w:val="true"/>
          <w:lang w:bidi="fa-IR"/>
        </w:rPr>
        <w:t>، فلا شبهة أیضا،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الالتزام بالتفکیک، أو دعوی أنّ السببیّة و المسبّبیة هنا غیر تامّة الشرائط، فالشکّان عرضیّان لا طولیّان، کما صرّح به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و قد مرّ بجوابه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یبقی بعد اللتیّا و التی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أصل الطهارة و الحلّ فی الطرف، یسقطان بمعارضة الأصل فی الملاقی، و لکنّهما ینهضان ثانیا لمعارضة الأصل فی الملاقی؛ لما عرفت من أنّ ما هو المعارض هو المصداق، دون الطبیعیّ بالضرورة، و انحلال القاعدة الکلّیة الشرعیّة إلی المصادیق الکثیرة تابع الحاجة العقلائیّة</w:t>
      </w:r>
      <w:r>
        <w:rPr>
          <w:rStyle w:val="FootnoteAnchor"/>
          <w:rtl w:val="true"/>
        </w:rPr>
        <w:footnoteReference w:id="1293"/>
      </w:r>
      <w:r>
        <w:rPr>
          <w:rFonts w:ascii="IRNazanin" w:hAnsi="IRNazanin" w:eastAsia="IRNazanin"/>
          <w:color w:val="111111"/>
          <w:sz w:val="28"/>
          <w:sz w:val="28"/>
          <w:szCs w:val="28"/>
          <w:rtl w:val="true"/>
          <w:lang w:bidi="fa-IR"/>
        </w:rPr>
        <w:t>، و عندئذ إذا کان الأصل فی الملاقی ففی الطرف أصل یعارضه</w:t>
      </w:r>
      <w:bookmarkStart w:id="1002" w:name="pg13173_325179"/>
    </w:p>
    <w:p>
      <w:pPr>
        <w:pStyle w:val="BookText"/>
        <w:rPr/>
      </w:pPr>
      <w:bookmarkEnd w:id="1002"/>
      <w:r>
        <w:rPr>
          <w:rFonts w:ascii="IRNazanin" w:hAnsi="IRNazanin" w:eastAsia="IRNazanin"/>
          <w:color w:val="111111"/>
          <w:sz w:val="28"/>
          <w:sz w:val="28"/>
          <w:szCs w:val="28"/>
          <w:rtl w:val="true"/>
          <w:lang w:bidi="fa-IR"/>
        </w:rPr>
        <w:t>و یسقطان، و إذا وصلت النوبة إلی أصل الملاقی ینهض مصداق آخر فی الطرف یعارضه قهرا و طبعا؛ لتمامیّة الشکّ الذی هو موضوعه، و مساس الحاجة إلیه کما هو الواضح، فافهم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وقع لهذه الشبهة، بخلاف الشبهة السابقة، و اللّه الموفّق</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735405_3244359995"/>
      <w:bookmarkStart w:id="1004" w:name="_Toc377"/>
      <w:bookmarkEnd w:id="1003"/>
      <w:r>
        <w:rPr>
          <w:rtl w:val="true"/>
        </w:rPr>
        <w:t>ذنابة</w:t>
      </w:r>
      <w:r>
        <w:rPr>
          <w:rtl w:val="true"/>
        </w:rPr>
        <w:t xml:space="preserve">: </w:t>
      </w:r>
      <w:r>
        <w:rPr>
          <w:rtl w:val="true"/>
        </w:rPr>
        <w:t>فی اشتباه أحد الأطراف بین إناءین آخرین</w:t>
      </w:r>
      <w:bookmarkEnd w:id="1004"/>
    </w:p>
    <w:p>
      <w:pPr>
        <w:pStyle w:val="BookText"/>
        <w:rPr/>
      </w:pPr>
      <w:r>
        <w:rPr>
          <w:rFonts w:ascii="IRNazanin" w:hAnsi="IRNazanin" w:eastAsia="IRNazanin"/>
          <w:color w:val="111111"/>
          <w:sz w:val="28"/>
          <w:sz w:val="28"/>
          <w:szCs w:val="28"/>
          <w:rtl w:val="true"/>
          <w:lang w:bidi="fa-IR"/>
        </w:rPr>
        <w:t>لو اشتبه أحد الأطراف بعد التنجّز بین إناءین، فالعلم الثانی یتعلّق بأنّ أحدهما شبهة منجّزة، فلا بدّ من الاحتیاط؛ نظرا إلی أنّ العلم الثانی ینجّز ما تنجّز، ثانیا؛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امتناعه فیشکل، و مجرّد المقدّمیة العلمیّة غیر کاف، کما تحرر</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Style w:val="FootnoteAnchor"/>
          <w:rtl w:val="true"/>
        </w:rPr>
        <w:footnoteReference w:id="1294"/>
      </w:r>
      <w:r>
        <w:rPr>
          <w:rFonts w:ascii="IRNazanin" w:hAnsi="IRNazanin" w:eastAsia="IRNazanin"/>
          <w:color w:val="111111"/>
          <w:sz w:val="28"/>
          <w:sz w:val="28"/>
          <w:szCs w:val="28"/>
          <w:rtl w:val="true"/>
          <w:lang w:bidi="fa-IR"/>
        </w:rPr>
        <w:t>عندی ممنوع؛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التمسّک بقاعدة الاشتغال فی التکالیف التحریمیّة و الإیجابیّة</w:t>
      </w:r>
      <w:r>
        <w:rPr>
          <w:rStyle w:val="FootnoteAnchor"/>
          <w:rtl w:val="true"/>
        </w:rPr>
        <w:footnoteReference w:id="1295"/>
      </w:r>
      <w:r>
        <w:rPr>
          <w:rFonts w:ascii="IRNazanin" w:hAnsi="IRNazanin" w:eastAsia="IRNazanin"/>
          <w:color w:val="111111"/>
          <w:sz w:val="28"/>
          <w:sz w:val="28"/>
          <w:szCs w:val="28"/>
          <w:rtl w:val="true"/>
          <w:lang w:bidi="fa-IR"/>
        </w:rPr>
        <w:t>غیر صحیح، فإنّها تنفع علی القول بأنّها ضمان، و هکذا فی باب الضمانات</w:t>
      </w:r>
      <w:r>
        <w:rPr>
          <w:rFonts w:eastAsia="IRNazanin" w:cs="IRNazanin"/>
          <w:color w:val="111111"/>
          <w:sz w:val="28"/>
          <w:szCs w:val="28"/>
          <w:rtl w:val="true"/>
          <w:lang w:bidi="fa-IR"/>
        </w:rPr>
        <w:t>.</w:t>
      </w:r>
      <w:bookmarkStart w:id="1005" w:name="pg13173_32518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6" w:name="__RefHeading___Toc735407_3244359995"/>
      <w:bookmarkStart w:id="1007" w:name="_Toc378"/>
      <w:bookmarkEnd w:id="1005"/>
      <w:bookmarkEnd w:id="1006"/>
      <w:r>
        <w:rPr>
          <w:rtl w:val="true"/>
        </w:rPr>
        <w:t>فهرس المحتویات</w:t>
      </w:r>
      <w:bookmarkEnd w:id="1007"/>
    </w:p>
    <w:p>
      <w:pPr>
        <w:pStyle w:val="BookText"/>
        <w:rPr/>
      </w:pPr>
      <w:r>
        <w:rPr>
          <w:rFonts w:ascii="IRNazanin" w:hAnsi="IRNazanin" w:eastAsia="IRNazanin"/>
          <w:color w:val="111111"/>
          <w:sz w:val="28"/>
          <w:sz w:val="28"/>
          <w:szCs w:val="28"/>
          <w:rtl w:val="true"/>
          <w:lang w:bidi="fa-IR"/>
        </w:rPr>
        <w:t>المقصد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البراءة مقدّمة و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تقسیم أحوال المکلّف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 مناسبة لذکر الحکومة و أنحائها هنا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اصولیّة مسألة البراءة مطلقا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دلّة الاصولیّین علی البراءة الاستدلال بالکتاب الکریم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ضعیفة السند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شمول حدیث الحجب للشبهتین الموضوعیّة و الحکمیّة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lang w:bidi="fa-IR"/>
        </w:rPr>
        <w:t>20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کلّ شی‌ء مطلق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یدل علی اختصاص حدیث الإطلاق بالحلّیة الظاهریّة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القابلة للاعتماد علیها سندا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عبد الأعلی بن أعین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ابن الطیّار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عبد الأعلی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عبد الرحمان بن الحجّاج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الغفلة عذر فی الأحکام دون الموضوعات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عبد الصمد بن بشیر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عبد اللّه بن سنان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حول الاستدلال بحدیث الرفع علی البراءة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تحصیل و تحقیق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اشتمال الحدیث علی المجاز و عدمه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اشتماله علی المجاز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جعل الحکم علی الطبیعة لا ینافی المجاز فی الإسناد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انحصار المجاز بالفقرة الاولی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المصحّح لإسناد الرفع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سلکه الشیخ الأعظم الأنصاری </w:t>
      </w:r>
      <w:r>
        <w:rPr>
          <w:rFonts w:eastAsia="IRNazanin" w:cs="IRNazanin"/>
          <w:color w:val="111111"/>
          <w:sz w:val="28"/>
          <w:szCs w:val="28"/>
          <w:lang w:bidi="fa-IR"/>
        </w:rPr>
        <w:t>58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اختلاف الفقرات فی الرفع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هنا عویصات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النسبة بین الحدیث و الأدلّة الأوّلیّة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محتملات الحدیث الشریف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مختار الوالد المحقّق مدّ ظلّه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المسلک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أبدعناه فی المسألة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خاتمة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نسبة بین حدیث الرفع و أخبار الاحتیاط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مسائل ثلاث حول اختصاص الحدیث بمورد الامتنان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جواب إشکال ارتفاع الضمان عند الإتلاف و نحوه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توضیح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دوران الرفع مدار العناوین التسعة فی حدیث الرفع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تحقیق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إشکال الالتزام برفع مطلق الآثار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محاذیر رفع مطلق الآثار و أجوبتها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لموارد سوء الاختیار و عدمه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للجهل بکافّة أنحائه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شمول الحدیث للامور العدمیّة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تصحیح الحدیث للمرکبات الفاقدة لجزء أو شرط أو عدم مانع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نسیان الجزء أو الشرط أو المانع فی العبادات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النسیان و أحکامها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الفرق بین نسیان الجزء و الشرط و المانع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حکم بعض أقسام الناسین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نسیان الجزء أو الشرط أو المانع فی المعاملات </w:t>
      </w:r>
      <w:r>
        <w:rPr>
          <w:rFonts w:eastAsia="IRNazanin" w:cs="IRNazanin"/>
          <w:color w:val="111111"/>
          <w:sz w:val="28"/>
          <w:szCs w:val="28"/>
          <w:lang w:bidi="fa-IR"/>
        </w:rPr>
        <w:t>112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نسیان الجزء الرکنی الدخیل فی صدق الطبیعة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 الجزء و الشرط أو إیجاد المانع إکراها و اضطرارا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الإشکال علی التمسّک بحدیث الرفع هنا و جوابه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توهّم اختصاص الحدیث بالإکراه و الاضطرار المستوعبین و جوابه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الدلیل الخاصّ قد یقتضی عدم الإجزاء هنا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 المرکب العبادیّ الموقّت أو المعاملیّ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الغفلة و اشتراط شی‌ء غیر مقصود عن توجّه و التفات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تفصیل المحقّق الحائری عند الشکّ فی المانعیّة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منع قیام الإجماع علی الأخذ بالبراءة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الاستدلال بالعقل علی البراءة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انقسام البراءة إلی شرعیّة و عقلیّة و عقلائیّة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تمامیّة کبری قاعدة قبح العقاب بلا بیان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بحث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مشکلة العقاب بلا بیان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بحث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قاعدة قبح العقاب عقلا، لا عرفا و عقلائیّا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البراءة فی الشبهات الموضوعیّة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تذنیب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مناقشة عقلیّة لقاعدة قبح العقاب بلا بیان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نسبة القاعدة مع قاعدة لزوم دفع الضرر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و 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ورود قاعدة قبح العقاب علی قاعدة دفع الضرر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القاعدة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تحقیق فی قاعدة لزوم دفع الضرر المحتمل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وجوب دفع الضرر لیس نفسیّا و غیریّا و لا طریقیّا </w:t>
      </w:r>
      <w:r>
        <w:rPr>
          <w:rFonts w:eastAsia="IRNazanin" w:cs="IRNazanin"/>
          <w:color w:val="111111"/>
          <w:sz w:val="28"/>
          <w:szCs w:val="28"/>
          <w:lang w:bidi="fa-IR"/>
        </w:rPr>
        <w:t>145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التمسّک بعدم الوصول و بالاستصحاب لإثبات البراءة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أدلّة الأخباریّین علی الاحتیاط أمّا الآیات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و أمّا السنّة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الردّ إلی اللّه و إلی أهل البیت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المتضمّنة للأمر بالتوقّف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جولة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الأمر بالتوقّف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الآمرة بالاحتیاط و المتضمّنة 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حول استلزام أدلّة الاحتیاط للدور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حکم التعارض بین أخبار البراءة و الاحتیاط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النسبة بین أدلّة البراءة و الاحتیاط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المآثیر الآمرة بطرح المشتبه و ما فیه الریب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تشتمل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ملک حمی، و حمی اللّه محارمه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و أمّا العقل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شبهات و تفصّیات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فذلکة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الاحتیاط عقلا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الإیراد علی وجوب الاحتیاط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أصالة الحظر </w:t>
      </w:r>
      <w:r>
        <w:rPr>
          <w:rFonts w:eastAsia="IRNazanin" w:cs="IRNazanin"/>
          <w:color w:val="111111"/>
          <w:sz w:val="28"/>
          <w:szCs w:val="28"/>
          <w:lang w:bidi="fa-IR"/>
        </w:rPr>
        <w:t>199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تنبیهات 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جریان البراءة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الشک فی الشبهات الموضوعیّة و أحکامها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تعلّق الأمر أو النهی بنفس الطبیعة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بقی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الاستدلال بأنّ ترک الطبیعة بترک جمیع الأفراد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تعلّق الأمر أو النهی بالعموم الاستغراقی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تعلّقا بالعموم المجموعی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البراءة فی الشبهة الموضوعیّة التحریمیّة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بقی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المنهیّ فی العامّ المجموعیّ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کفایة ترک الطبیعة فی تحقّق الامتثال فی بعض الصور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تعلّق الأمر أو النهی بالعناوین الاشتقاقیّة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جریان البراءة مع وجود الأصل المقدّم علیها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حکومة الاستصحاب علی البراءة دائما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بقی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تقدّم قاعدة الاشتغال علی البراءة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حسن الاحتیاط عقلا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بقیت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الاحتیاط فی التوصّلیات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الاحتیاط فی التعبّدیات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بقی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إشکال صغرویّ علی رجحان الاحتیاط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أوامر أخبار الاحتیاط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حسن الاحتیاط إضافیّ لا حقیقیّ </w:t>
      </w:r>
      <w:r>
        <w:rPr>
          <w:rFonts w:eastAsia="IRNazanin" w:cs="IRNazanin"/>
          <w:color w:val="111111"/>
          <w:sz w:val="28"/>
          <w:szCs w:val="28"/>
          <w:lang w:bidi="fa-IR"/>
        </w:rPr>
        <w:t>231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المطاف فی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دوران الأمر بین التعیین و التخییر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 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البراءة عن التکلیف التخییریّ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رفع أحد أطراف الوجوب التخییریّ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دوران الأمر بین التعیین و التخییر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حکومة الاصول الرافعة للشکّ علی التخییر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یتمسّک بالاستصحاب لإثبات التعیین، و یعدّ ذلک من وجوه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کفایة استصحاب التعیینیّة أو التخییریّة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أحکام أقسام دوران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من جانب واحد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مختار المحقّق العراقی من الاشتغال وردّه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حکم الفرض غیر الرئیسی من القسم الأوّل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بیان آخر لوجوب الاحتیاط عند الدوران بین التعیین و التخییر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تقریبنا للزوم الاحتیاط فی المقام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فی التکلیف النفسی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فی التکلیف الارشادی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فی الأمر الغیری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فی الأوامر الترخیصیّة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فی الأوامر الطریقیّة الإمضائیّة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 أنّ المتعلق صرف الوجود أو الوجود الساری </w:t>
      </w:r>
      <w:r>
        <w:rPr>
          <w:rFonts w:eastAsia="IRNazanin" w:cs="IRNazanin"/>
          <w:color w:val="111111"/>
          <w:sz w:val="28"/>
          <w:szCs w:val="28"/>
          <w:lang w:bidi="fa-IR"/>
        </w:rPr>
        <w:t>265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العینیّ و الکفائیّ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أمثلة الدوران بین العینیّ و الکفائیّ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الدوران بین العینیّ المباشریّ و الأعمّ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الوجوب الأوّلیّ و الثانویّ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المحذورین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قبل الخوض فی مسائله نشیر إلی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البحث للدوران بین الحرامین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الخروج عن محل النزاع مع وجود ما یعین أحد الطرفین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دوران الأمر بین محذورین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تساوی المحذورین من حیث الأهمیّة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إمکان الامتثال عند الدوران بین محذورین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الموافقة الالتزامیّة فی المقام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الفرق بین المحذورین الشرعیّین و العقلیّین و المختلفین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جریان القاعدة الشرعیّة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المحذورین من حیث الأهمّیة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فیها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میزان ترجح أحد المحذورین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دخول هذه المسألة فی الدوران بین التعیین و التخییر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ترجّح ما لا تجری البراءة فیه خاصّة علی الآخر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تعدّد الوقائع المقتضی لتعدّد التکلیف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کیفیّة الموافقة الاحتمالیّة فی المقام </w:t>
      </w:r>
      <w:r>
        <w:rPr>
          <w:rFonts w:eastAsia="IRNazanin" w:cs="IRNazanin"/>
          <w:color w:val="111111"/>
          <w:sz w:val="28"/>
          <w:szCs w:val="28"/>
          <w:lang w:bidi="fa-IR"/>
        </w:rPr>
        <w:t>298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الأحکام الوضعیّة بین محذورین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إعادة و 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تعیّن التخییر البدوی فی المقام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تردّد صوم شهر ما بین الحرمة و الوجوب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المقصد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الاشتغال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الشکّ فی المکلّف به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فیها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الشکوک فی المقام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العناوین المذکورة فی المقام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حول العلم الإجمالی هنا و ما مر فی القطع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خروج العلم الإجمالی بالامتثال عن محل النزاع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إشارة إلی حقیقة العلم الإجمالی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الترخیص فی أطراف الشبهة الحکمیة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تقریب بدیع لوجوب الاحتیاط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یوجب الاحتیاط عند العلم الإجمالی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معقولیّة الترخیص بالنسبة إلی جمیع الأطراف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لا ینبغی الخوض فیه هنا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یتعلّق بحدود ترخیص الشرع تصدیقا فی الشبهات الحکمیّة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علما وجدانیّا بالحکم و التکلیف </w:t>
      </w:r>
      <w:r>
        <w:rPr>
          <w:rFonts w:eastAsia="IRNazanin" w:cs="IRNazanin"/>
          <w:color w:val="111111"/>
          <w:sz w:val="28"/>
          <w:szCs w:val="28"/>
          <w:lang w:bidi="fa-IR"/>
        </w:rPr>
        <w:t>331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علم بالحجّة إجمالا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شبهة عقلائیّة عن جریان الاصول فی مجموع الأطراف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موارد العلم الإجمالیّ بالبطلان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بیان بدیع لإمکان الترخیص فی أطراف الشبهات الحکمیّة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الفارق بین تجویز العلّامة الخراسانی للترخیص و بین تجویزنا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الشبهات الموضوعیّة تمهید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امتیازات بین الشبهات الحکمیّة و الموضوعیّة فی العلم الإجمالیّ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الترخیص بالأمارات و الطرق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استدلال بالأخبار العلاجیة علی حجّیة الخبر و البیّنة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توهّم تعارض البیّنتین هنا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المحرزة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القواعد الجاریة فی مقام الامتثال فی أطراف العلم الإجمالیّ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التمسّک بقاعدة التجاوز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قاعدتی الحل و الطهارة فی أطراف العلم الإجمالیّ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تذنیبات و تنبیهات 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الاصول فی أطراف العلم الإجمالی </w:t>
      </w:r>
      <w:r>
        <w:rPr>
          <w:rFonts w:eastAsia="IRNazanin" w:cs="IRNazanin"/>
          <w:color w:val="111111"/>
          <w:sz w:val="28"/>
          <w:szCs w:val="28"/>
          <w:lang w:bidi="fa-IR"/>
        </w:rPr>
        <w:t>380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الترخیص فی بعض الأطراف دون بعض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محل جریان الأصل فی بعض الأطراف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استدلال المحقّق العراقی علی منع جریان الأصل النافی للتکلیف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الالتزام بالتخییر العقلیّ أو الشرعیّ فی المعلوم بالإجمال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الوجوه الإثباتیة للالتزام بالتخییر فی الأطراف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مختار الحدائق من تقیید الطهارة و النجاسة بالعلم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معارضة الاستصحاب لقاعدة الحلّ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تدریجیّة الأطراف لا تضرّ بالتنجیز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وجوب التحفّظ علی المقدمات المفوتة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صور تنجیز العلم الإجمالی فی المسائل المالیة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صور العلم الإجمالی باشتغال الذمّة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غیر المحصورة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و هنا نکات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بیان بدیع لشیخ مشایخنا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بقی 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أدلّة الترخیص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التفصیل بین الشبهة المحصورة و غیرها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صیرورة الشبهة لا شبهة، کالعلم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ترخیص المخالفة القطعیّة فی غیر المحصورة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الوجوبیة من غیر المحصورة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الشبهة الوجوبیة من غیر المحصورة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الکثیر فی الکثیر و الکثیر فی القلیل </w:t>
      </w:r>
      <w:r>
        <w:rPr>
          <w:rFonts w:eastAsia="IRNazanin" w:cs="IRNazanin"/>
          <w:color w:val="111111"/>
          <w:sz w:val="28"/>
          <w:szCs w:val="28"/>
          <w:lang w:bidi="fa-IR"/>
        </w:rPr>
        <w:t>442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الخروج عن محلّ الابتلاء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و الکلام یقع فی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شرطیّة العلم بالتکلیف الفعلی و عدمها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مجرد العلم بالحکم الفعلی لا یوجب التنجیز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خروج بعض الأطراف عن محلّ الابتلاء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ذهب إلیه الأعلام فی المسألة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صور الخروج عن محلّ الابتلاء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الخلط الواقع فی کلمات الباحثین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التفصیل بین الشبهات الوجوبیة و التحریمیة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وجوه الجواب عن الشبهة السابقة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عدم العلم بالمحبوبیة و المبغوضیة الإلزامیّتین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إثبات الاحتیاط بناء علی الخطابات القانونیة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سبق الخروج عن محل الابتلاء أو تقارنه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صور الشکّ فی المسألة و بیان أحکامها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تفصیل صور الشکّ فی الخروج عن محلّ الابتلاء و أحکامها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بالعمومات و الإطلاقات لرفع الشکّ فی المسألة الاصولیّة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بقی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بحدیث البراءة لرفع الشکّ المذکور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شبهة متوجّهة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عدم تأثیر العلم فی موارد الامتناع الشرعی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اضطرّ إلی أحد الأطراف، و هکذا لو اکره علیه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و هنا امور 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الاضطرار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الأقوال فی المسألة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أنّ المرتفع هو الأثر المضطرّ إلیه دون مطلق الأثر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أولویة ذکر صور الإکراه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الاضطرار للعقلی و العرفی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الاحتیاط فی جمیع صور الاضطرار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التنجیز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القول بالتفصیل فی المقام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صورتی تقدّم العلم علی الاضطرار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بیان آخر للقول بالاحتیاط فی الطرف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جواز شرب الإناء الثانی عند احتمال انتفاء الاضطرار إلی الأوّل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علم بطروّ الاضطرار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الفحص عن الفرد المحرّم لرفع الاضطرار بغیره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الاضطرار إلی ترک الواجب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ملاقی بعض أطراف العلم الإجمالی </w:t>
      </w:r>
      <w:r>
        <w:rPr>
          <w:rFonts w:eastAsia="IRNazanin" w:cs="IRNazanin"/>
          <w:color w:val="111111"/>
          <w:sz w:val="28"/>
          <w:szCs w:val="28"/>
          <w:lang w:bidi="fa-IR"/>
        </w:rPr>
        <w:t>500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ملاقی النجس نجس بعنوانه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البحث علی المبانی المختلفة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الملاقاة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العلم الإجمالیّ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مقتضی الأصل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بقی ذکر فروض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الشبهة الحیدریة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اشتباه أحد الأطراف بین إناءین آخرین </w:t>
      </w:r>
      <w:r>
        <w:rPr>
          <w:rFonts w:eastAsia="IRNazanin" w:cs="IRNazanin"/>
          <w:color w:val="111111"/>
          <w:sz w:val="28"/>
          <w:szCs w:val="28"/>
          <w:lang w:bidi="fa-IR"/>
        </w:rPr>
        <w:t>521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523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مواریث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یأتی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 التجارة،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 الدلیل العاشر علی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 سرّه حرّر هذا البحث فی فوائده الرجالیة و هی مفقودة، لاحظ ما یأتی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الفائدة الخامسة من الخاتمة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فوائده الرجالیة و هی مفقودة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الخاتمة الفائدة الثانیة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ما یمسک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لاحظ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لا 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دفتر پنجم، قصّه شاه و أیاز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الهامش،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فصل فی أحکام المواقیت،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فصل فی کیفیّة الاحرام،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رسالته التی کتبها حول حدیث رفع القلم و هی مفقودة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الفقه، 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فصل فی النجاسات، القول فی کیفیّة التنجّس بها،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أنّ رسالته فی قاعدة نفی الضرر الّتی ألّفها فی بورسا فقدت و لم تصل إلینا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الخیارات، القول فی الشروط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فصل فی التیمّم،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العلّامة الحائری، و لم نقف علی الناقل أیضا فی هذه العجالة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الخلل فی الصلاة،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 الطلاق،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 مفقودة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الذهب المسکوک فی اللباس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مفقودة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قوامع الفضول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أبواب أحکام شهر رمضان،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ما 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محلّه قواعده الرجالیة و هی مفقودة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الحکم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المهر، مجموعة 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المجلس الأوّل،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الحجّ، أبواب کفارات الصید،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الحجّ، أبواب کفّارات الصید،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ما یمسک عنه الصائم،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المجلس الرابع،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أنّ الکتاب لم یصل إلی مباحث التعادل و الترجیح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فواتح الرحموت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لاحظ تحریرات فی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لاحظ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یأتی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الفخر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المحرّمة من تحریرات فی الفقه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فصل فی الجماعة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أنّ الکتاب لم یصل إلی مباحث التعادل و الترجیح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الهامش،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لاحظ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الاجتهاد و التقلید، للمؤلف قدّس سرّه مفقودة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کفایة الاصول، المحقّق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الواجبات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صلاة الجماعة من کتاب الصلاة للمؤلّف قدّس سرّه مفقودة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شرح العروة الوثقی، کتاب 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صلاة الجماعة من کتاب الصلاة للمؤلّف قدّس سرّه مفقودة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أحمد بن محمد بن عیسی الأشعری،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 لاحظ 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القول فی النذر،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لاحظ 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یوسف له فقدان کثیر من مباحث کتاب الصلاة للمؤلف قدّس سرّه و منها مباحث صلاة الجمعة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لم یصل الکتاب إلی بحوث التعادل و الترجیح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فصل فی غایات الوضوء،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فصل فی أعداد الفرائض و نوافلها،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 من الاستصحاب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الزکاة، ختام فیه مسائل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النجاسات،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 من الاستصحاب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المقصد الأوّل، الجهة الثانیة، الآیة الثانیة من الآیات المستدلّ بها علی أصالة اللزوم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کتاب الزکاة، ختام فیه مسائل متفرقة،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فصل فیما یجب فیه الخمس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کتاب الزکاة، ختام فیه مسائل متفرقة، الهامش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فصل فیما یجب الخمس، الهامش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کتاب الزکاة، ختام فیه مسائل متفرقة،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کتاب الزکاة، ختام فیه مسائل متفرّقة،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ثلاث رسائل للمؤلف، دروس الأعلام و نقدها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الرابع عشر و السابع عشر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کتاب الزکاة، ختام فیه مسائل متفرقة، السادسة، تعلیقة المحقّق الخوانساری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کتاب الخمس، فصل فیما یجب فیه الخمس،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الربا،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الخمس، أبواب ما یجب فیه الخمس،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المخطوط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الارزیّة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الکلام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رسالة المواسعة و المضایقة ضمن الرسائل الفقهیّة المطبوع فی 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فصل فی صلاة القضاء،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الصلوات،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هو الموجود عندنا من کتاب الصلاة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لاحظ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الفقه، 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الذهب المسکوک فی اللّباس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المحرّمة،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أبواب الأطعمة و الأشربة،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الحجّ، الفصل الثالث،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لاحظ ما 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المضاف،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أبواب النجاسات،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ضمن سلسلة الینابیع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 مفقود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للمؤلّف قدّس سرّه، العوائد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انظر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46865</Words>
  <Characters>203618</Characters>
  <CharactersWithSpaces>248922</CharactersWithSpaces>
  <Paragraphs>1562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2026-08-24T01:16:43Z</dcterms:created>
  <dc:creator>ghaemiyeh.com</dc:creator>
  <dc:description/>
  <dc:language>en-US</dc:language>
  <cp:lastModifiedBy/>
  <dcterms:modified xsi:type="dcterms:W3CDTF">2026-08-24T04:48:22Z</dcterms:modified>
  <cp:revision>1</cp:revision>
  <dc:subject/>
  <dc:title>تحریرات فی الاصول جلد 7</dc:title>
</cp:coreProperties>
</file>

<file path=docProps/custom.xml><?xml version="1.0" encoding="utf-8"?>
<Properties xmlns="http://schemas.openxmlformats.org/officeDocument/2006/custom-properties" xmlns:vt="http://schemas.openxmlformats.org/officeDocument/2006/docPropsVTypes"/>
</file>