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Override PartName="/word/footer307.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37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Override PartName="/word/footer525.xml" ContentType="application/vnd.openxmlformats-officedocument.wordprocessingml.footer+xml"/>
  <Override PartName="/word/footer530.xml" ContentType="application/vnd.openxmlformats-officedocument.wordprocessingml.footer+xml"/>
  <Override PartName="/word/footer531.xml" ContentType="application/vnd.openxmlformats-officedocument.wordprocessingml.footer+xml"/>
  <Override PartName="/word/footer532.xml" ContentType="application/vnd.openxmlformats-officedocument.wordprocessingml.footer+xml"/>
  <Override PartName="/word/footer533.xml" ContentType="application/vnd.openxmlformats-officedocument.wordprocessingml.footer+xml"/>
  <Override PartName="/word/footer5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آئین کیفری اسلام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2069_3244359995">
            <w:r>
              <w:rPr>
                <w:webHidden/>
                <w:rStyle w:val="IndexLink"/>
                <w:rtl w:val="true"/>
              </w:rPr>
              <w:t>مشخصات کتاب</w:t>
            </w:r>
            <w:r>
              <w:rPr>
                <w:rStyle w:val="IndexLink"/>
                <w:rtl w:val="true"/>
              </w:rPr>
              <w:tab/>
            </w:r>
            <w:r>
              <w:rPr>
                <w:rStyle w:val="IndexLink"/>
              </w:rPr>
              <w:t>13</w:t>
            </w:r>
          </w:hyperlink>
        </w:p>
        <w:p>
          <w:pPr>
            <w:pStyle w:val="Contents2"/>
            <w:tabs>
              <w:tab w:val="clear" w:pos="8743"/>
              <w:tab w:val="right" w:pos="9026" w:leader="dot"/>
            </w:tabs>
            <w:rPr/>
          </w:pPr>
          <w:hyperlink w:anchor="__RefHeading___Toc162071_3244359995">
            <w:r>
              <w:rPr>
                <w:webHidden/>
                <w:rStyle w:val="IndexLink"/>
                <w:rtl w:val="true"/>
              </w:rPr>
              <w:t>اشاره</w:t>
            </w:r>
            <w:r>
              <w:rPr>
                <w:rStyle w:val="IndexLink"/>
                <w:rtl w:val="true"/>
              </w:rPr>
              <w:tab/>
            </w:r>
            <w:r>
              <w:rPr>
                <w:rStyle w:val="IndexLink"/>
              </w:rPr>
              <w:t>13</w:t>
            </w:r>
          </w:hyperlink>
        </w:p>
        <w:p>
          <w:pPr>
            <w:pStyle w:val="Contents2"/>
            <w:tabs>
              <w:tab w:val="clear" w:pos="8743"/>
              <w:tab w:val="right" w:pos="9026" w:leader="dot"/>
            </w:tabs>
            <w:rPr/>
          </w:pPr>
          <w:hyperlink w:anchor="__RefHeading___Toc162073_3244359995">
            <w:r>
              <w:rPr>
                <w:webHidden/>
                <w:rStyle w:val="IndexLink"/>
                <w:rtl w:val="true"/>
              </w:rPr>
              <w:t>بخش چهارم</w:t>
            </w:r>
            <w:r>
              <w:rPr>
                <w:rStyle w:val="IndexLink"/>
                <w:rtl w:val="true"/>
              </w:rPr>
              <w:t xml:space="preserve">: </w:t>
            </w:r>
            <w:r>
              <w:rPr>
                <w:rStyle w:val="IndexLink"/>
                <w:rtl w:val="true"/>
              </w:rPr>
              <w:t>حدّ سرقت</w:t>
            </w:r>
            <w:r>
              <w:rPr>
                <w:rStyle w:val="IndexLink"/>
                <w:rtl w:val="true"/>
              </w:rPr>
              <w:tab/>
            </w:r>
            <w:r>
              <w:rPr>
                <w:rStyle w:val="IndexLink"/>
              </w:rPr>
              <w:t>14</w:t>
            </w:r>
          </w:hyperlink>
        </w:p>
        <w:p>
          <w:pPr>
            <w:pStyle w:val="Contents3"/>
            <w:tabs>
              <w:tab w:val="clear" w:pos="8459"/>
              <w:tab w:val="right" w:pos="9026" w:leader="dot"/>
            </w:tabs>
            <w:rPr/>
          </w:pPr>
          <w:hyperlink w:anchor="__RefHeading___Toc162075_3244359995">
            <w:r>
              <w:rPr>
                <w:webHidden/>
                <w:rStyle w:val="IndexLink"/>
                <w:rtl w:val="true"/>
              </w:rPr>
              <w:t>فصل اوّل</w:t>
            </w:r>
            <w:r>
              <w:rPr>
                <w:rStyle w:val="IndexLink"/>
                <w:rtl w:val="true"/>
              </w:rPr>
              <w:t xml:space="preserve">: </w:t>
            </w:r>
            <w:r>
              <w:rPr>
                <w:rStyle w:val="IndexLink"/>
                <w:rtl w:val="true"/>
              </w:rPr>
              <w:t>خصوصیّات سارق</w:t>
            </w:r>
            <w:r>
              <w:rPr>
                <w:rStyle w:val="IndexLink"/>
                <w:rtl w:val="true"/>
              </w:rPr>
              <w:tab/>
            </w:r>
            <w:r>
              <w:rPr>
                <w:rStyle w:val="IndexLink"/>
              </w:rPr>
              <w:t>14</w:t>
            </w:r>
          </w:hyperlink>
        </w:p>
        <w:p>
          <w:pPr>
            <w:pStyle w:val="Contents4"/>
            <w:tabs>
              <w:tab w:val="clear" w:pos="8176"/>
              <w:tab w:val="right" w:pos="9026" w:leader="dot"/>
            </w:tabs>
            <w:rPr/>
          </w:pPr>
          <w:hyperlink w:anchor="__RefHeading___Toc162077_3244359995">
            <w:r>
              <w:rPr>
                <w:webHidden/>
                <w:rStyle w:val="IndexLink"/>
                <w:rtl w:val="true"/>
              </w:rPr>
              <w:t>اشاره</w:t>
            </w:r>
            <w:r>
              <w:rPr>
                <w:rStyle w:val="IndexLink"/>
                <w:rtl w:val="true"/>
              </w:rPr>
              <w:tab/>
            </w:r>
            <w:r>
              <w:rPr>
                <w:rStyle w:val="IndexLink"/>
              </w:rPr>
              <w:t>14</w:t>
            </w:r>
          </w:hyperlink>
        </w:p>
        <w:p>
          <w:pPr>
            <w:pStyle w:val="Contents4"/>
            <w:tabs>
              <w:tab w:val="clear" w:pos="8176"/>
              <w:tab w:val="right" w:pos="9026" w:leader="dot"/>
            </w:tabs>
            <w:rPr/>
          </w:pPr>
          <w:hyperlink w:anchor="__RefHeading___Toc162079_3244359995">
            <w:r>
              <w:rPr>
                <w:webHidden/>
                <w:rStyle w:val="IndexLink"/>
                <w:rtl w:val="true"/>
              </w:rPr>
              <w:t>شرایط سارق</w:t>
            </w:r>
            <w:r>
              <w:rPr>
                <w:rStyle w:val="IndexLink"/>
                <w:rtl w:val="true"/>
              </w:rPr>
              <w:tab/>
            </w:r>
            <w:r>
              <w:rPr>
                <w:rStyle w:val="IndexLink"/>
              </w:rPr>
              <w:t>15</w:t>
            </w:r>
          </w:hyperlink>
        </w:p>
        <w:p>
          <w:pPr>
            <w:pStyle w:val="Contents5"/>
            <w:tabs>
              <w:tab w:val="clear" w:pos="7892"/>
              <w:tab w:val="right" w:pos="9026" w:leader="dot"/>
            </w:tabs>
            <w:rPr/>
          </w:pPr>
          <w:hyperlink w:anchor="__RefHeading___Toc162081_3244359995">
            <w:r>
              <w:rPr>
                <w:webHidden/>
                <w:rStyle w:val="IndexLink"/>
                <w:rtl w:val="true"/>
              </w:rPr>
              <w:t>اشاره</w:t>
            </w:r>
            <w:r>
              <w:rPr>
                <w:rStyle w:val="IndexLink"/>
                <w:rtl w:val="true"/>
              </w:rPr>
              <w:tab/>
            </w:r>
            <w:r>
              <w:rPr>
                <w:rStyle w:val="IndexLink"/>
              </w:rPr>
              <w:t>15</w:t>
            </w:r>
          </w:hyperlink>
        </w:p>
        <w:p>
          <w:pPr>
            <w:pStyle w:val="Contents5"/>
            <w:tabs>
              <w:tab w:val="clear" w:pos="7892"/>
              <w:tab w:val="right" w:pos="9026" w:leader="dot"/>
            </w:tabs>
            <w:rPr/>
          </w:pPr>
          <w:hyperlink w:anchor="__RefHeading___Toc162083_3244359995">
            <w:r>
              <w:rPr>
                <w:webHidden/>
                <w:rStyle w:val="IndexLink"/>
                <w:rtl w:val="true"/>
              </w:rPr>
              <w:t>شرط اوّل</w:t>
            </w:r>
            <w:r>
              <w:rPr>
                <w:rStyle w:val="IndexLink"/>
                <w:rtl w:val="true"/>
              </w:rPr>
              <w:t xml:space="preserve">: </w:t>
            </w:r>
            <w:r>
              <w:rPr>
                <w:rStyle w:val="IndexLink"/>
                <w:rtl w:val="true"/>
              </w:rPr>
              <w:t>بلوغ</w:t>
            </w:r>
            <w:r>
              <w:rPr>
                <w:rStyle w:val="IndexLink"/>
                <w:rtl w:val="true"/>
              </w:rPr>
              <w:tab/>
            </w:r>
            <w:r>
              <w:rPr>
                <w:rStyle w:val="IndexLink"/>
              </w:rPr>
              <w:t>15</w:t>
            </w:r>
          </w:hyperlink>
        </w:p>
        <w:p>
          <w:pPr>
            <w:pStyle w:val="Contents6"/>
            <w:tabs>
              <w:tab w:val="clear" w:pos="7609"/>
              <w:tab w:val="right" w:pos="9026" w:leader="dot"/>
            </w:tabs>
            <w:rPr/>
          </w:pPr>
          <w:hyperlink w:anchor="__RefHeading___Toc162085_3244359995">
            <w:r>
              <w:rPr>
                <w:webHidden/>
                <w:rStyle w:val="IndexLink"/>
                <w:rtl w:val="true"/>
              </w:rPr>
              <w:t>اشاره</w:t>
            </w:r>
            <w:r>
              <w:rPr>
                <w:rStyle w:val="IndexLink"/>
                <w:rtl w:val="true"/>
              </w:rPr>
              <w:tab/>
            </w:r>
            <w:r>
              <w:rPr>
                <w:rStyle w:val="IndexLink"/>
              </w:rPr>
              <w:t>15</w:t>
            </w:r>
          </w:hyperlink>
        </w:p>
        <w:p>
          <w:pPr>
            <w:pStyle w:val="Contents6"/>
            <w:tabs>
              <w:tab w:val="clear" w:pos="7609"/>
              <w:tab w:val="right" w:pos="9026" w:leader="dot"/>
            </w:tabs>
            <w:rPr/>
          </w:pPr>
          <w:hyperlink w:anchor="__RefHeading___Toc162087_3244359995">
            <w:r>
              <w:rPr>
                <w:webHidden/>
                <w:rStyle w:val="IndexLink"/>
                <w:rtl w:val="true"/>
              </w:rPr>
              <w:t>نقد مرحوم صاحب جواهر بر نظر شیخ طوسی رحمه الله</w:t>
            </w:r>
            <w:r>
              <w:rPr>
                <w:rStyle w:val="IndexLink"/>
                <w:rtl w:val="true"/>
              </w:rPr>
              <w:tab/>
            </w:r>
            <w:r>
              <w:rPr>
                <w:rStyle w:val="IndexLink"/>
              </w:rPr>
              <w:t>16</w:t>
            </w:r>
          </w:hyperlink>
        </w:p>
        <w:p>
          <w:pPr>
            <w:pStyle w:val="Contents6"/>
            <w:tabs>
              <w:tab w:val="clear" w:pos="7609"/>
              <w:tab w:val="right" w:pos="9026" w:leader="dot"/>
            </w:tabs>
            <w:rPr/>
          </w:pPr>
          <w:hyperlink w:anchor="__RefHeading___Toc162089_3244359995">
            <w:r>
              <w:rPr>
                <w:webHidden/>
                <w:rStyle w:val="IndexLink"/>
                <w:rtl w:val="true"/>
              </w:rPr>
              <w:t>بررسی روایات سرقت کودک</w:t>
            </w:r>
            <w:r>
              <w:rPr>
                <w:rStyle w:val="IndexLink"/>
                <w:rtl w:val="true"/>
              </w:rPr>
              <w:tab/>
            </w:r>
            <w:r>
              <w:rPr>
                <w:rStyle w:val="IndexLink"/>
              </w:rPr>
              <w:t>16</w:t>
            </w:r>
          </w:hyperlink>
        </w:p>
        <w:p>
          <w:pPr>
            <w:pStyle w:val="Contents6"/>
            <w:tabs>
              <w:tab w:val="clear" w:pos="7609"/>
              <w:tab w:val="right" w:pos="9026" w:leader="dot"/>
            </w:tabs>
            <w:rPr/>
          </w:pPr>
          <w:hyperlink w:anchor="__RefHeading___Toc162091_3244359995">
            <w:r>
              <w:rPr>
                <w:webHidden/>
                <w:rStyle w:val="IndexLink"/>
                <w:rtl w:val="true"/>
              </w:rPr>
              <w:t>کیفیّت جمع بین روایات</w:t>
            </w:r>
            <w:r>
              <w:rPr>
                <w:rStyle w:val="IndexLink"/>
                <w:rtl w:val="true"/>
              </w:rPr>
              <w:tab/>
            </w:r>
            <w:r>
              <w:rPr>
                <w:rStyle w:val="IndexLink"/>
              </w:rPr>
              <w:t>23</w:t>
            </w:r>
          </w:hyperlink>
        </w:p>
        <w:p>
          <w:pPr>
            <w:pStyle w:val="Contents6"/>
            <w:tabs>
              <w:tab w:val="clear" w:pos="7609"/>
              <w:tab w:val="right" w:pos="9026" w:leader="dot"/>
            </w:tabs>
            <w:rPr/>
          </w:pPr>
          <w:hyperlink w:anchor="__RefHeading___Toc162093_3244359995">
            <w:r>
              <w:rPr>
                <w:webHidden/>
                <w:rStyle w:val="IndexLink"/>
                <w:rtl w:val="true"/>
              </w:rPr>
              <w:t>نظر برگزیده</w:t>
            </w:r>
            <w:r>
              <w:rPr>
                <w:rStyle w:val="IndexLink"/>
                <w:rtl w:val="true"/>
              </w:rPr>
              <w:tab/>
            </w:r>
            <w:r>
              <w:rPr>
                <w:rStyle w:val="IndexLink"/>
              </w:rPr>
              <w:t>24</w:t>
            </w:r>
          </w:hyperlink>
        </w:p>
        <w:p>
          <w:pPr>
            <w:pStyle w:val="Contents5"/>
            <w:tabs>
              <w:tab w:val="clear" w:pos="7892"/>
              <w:tab w:val="right" w:pos="9026" w:leader="dot"/>
            </w:tabs>
            <w:rPr/>
          </w:pPr>
          <w:hyperlink w:anchor="__RefHeading___Toc162095_3244359995">
            <w:r>
              <w:rPr>
                <w:webHidden/>
                <w:rStyle w:val="IndexLink"/>
                <w:rtl w:val="true"/>
              </w:rPr>
              <w:t>شرط دوّم</w:t>
            </w:r>
            <w:r>
              <w:rPr>
                <w:rStyle w:val="IndexLink"/>
                <w:rtl w:val="true"/>
              </w:rPr>
              <w:t xml:space="preserve">: </w:t>
            </w:r>
            <w:r>
              <w:rPr>
                <w:rStyle w:val="IndexLink"/>
                <w:rtl w:val="true"/>
              </w:rPr>
              <w:t>عقل</w:t>
            </w:r>
            <w:r>
              <w:rPr>
                <w:rStyle w:val="IndexLink"/>
                <w:rtl w:val="true"/>
              </w:rPr>
              <w:tab/>
            </w:r>
            <w:r>
              <w:rPr>
                <w:rStyle w:val="IndexLink"/>
              </w:rPr>
              <w:t>26</w:t>
            </w:r>
          </w:hyperlink>
        </w:p>
        <w:p>
          <w:pPr>
            <w:pStyle w:val="Contents5"/>
            <w:tabs>
              <w:tab w:val="clear" w:pos="7892"/>
              <w:tab w:val="right" w:pos="9026" w:leader="dot"/>
            </w:tabs>
            <w:rPr/>
          </w:pPr>
          <w:hyperlink w:anchor="__RefHeading___Toc162097_3244359995">
            <w:r>
              <w:rPr>
                <w:webHidden/>
                <w:rStyle w:val="IndexLink"/>
                <w:rtl w:val="true"/>
              </w:rPr>
              <w:t>شرط سوّم و چهارم</w:t>
            </w:r>
            <w:r>
              <w:rPr>
                <w:rStyle w:val="IndexLink"/>
                <w:rtl w:val="true"/>
              </w:rPr>
              <w:t xml:space="preserve">: </w:t>
            </w:r>
            <w:r>
              <w:rPr>
                <w:rStyle w:val="IndexLink"/>
                <w:rtl w:val="true"/>
              </w:rPr>
              <w:t>اختیار و عدم اضطرار</w:t>
            </w:r>
            <w:r>
              <w:rPr>
                <w:rStyle w:val="IndexLink"/>
                <w:rtl w:val="true"/>
              </w:rPr>
              <w:tab/>
            </w:r>
            <w:r>
              <w:rPr>
                <w:rStyle w:val="IndexLink"/>
              </w:rPr>
              <w:t>27</w:t>
            </w:r>
          </w:hyperlink>
        </w:p>
        <w:p>
          <w:pPr>
            <w:pStyle w:val="Contents5"/>
            <w:tabs>
              <w:tab w:val="clear" w:pos="7892"/>
              <w:tab w:val="right" w:pos="9026" w:leader="dot"/>
            </w:tabs>
            <w:rPr/>
          </w:pPr>
          <w:hyperlink w:anchor="__RefHeading___Toc162099_3244359995">
            <w:r>
              <w:rPr>
                <w:webHidden/>
                <w:rStyle w:val="IndexLink"/>
                <w:rtl w:val="true"/>
              </w:rPr>
              <w:t>شرط پنجم</w:t>
            </w:r>
            <w:r>
              <w:rPr>
                <w:rStyle w:val="IndexLink"/>
                <w:rtl w:val="true"/>
              </w:rPr>
              <w:t xml:space="preserve">: </w:t>
            </w:r>
            <w:r>
              <w:rPr>
                <w:rStyle w:val="IndexLink"/>
                <w:rtl w:val="true"/>
              </w:rPr>
              <w:t>هتک حرز</w:t>
            </w:r>
            <w:r>
              <w:rPr>
                <w:rStyle w:val="IndexLink"/>
                <w:rtl w:val="true"/>
              </w:rPr>
              <w:tab/>
            </w:r>
            <w:r>
              <w:rPr>
                <w:rStyle w:val="IndexLink"/>
              </w:rPr>
              <w:t>28</w:t>
            </w:r>
          </w:hyperlink>
        </w:p>
        <w:p>
          <w:pPr>
            <w:pStyle w:val="Contents5"/>
            <w:tabs>
              <w:tab w:val="clear" w:pos="7892"/>
              <w:tab w:val="right" w:pos="9026" w:leader="dot"/>
            </w:tabs>
            <w:rPr/>
          </w:pPr>
          <w:hyperlink w:anchor="__RefHeading___Toc162101_3244359995">
            <w:r>
              <w:rPr>
                <w:webHidden/>
                <w:rStyle w:val="IndexLink"/>
                <w:rtl w:val="true"/>
              </w:rPr>
              <w:t>شرط ششم</w:t>
            </w:r>
            <w:r>
              <w:rPr>
                <w:rStyle w:val="IndexLink"/>
                <w:rtl w:val="true"/>
              </w:rPr>
              <w:t xml:space="preserve">: </w:t>
            </w:r>
            <w:r>
              <w:rPr>
                <w:rStyle w:val="IndexLink"/>
                <w:rtl w:val="true"/>
              </w:rPr>
              <w:t>خارج ساختن کالا از حرز</w:t>
            </w:r>
            <w:r>
              <w:rPr>
                <w:rStyle w:val="IndexLink"/>
                <w:rtl w:val="true"/>
              </w:rPr>
              <w:tab/>
            </w:r>
            <w:r>
              <w:rPr>
                <w:rStyle w:val="IndexLink"/>
              </w:rPr>
              <w:t>30</w:t>
            </w:r>
          </w:hyperlink>
        </w:p>
        <w:p>
          <w:pPr>
            <w:pStyle w:val="Contents5"/>
            <w:tabs>
              <w:tab w:val="clear" w:pos="7892"/>
              <w:tab w:val="right" w:pos="9026" w:leader="dot"/>
            </w:tabs>
            <w:rPr/>
          </w:pPr>
          <w:hyperlink w:anchor="__RefHeading___Toc162103_3244359995">
            <w:r>
              <w:rPr>
                <w:webHidden/>
                <w:rStyle w:val="IndexLink"/>
                <w:rtl w:val="true"/>
              </w:rPr>
              <w:t>شرط هفتم</w:t>
            </w:r>
            <w:r>
              <w:rPr>
                <w:rStyle w:val="IndexLink"/>
                <w:rtl w:val="true"/>
              </w:rPr>
              <w:t xml:space="preserve">: </w:t>
            </w:r>
            <w:r>
              <w:rPr>
                <w:rStyle w:val="IndexLink"/>
                <w:rtl w:val="true"/>
              </w:rPr>
              <w:t>سارق پدر مسروق منه نباشد</w:t>
            </w:r>
            <w:r>
              <w:rPr>
                <w:rStyle w:val="IndexLink"/>
                <w:rtl w:val="true"/>
              </w:rPr>
              <w:tab/>
            </w:r>
            <w:r>
              <w:rPr>
                <w:rStyle w:val="IndexLink"/>
              </w:rPr>
              <w:t>32</w:t>
            </w:r>
          </w:hyperlink>
        </w:p>
        <w:p>
          <w:pPr>
            <w:pStyle w:val="Contents6"/>
            <w:tabs>
              <w:tab w:val="clear" w:pos="7609"/>
              <w:tab w:val="right" w:pos="9026" w:leader="dot"/>
            </w:tabs>
            <w:rPr/>
          </w:pPr>
          <w:hyperlink w:anchor="__RefHeading___Toc162105_3244359995">
            <w:r>
              <w:rPr>
                <w:webHidden/>
                <w:rStyle w:val="IndexLink"/>
                <w:rtl w:val="true"/>
              </w:rPr>
              <w:t>اشاره</w:t>
            </w:r>
            <w:r>
              <w:rPr>
                <w:rStyle w:val="IndexLink"/>
                <w:rtl w:val="true"/>
              </w:rPr>
              <w:tab/>
            </w:r>
            <w:r>
              <w:rPr>
                <w:rStyle w:val="IndexLink"/>
              </w:rPr>
              <w:t>32</w:t>
            </w:r>
          </w:hyperlink>
        </w:p>
        <w:p>
          <w:pPr>
            <w:pStyle w:val="Contents6"/>
            <w:tabs>
              <w:tab w:val="clear" w:pos="7609"/>
              <w:tab w:val="right" w:pos="9026" w:leader="dot"/>
            </w:tabs>
            <w:rPr/>
          </w:pPr>
          <w:hyperlink w:anchor="__RefHeading___Toc162107_3244359995">
            <w:r>
              <w:rPr>
                <w:webHidden/>
                <w:rStyle w:val="IndexLink"/>
                <w:rtl w:val="true"/>
              </w:rPr>
              <w:t>بحثی در جنبه‌ی نفی</w:t>
            </w:r>
            <w:r>
              <w:rPr>
                <w:rStyle w:val="IndexLink"/>
                <w:rtl w:val="true"/>
              </w:rPr>
              <w:tab/>
            </w:r>
            <w:r>
              <w:rPr>
                <w:rStyle w:val="IndexLink"/>
              </w:rPr>
              <w:t>32</w:t>
            </w:r>
          </w:hyperlink>
        </w:p>
        <w:p>
          <w:pPr>
            <w:pStyle w:val="Contents6"/>
            <w:tabs>
              <w:tab w:val="clear" w:pos="7609"/>
              <w:tab w:val="right" w:pos="9026" w:leader="dot"/>
            </w:tabs>
            <w:rPr/>
          </w:pPr>
          <w:hyperlink w:anchor="__RefHeading___Toc162109_3244359995">
            <w:r>
              <w:rPr>
                <w:webHidden/>
                <w:rStyle w:val="IndexLink"/>
                <w:rtl w:val="true"/>
              </w:rPr>
              <w:t>تعمیم عدم قطع نسبت به جدّ</w:t>
            </w:r>
            <w:r>
              <w:rPr>
                <w:rStyle w:val="IndexLink"/>
                <w:rtl w:val="true"/>
              </w:rPr>
              <w:tab/>
            </w:r>
            <w:r>
              <w:rPr>
                <w:rStyle w:val="IndexLink"/>
              </w:rPr>
              <w:t>34</w:t>
            </w:r>
          </w:hyperlink>
        </w:p>
        <w:p>
          <w:pPr>
            <w:pStyle w:val="Contents6"/>
            <w:tabs>
              <w:tab w:val="clear" w:pos="7609"/>
              <w:tab w:val="right" w:pos="9026" w:leader="dot"/>
            </w:tabs>
            <w:rPr/>
          </w:pPr>
          <w:hyperlink w:anchor="__RefHeading___Toc162111_3244359995">
            <w:r>
              <w:rPr>
                <w:webHidden/>
                <w:rStyle w:val="IndexLink"/>
                <w:rtl w:val="true"/>
              </w:rPr>
              <w:t>بحثی در جنبه‌ی اثبات</w:t>
            </w:r>
            <w:r>
              <w:rPr>
                <w:rStyle w:val="IndexLink"/>
                <w:rtl w:val="true"/>
              </w:rPr>
              <w:tab/>
            </w:r>
            <w:r>
              <w:rPr>
                <w:rStyle w:val="IndexLink"/>
              </w:rPr>
              <w:t>34</w:t>
            </w:r>
          </w:hyperlink>
        </w:p>
        <w:p>
          <w:pPr>
            <w:pStyle w:val="Contents6"/>
            <w:tabs>
              <w:tab w:val="clear" w:pos="7609"/>
              <w:tab w:val="right" w:pos="9026" w:leader="dot"/>
            </w:tabs>
            <w:rPr/>
          </w:pPr>
          <w:hyperlink w:anchor="__RefHeading___Toc162113_3244359995">
            <w:r>
              <w:rPr>
                <w:webHidden/>
                <w:rStyle w:val="IndexLink"/>
                <w:rtl w:val="true"/>
              </w:rPr>
              <w:t>استدلال به کتاب برای تخصیص آیه‌ی سرقت</w:t>
            </w:r>
            <w:r>
              <w:rPr>
                <w:rStyle w:val="IndexLink"/>
                <w:rtl w:val="true"/>
              </w:rPr>
              <w:tab/>
            </w:r>
            <w:r>
              <w:rPr>
                <w:rStyle w:val="IndexLink"/>
              </w:rPr>
              <w:t>35</w:t>
            </w:r>
          </w:hyperlink>
        </w:p>
        <w:p>
          <w:pPr>
            <w:pStyle w:val="Contents5"/>
            <w:tabs>
              <w:tab w:val="clear" w:pos="7892"/>
              <w:tab w:val="right" w:pos="9026" w:leader="dot"/>
            </w:tabs>
            <w:rPr/>
          </w:pPr>
          <w:hyperlink w:anchor="__RefHeading___Toc162115_3244359995">
            <w:r>
              <w:rPr>
                <w:webHidden/>
                <w:rStyle w:val="IndexLink"/>
                <w:rtl w:val="true"/>
              </w:rPr>
              <w:t>شرط هشتم</w:t>
            </w:r>
            <w:r>
              <w:rPr>
                <w:rStyle w:val="IndexLink"/>
                <w:rtl w:val="true"/>
              </w:rPr>
              <w:t xml:space="preserve">: </w:t>
            </w:r>
            <w:r>
              <w:rPr>
                <w:rStyle w:val="IndexLink"/>
                <w:rtl w:val="true"/>
              </w:rPr>
              <w:t>اخذ پنهانی</w:t>
            </w:r>
            <w:r>
              <w:rPr>
                <w:rStyle w:val="IndexLink"/>
                <w:rtl w:val="true"/>
              </w:rPr>
              <w:tab/>
            </w:r>
            <w:r>
              <w:rPr>
                <w:rStyle w:val="IndexLink"/>
              </w:rPr>
              <w:t>39</w:t>
            </w:r>
          </w:hyperlink>
        </w:p>
        <w:p>
          <w:pPr>
            <w:pStyle w:val="Contents4"/>
            <w:tabs>
              <w:tab w:val="clear" w:pos="8176"/>
              <w:tab w:val="right" w:pos="9026" w:leader="dot"/>
            </w:tabs>
            <w:rPr/>
          </w:pPr>
          <w:hyperlink w:anchor="__RefHeading___Toc162117_3244359995">
            <w:r>
              <w:rPr>
                <w:webHidden/>
                <w:rStyle w:val="IndexLink"/>
                <w:rtl w:val="true"/>
              </w:rPr>
              <w:t>حکم اشتراک در هتک حرز و انفراد در سرقت</w:t>
            </w:r>
            <w:r>
              <w:rPr>
                <w:rStyle w:val="IndexLink"/>
                <w:rtl w:val="true"/>
              </w:rPr>
              <w:tab/>
            </w:r>
            <w:r>
              <w:rPr>
                <w:rStyle w:val="IndexLink"/>
              </w:rPr>
              <w:t>40</w:t>
            </w:r>
          </w:hyperlink>
        </w:p>
        <w:p>
          <w:pPr>
            <w:pStyle w:val="Contents4"/>
            <w:tabs>
              <w:tab w:val="clear" w:pos="8176"/>
              <w:tab w:val="right" w:pos="9026" w:leader="dot"/>
            </w:tabs>
            <w:rPr/>
          </w:pPr>
          <w:hyperlink w:anchor="__RefHeading___Toc162119_3244359995">
            <w:r>
              <w:rPr>
                <w:webHidden/>
                <w:rStyle w:val="IndexLink"/>
                <w:rtl w:val="true"/>
              </w:rPr>
              <w:t>ارتفاع شبهه‌ی موضوعی و حکمی</w:t>
            </w:r>
            <w:r>
              <w:rPr>
                <w:rStyle w:val="IndexLink"/>
                <w:rtl w:val="true"/>
              </w:rPr>
              <w:tab/>
            </w:r>
            <w:r>
              <w:rPr>
                <w:rStyle w:val="IndexLink"/>
              </w:rPr>
              <w:t>41</w:t>
            </w:r>
          </w:hyperlink>
        </w:p>
        <w:p>
          <w:pPr>
            <w:pStyle w:val="Contents5"/>
            <w:tabs>
              <w:tab w:val="clear" w:pos="7892"/>
              <w:tab w:val="right" w:pos="9026" w:leader="dot"/>
            </w:tabs>
            <w:rPr/>
          </w:pPr>
          <w:hyperlink w:anchor="__RefHeading___Toc162121_3244359995">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162123_3244359995">
            <w:r>
              <w:rPr>
                <w:webHidden/>
                <w:rStyle w:val="IndexLink"/>
                <w:rtl w:val="true"/>
              </w:rPr>
              <w:t>مثال شبهه‌ی حکمی</w:t>
            </w:r>
            <w:r>
              <w:rPr>
                <w:rStyle w:val="IndexLink"/>
                <w:rtl w:val="true"/>
              </w:rPr>
              <w:tab/>
            </w:r>
            <w:r>
              <w:rPr>
                <w:rStyle w:val="IndexLink"/>
              </w:rPr>
              <w:t>41</w:t>
            </w:r>
          </w:hyperlink>
        </w:p>
        <w:p>
          <w:pPr>
            <w:pStyle w:val="Contents5"/>
            <w:tabs>
              <w:tab w:val="clear" w:pos="7892"/>
              <w:tab w:val="right" w:pos="9026" w:leader="dot"/>
            </w:tabs>
            <w:rPr/>
          </w:pPr>
          <w:hyperlink w:anchor="__RefHeading___Toc162125_3244359995">
            <w:r>
              <w:rPr>
                <w:webHidden/>
                <w:rStyle w:val="IndexLink"/>
                <w:rtl w:val="true"/>
              </w:rPr>
              <w:t>مثال شبهه‌ی موضوعی</w:t>
            </w:r>
            <w:r>
              <w:rPr>
                <w:rStyle w:val="IndexLink"/>
                <w:rtl w:val="true"/>
              </w:rPr>
              <w:tab/>
            </w:r>
            <w:r>
              <w:rPr>
                <w:rStyle w:val="IndexLink"/>
              </w:rPr>
              <w:t>42</w:t>
            </w:r>
          </w:hyperlink>
        </w:p>
        <w:p>
          <w:pPr>
            <w:pStyle w:val="Contents4"/>
            <w:tabs>
              <w:tab w:val="clear" w:pos="8176"/>
              <w:tab w:val="right" w:pos="9026" w:leader="dot"/>
            </w:tabs>
            <w:rPr/>
          </w:pPr>
          <w:hyperlink w:anchor="__RefHeading___Toc162127_3244359995">
            <w:r>
              <w:rPr>
                <w:webHidden/>
                <w:rStyle w:val="IndexLink"/>
                <w:rtl w:val="true"/>
              </w:rPr>
              <w:t>حکم سارق غنیمت</w:t>
            </w:r>
            <w:r>
              <w:rPr>
                <w:rStyle w:val="IndexLink"/>
                <w:rtl w:val="true"/>
              </w:rPr>
              <w:tab/>
            </w:r>
            <w:r>
              <w:rPr>
                <w:rStyle w:val="IndexLink"/>
              </w:rPr>
              <w:t>44</w:t>
            </w:r>
          </w:hyperlink>
        </w:p>
        <w:p>
          <w:pPr>
            <w:pStyle w:val="Contents5"/>
            <w:tabs>
              <w:tab w:val="clear" w:pos="7892"/>
              <w:tab w:val="right" w:pos="9026" w:leader="dot"/>
            </w:tabs>
            <w:rPr/>
          </w:pPr>
          <w:hyperlink w:anchor="__RefHeading___Toc162129_3244359995">
            <w:r>
              <w:rPr>
                <w:webHidden/>
                <w:rStyle w:val="IndexLink"/>
                <w:rtl w:val="true"/>
              </w:rPr>
              <w:t>اشاره</w:t>
            </w:r>
            <w:r>
              <w:rPr>
                <w:rStyle w:val="IndexLink"/>
                <w:rtl w:val="true"/>
              </w:rPr>
              <w:tab/>
            </w:r>
            <w:r>
              <w:rPr>
                <w:rStyle w:val="IndexLink"/>
              </w:rPr>
              <w:t>44</w:t>
            </w:r>
          </w:hyperlink>
        </w:p>
        <w:p>
          <w:pPr>
            <w:pStyle w:val="Contents5"/>
            <w:tabs>
              <w:tab w:val="clear" w:pos="7892"/>
              <w:tab w:val="right" w:pos="9026" w:leader="dot"/>
            </w:tabs>
            <w:rPr/>
          </w:pPr>
          <w:hyperlink w:anchor="__RefHeading___Toc162131_3244359995">
            <w:r>
              <w:rPr>
                <w:webHidden/>
                <w:rStyle w:val="IndexLink"/>
                <w:rtl w:val="true"/>
              </w:rPr>
              <w:t>نظر برگزیده در تحقیق مطلب</w:t>
            </w:r>
            <w:r>
              <w:rPr>
                <w:rStyle w:val="IndexLink"/>
                <w:rtl w:val="true"/>
              </w:rPr>
              <w:tab/>
            </w:r>
            <w:r>
              <w:rPr>
                <w:rStyle w:val="IndexLink"/>
              </w:rPr>
              <w:t>46</w:t>
            </w:r>
          </w:hyperlink>
        </w:p>
        <w:p>
          <w:pPr>
            <w:pStyle w:val="Contents5"/>
            <w:tabs>
              <w:tab w:val="clear" w:pos="7892"/>
              <w:tab w:val="right" w:pos="9026" w:leader="dot"/>
            </w:tabs>
            <w:rPr/>
          </w:pPr>
          <w:hyperlink w:anchor="__RefHeading___Toc162133_3244359995">
            <w:r>
              <w:rPr>
                <w:webHidden/>
                <w:rStyle w:val="IndexLink"/>
                <w:rtl w:val="true"/>
              </w:rPr>
              <w:t>نظر برگزیده</w:t>
            </w:r>
            <w:r>
              <w:rPr>
                <w:rStyle w:val="IndexLink"/>
                <w:rtl w:val="true"/>
              </w:rPr>
              <w:tab/>
            </w:r>
            <w:r>
              <w:rPr>
                <w:rStyle w:val="IndexLink"/>
              </w:rPr>
              <w:t>50</w:t>
            </w:r>
          </w:hyperlink>
        </w:p>
        <w:p>
          <w:pPr>
            <w:pStyle w:val="Contents4"/>
            <w:tabs>
              <w:tab w:val="clear" w:pos="8176"/>
              <w:tab w:val="right" w:pos="9026" w:leader="dot"/>
            </w:tabs>
            <w:rPr/>
          </w:pPr>
          <w:hyperlink w:anchor="__RefHeading___Toc162135_3244359995">
            <w:r>
              <w:rPr>
                <w:webHidden/>
                <w:rStyle w:val="IndexLink"/>
                <w:rtl w:val="true"/>
              </w:rPr>
              <w:t>حکم سرقت از بیت المال</w:t>
            </w:r>
            <w:r>
              <w:rPr>
                <w:rStyle w:val="IndexLink"/>
                <w:rtl w:val="true"/>
              </w:rPr>
              <w:tab/>
            </w:r>
            <w:r>
              <w:rPr>
                <w:rStyle w:val="IndexLink"/>
              </w:rPr>
              <w:t>54</w:t>
            </w:r>
          </w:hyperlink>
        </w:p>
        <w:p>
          <w:pPr>
            <w:pStyle w:val="Contents4"/>
            <w:tabs>
              <w:tab w:val="clear" w:pos="8176"/>
              <w:tab w:val="right" w:pos="9026" w:leader="dot"/>
            </w:tabs>
            <w:rPr/>
          </w:pPr>
          <w:hyperlink w:anchor="__RefHeading___Toc162137_3244359995">
            <w:r>
              <w:rPr>
                <w:webHidden/>
                <w:rStyle w:val="IndexLink"/>
                <w:rtl w:val="true"/>
              </w:rPr>
              <w:t>تساوی مرد و زن، مسلمان و غیر مسلمان در حدّ سرقت</w:t>
            </w:r>
            <w:r>
              <w:rPr>
                <w:rStyle w:val="IndexLink"/>
                <w:rtl w:val="true"/>
              </w:rPr>
              <w:tab/>
            </w:r>
            <w:r>
              <w:rPr>
                <w:rStyle w:val="IndexLink"/>
              </w:rPr>
              <w:t>58</w:t>
            </w:r>
          </w:hyperlink>
        </w:p>
        <w:p>
          <w:pPr>
            <w:pStyle w:val="Contents5"/>
            <w:tabs>
              <w:tab w:val="clear" w:pos="7892"/>
              <w:tab w:val="right" w:pos="9026" w:leader="dot"/>
            </w:tabs>
            <w:rPr/>
          </w:pPr>
          <w:hyperlink w:anchor="__RefHeading___Toc162139_3244359995">
            <w:r>
              <w:rPr>
                <w:webHidden/>
                <w:rStyle w:val="IndexLink"/>
                <w:rtl w:val="true"/>
              </w:rPr>
              <w:t>اشاره</w:t>
            </w:r>
            <w:r>
              <w:rPr>
                <w:rStyle w:val="IndexLink"/>
                <w:rtl w:val="true"/>
              </w:rPr>
              <w:tab/>
            </w:r>
            <w:r>
              <w:rPr>
                <w:rStyle w:val="IndexLink"/>
              </w:rPr>
              <w:t>58</w:t>
            </w:r>
          </w:hyperlink>
        </w:p>
        <w:p>
          <w:pPr>
            <w:pStyle w:val="Contents5"/>
            <w:tabs>
              <w:tab w:val="clear" w:pos="7892"/>
              <w:tab w:val="right" w:pos="9026" w:leader="dot"/>
            </w:tabs>
            <w:rPr/>
          </w:pPr>
          <w:hyperlink w:anchor="__RefHeading___Toc162141_3244359995">
            <w:r>
              <w:rPr>
                <w:webHidden/>
                <w:rStyle w:val="IndexLink"/>
                <w:rtl w:val="true"/>
              </w:rPr>
              <w:t>دلیل مسأله</w:t>
            </w:r>
            <w:r>
              <w:rPr>
                <w:rStyle w:val="IndexLink"/>
                <w:rtl w:val="true"/>
              </w:rPr>
              <w:tab/>
            </w:r>
            <w:r>
              <w:rPr>
                <w:rStyle w:val="IndexLink"/>
              </w:rPr>
              <w:t>58</w:t>
            </w:r>
          </w:hyperlink>
        </w:p>
        <w:p>
          <w:pPr>
            <w:pStyle w:val="Contents4"/>
            <w:tabs>
              <w:tab w:val="clear" w:pos="8176"/>
              <w:tab w:val="right" w:pos="9026" w:leader="dot"/>
            </w:tabs>
            <w:rPr/>
          </w:pPr>
          <w:hyperlink w:anchor="__RefHeading___Toc162143_3244359995">
            <w:r>
              <w:rPr>
                <w:webHidden/>
                <w:rStyle w:val="IndexLink"/>
                <w:rtl w:val="true"/>
              </w:rPr>
              <w:t>حکم خیانت امین، سرقت راهن و موجر</w:t>
            </w:r>
            <w:r>
              <w:rPr>
                <w:rStyle w:val="IndexLink"/>
                <w:rtl w:val="true"/>
              </w:rPr>
              <w:tab/>
            </w:r>
            <w:r>
              <w:rPr>
                <w:rStyle w:val="IndexLink"/>
              </w:rPr>
              <w:t>60</w:t>
            </w:r>
          </w:hyperlink>
        </w:p>
        <w:p>
          <w:pPr>
            <w:pStyle w:val="Contents4"/>
            <w:tabs>
              <w:tab w:val="clear" w:pos="8176"/>
              <w:tab w:val="right" w:pos="9026" w:leader="dot"/>
            </w:tabs>
            <w:rPr/>
          </w:pPr>
          <w:hyperlink w:anchor="__RefHeading___Toc162145_3244359995">
            <w:r>
              <w:rPr>
                <w:webHidden/>
                <w:rStyle w:val="IndexLink"/>
                <w:rtl w:val="true"/>
              </w:rPr>
              <w:t>سرقت اجیر، زوج و زوجه از یکدیگر</w:t>
            </w:r>
            <w:r>
              <w:rPr>
                <w:rStyle w:val="IndexLink"/>
                <w:rtl w:val="true"/>
              </w:rPr>
              <w:tab/>
            </w:r>
            <w:r>
              <w:rPr>
                <w:rStyle w:val="IndexLink"/>
              </w:rPr>
              <w:t>62</w:t>
            </w:r>
          </w:hyperlink>
        </w:p>
        <w:p>
          <w:pPr>
            <w:pStyle w:val="Contents5"/>
            <w:tabs>
              <w:tab w:val="clear" w:pos="7892"/>
              <w:tab w:val="right" w:pos="9026" w:leader="dot"/>
            </w:tabs>
            <w:rPr/>
          </w:pPr>
          <w:hyperlink w:anchor="__RefHeading___Toc162147_3244359995">
            <w:r>
              <w:rPr>
                <w:webHidden/>
                <w:rStyle w:val="IndexLink"/>
                <w:rtl w:val="true"/>
              </w:rPr>
              <w:t>اشاره</w:t>
            </w:r>
            <w:r>
              <w:rPr>
                <w:rStyle w:val="IndexLink"/>
                <w:rtl w:val="true"/>
              </w:rPr>
              <w:tab/>
            </w:r>
            <w:r>
              <w:rPr>
                <w:rStyle w:val="IndexLink"/>
              </w:rPr>
              <w:t>62</w:t>
            </w:r>
          </w:hyperlink>
        </w:p>
        <w:p>
          <w:pPr>
            <w:pStyle w:val="Contents5"/>
            <w:tabs>
              <w:tab w:val="clear" w:pos="7892"/>
              <w:tab w:val="right" w:pos="9026" w:leader="dot"/>
            </w:tabs>
            <w:rPr/>
          </w:pPr>
          <w:hyperlink w:anchor="__RefHeading___Toc162149_3244359995">
            <w:r>
              <w:rPr>
                <w:webHidden/>
                <w:rStyle w:val="IndexLink"/>
                <w:rtl w:val="true"/>
              </w:rPr>
              <w:t>فرع اوّل</w:t>
            </w:r>
            <w:r>
              <w:rPr>
                <w:rStyle w:val="IndexLink"/>
                <w:rtl w:val="true"/>
              </w:rPr>
              <w:t xml:space="preserve">: </w:t>
            </w:r>
            <w:r>
              <w:rPr>
                <w:rStyle w:val="IndexLink"/>
                <w:rtl w:val="true"/>
              </w:rPr>
              <w:t>سرقت اجیر</w:t>
            </w:r>
            <w:r>
              <w:rPr>
                <w:rStyle w:val="IndexLink"/>
                <w:rtl w:val="true"/>
              </w:rPr>
              <w:tab/>
            </w:r>
            <w:r>
              <w:rPr>
                <w:rStyle w:val="IndexLink"/>
              </w:rPr>
              <w:t>62</w:t>
            </w:r>
          </w:hyperlink>
        </w:p>
        <w:p>
          <w:pPr>
            <w:pStyle w:val="Contents6"/>
            <w:tabs>
              <w:tab w:val="clear" w:pos="7609"/>
              <w:tab w:val="right" w:pos="9026" w:leader="dot"/>
            </w:tabs>
            <w:rPr/>
          </w:pPr>
          <w:hyperlink w:anchor="__RefHeading___Toc162151_3244359995">
            <w:r>
              <w:rPr>
                <w:webHidden/>
                <w:rStyle w:val="IndexLink"/>
                <w:rtl w:val="true"/>
              </w:rPr>
              <w:t>اشاره</w:t>
            </w:r>
            <w:r>
              <w:rPr>
                <w:rStyle w:val="IndexLink"/>
                <w:rtl w:val="true"/>
              </w:rPr>
              <w:tab/>
            </w:r>
            <w:r>
              <w:rPr>
                <w:rStyle w:val="IndexLink"/>
              </w:rPr>
              <w:t>62</w:t>
            </w:r>
          </w:hyperlink>
        </w:p>
        <w:p>
          <w:pPr>
            <w:pStyle w:val="Contents6"/>
            <w:tabs>
              <w:tab w:val="clear" w:pos="7609"/>
              <w:tab w:val="right" w:pos="9026" w:leader="dot"/>
            </w:tabs>
            <w:rPr/>
          </w:pPr>
          <w:hyperlink w:anchor="__RefHeading___Toc162153_3244359995">
            <w:r>
              <w:rPr>
                <w:webHidden/>
                <w:rStyle w:val="IndexLink"/>
                <w:rtl w:val="true"/>
              </w:rPr>
              <w:t>روایات مخالف با قاعده</w:t>
            </w:r>
            <w:r>
              <w:rPr>
                <w:rStyle w:val="IndexLink"/>
                <w:rtl w:val="true"/>
              </w:rPr>
              <w:tab/>
            </w:r>
            <w:r>
              <w:rPr>
                <w:rStyle w:val="IndexLink"/>
              </w:rPr>
              <w:t>63</w:t>
            </w:r>
          </w:hyperlink>
        </w:p>
        <w:p>
          <w:pPr>
            <w:pStyle w:val="Contents5"/>
            <w:tabs>
              <w:tab w:val="clear" w:pos="7892"/>
              <w:tab w:val="right" w:pos="9026" w:leader="dot"/>
            </w:tabs>
            <w:rPr/>
          </w:pPr>
          <w:hyperlink w:anchor="__RefHeading___Toc162155_3244359995">
            <w:r>
              <w:rPr>
                <w:webHidden/>
                <w:rStyle w:val="IndexLink"/>
                <w:rtl w:val="true"/>
              </w:rPr>
              <w:t>فرع دوّم</w:t>
            </w:r>
            <w:r>
              <w:rPr>
                <w:rStyle w:val="IndexLink"/>
                <w:rtl w:val="true"/>
              </w:rPr>
              <w:t xml:space="preserve">: </w:t>
            </w:r>
            <w:r>
              <w:rPr>
                <w:rStyle w:val="IndexLink"/>
                <w:rtl w:val="true"/>
              </w:rPr>
              <w:t>سرقت زوج و زوجه از یکدیگر</w:t>
            </w:r>
            <w:r>
              <w:rPr>
                <w:rStyle w:val="IndexLink"/>
                <w:rtl w:val="true"/>
              </w:rPr>
              <w:tab/>
            </w:r>
            <w:r>
              <w:rPr>
                <w:rStyle w:val="IndexLink"/>
              </w:rPr>
              <w:t>65</w:t>
            </w:r>
          </w:hyperlink>
        </w:p>
        <w:p>
          <w:pPr>
            <w:pStyle w:val="Contents5"/>
            <w:tabs>
              <w:tab w:val="clear" w:pos="7892"/>
              <w:tab w:val="right" w:pos="9026" w:leader="dot"/>
            </w:tabs>
            <w:rPr/>
          </w:pPr>
          <w:hyperlink w:anchor="__RefHeading___Toc162157_3244359995">
            <w:r>
              <w:rPr>
                <w:webHidden/>
                <w:rStyle w:val="IndexLink"/>
                <w:rtl w:val="true"/>
              </w:rPr>
              <w:t>فرع سوّم</w:t>
            </w:r>
            <w:r>
              <w:rPr>
                <w:rStyle w:val="IndexLink"/>
                <w:rtl w:val="true"/>
              </w:rPr>
              <w:t xml:space="preserve">: </w:t>
            </w:r>
            <w:r>
              <w:rPr>
                <w:rStyle w:val="IndexLink"/>
                <w:rtl w:val="true"/>
              </w:rPr>
              <w:t>سرقت زوجه از شوهر ممتنع</w:t>
            </w:r>
            <w:r>
              <w:rPr>
                <w:rStyle w:val="IndexLink"/>
                <w:rtl w:val="true"/>
              </w:rPr>
              <w:tab/>
            </w:r>
            <w:r>
              <w:rPr>
                <w:rStyle w:val="IndexLink"/>
              </w:rPr>
              <w:t>66</w:t>
            </w:r>
          </w:hyperlink>
        </w:p>
        <w:p>
          <w:pPr>
            <w:pStyle w:val="Contents5"/>
            <w:tabs>
              <w:tab w:val="clear" w:pos="7892"/>
              <w:tab w:val="right" w:pos="9026" w:leader="dot"/>
            </w:tabs>
            <w:rPr/>
          </w:pPr>
          <w:hyperlink w:anchor="__RefHeading___Toc162159_3244359995">
            <w:r>
              <w:rPr>
                <w:webHidden/>
                <w:rStyle w:val="IndexLink"/>
                <w:rtl w:val="true"/>
              </w:rPr>
              <w:t>فرع چهارم</w:t>
            </w:r>
            <w:r>
              <w:rPr>
                <w:rStyle w:val="IndexLink"/>
                <w:rtl w:val="true"/>
              </w:rPr>
              <w:t xml:space="preserve">: </w:t>
            </w:r>
            <w:r>
              <w:rPr>
                <w:rStyle w:val="IndexLink"/>
                <w:rtl w:val="true"/>
              </w:rPr>
              <w:t>سرقت میهمان</w:t>
            </w:r>
            <w:r>
              <w:rPr>
                <w:rStyle w:val="IndexLink"/>
                <w:rtl w:val="true"/>
              </w:rPr>
              <w:tab/>
            </w:r>
            <w:r>
              <w:rPr>
                <w:rStyle w:val="IndexLink"/>
              </w:rPr>
              <w:t>68</w:t>
            </w:r>
          </w:hyperlink>
        </w:p>
        <w:p>
          <w:pPr>
            <w:pStyle w:val="Contents4"/>
            <w:tabs>
              <w:tab w:val="clear" w:pos="8176"/>
              <w:tab w:val="right" w:pos="9026" w:leader="dot"/>
            </w:tabs>
            <w:rPr/>
          </w:pPr>
          <w:hyperlink w:anchor="__RefHeading___Toc162161_3244359995">
            <w:r>
              <w:rPr>
                <w:webHidden/>
                <w:rStyle w:val="IndexLink"/>
                <w:rtl w:val="true"/>
              </w:rPr>
              <w:t>اختلاف مالک و آخذ در سرقت</w:t>
            </w:r>
            <w:r>
              <w:rPr>
                <w:rStyle w:val="IndexLink"/>
                <w:rtl w:val="true"/>
              </w:rPr>
              <w:tab/>
            </w:r>
            <w:r>
              <w:rPr>
                <w:rStyle w:val="IndexLink"/>
              </w:rPr>
              <w:t>71</w:t>
            </w:r>
          </w:hyperlink>
        </w:p>
        <w:p>
          <w:pPr>
            <w:pStyle w:val="Contents4"/>
            <w:tabs>
              <w:tab w:val="clear" w:pos="8176"/>
              <w:tab w:val="right" w:pos="9026" w:leader="dot"/>
            </w:tabs>
            <w:rPr/>
          </w:pPr>
          <w:hyperlink w:anchor="__RefHeading___Toc162163_3244359995">
            <w:r>
              <w:rPr>
                <w:webHidden/>
                <w:rStyle w:val="IndexLink"/>
                <w:rtl w:val="true"/>
              </w:rPr>
              <w:t>سکوت مُخرِج همراه با احتمال عدم سرقت</w:t>
            </w:r>
            <w:r>
              <w:rPr>
                <w:rStyle w:val="IndexLink"/>
                <w:rtl w:val="true"/>
              </w:rPr>
              <w:tab/>
            </w:r>
            <w:r>
              <w:rPr>
                <w:rStyle w:val="IndexLink"/>
              </w:rPr>
              <w:t>73</w:t>
            </w:r>
          </w:hyperlink>
        </w:p>
        <w:p>
          <w:pPr>
            <w:pStyle w:val="Contents3"/>
            <w:tabs>
              <w:tab w:val="clear" w:pos="8459"/>
              <w:tab w:val="right" w:pos="9026" w:leader="dot"/>
            </w:tabs>
            <w:rPr/>
          </w:pPr>
          <w:hyperlink w:anchor="__RefHeading___Toc162165_3244359995">
            <w:r>
              <w:rPr>
                <w:webHidden/>
                <w:rStyle w:val="IndexLink"/>
                <w:rtl w:val="true"/>
              </w:rPr>
              <w:t>فصل دوّم</w:t>
            </w:r>
            <w:r>
              <w:rPr>
                <w:rStyle w:val="IndexLink"/>
                <w:rtl w:val="true"/>
              </w:rPr>
              <w:t xml:space="preserve">: </w:t>
            </w:r>
            <w:r>
              <w:rPr>
                <w:rStyle w:val="IndexLink"/>
                <w:rtl w:val="true"/>
              </w:rPr>
              <w:t>خصوصیّات مال مسروقه</w:t>
            </w:r>
            <w:r>
              <w:rPr>
                <w:rStyle w:val="IndexLink"/>
                <w:rtl w:val="true"/>
              </w:rPr>
              <w:tab/>
            </w:r>
            <w:r>
              <w:rPr>
                <w:rStyle w:val="IndexLink"/>
              </w:rPr>
              <w:t>75</w:t>
            </w:r>
          </w:hyperlink>
        </w:p>
        <w:p>
          <w:pPr>
            <w:pStyle w:val="Contents4"/>
            <w:tabs>
              <w:tab w:val="clear" w:pos="8176"/>
              <w:tab w:val="right" w:pos="9026" w:leader="dot"/>
            </w:tabs>
            <w:rPr/>
          </w:pPr>
          <w:hyperlink w:anchor="__RefHeading___Toc162167_3244359995">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162169_3244359995">
            <w:r>
              <w:rPr>
                <w:webHidden/>
                <w:rStyle w:val="IndexLink"/>
                <w:rtl w:val="true"/>
              </w:rPr>
              <w:t>نصاب قطع دست</w:t>
            </w:r>
            <w:r>
              <w:rPr>
                <w:rStyle w:val="IndexLink"/>
                <w:rtl w:val="true"/>
              </w:rPr>
              <w:tab/>
            </w:r>
            <w:r>
              <w:rPr>
                <w:rStyle w:val="IndexLink"/>
              </w:rPr>
              <w:t>76</w:t>
            </w:r>
          </w:hyperlink>
        </w:p>
        <w:p>
          <w:pPr>
            <w:pStyle w:val="Contents5"/>
            <w:tabs>
              <w:tab w:val="clear" w:pos="7892"/>
              <w:tab w:val="right" w:pos="9026" w:leader="dot"/>
            </w:tabs>
            <w:rPr/>
          </w:pPr>
          <w:hyperlink w:anchor="__RefHeading___Toc162171_3244359995">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162173_3244359995">
            <w:r>
              <w:rPr>
                <w:webHidden/>
                <w:rStyle w:val="IndexLink"/>
                <w:rtl w:val="true"/>
              </w:rPr>
              <w:t>اقوال فقها در مسأله</w:t>
            </w:r>
            <w:r>
              <w:rPr>
                <w:rStyle w:val="IndexLink"/>
                <w:rtl w:val="true"/>
              </w:rPr>
              <w:tab/>
            </w:r>
            <w:r>
              <w:rPr>
                <w:rStyle w:val="IndexLink"/>
              </w:rPr>
              <w:t>76</w:t>
            </w:r>
          </w:hyperlink>
        </w:p>
        <w:p>
          <w:pPr>
            <w:pStyle w:val="Contents5"/>
            <w:tabs>
              <w:tab w:val="clear" w:pos="7892"/>
              <w:tab w:val="right" w:pos="9026" w:leader="dot"/>
            </w:tabs>
            <w:rPr/>
          </w:pPr>
          <w:hyperlink w:anchor="__RefHeading___Toc162175_3244359995">
            <w:r>
              <w:rPr>
                <w:webHidden/>
                <w:rStyle w:val="IndexLink"/>
                <w:rtl w:val="true"/>
              </w:rPr>
              <w:t>بررسی روایات دالّ بر ربع دینار</w:t>
            </w:r>
            <w:r>
              <w:rPr>
                <w:rStyle w:val="IndexLink"/>
                <w:rtl w:val="true"/>
              </w:rPr>
              <w:tab/>
            </w:r>
            <w:r>
              <w:rPr>
                <w:rStyle w:val="IndexLink"/>
              </w:rPr>
              <w:t>77</w:t>
            </w:r>
          </w:hyperlink>
        </w:p>
        <w:p>
          <w:pPr>
            <w:pStyle w:val="Contents5"/>
            <w:tabs>
              <w:tab w:val="clear" w:pos="7892"/>
              <w:tab w:val="right" w:pos="9026" w:leader="dot"/>
            </w:tabs>
            <w:rPr/>
          </w:pPr>
          <w:hyperlink w:anchor="__RefHeading___Toc162177_3244359995">
            <w:r>
              <w:rPr>
                <w:webHidden/>
                <w:rStyle w:val="IndexLink"/>
                <w:rtl w:val="true"/>
              </w:rPr>
              <w:t>بررسی روایات دالّ بر خُمس دینار</w:t>
            </w:r>
            <w:r>
              <w:rPr>
                <w:rStyle w:val="IndexLink"/>
                <w:rtl w:val="true"/>
              </w:rPr>
              <w:tab/>
            </w:r>
            <w:r>
              <w:rPr>
                <w:rStyle w:val="IndexLink"/>
              </w:rPr>
              <w:t>80</w:t>
            </w:r>
          </w:hyperlink>
        </w:p>
        <w:p>
          <w:pPr>
            <w:pStyle w:val="Contents5"/>
            <w:tabs>
              <w:tab w:val="clear" w:pos="7892"/>
              <w:tab w:val="right" w:pos="9026" w:leader="dot"/>
            </w:tabs>
            <w:rPr/>
          </w:pPr>
          <w:hyperlink w:anchor="__RefHeading___Toc162179_3244359995">
            <w:r>
              <w:rPr>
                <w:webHidden/>
                <w:rStyle w:val="IndexLink"/>
                <w:rtl w:val="true"/>
              </w:rPr>
              <w:t>بررسی روایات دالّ بر دو درهم</w:t>
            </w:r>
            <w:r>
              <w:rPr>
                <w:rStyle w:val="IndexLink"/>
                <w:rtl w:val="true"/>
              </w:rPr>
              <w:tab/>
            </w:r>
            <w:r>
              <w:rPr>
                <w:rStyle w:val="IndexLink"/>
              </w:rPr>
              <w:t>81</w:t>
            </w:r>
          </w:hyperlink>
        </w:p>
        <w:p>
          <w:pPr>
            <w:pStyle w:val="Contents5"/>
            <w:tabs>
              <w:tab w:val="clear" w:pos="7892"/>
              <w:tab w:val="right" w:pos="9026" w:leader="dot"/>
            </w:tabs>
            <w:rPr/>
          </w:pPr>
          <w:hyperlink w:anchor="__RefHeading___Toc162181_3244359995">
            <w:r>
              <w:rPr>
                <w:webHidden/>
                <w:rStyle w:val="IndexLink"/>
                <w:rtl w:val="true"/>
              </w:rPr>
              <w:t>بررسی روایات دالّ بر یک دینار</w:t>
            </w:r>
            <w:r>
              <w:rPr>
                <w:rStyle w:val="IndexLink"/>
                <w:rtl w:val="true"/>
              </w:rPr>
              <w:tab/>
            </w:r>
            <w:r>
              <w:rPr>
                <w:rStyle w:val="IndexLink"/>
              </w:rPr>
              <w:t>81</w:t>
            </w:r>
          </w:hyperlink>
        </w:p>
        <w:p>
          <w:pPr>
            <w:pStyle w:val="Contents5"/>
            <w:tabs>
              <w:tab w:val="clear" w:pos="7892"/>
              <w:tab w:val="right" w:pos="9026" w:leader="dot"/>
            </w:tabs>
            <w:rPr/>
          </w:pPr>
          <w:hyperlink w:anchor="__RefHeading___Toc162183_3244359995">
            <w:r>
              <w:rPr>
                <w:webHidden/>
                <w:rStyle w:val="IndexLink"/>
                <w:rtl w:val="true"/>
              </w:rPr>
              <w:t>بررسی روایات دالّ بر ثلث دینار</w:t>
            </w:r>
            <w:r>
              <w:rPr>
                <w:rStyle w:val="IndexLink"/>
                <w:rtl w:val="true"/>
              </w:rPr>
              <w:tab/>
            </w:r>
            <w:r>
              <w:rPr>
                <w:rStyle w:val="IndexLink"/>
              </w:rPr>
              <w:t>82</w:t>
            </w:r>
          </w:hyperlink>
        </w:p>
        <w:p>
          <w:pPr>
            <w:pStyle w:val="Contents5"/>
            <w:tabs>
              <w:tab w:val="clear" w:pos="7892"/>
              <w:tab w:val="right" w:pos="9026" w:leader="dot"/>
            </w:tabs>
            <w:rPr/>
          </w:pPr>
          <w:hyperlink w:anchor="__RefHeading___Toc162185_3244359995">
            <w:r>
              <w:rPr>
                <w:webHidden/>
                <w:rStyle w:val="IndexLink"/>
                <w:rtl w:val="true"/>
              </w:rPr>
              <w:t>وجوه جمع بین روایات</w:t>
            </w:r>
            <w:r>
              <w:rPr>
                <w:rStyle w:val="IndexLink"/>
                <w:rtl w:val="true"/>
              </w:rPr>
              <w:tab/>
            </w:r>
            <w:r>
              <w:rPr>
                <w:rStyle w:val="IndexLink"/>
              </w:rPr>
              <w:t>83</w:t>
            </w:r>
          </w:hyperlink>
        </w:p>
        <w:p>
          <w:pPr>
            <w:pStyle w:val="Contents5"/>
            <w:tabs>
              <w:tab w:val="clear" w:pos="7892"/>
              <w:tab w:val="right" w:pos="9026" w:leader="dot"/>
            </w:tabs>
            <w:rPr/>
          </w:pPr>
          <w:hyperlink w:anchor="__RefHeading___Toc162187_3244359995">
            <w:r>
              <w:rPr>
                <w:webHidden/>
                <w:rStyle w:val="IndexLink"/>
                <w:rtl w:val="true"/>
              </w:rPr>
              <w:t>تعمیم نصاب ربع دینار به هر مال مسروقه‌ای</w:t>
            </w:r>
            <w:r>
              <w:rPr>
                <w:rStyle w:val="IndexLink"/>
                <w:rtl w:val="true"/>
              </w:rPr>
              <w:tab/>
            </w:r>
            <w:r>
              <w:rPr>
                <w:rStyle w:val="IndexLink"/>
              </w:rPr>
              <w:t>86</w:t>
            </w:r>
          </w:hyperlink>
        </w:p>
        <w:p>
          <w:pPr>
            <w:pStyle w:val="Contents4"/>
            <w:tabs>
              <w:tab w:val="clear" w:pos="8176"/>
              <w:tab w:val="right" w:pos="9026" w:leader="dot"/>
            </w:tabs>
            <w:rPr/>
          </w:pPr>
          <w:hyperlink w:anchor="__RefHeading___Toc162189_3244359995">
            <w:r>
              <w:rPr>
                <w:webHidden/>
                <w:rStyle w:val="IndexLink"/>
                <w:rtl w:val="true"/>
              </w:rPr>
              <w:t>ملاک ثبوت حدّ سرقت در طلا</w:t>
            </w:r>
            <w:r>
              <w:rPr>
                <w:rStyle w:val="IndexLink"/>
                <w:rtl w:val="true"/>
              </w:rPr>
              <w:tab/>
            </w:r>
            <w:r>
              <w:rPr>
                <w:rStyle w:val="IndexLink"/>
              </w:rPr>
              <w:t>91</w:t>
            </w:r>
          </w:hyperlink>
        </w:p>
        <w:p>
          <w:pPr>
            <w:pStyle w:val="Contents4"/>
            <w:tabs>
              <w:tab w:val="clear" w:pos="8176"/>
              <w:tab w:val="right" w:pos="9026" w:leader="dot"/>
            </w:tabs>
            <w:rPr/>
          </w:pPr>
          <w:hyperlink w:anchor="__RefHeading___Toc162191_3244359995">
            <w:r>
              <w:rPr>
                <w:webHidden/>
                <w:rStyle w:val="IndexLink"/>
                <w:rtl w:val="true"/>
              </w:rPr>
              <w:t>اختلاف در سکّه‌های رایج</w:t>
            </w:r>
            <w:r>
              <w:rPr>
                <w:rStyle w:val="IndexLink"/>
                <w:rtl w:val="true"/>
              </w:rPr>
              <w:tab/>
            </w:r>
            <w:r>
              <w:rPr>
                <w:rStyle w:val="IndexLink"/>
              </w:rPr>
              <w:t>93</w:t>
            </w:r>
          </w:hyperlink>
        </w:p>
        <w:p>
          <w:pPr>
            <w:pStyle w:val="Contents4"/>
            <w:tabs>
              <w:tab w:val="clear" w:pos="8176"/>
              <w:tab w:val="right" w:pos="9026" w:leader="dot"/>
            </w:tabs>
            <w:rPr/>
          </w:pPr>
          <w:hyperlink w:anchor="__RefHeading___Toc162193_3244359995">
            <w:r>
              <w:rPr>
                <w:webHidden/>
                <w:rStyle w:val="IndexLink"/>
                <w:rtl w:val="true"/>
              </w:rPr>
              <w:t>اعتبار رایج بودن سکّه</w:t>
            </w:r>
            <w:r>
              <w:rPr>
                <w:rStyle w:val="IndexLink"/>
                <w:rtl w:val="true"/>
              </w:rPr>
              <w:tab/>
            </w:r>
            <w:r>
              <w:rPr>
                <w:rStyle w:val="IndexLink"/>
              </w:rPr>
              <w:t>94</w:t>
            </w:r>
          </w:hyperlink>
        </w:p>
        <w:p>
          <w:pPr>
            <w:pStyle w:val="Contents4"/>
            <w:tabs>
              <w:tab w:val="clear" w:pos="8176"/>
              <w:tab w:val="right" w:pos="9026" w:leader="dot"/>
            </w:tabs>
            <w:rPr/>
          </w:pPr>
          <w:hyperlink w:anchor="__RefHeading___Toc162195_3244359995">
            <w:r>
              <w:rPr>
                <w:webHidden/>
                <w:rStyle w:val="IndexLink"/>
                <w:rtl w:val="true"/>
              </w:rPr>
              <w:t>عدم دخالت اعتقاد رسیدن سرقت به حدّ نصاب در ثبوت حدّ قطع</w:t>
            </w:r>
            <w:r>
              <w:rPr>
                <w:rStyle w:val="IndexLink"/>
                <w:rtl w:val="true"/>
              </w:rPr>
              <w:tab/>
            </w:r>
            <w:r>
              <w:rPr>
                <w:rStyle w:val="IndexLink"/>
              </w:rPr>
              <w:t>97</w:t>
            </w:r>
          </w:hyperlink>
        </w:p>
        <w:p>
          <w:pPr>
            <w:pStyle w:val="Contents4"/>
            <w:tabs>
              <w:tab w:val="clear" w:pos="8176"/>
              <w:tab w:val="right" w:pos="9026" w:leader="dot"/>
            </w:tabs>
            <w:rPr/>
          </w:pPr>
          <w:hyperlink w:anchor="__RefHeading___Toc162197_3244359995">
            <w:r>
              <w:rPr>
                <w:webHidden/>
                <w:rStyle w:val="IndexLink"/>
                <w:rtl w:val="true"/>
              </w:rPr>
              <w:t>حکم دزدی اضافه بر حدّ نصاب</w:t>
            </w:r>
            <w:r>
              <w:rPr>
                <w:rStyle w:val="IndexLink"/>
                <w:rtl w:val="true"/>
              </w:rPr>
              <w:tab/>
            </w:r>
            <w:r>
              <w:rPr>
                <w:rStyle w:val="IndexLink"/>
              </w:rPr>
              <w:t>99</w:t>
            </w:r>
          </w:hyperlink>
        </w:p>
        <w:p>
          <w:pPr>
            <w:pStyle w:val="Contents4"/>
            <w:tabs>
              <w:tab w:val="clear" w:pos="8176"/>
              <w:tab w:val="right" w:pos="9026" w:leader="dot"/>
            </w:tabs>
            <w:rPr/>
          </w:pPr>
          <w:hyperlink w:anchor="__RefHeading___Toc162199_3244359995">
            <w:r>
              <w:rPr>
                <w:webHidden/>
                <w:rStyle w:val="IndexLink"/>
                <w:rtl w:val="true"/>
              </w:rPr>
              <w:t>شرط دوّم مال مسروقه</w:t>
            </w:r>
            <w:r>
              <w:rPr>
                <w:rStyle w:val="IndexLink"/>
                <w:rtl w:val="true"/>
              </w:rPr>
              <w:t xml:space="preserve">: </w:t>
            </w:r>
            <w:r>
              <w:rPr>
                <w:rStyle w:val="IndexLink"/>
                <w:rtl w:val="true"/>
              </w:rPr>
              <w:t>در حرز بودن</w:t>
            </w:r>
            <w:r>
              <w:rPr>
                <w:rStyle w:val="IndexLink"/>
                <w:rtl w:val="true"/>
              </w:rPr>
              <w:tab/>
            </w:r>
            <w:r>
              <w:rPr>
                <w:rStyle w:val="IndexLink"/>
              </w:rPr>
              <w:t>100</w:t>
            </w:r>
          </w:hyperlink>
        </w:p>
        <w:p>
          <w:pPr>
            <w:pStyle w:val="Contents5"/>
            <w:tabs>
              <w:tab w:val="clear" w:pos="7892"/>
              <w:tab w:val="right" w:pos="9026" w:leader="dot"/>
            </w:tabs>
            <w:rPr/>
          </w:pPr>
          <w:hyperlink w:anchor="__RefHeading___Toc162201_3244359995">
            <w:r>
              <w:rPr>
                <w:webHidden/>
                <w:rStyle w:val="IndexLink"/>
                <w:rtl w:val="true"/>
              </w:rPr>
              <w:t>اشاره</w:t>
            </w:r>
            <w:r>
              <w:rPr>
                <w:rStyle w:val="IndexLink"/>
                <w:rtl w:val="true"/>
              </w:rPr>
              <w:tab/>
            </w:r>
            <w:r>
              <w:rPr>
                <w:rStyle w:val="IndexLink"/>
              </w:rPr>
              <w:t>100</w:t>
            </w:r>
          </w:hyperlink>
        </w:p>
        <w:p>
          <w:pPr>
            <w:pStyle w:val="Contents5"/>
            <w:tabs>
              <w:tab w:val="clear" w:pos="7892"/>
              <w:tab w:val="right" w:pos="9026" w:leader="dot"/>
            </w:tabs>
            <w:rPr/>
          </w:pPr>
          <w:hyperlink w:anchor="__RefHeading___Toc162203_3244359995">
            <w:r>
              <w:rPr>
                <w:webHidden/>
                <w:rStyle w:val="IndexLink"/>
                <w:rtl w:val="true"/>
              </w:rPr>
              <w:t>مطلب اوّل</w:t>
            </w:r>
            <w:r>
              <w:rPr>
                <w:rStyle w:val="IndexLink"/>
                <w:rtl w:val="true"/>
              </w:rPr>
              <w:t xml:space="preserve">: </w:t>
            </w:r>
            <w:r>
              <w:rPr>
                <w:rStyle w:val="IndexLink"/>
                <w:rtl w:val="true"/>
              </w:rPr>
              <w:t>اعتبار حرز در حدّ قطع</w:t>
            </w:r>
            <w:r>
              <w:rPr>
                <w:rStyle w:val="IndexLink"/>
                <w:rtl w:val="true"/>
              </w:rPr>
              <w:tab/>
            </w:r>
            <w:r>
              <w:rPr>
                <w:rStyle w:val="IndexLink"/>
              </w:rPr>
              <w:t>100</w:t>
            </w:r>
          </w:hyperlink>
        </w:p>
        <w:p>
          <w:pPr>
            <w:pStyle w:val="Contents6"/>
            <w:tabs>
              <w:tab w:val="clear" w:pos="7609"/>
              <w:tab w:val="right" w:pos="9026" w:leader="dot"/>
            </w:tabs>
            <w:rPr/>
          </w:pPr>
          <w:hyperlink w:anchor="__RefHeading___Toc162205_3244359995">
            <w:r>
              <w:rPr>
                <w:webHidden/>
                <w:rStyle w:val="IndexLink"/>
                <w:rtl w:val="true"/>
              </w:rPr>
              <w:t>اشاره</w:t>
            </w:r>
            <w:r>
              <w:rPr>
                <w:rStyle w:val="IndexLink"/>
                <w:rtl w:val="true"/>
              </w:rPr>
              <w:tab/>
            </w:r>
            <w:r>
              <w:rPr>
                <w:rStyle w:val="IndexLink"/>
              </w:rPr>
              <w:t>100</w:t>
            </w:r>
          </w:hyperlink>
        </w:p>
        <w:p>
          <w:pPr>
            <w:pStyle w:val="Contents6"/>
            <w:tabs>
              <w:tab w:val="clear" w:pos="7609"/>
              <w:tab w:val="right" w:pos="9026" w:leader="dot"/>
            </w:tabs>
            <w:rPr/>
          </w:pPr>
          <w:hyperlink w:anchor="__RefHeading___Toc162207_3244359995">
            <w:r>
              <w:rPr>
                <w:webHidden/>
                <w:rStyle w:val="IndexLink"/>
                <w:rtl w:val="true"/>
              </w:rPr>
              <w:t>بررسی روایات منافی</w:t>
            </w:r>
            <w:r>
              <w:rPr>
                <w:rStyle w:val="IndexLink"/>
                <w:rtl w:val="true"/>
              </w:rPr>
              <w:tab/>
            </w:r>
            <w:r>
              <w:rPr>
                <w:rStyle w:val="IndexLink"/>
              </w:rPr>
              <w:t>102</w:t>
            </w:r>
          </w:hyperlink>
        </w:p>
        <w:p>
          <w:pPr>
            <w:pStyle w:val="Contents5"/>
            <w:tabs>
              <w:tab w:val="clear" w:pos="7892"/>
              <w:tab w:val="right" w:pos="9026" w:leader="dot"/>
            </w:tabs>
            <w:rPr/>
          </w:pPr>
          <w:hyperlink w:anchor="__RefHeading___Toc162209_3244359995">
            <w:r>
              <w:rPr>
                <w:webHidden/>
                <w:rStyle w:val="IndexLink"/>
                <w:rtl w:val="true"/>
              </w:rPr>
              <w:t>مطلب دوّم</w:t>
            </w:r>
            <w:r>
              <w:rPr>
                <w:rStyle w:val="IndexLink"/>
                <w:rtl w:val="true"/>
              </w:rPr>
              <w:t xml:space="preserve">: </w:t>
            </w:r>
            <w:r>
              <w:rPr>
                <w:rStyle w:val="IndexLink"/>
                <w:rtl w:val="true"/>
              </w:rPr>
              <w:t>حقیقت و معنای حرز</w:t>
            </w:r>
            <w:r>
              <w:rPr>
                <w:rStyle w:val="IndexLink"/>
                <w:rtl w:val="true"/>
              </w:rPr>
              <w:tab/>
            </w:r>
            <w:r>
              <w:rPr>
                <w:rStyle w:val="IndexLink"/>
              </w:rPr>
              <w:t>108</w:t>
            </w:r>
          </w:hyperlink>
        </w:p>
        <w:p>
          <w:pPr>
            <w:pStyle w:val="Contents6"/>
            <w:tabs>
              <w:tab w:val="clear" w:pos="7609"/>
              <w:tab w:val="right" w:pos="9026" w:leader="dot"/>
            </w:tabs>
            <w:rPr/>
          </w:pPr>
          <w:hyperlink w:anchor="__RefHeading___Toc162211_3244359995">
            <w:r>
              <w:rPr>
                <w:webHidden/>
                <w:rStyle w:val="IndexLink"/>
                <w:rtl w:val="true"/>
              </w:rPr>
              <w:t>اشاره</w:t>
            </w:r>
            <w:r>
              <w:rPr>
                <w:rStyle w:val="IndexLink"/>
                <w:rtl w:val="true"/>
              </w:rPr>
              <w:tab/>
            </w:r>
            <w:r>
              <w:rPr>
                <w:rStyle w:val="IndexLink"/>
              </w:rPr>
              <w:t>108</w:t>
            </w:r>
          </w:hyperlink>
        </w:p>
        <w:p>
          <w:pPr>
            <w:pStyle w:val="Contents6"/>
            <w:tabs>
              <w:tab w:val="clear" w:pos="7609"/>
              <w:tab w:val="right" w:pos="9026" w:leader="dot"/>
            </w:tabs>
            <w:rPr/>
          </w:pPr>
          <w:hyperlink w:anchor="__RefHeading___Toc162213_3244359995">
            <w:r>
              <w:rPr>
                <w:webHidden/>
                <w:rStyle w:val="IndexLink"/>
                <w:rtl w:val="true"/>
              </w:rPr>
              <w:t>دلیل قول مشهور</w:t>
            </w:r>
            <w:r>
              <w:rPr>
                <w:rStyle w:val="IndexLink"/>
                <w:rtl w:val="true"/>
              </w:rPr>
              <w:tab/>
            </w:r>
            <w:r>
              <w:rPr>
                <w:rStyle w:val="IndexLink"/>
              </w:rPr>
              <w:t>109</w:t>
            </w:r>
          </w:hyperlink>
        </w:p>
        <w:p>
          <w:pPr>
            <w:pStyle w:val="Contents6"/>
            <w:tabs>
              <w:tab w:val="clear" w:pos="7609"/>
              <w:tab w:val="right" w:pos="9026" w:leader="dot"/>
            </w:tabs>
            <w:rPr/>
          </w:pPr>
          <w:hyperlink w:anchor="__RefHeading___Toc162215_3244359995">
            <w:r>
              <w:rPr>
                <w:webHidden/>
                <w:rStyle w:val="IndexLink"/>
                <w:rtl w:val="true"/>
              </w:rPr>
              <w:t>نقد دلیل شیخ طوسی رحمه الله در مبسوط و خلاف</w:t>
            </w:r>
            <w:r>
              <w:rPr>
                <w:rStyle w:val="IndexLink"/>
                <w:rtl w:val="true"/>
              </w:rPr>
              <w:tab/>
            </w:r>
            <w:r>
              <w:rPr>
                <w:rStyle w:val="IndexLink"/>
              </w:rPr>
              <w:t>110</w:t>
            </w:r>
          </w:hyperlink>
        </w:p>
        <w:p>
          <w:pPr>
            <w:pStyle w:val="Contents6"/>
            <w:tabs>
              <w:tab w:val="clear" w:pos="7609"/>
              <w:tab w:val="right" w:pos="9026" w:leader="dot"/>
            </w:tabs>
            <w:rPr/>
          </w:pPr>
          <w:hyperlink w:anchor="__RefHeading___Toc162217_3244359995">
            <w:r>
              <w:rPr>
                <w:webHidden/>
                <w:rStyle w:val="IndexLink"/>
                <w:rtl w:val="true"/>
              </w:rPr>
              <w:t>نقد دلیل شیخ طوسی رحمه الله در کتاب نهایه</w:t>
            </w:r>
            <w:r>
              <w:rPr>
                <w:rStyle w:val="IndexLink"/>
                <w:rtl w:val="true"/>
              </w:rPr>
              <w:tab/>
            </w:r>
            <w:r>
              <w:rPr>
                <w:rStyle w:val="IndexLink"/>
              </w:rPr>
              <w:t>111</w:t>
            </w:r>
          </w:hyperlink>
        </w:p>
        <w:p>
          <w:pPr>
            <w:pStyle w:val="Contents4"/>
            <w:tabs>
              <w:tab w:val="clear" w:pos="8176"/>
              <w:tab w:val="right" w:pos="9026" w:leader="dot"/>
            </w:tabs>
            <w:rPr/>
          </w:pPr>
          <w:hyperlink w:anchor="__RefHeading___Toc162219_3244359995">
            <w:r>
              <w:rPr>
                <w:webHidden/>
                <w:rStyle w:val="IndexLink"/>
                <w:rtl w:val="true"/>
              </w:rPr>
              <w:t>تناسب حرز با مال مسروقه</w:t>
            </w:r>
            <w:r>
              <w:rPr>
                <w:rStyle w:val="IndexLink"/>
                <w:rtl w:val="true"/>
              </w:rPr>
              <w:tab/>
            </w:r>
            <w:r>
              <w:rPr>
                <w:rStyle w:val="IndexLink"/>
              </w:rPr>
              <w:t>114</w:t>
            </w:r>
          </w:hyperlink>
        </w:p>
        <w:p>
          <w:pPr>
            <w:pStyle w:val="Contents4"/>
            <w:tabs>
              <w:tab w:val="clear" w:pos="8176"/>
              <w:tab w:val="right" w:pos="9026" w:leader="dot"/>
            </w:tabs>
            <w:rPr/>
          </w:pPr>
          <w:hyperlink w:anchor="__RefHeading___Toc162221_3244359995">
            <w:r>
              <w:rPr>
                <w:webHidden/>
                <w:rStyle w:val="IndexLink"/>
                <w:rtl w:val="true"/>
              </w:rPr>
              <w:t>سرقت از اماکن عمومی</w:t>
            </w:r>
            <w:r>
              <w:rPr>
                <w:rStyle w:val="IndexLink"/>
                <w:rtl w:val="true"/>
              </w:rPr>
              <w:tab/>
            </w:r>
            <w:r>
              <w:rPr>
                <w:rStyle w:val="IndexLink"/>
              </w:rPr>
              <w:t>117</w:t>
            </w:r>
          </w:hyperlink>
        </w:p>
        <w:p>
          <w:pPr>
            <w:pStyle w:val="Contents5"/>
            <w:tabs>
              <w:tab w:val="clear" w:pos="7892"/>
              <w:tab w:val="right" w:pos="9026" w:leader="dot"/>
            </w:tabs>
            <w:rPr/>
          </w:pPr>
          <w:hyperlink w:anchor="__RefHeading___Toc162223_3244359995">
            <w:r>
              <w:rPr>
                <w:webHidden/>
                <w:rStyle w:val="IndexLink"/>
                <w:rtl w:val="true"/>
              </w:rPr>
              <w:t>اشاره</w:t>
            </w:r>
            <w:r>
              <w:rPr>
                <w:rStyle w:val="IndexLink"/>
                <w:rtl w:val="true"/>
              </w:rPr>
              <w:tab/>
            </w:r>
            <w:r>
              <w:rPr>
                <w:rStyle w:val="IndexLink"/>
              </w:rPr>
              <w:t>117</w:t>
            </w:r>
          </w:hyperlink>
        </w:p>
        <w:p>
          <w:pPr>
            <w:pStyle w:val="Contents5"/>
            <w:tabs>
              <w:tab w:val="clear" w:pos="7892"/>
              <w:tab w:val="right" w:pos="9026" w:leader="dot"/>
            </w:tabs>
            <w:rPr/>
          </w:pPr>
          <w:hyperlink w:anchor="__RefHeading___Toc162225_3244359995">
            <w:r>
              <w:rPr>
                <w:webHidden/>
                <w:rStyle w:val="IndexLink"/>
                <w:rtl w:val="true"/>
              </w:rPr>
              <w:t>فرع اوّل</w:t>
            </w:r>
            <w:r>
              <w:rPr>
                <w:rStyle w:val="IndexLink"/>
                <w:rtl w:val="true"/>
              </w:rPr>
              <w:t xml:space="preserve">: </w:t>
            </w:r>
            <w:r>
              <w:rPr>
                <w:rStyle w:val="IndexLink"/>
                <w:rtl w:val="true"/>
              </w:rPr>
              <w:t>سرقت از اماکن عمومی</w:t>
            </w:r>
            <w:r>
              <w:rPr>
                <w:rStyle w:val="IndexLink"/>
                <w:rtl w:val="true"/>
              </w:rPr>
              <w:tab/>
            </w:r>
            <w:r>
              <w:rPr>
                <w:rStyle w:val="IndexLink"/>
              </w:rPr>
              <w:t>117</w:t>
            </w:r>
          </w:hyperlink>
        </w:p>
        <w:p>
          <w:pPr>
            <w:pStyle w:val="Contents5"/>
            <w:tabs>
              <w:tab w:val="clear" w:pos="7892"/>
              <w:tab w:val="right" w:pos="9026" w:leader="dot"/>
            </w:tabs>
            <w:rPr/>
          </w:pPr>
          <w:hyperlink w:anchor="__RefHeading___Toc162227_3244359995">
            <w:r>
              <w:rPr>
                <w:webHidden/>
                <w:rStyle w:val="IndexLink"/>
                <w:rtl w:val="true"/>
              </w:rPr>
              <w:t>فرع دوّم</w:t>
            </w:r>
            <w:r>
              <w:rPr>
                <w:rStyle w:val="IndexLink"/>
                <w:rtl w:val="true"/>
              </w:rPr>
              <w:t xml:space="preserve">: </w:t>
            </w:r>
            <w:r>
              <w:rPr>
                <w:rStyle w:val="IndexLink"/>
                <w:rtl w:val="true"/>
              </w:rPr>
              <w:t>حرز نبودن مراعات و مراقبت مالک از مال</w:t>
            </w:r>
            <w:r>
              <w:rPr>
                <w:rStyle w:val="IndexLink"/>
                <w:rtl w:val="true"/>
              </w:rPr>
              <w:tab/>
            </w:r>
            <w:r>
              <w:rPr>
                <w:rStyle w:val="IndexLink"/>
              </w:rPr>
              <w:t>118</w:t>
            </w:r>
          </w:hyperlink>
        </w:p>
        <w:p>
          <w:pPr>
            <w:pStyle w:val="Contents5"/>
            <w:tabs>
              <w:tab w:val="clear" w:pos="7892"/>
              <w:tab w:val="right" w:pos="9026" w:leader="dot"/>
            </w:tabs>
            <w:rPr/>
          </w:pPr>
          <w:hyperlink w:anchor="__RefHeading___Toc162229_3244359995">
            <w:r>
              <w:rPr>
                <w:webHidden/>
                <w:rStyle w:val="IndexLink"/>
                <w:rtl w:val="true"/>
              </w:rPr>
              <w:t>فرع سوّم</w:t>
            </w:r>
            <w:r>
              <w:rPr>
                <w:rStyle w:val="IndexLink"/>
                <w:rtl w:val="true"/>
              </w:rPr>
              <w:t xml:space="preserve">: </w:t>
            </w:r>
            <w:r>
              <w:rPr>
                <w:rStyle w:val="IndexLink"/>
                <w:rtl w:val="true"/>
              </w:rPr>
              <w:t xml:space="preserve">سرقت پرده‌ی کعبه و </w:t>
            </w:r>
            <w:r>
              <w:rPr>
                <w:rStyle w:val="IndexLink"/>
                <w:rtl w:val="true"/>
              </w:rPr>
              <w:t>...</w:t>
              <w:tab/>
            </w:r>
            <w:r>
              <w:rPr>
                <w:rStyle w:val="IndexLink"/>
              </w:rPr>
              <w:t>119</w:t>
            </w:r>
          </w:hyperlink>
        </w:p>
        <w:p>
          <w:pPr>
            <w:pStyle w:val="Contents4"/>
            <w:tabs>
              <w:tab w:val="clear" w:pos="8176"/>
              <w:tab w:val="right" w:pos="9026" w:leader="dot"/>
            </w:tabs>
            <w:rPr/>
          </w:pPr>
          <w:hyperlink w:anchor="__RefHeading___Toc162231_3244359995">
            <w:r>
              <w:rPr>
                <w:webHidden/>
                <w:rStyle w:val="IndexLink"/>
                <w:rtl w:val="true"/>
              </w:rPr>
              <w:t xml:space="preserve">حکم جیب‌بری </w:t>
            </w:r>
            <w:r>
              <w:rPr>
                <w:rStyle w:val="IndexLink"/>
                <w:rtl w:val="true"/>
              </w:rPr>
              <w:t>(</w:t>
            </w:r>
            <w:r>
              <w:rPr>
                <w:rStyle w:val="IndexLink"/>
                <w:rtl w:val="true"/>
              </w:rPr>
              <w:t>طرّاری</w:t>
            </w:r>
            <w:r>
              <w:rPr>
                <w:rStyle w:val="IndexLink"/>
                <w:rtl w:val="true"/>
              </w:rPr>
              <w:t>)</w:t>
              <w:tab/>
            </w:r>
            <w:r>
              <w:rPr>
                <w:rStyle w:val="IndexLink"/>
              </w:rPr>
              <w:t>122</w:t>
            </w:r>
          </w:hyperlink>
        </w:p>
        <w:p>
          <w:pPr>
            <w:pStyle w:val="Contents5"/>
            <w:tabs>
              <w:tab w:val="clear" w:pos="7892"/>
              <w:tab w:val="right" w:pos="9026" w:leader="dot"/>
            </w:tabs>
            <w:rPr/>
          </w:pPr>
          <w:hyperlink w:anchor="__RefHeading___Toc162233_3244359995">
            <w:r>
              <w:rPr>
                <w:webHidden/>
                <w:rStyle w:val="IndexLink"/>
                <w:rtl w:val="true"/>
              </w:rPr>
              <w:t>اشاره</w:t>
            </w:r>
            <w:r>
              <w:rPr>
                <w:rStyle w:val="IndexLink"/>
                <w:rtl w:val="true"/>
              </w:rPr>
              <w:tab/>
            </w:r>
            <w:r>
              <w:rPr>
                <w:rStyle w:val="IndexLink"/>
              </w:rPr>
              <w:t>122</w:t>
            </w:r>
          </w:hyperlink>
        </w:p>
        <w:p>
          <w:pPr>
            <w:pStyle w:val="Contents5"/>
            <w:tabs>
              <w:tab w:val="clear" w:pos="7892"/>
              <w:tab w:val="right" w:pos="9026" w:leader="dot"/>
            </w:tabs>
            <w:rPr/>
          </w:pPr>
          <w:hyperlink w:anchor="__RefHeading___Toc162235_3244359995">
            <w:r>
              <w:rPr>
                <w:webHidden/>
                <w:rStyle w:val="IndexLink"/>
                <w:rtl w:val="true"/>
              </w:rPr>
              <w:t>مقتضای قاعده در حکم جیب‌بری</w:t>
            </w:r>
            <w:r>
              <w:rPr>
                <w:rStyle w:val="IndexLink"/>
                <w:rtl w:val="true"/>
              </w:rPr>
              <w:tab/>
            </w:r>
            <w:r>
              <w:rPr>
                <w:rStyle w:val="IndexLink"/>
              </w:rPr>
              <w:t>122</w:t>
            </w:r>
          </w:hyperlink>
        </w:p>
        <w:p>
          <w:pPr>
            <w:pStyle w:val="Contents5"/>
            <w:tabs>
              <w:tab w:val="clear" w:pos="7892"/>
              <w:tab w:val="right" w:pos="9026" w:leader="dot"/>
            </w:tabs>
            <w:rPr/>
          </w:pPr>
          <w:hyperlink w:anchor="__RefHeading___Toc162237_3244359995">
            <w:r>
              <w:rPr>
                <w:webHidden/>
                <w:rStyle w:val="IndexLink"/>
                <w:rtl w:val="true"/>
              </w:rPr>
              <w:t xml:space="preserve">مقتضای روایات در حکم جیب‌بری </w:t>
            </w:r>
            <w:r>
              <w:rPr>
                <w:rStyle w:val="IndexLink"/>
                <w:rtl w:val="true"/>
              </w:rPr>
              <w:t>(</w:t>
            </w:r>
            <w:r>
              <w:rPr>
                <w:rStyle w:val="IndexLink"/>
                <w:rtl w:val="true"/>
              </w:rPr>
              <w:t>طرّاری</w:t>
            </w:r>
            <w:r>
              <w:rPr>
                <w:rStyle w:val="IndexLink"/>
                <w:rtl w:val="true"/>
              </w:rPr>
              <w:t>)</w:t>
              <w:tab/>
            </w:r>
            <w:r>
              <w:rPr>
                <w:rStyle w:val="IndexLink"/>
              </w:rPr>
              <w:t>123</w:t>
            </w:r>
          </w:hyperlink>
        </w:p>
        <w:p>
          <w:pPr>
            <w:pStyle w:val="Contents4"/>
            <w:tabs>
              <w:tab w:val="clear" w:pos="8176"/>
              <w:tab w:val="right" w:pos="9026" w:leader="dot"/>
            </w:tabs>
            <w:rPr/>
          </w:pPr>
          <w:hyperlink w:anchor="__RefHeading___Toc162239_3244359995">
            <w:r>
              <w:rPr>
                <w:webHidden/>
                <w:rStyle w:val="IndexLink"/>
                <w:rtl w:val="true"/>
              </w:rPr>
              <w:t>حکم سرقت میوه</w:t>
            </w:r>
            <w:r>
              <w:rPr>
                <w:rStyle w:val="IndexLink"/>
                <w:rtl w:val="true"/>
              </w:rPr>
              <w:tab/>
            </w:r>
            <w:r>
              <w:rPr>
                <w:rStyle w:val="IndexLink"/>
              </w:rPr>
              <w:t>127</w:t>
            </w:r>
          </w:hyperlink>
        </w:p>
        <w:p>
          <w:pPr>
            <w:pStyle w:val="Contents5"/>
            <w:tabs>
              <w:tab w:val="clear" w:pos="7892"/>
              <w:tab w:val="right" w:pos="9026" w:leader="dot"/>
            </w:tabs>
            <w:rPr/>
          </w:pPr>
          <w:hyperlink w:anchor="__RefHeading___Toc162241_3244359995">
            <w:r>
              <w:rPr>
                <w:webHidden/>
                <w:rStyle w:val="IndexLink"/>
                <w:rtl w:val="true"/>
              </w:rPr>
              <w:t>بیان صورت‌های مسأله</w:t>
            </w:r>
            <w:r>
              <w:rPr>
                <w:rStyle w:val="IndexLink"/>
                <w:rtl w:val="true"/>
              </w:rPr>
              <w:tab/>
            </w:r>
            <w:r>
              <w:rPr>
                <w:rStyle w:val="IndexLink"/>
              </w:rPr>
              <w:t>127</w:t>
            </w:r>
          </w:hyperlink>
        </w:p>
        <w:p>
          <w:pPr>
            <w:pStyle w:val="Contents5"/>
            <w:tabs>
              <w:tab w:val="clear" w:pos="7892"/>
              <w:tab w:val="right" w:pos="9026" w:leader="dot"/>
            </w:tabs>
            <w:rPr/>
          </w:pPr>
          <w:hyperlink w:anchor="__RefHeading___Toc162243_3244359995">
            <w:r>
              <w:rPr>
                <w:webHidden/>
                <w:rStyle w:val="IndexLink"/>
                <w:rtl w:val="true"/>
              </w:rPr>
              <w:t>حکم صورت اوّل و دوّم</w:t>
            </w:r>
            <w:r>
              <w:rPr>
                <w:rStyle w:val="IndexLink"/>
                <w:rtl w:val="true"/>
              </w:rPr>
              <w:tab/>
            </w:r>
            <w:r>
              <w:rPr>
                <w:rStyle w:val="IndexLink"/>
              </w:rPr>
              <w:t>127</w:t>
            </w:r>
          </w:hyperlink>
        </w:p>
        <w:p>
          <w:pPr>
            <w:pStyle w:val="Contents5"/>
            <w:tabs>
              <w:tab w:val="clear" w:pos="7892"/>
              <w:tab w:val="right" w:pos="9026" w:leader="dot"/>
            </w:tabs>
            <w:rPr/>
          </w:pPr>
          <w:hyperlink w:anchor="__RefHeading___Toc162245_3244359995">
            <w:r>
              <w:rPr>
                <w:webHidden/>
                <w:rStyle w:val="IndexLink"/>
                <w:rtl w:val="true"/>
              </w:rPr>
              <w:t>حکم صورت سوّم</w:t>
            </w:r>
            <w:r>
              <w:rPr>
                <w:rStyle w:val="IndexLink"/>
                <w:rtl w:val="true"/>
              </w:rPr>
              <w:tab/>
            </w:r>
            <w:r>
              <w:rPr>
                <w:rStyle w:val="IndexLink"/>
              </w:rPr>
              <w:t>128</w:t>
            </w:r>
          </w:hyperlink>
        </w:p>
        <w:p>
          <w:pPr>
            <w:pStyle w:val="Contents4"/>
            <w:tabs>
              <w:tab w:val="clear" w:pos="8176"/>
              <w:tab w:val="right" w:pos="9026" w:leader="dot"/>
            </w:tabs>
            <w:rPr/>
          </w:pPr>
          <w:hyperlink w:anchor="__RefHeading___Toc162247_3244359995">
            <w:r>
              <w:rPr>
                <w:webHidden/>
                <w:rStyle w:val="IndexLink"/>
                <w:rtl w:val="true"/>
              </w:rPr>
              <w:t>حکم سرقت در سال قحطی</w:t>
            </w:r>
            <w:r>
              <w:rPr>
                <w:rStyle w:val="IndexLink"/>
                <w:rtl w:val="true"/>
              </w:rPr>
              <w:tab/>
            </w:r>
            <w:r>
              <w:rPr>
                <w:rStyle w:val="IndexLink"/>
              </w:rPr>
              <w:t>132</w:t>
            </w:r>
          </w:hyperlink>
        </w:p>
        <w:p>
          <w:pPr>
            <w:pStyle w:val="Contents5"/>
            <w:tabs>
              <w:tab w:val="clear" w:pos="7892"/>
              <w:tab w:val="right" w:pos="9026" w:leader="dot"/>
            </w:tabs>
            <w:rPr/>
          </w:pPr>
          <w:hyperlink w:anchor="__RefHeading___Toc162249_3244359995">
            <w:r>
              <w:rPr>
                <w:webHidden/>
                <w:rStyle w:val="IndexLink"/>
                <w:rtl w:val="true"/>
              </w:rPr>
              <w:t>اشاره</w:t>
            </w:r>
            <w:r>
              <w:rPr>
                <w:rStyle w:val="IndexLink"/>
                <w:rtl w:val="true"/>
              </w:rPr>
              <w:tab/>
            </w:r>
            <w:r>
              <w:rPr>
                <w:rStyle w:val="IndexLink"/>
              </w:rPr>
              <w:t>132</w:t>
            </w:r>
          </w:hyperlink>
        </w:p>
        <w:p>
          <w:pPr>
            <w:pStyle w:val="Contents5"/>
            <w:tabs>
              <w:tab w:val="clear" w:pos="7892"/>
              <w:tab w:val="right" w:pos="9026" w:leader="dot"/>
            </w:tabs>
            <w:rPr/>
          </w:pPr>
          <w:hyperlink w:anchor="__RefHeading___Toc162251_3244359995">
            <w:r>
              <w:rPr>
                <w:webHidden/>
                <w:rStyle w:val="IndexLink"/>
                <w:rtl w:val="true"/>
              </w:rPr>
              <w:t>سرقت مضطرّ در سال قحطی</w:t>
            </w:r>
            <w:r>
              <w:rPr>
                <w:rStyle w:val="IndexLink"/>
                <w:rtl w:val="true"/>
              </w:rPr>
              <w:tab/>
            </w:r>
            <w:r>
              <w:rPr>
                <w:rStyle w:val="IndexLink"/>
              </w:rPr>
              <w:t>132</w:t>
            </w:r>
          </w:hyperlink>
        </w:p>
        <w:p>
          <w:pPr>
            <w:pStyle w:val="Contents5"/>
            <w:tabs>
              <w:tab w:val="clear" w:pos="7892"/>
              <w:tab w:val="right" w:pos="9026" w:leader="dot"/>
            </w:tabs>
            <w:rPr/>
          </w:pPr>
          <w:hyperlink w:anchor="__RefHeading___Toc162253_3244359995">
            <w:r>
              <w:rPr>
                <w:webHidden/>
                <w:rStyle w:val="IndexLink"/>
                <w:rtl w:val="true"/>
              </w:rPr>
              <w:t>بررسی عبارت تحریر الوسیله</w:t>
            </w:r>
            <w:r>
              <w:rPr>
                <w:rStyle w:val="IndexLink"/>
                <w:rtl w:val="true"/>
              </w:rPr>
              <w:tab/>
            </w:r>
            <w:r>
              <w:rPr>
                <w:rStyle w:val="IndexLink"/>
              </w:rPr>
              <w:t>136</w:t>
            </w:r>
          </w:hyperlink>
        </w:p>
        <w:p>
          <w:pPr>
            <w:pStyle w:val="Contents4"/>
            <w:tabs>
              <w:tab w:val="clear" w:pos="8176"/>
              <w:tab w:val="right" w:pos="9026" w:leader="dot"/>
            </w:tabs>
            <w:rPr/>
          </w:pPr>
          <w:hyperlink w:anchor="__RefHeading___Toc162255_3244359995">
            <w:r>
              <w:rPr>
                <w:webHidden/>
                <w:rStyle w:val="IndexLink"/>
                <w:rtl w:val="true"/>
              </w:rPr>
              <w:t>حکم آدم‌ربایی</w:t>
            </w:r>
            <w:r>
              <w:rPr>
                <w:rStyle w:val="IndexLink"/>
                <w:rtl w:val="true"/>
              </w:rPr>
              <w:tab/>
            </w:r>
            <w:r>
              <w:rPr>
                <w:rStyle w:val="IndexLink"/>
              </w:rPr>
              <w:t>138</w:t>
            </w:r>
          </w:hyperlink>
        </w:p>
        <w:p>
          <w:pPr>
            <w:pStyle w:val="Contents5"/>
            <w:tabs>
              <w:tab w:val="clear" w:pos="7892"/>
              <w:tab w:val="right" w:pos="9026" w:leader="dot"/>
            </w:tabs>
            <w:rPr/>
          </w:pPr>
          <w:hyperlink w:anchor="__RefHeading___Toc162257_3244359995">
            <w:r>
              <w:rPr>
                <w:webHidden/>
                <w:rStyle w:val="IndexLink"/>
                <w:rtl w:val="true"/>
              </w:rPr>
              <w:t>اشاره</w:t>
            </w:r>
            <w:r>
              <w:rPr>
                <w:rStyle w:val="IndexLink"/>
                <w:rtl w:val="true"/>
              </w:rPr>
              <w:tab/>
            </w:r>
            <w:r>
              <w:rPr>
                <w:rStyle w:val="IndexLink"/>
              </w:rPr>
              <w:t>138</w:t>
            </w:r>
          </w:hyperlink>
        </w:p>
        <w:p>
          <w:pPr>
            <w:pStyle w:val="Contents5"/>
            <w:tabs>
              <w:tab w:val="clear" w:pos="7892"/>
              <w:tab w:val="right" w:pos="9026" w:leader="dot"/>
            </w:tabs>
            <w:rPr/>
          </w:pPr>
          <w:hyperlink w:anchor="__RefHeading___Toc162259_3244359995">
            <w:r>
              <w:rPr>
                <w:webHidden/>
                <w:rStyle w:val="IndexLink"/>
                <w:rtl w:val="true"/>
              </w:rPr>
              <w:t>عدم جریان حدّ سرقت در آدم‌ربایی</w:t>
            </w:r>
            <w:r>
              <w:rPr>
                <w:rStyle w:val="IndexLink"/>
                <w:rtl w:val="true"/>
              </w:rPr>
              <w:tab/>
            </w:r>
            <w:r>
              <w:rPr>
                <w:rStyle w:val="IndexLink"/>
              </w:rPr>
              <w:t>138</w:t>
            </w:r>
          </w:hyperlink>
        </w:p>
        <w:p>
          <w:pPr>
            <w:pStyle w:val="Contents5"/>
            <w:tabs>
              <w:tab w:val="clear" w:pos="7892"/>
              <w:tab w:val="right" w:pos="9026" w:leader="dot"/>
            </w:tabs>
            <w:rPr/>
          </w:pPr>
          <w:hyperlink w:anchor="__RefHeading___Toc162261_3244359995">
            <w:r>
              <w:rPr>
                <w:webHidden/>
                <w:rStyle w:val="IndexLink"/>
                <w:rtl w:val="true"/>
              </w:rPr>
              <w:t>بررسی روایات سرقت حرّ</w:t>
            </w:r>
            <w:r>
              <w:rPr>
                <w:rStyle w:val="IndexLink"/>
                <w:rtl w:val="true"/>
              </w:rPr>
              <w:tab/>
            </w:r>
            <w:r>
              <w:rPr>
                <w:rStyle w:val="IndexLink"/>
              </w:rPr>
              <w:t>139</w:t>
            </w:r>
          </w:hyperlink>
        </w:p>
        <w:p>
          <w:pPr>
            <w:pStyle w:val="Contents4"/>
            <w:tabs>
              <w:tab w:val="clear" w:pos="8176"/>
              <w:tab w:val="right" w:pos="9026" w:leader="dot"/>
            </w:tabs>
            <w:rPr/>
          </w:pPr>
          <w:hyperlink w:anchor="__RefHeading___Toc162263_3244359995">
            <w:r>
              <w:rPr>
                <w:webHidden/>
                <w:rStyle w:val="IndexLink"/>
                <w:rtl w:val="true"/>
              </w:rPr>
              <w:t>حکم سرقت معیر و مجیر</w:t>
            </w:r>
            <w:r>
              <w:rPr>
                <w:rStyle w:val="IndexLink"/>
                <w:rtl w:val="true"/>
              </w:rPr>
              <w:tab/>
            </w:r>
            <w:r>
              <w:rPr>
                <w:rStyle w:val="IndexLink"/>
              </w:rPr>
              <w:t>147</w:t>
            </w:r>
          </w:hyperlink>
        </w:p>
        <w:p>
          <w:pPr>
            <w:pStyle w:val="Contents5"/>
            <w:tabs>
              <w:tab w:val="clear" w:pos="7892"/>
              <w:tab w:val="right" w:pos="9026" w:leader="dot"/>
            </w:tabs>
            <w:rPr/>
          </w:pPr>
          <w:hyperlink w:anchor="__RefHeading___Toc162265_3244359995">
            <w:r>
              <w:rPr>
                <w:webHidden/>
                <w:rStyle w:val="IndexLink"/>
                <w:rtl w:val="true"/>
              </w:rPr>
              <w:t>اشاره</w:t>
            </w:r>
            <w:r>
              <w:rPr>
                <w:rStyle w:val="IndexLink"/>
                <w:rtl w:val="true"/>
              </w:rPr>
              <w:tab/>
            </w:r>
            <w:r>
              <w:rPr>
                <w:rStyle w:val="IndexLink"/>
              </w:rPr>
              <w:t>147</w:t>
            </w:r>
          </w:hyperlink>
        </w:p>
        <w:p>
          <w:pPr>
            <w:pStyle w:val="Contents5"/>
            <w:tabs>
              <w:tab w:val="clear" w:pos="7892"/>
              <w:tab w:val="right" w:pos="9026" w:leader="dot"/>
            </w:tabs>
            <w:rPr/>
          </w:pPr>
          <w:hyperlink w:anchor="__RefHeading___Toc162267_3244359995">
            <w:r>
              <w:rPr>
                <w:webHidden/>
                <w:rStyle w:val="IndexLink"/>
                <w:rtl w:val="true"/>
              </w:rPr>
              <w:t>فرع اوّل</w:t>
            </w:r>
            <w:r>
              <w:rPr>
                <w:rStyle w:val="IndexLink"/>
                <w:rtl w:val="true"/>
              </w:rPr>
              <w:t xml:space="preserve">: </w:t>
            </w:r>
            <w:r>
              <w:rPr>
                <w:rStyle w:val="IndexLink"/>
                <w:rtl w:val="true"/>
              </w:rPr>
              <w:t>سرقت مال مستعیر توسّط معیر</w:t>
            </w:r>
            <w:r>
              <w:rPr>
                <w:rStyle w:val="IndexLink"/>
                <w:rtl w:val="true"/>
              </w:rPr>
              <w:tab/>
            </w:r>
            <w:r>
              <w:rPr>
                <w:rStyle w:val="IndexLink"/>
              </w:rPr>
              <w:t>147</w:t>
            </w:r>
          </w:hyperlink>
        </w:p>
        <w:p>
          <w:pPr>
            <w:pStyle w:val="Contents5"/>
            <w:tabs>
              <w:tab w:val="clear" w:pos="7892"/>
              <w:tab w:val="right" w:pos="9026" w:leader="dot"/>
            </w:tabs>
            <w:rPr/>
          </w:pPr>
          <w:hyperlink w:anchor="__RefHeading___Toc162269_3244359995">
            <w:r>
              <w:rPr>
                <w:webHidden/>
                <w:rStyle w:val="IndexLink"/>
                <w:rtl w:val="true"/>
              </w:rPr>
              <w:t>فرع دوّم</w:t>
            </w:r>
            <w:r>
              <w:rPr>
                <w:rStyle w:val="IndexLink"/>
                <w:rtl w:val="true"/>
              </w:rPr>
              <w:t xml:space="preserve">: </w:t>
            </w:r>
            <w:r>
              <w:rPr>
                <w:rStyle w:val="IndexLink"/>
                <w:rtl w:val="true"/>
              </w:rPr>
              <w:t>سرقت مال مستأجر توسّط موجر</w:t>
            </w:r>
            <w:r>
              <w:rPr>
                <w:rStyle w:val="IndexLink"/>
                <w:rtl w:val="true"/>
              </w:rPr>
              <w:tab/>
            </w:r>
            <w:r>
              <w:rPr>
                <w:rStyle w:val="IndexLink"/>
              </w:rPr>
              <w:t>148</w:t>
            </w:r>
          </w:hyperlink>
        </w:p>
        <w:p>
          <w:pPr>
            <w:pStyle w:val="Contents5"/>
            <w:tabs>
              <w:tab w:val="clear" w:pos="7892"/>
              <w:tab w:val="right" w:pos="9026" w:leader="dot"/>
            </w:tabs>
            <w:rPr/>
          </w:pPr>
          <w:hyperlink w:anchor="__RefHeading___Toc162271_3244359995">
            <w:r>
              <w:rPr>
                <w:webHidden/>
                <w:rStyle w:val="IndexLink"/>
                <w:rtl w:val="true"/>
              </w:rPr>
              <w:t>فرع سوّم</w:t>
            </w:r>
            <w:r>
              <w:rPr>
                <w:rStyle w:val="IndexLink"/>
                <w:rtl w:val="true"/>
              </w:rPr>
              <w:t xml:space="preserve">: </w:t>
            </w:r>
            <w:r>
              <w:rPr>
                <w:rStyle w:val="IndexLink"/>
                <w:rtl w:val="true"/>
              </w:rPr>
              <w:t>سرقت مالک از مال غاصب واقع در حرز مغصوب</w:t>
            </w:r>
            <w:r>
              <w:rPr>
                <w:rStyle w:val="IndexLink"/>
                <w:rtl w:val="true"/>
              </w:rPr>
              <w:tab/>
            </w:r>
            <w:r>
              <w:rPr>
                <w:rStyle w:val="IndexLink"/>
              </w:rPr>
              <w:t>149</w:t>
            </w:r>
          </w:hyperlink>
        </w:p>
        <w:p>
          <w:pPr>
            <w:pStyle w:val="Contents5"/>
            <w:tabs>
              <w:tab w:val="clear" w:pos="7892"/>
              <w:tab w:val="right" w:pos="9026" w:leader="dot"/>
            </w:tabs>
            <w:rPr/>
          </w:pPr>
          <w:hyperlink w:anchor="__RefHeading___Toc162273_3244359995">
            <w:r>
              <w:rPr>
                <w:webHidden/>
                <w:rStyle w:val="IndexLink"/>
                <w:rtl w:val="true"/>
              </w:rPr>
              <w:t>فرع چهارم</w:t>
            </w:r>
            <w:r>
              <w:rPr>
                <w:rStyle w:val="IndexLink"/>
                <w:rtl w:val="true"/>
              </w:rPr>
              <w:t xml:space="preserve">: </w:t>
            </w:r>
            <w:r>
              <w:rPr>
                <w:rStyle w:val="IndexLink"/>
                <w:rtl w:val="true"/>
              </w:rPr>
              <w:t>عدم قطع بر هتک حرز و بردن مال خود</w:t>
            </w:r>
            <w:r>
              <w:rPr>
                <w:rStyle w:val="IndexLink"/>
                <w:rtl w:val="true"/>
              </w:rPr>
              <w:tab/>
            </w:r>
            <w:r>
              <w:rPr>
                <w:rStyle w:val="IndexLink"/>
              </w:rPr>
              <w:t>151</w:t>
            </w:r>
          </w:hyperlink>
        </w:p>
        <w:p>
          <w:pPr>
            <w:pStyle w:val="Contents4"/>
            <w:tabs>
              <w:tab w:val="clear" w:pos="8176"/>
              <w:tab w:val="right" w:pos="9026" w:leader="dot"/>
            </w:tabs>
            <w:rPr/>
          </w:pPr>
          <w:hyperlink w:anchor="__RefHeading___Toc162275_3244359995">
            <w:r>
              <w:rPr>
                <w:webHidden/>
                <w:rStyle w:val="IndexLink"/>
                <w:rtl w:val="true"/>
              </w:rPr>
              <w:t>سرقت از مال وقف، زکات و سهم امام علیه السلام</w:t>
            </w:r>
            <w:r>
              <w:rPr>
                <w:rStyle w:val="IndexLink"/>
                <w:rtl w:val="true"/>
              </w:rPr>
              <w:tab/>
            </w:r>
            <w:r>
              <w:rPr>
                <w:rStyle w:val="IndexLink"/>
              </w:rPr>
              <w:t>153</w:t>
            </w:r>
          </w:hyperlink>
        </w:p>
        <w:p>
          <w:pPr>
            <w:pStyle w:val="Contents5"/>
            <w:tabs>
              <w:tab w:val="clear" w:pos="7892"/>
              <w:tab w:val="right" w:pos="9026" w:leader="dot"/>
            </w:tabs>
            <w:rPr/>
          </w:pPr>
          <w:hyperlink w:anchor="__RefHeading___Toc162277_3244359995">
            <w:r>
              <w:rPr>
                <w:webHidden/>
                <w:rStyle w:val="IndexLink"/>
                <w:rtl w:val="true"/>
              </w:rPr>
              <w:t>اشاره</w:t>
            </w:r>
            <w:r>
              <w:rPr>
                <w:rStyle w:val="IndexLink"/>
                <w:rtl w:val="true"/>
              </w:rPr>
              <w:tab/>
            </w:r>
            <w:r>
              <w:rPr>
                <w:rStyle w:val="IndexLink"/>
              </w:rPr>
              <w:t>153</w:t>
            </w:r>
          </w:hyperlink>
        </w:p>
        <w:p>
          <w:pPr>
            <w:pStyle w:val="Contents5"/>
            <w:tabs>
              <w:tab w:val="clear" w:pos="7892"/>
              <w:tab w:val="right" w:pos="9026" w:leader="dot"/>
            </w:tabs>
            <w:rPr/>
          </w:pPr>
          <w:hyperlink w:anchor="__RefHeading___Toc162279_3244359995">
            <w:r>
              <w:rPr>
                <w:webHidden/>
                <w:rStyle w:val="IndexLink"/>
                <w:rtl w:val="true"/>
              </w:rPr>
              <w:t>فرع اوّل</w:t>
            </w:r>
            <w:r>
              <w:rPr>
                <w:rStyle w:val="IndexLink"/>
                <w:rtl w:val="true"/>
              </w:rPr>
              <w:t xml:space="preserve">: </w:t>
            </w:r>
            <w:r>
              <w:rPr>
                <w:rStyle w:val="IndexLink"/>
                <w:rtl w:val="true"/>
              </w:rPr>
              <w:t>سرقت از وقف</w:t>
            </w:r>
            <w:r>
              <w:rPr>
                <w:rStyle w:val="IndexLink"/>
                <w:rtl w:val="true"/>
              </w:rPr>
              <w:tab/>
            </w:r>
            <w:r>
              <w:rPr>
                <w:rStyle w:val="IndexLink"/>
              </w:rPr>
              <w:t>153</w:t>
            </w:r>
          </w:hyperlink>
        </w:p>
        <w:p>
          <w:pPr>
            <w:pStyle w:val="Contents6"/>
            <w:tabs>
              <w:tab w:val="clear" w:pos="7609"/>
              <w:tab w:val="right" w:pos="9026" w:leader="dot"/>
            </w:tabs>
            <w:rPr/>
          </w:pPr>
          <w:hyperlink w:anchor="__RefHeading___Toc162281_3244359995">
            <w:r>
              <w:rPr>
                <w:webHidden/>
                <w:rStyle w:val="IndexLink"/>
                <w:rtl w:val="true"/>
              </w:rPr>
              <w:t>اشاره</w:t>
            </w:r>
            <w:r>
              <w:rPr>
                <w:rStyle w:val="IndexLink"/>
                <w:rtl w:val="true"/>
              </w:rPr>
              <w:tab/>
            </w:r>
            <w:r>
              <w:rPr>
                <w:rStyle w:val="IndexLink"/>
              </w:rPr>
              <w:t>153</w:t>
            </w:r>
          </w:hyperlink>
        </w:p>
        <w:p>
          <w:pPr>
            <w:pStyle w:val="Contents6"/>
            <w:tabs>
              <w:tab w:val="clear" w:pos="7609"/>
              <w:tab w:val="right" w:pos="9026" w:leader="dot"/>
            </w:tabs>
            <w:rPr/>
          </w:pPr>
          <w:hyperlink w:anchor="__RefHeading___Toc162283_3244359995">
            <w:r>
              <w:rPr>
                <w:webHidden/>
                <w:rStyle w:val="IndexLink"/>
                <w:rtl w:val="true"/>
              </w:rPr>
              <w:t>حکم سرقت واقف یا موقوف علیه</w:t>
            </w:r>
            <w:r>
              <w:rPr>
                <w:rStyle w:val="IndexLink"/>
                <w:rtl w:val="true"/>
              </w:rPr>
              <w:tab/>
            </w:r>
            <w:r>
              <w:rPr>
                <w:rStyle w:val="IndexLink"/>
              </w:rPr>
              <w:t>155</w:t>
            </w:r>
          </w:hyperlink>
        </w:p>
        <w:p>
          <w:pPr>
            <w:pStyle w:val="Contents5"/>
            <w:tabs>
              <w:tab w:val="clear" w:pos="7892"/>
              <w:tab w:val="right" w:pos="9026" w:leader="dot"/>
            </w:tabs>
            <w:rPr/>
          </w:pPr>
          <w:hyperlink w:anchor="__RefHeading___Toc162285_3244359995">
            <w:r>
              <w:rPr>
                <w:webHidden/>
                <w:rStyle w:val="IndexLink"/>
                <w:rtl w:val="true"/>
              </w:rPr>
              <w:t>فرع دوّم</w:t>
            </w:r>
            <w:r>
              <w:rPr>
                <w:rStyle w:val="IndexLink"/>
                <w:rtl w:val="true"/>
              </w:rPr>
              <w:t xml:space="preserve">: </w:t>
            </w:r>
            <w:r>
              <w:rPr>
                <w:rStyle w:val="IndexLink"/>
                <w:rtl w:val="true"/>
              </w:rPr>
              <w:t>حکم سرقت از زکات</w:t>
            </w:r>
            <w:r>
              <w:rPr>
                <w:rStyle w:val="IndexLink"/>
                <w:rtl w:val="true"/>
              </w:rPr>
              <w:tab/>
            </w:r>
            <w:r>
              <w:rPr>
                <w:rStyle w:val="IndexLink"/>
              </w:rPr>
              <w:t>155</w:t>
            </w:r>
          </w:hyperlink>
        </w:p>
        <w:p>
          <w:pPr>
            <w:pStyle w:val="Contents5"/>
            <w:tabs>
              <w:tab w:val="clear" w:pos="7892"/>
              <w:tab w:val="right" w:pos="9026" w:leader="dot"/>
            </w:tabs>
            <w:rPr/>
          </w:pPr>
          <w:hyperlink w:anchor="__RefHeading___Toc162287_3244359995">
            <w:r>
              <w:rPr>
                <w:webHidden/>
                <w:rStyle w:val="IndexLink"/>
                <w:rtl w:val="true"/>
              </w:rPr>
              <w:t>فرع سوّم</w:t>
            </w:r>
            <w:r>
              <w:rPr>
                <w:rStyle w:val="IndexLink"/>
                <w:rtl w:val="true"/>
              </w:rPr>
              <w:t xml:space="preserve">: </w:t>
            </w:r>
            <w:r>
              <w:rPr>
                <w:rStyle w:val="IndexLink"/>
                <w:rtl w:val="true"/>
              </w:rPr>
              <w:t>حکم سرقت از مال امام علیه السلام</w:t>
            </w:r>
            <w:r>
              <w:rPr>
                <w:rStyle w:val="IndexLink"/>
                <w:rtl w:val="true"/>
              </w:rPr>
              <w:tab/>
            </w:r>
            <w:r>
              <w:rPr>
                <w:rStyle w:val="IndexLink"/>
              </w:rPr>
              <w:t>156</w:t>
            </w:r>
          </w:hyperlink>
        </w:p>
        <w:p>
          <w:pPr>
            <w:pStyle w:val="Contents4"/>
            <w:tabs>
              <w:tab w:val="clear" w:pos="8176"/>
              <w:tab w:val="right" w:pos="9026" w:leader="dot"/>
            </w:tabs>
            <w:rPr/>
          </w:pPr>
          <w:hyperlink w:anchor="__RefHeading___Toc162289_3244359995">
            <w:r>
              <w:rPr>
                <w:webHidden/>
                <w:rStyle w:val="IndexLink"/>
                <w:rtl w:val="true"/>
              </w:rPr>
              <w:t>سرقت از باب حرز یا جدارش</w:t>
            </w:r>
            <w:r>
              <w:rPr>
                <w:rStyle w:val="IndexLink"/>
                <w:rtl w:val="true"/>
              </w:rPr>
              <w:tab/>
            </w:r>
            <w:r>
              <w:rPr>
                <w:rStyle w:val="IndexLink"/>
              </w:rPr>
              <w:t>160</w:t>
            </w:r>
          </w:hyperlink>
        </w:p>
        <w:p>
          <w:pPr>
            <w:pStyle w:val="Contents4"/>
            <w:tabs>
              <w:tab w:val="clear" w:pos="8176"/>
              <w:tab w:val="right" w:pos="9026" w:leader="dot"/>
            </w:tabs>
            <w:rPr/>
          </w:pPr>
          <w:hyperlink w:anchor="__RefHeading___Toc162291_3244359995">
            <w:r>
              <w:rPr>
                <w:webHidden/>
                <w:rStyle w:val="IndexLink"/>
                <w:rtl w:val="true"/>
              </w:rPr>
              <w:t>حکم سرقت کفن و نبش قبر</w:t>
            </w:r>
            <w:r>
              <w:rPr>
                <w:rStyle w:val="IndexLink"/>
                <w:rtl w:val="true"/>
              </w:rPr>
              <w:tab/>
            </w:r>
            <w:r>
              <w:rPr>
                <w:rStyle w:val="IndexLink"/>
              </w:rPr>
              <w:t>163</w:t>
            </w:r>
          </w:hyperlink>
        </w:p>
        <w:p>
          <w:pPr>
            <w:pStyle w:val="Contents5"/>
            <w:tabs>
              <w:tab w:val="clear" w:pos="7892"/>
              <w:tab w:val="right" w:pos="9026" w:leader="dot"/>
            </w:tabs>
            <w:rPr/>
          </w:pPr>
          <w:hyperlink w:anchor="__RefHeading___Toc162293_3244359995">
            <w:r>
              <w:rPr>
                <w:webHidden/>
                <w:rStyle w:val="IndexLink"/>
                <w:rtl w:val="true"/>
              </w:rPr>
              <w:t>اشاره</w:t>
            </w:r>
            <w:r>
              <w:rPr>
                <w:rStyle w:val="IndexLink"/>
                <w:rtl w:val="true"/>
              </w:rPr>
              <w:tab/>
            </w:r>
            <w:r>
              <w:rPr>
                <w:rStyle w:val="IndexLink"/>
              </w:rPr>
              <w:t>163</w:t>
            </w:r>
          </w:hyperlink>
        </w:p>
        <w:p>
          <w:pPr>
            <w:pStyle w:val="Contents5"/>
            <w:tabs>
              <w:tab w:val="clear" w:pos="7892"/>
              <w:tab w:val="right" w:pos="9026" w:leader="dot"/>
            </w:tabs>
            <w:rPr/>
          </w:pPr>
          <w:hyperlink w:anchor="__RefHeading___Toc162295_3244359995">
            <w:r>
              <w:rPr>
                <w:webHidden/>
                <w:rStyle w:val="IndexLink"/>
                <w:rtl w:val="true"/>
              </w:rPr>
              <w:t>فرع اوّل</w:t>
            </w:r>
            <w:r>
              <w:rPr>
                <w:rStyle w:val="IndexLink"/>
                <w:rtl w:val="true"/>
              </w:rPr>
              <w:t xml:space="preserve">: </w:t>
            </w:r>
            <w:r>
              <w:rPr>
                <w:rStyle w:val="IndexLink"/>
                <w:rtl w:val="true"/>
              </w:rPr>
              <w:t>سرقت کفن</w:t>
            </w:r>
            <w:r>
              <w:rPr>
                <w:rStyle w:val="IndexLink"/>
                <w:rtl w:val="true"/>
              </w:rPr>
              <w:tab/>
            </w:r>
            <w:r>
              <w:rPr>
                <w:rStyle w:val="IndexLink"/>
              </w:rPr>
              <w:t>163</w:t>
            </w:r>
          </w:hyperlink>
        </w:p>
        <w:p>
          <w:pPr>
            <w:pStyle w:val="Contents6"/>
            <w:tabs>
              <w:tab w:val="clear" w:pos="7609"/>
              <w:tab w:val="right" w:pos="9026" w:leader="dot"/>
            </w:tabs>
            <w:rPr/>
          </w:pPr>
          <w:hyperlink w:anchor="__RefHeading___Toc162297_3244359995">
            <w:r>
              <w:rPr>
                <w:webHidden/>
                <w:rStyle w:val="IndexLink"/>
                <w:rtl w:val="true"/>
              </w:rPr>
              <w:t>اشاره</w:t>
            </w:r>
            <w:r>
              <w:rPr>
                <w:rStyle w:val="IndexLink"/>
                <w:rtl w:val="true"/>
              </w:rPr>
              <w:tab/>
            </w:r>
            <w:r>
              <w:rPr>
                <w:rStyle w:val="IndexLink"/>
              </w:rPr>
              <w:t>163</w:t>
            </w:r>
          </w:hyperlink>
        </w:p>
        <w:p>
          <w:pPr>
            <w:pStyle w:val="Contents6"/>
            <w:tabs>
              <w:tab w:val="clear" w:pos="7609"/>
              <w:tab w:val="right" w:pos="9026" w:leader="dot"/>
            </w:tabs>
            <w:rPr/>
          </w:pPr>
          <w:hyperlink w:anchor="__RefHeading___Toc162299_3244359995">
            <w:r>
              <w:rPr>
                <w:webHidden/>
                <w:rStyle w:val="IndexLink"/>
                <w:rtl w:val="true"/>
              </w:rPr>
              <w:t>مستند قول مشهور</w:t>
            </w:r>
            <w:r>
              <w:rPr>
                <w:rStyle w:val="IndexLink"/>
                <w:rtl w:val="true"/>
              </w:rPr>
              <w:tab/>
            </w:r>
            <w:r>
              <w:rPr>
                <w:rStyle w:val="IndexLink"/>
              </w:rPr>
              <w:t>164</w:t>
            </w:r>
          </w:hyperlink>
        </w:p>
        <w:p>
          <w:pPr>
            <w:pStyle w:val="Contents6"/>
            <w:tabs>
              <w:tab w:val="clear" w:pos="7609"/>
              <w:tab w:val="right" w:pos="9026" w:leader="dot"/>
            </w:tabs>
            <w:rPr/>
          </w:pPr>
          <w:hyperlink w:anchor="__RefHeading___Toc162301_3244359995">
            <w:r>
              <w:rPr>
                <w:webHidden/>
                <w:rStyle w:val="IndexLink"/>
                <w:rtl w:val="true"/>
              </w:rPr>
              <w:t>مستند قول شیخ صدوق رحمه الله</w:t>
            </w:r>
            <w:r>
              <w:rPr>
                <w:rStyle w:val="IndexLink"/>
                <w:rtl w:val="true"/>
              </w:rPr>
              <w:tab/>
            </w:r>
            <w:r>
              <w:rPr>
                <w:rStyle w:val="IndexLink"/>
              </w:rPr>
              <w:t>168</w:t>
            </w:r>
          </w:hyperlink>
        </w:p>
        <w:p>
          <w:pPr>
            <w:pStyle w:val="Contents6"/>
            <w:tabs>
              <w:tab w:val="clear" w:pos="7609"/>
              <w:tab w:val="right" w:pos="9026" w:leader="dot"/>
            </w:tabs>
            <w:rPr/>
          </w:pPr>
          <w:hyperlink w:anchor="__RefHeading___Toc162303_3244359995">
            <w:r>
              <w:rPr>
                <w:webHidden/>
                <w:rStyle w:val="IndexLink"/>
                <w:rtl w:val="true"/>
              </w:rPr>
              <w:t>اعتبار نصاب در کفن دزدی</w:t>
            </w:r>
            <w:r>
              <w:rPr>
                <w:rStyle w:val="IndexLink"/>
                <w:rtl w:val="true"/>
              </w:rPr>
              <w:tab/>
            </w:r>
            <w:r>
              <w:rPr>
                <w:rStyle w:val="IndexLink"/>
              </w:rPr>
              <w:t>174</w:t>
            </w:r>
          </w:hyperlink>
        </w:p>
        <w:p>
          <w:pPr>
            <w:pStyle w:val="Contents6"/>
            <w:tabs>
              <w:tab w:val="clear" w:pos="7609"/>
              <w:tab w:val="right" w:pos="9026" w:leader="dot"/>
            </w:tabs>
            <w:rPr/>
          </w:pPr>
          <w:hyperlink w:anchor="__RefHeading___Toc162305_3244359995">
            <w:r>
              <w:rPr>
                <w:webHidden/>
                <w:rStyle w:val="IndexLink"/>
                <w:rtl w:val="true"/>
              </w:rPr>
              <w:t>اشاره</w:t>
            </w:r>
            <w:r>
              <w:rPr>
                <w:rStyle w:val="IndexLink"/>
                <w:rtl w:val="true"/>
              </w:rPr>
              <w:tab/>
            </w:r>
            <w:r>
              <w:rPr>
                <w:rStyle w:val="IndexLink"/>
              </w:rPr>
              <w:t>174</w:t>
            </w:r>
          </w:hyperlink>
        </w:p>
        <w:p>
          <w:pPr>
            <w:pStyle w:val="Contents6"/>
            <w:tabs>
              <w:tab w:val="clear" w:pos="7609"/>
              <w:tab w:val="right" w:pos="9026" w:leader="dot"/>
            </w:tabs>
            <w:rPr/>
          </w:pPr>
          <w:hyperlink w:anchor="__RefHeading___Toc162307_3244359995">
            <w:r>
              <w:rPr>
                <w:webHidden/>
                <w:rStyle w:val="IndexLink"/>
                <w:rtl w:val="true"/>
              </w:rPr>
              <w:t>دلیل قول مشهور</w:t>
            </w:r>
            <w:r>
              <w:rPr>
                <w:rStyle w:val="IndexLink"/>
                <w:rtl w:val="true"/>
              </w:rPr>
              <w:t xml:space="preserve">: </w:t>
            </w:r>
            <w:r>
              <w:rPr>
                <w:rStyle w:val="IndexLink"/>
                <w:rtl w:val="true"/>
              </w:rPr>
              <w:t>اعتبار نصاب</w:t>
            </w:r>
            <w:r>
              <w:rPr>
                <w:rStyle w:val="IndexLink"/>
                <w:rtl w:val="true"/>
              </w:rPr>
              <w:tab/>
            </w:r>
            <w:r>
              <w:rPr>
                <w:rStyle w:val="IndexLink"/>
              </w:rPr>
              <w:t>175</w:t>
            </w:r>
          </w:hyperlink>
        </w:p>
        <w:p>
          <w:pPr>
            <w:pStyle w:val="Contents6"/>
            <w:tabs>
              <w:tab w:val="clear" w:pos="7609"/>
              <w:tab w:val="right" w:pos="9026" w:leader="dot"/>
            </w:tabs>
            <w:rPr/>
          </w:pPr>
          <w:hyperlink w:anchor="__RefHeading___Toc162309_3244359995">
            <w:r>
              <w:rPr>
                <w:webHidden/>
                <w:rStyle w:val="IndexLink"/>
                <w:rtl w:val="true"/>
              </w:rPr>
              <w:t>دلیل قوم دوّم</w:t>
            </w:r>
            <w:r>
              <w:rPr>
                <w:rStyle w:val="IndexLink"/>
                <w:rtl w:val="true"/>
              </w:rPr>
              <w:t xml:space="preserve">: </w:t>
            </w:r>
            <w:r>
              <w:rPr>
                <w:rStyle w:val="IndexLink"/>
                <w:rtl w:val="true"/>
              </w:rPr>
              <w:t>عدم اعتبار نصاب</w:t>
            </w:r>
            <w:r>
              <w:rPr>
                <w:rStyle w:val="IndexLink"/>
                <w:rtl w:val="true"/>
              </w:rPr>
              <w:tab/>
            </w:r>
            <w:r>
              <w:rPr>
                <w:rStyle w:val="IndexLink"/>
              </w:rPr>
              <w:t>176</w:t>
            </w:r>
          </w:hyperlink>
        </w:p>
        <w:p>
          <w:pPr>
            <w:pStyle w:val="Contents6"/>
            <w:tabs>
              <w:tab w:val="clear" w:pos="7609"/>
              <w:tab w:val="right" w:pos="9026" w:leader="dot"/>
            </w:tabs>
            <w:rPr/>
          </w:pPr>
          <w:hyperlink w:anchor="__RefHeading___Toc162311_3244359995">
            <w:r>
              <w:rPr>
                <w:webHidden/>
                <w:rStyle w:val="IndexLink"/>
                <w:rtl w:val="true"/>
              </w:rPr>
              <w:t>قول سوّم</w:t>
            </w:r>
            <w:r>
              <w:rPr>
                <w:rStyle w:val="IndexLink"/>
                <w:rtl w:val="true"/>
              </w:rPr>
              <w:t xml:space="preserve">: </w:t>
            </w:r>
            <w:r>
              <w:rPr>
                <w:rStyle w:val="IndexLink"/>
                <w:rtl w:val="true"/>
              </w:rPr>
              <w:t>تفصیل بین مرتبه‌ی اوّل و غیر آن</w:t>
            </w:r>
            <w:r>
              <w:rPr>
                <w:rStyle w:val="IndexLink"/>
                <w:rtl w:val="true"/>
              </w:rPr>
              <w:tab/>
            </w:r>
            <w:r>
              <w:rPr>
                <w:rStyle w:val="IndexLink"/>
              </w:rPr>
              <w:t>176</w:t>
            </w:r>
          </w:hyperlink>
        </w:p>
        <w:p>
          <w:pPr>
            <w:pStyle w:val="Contents4"/>
            <w:tabs>
              <w:tab w:val="clear" w:pos="8176"/>
              <w:tab w:val="right" w:pos="9026" w:leader="dot"/>
            </w:tabs>
            <w:rPr/>
          </w:pPr>
          <w:hyperlink w:anchor="__RefHeading___Toc162313_3244359995">
            <w:r>
              <w:rPr>
                <w:webHidden/>
                <w:rStyle w:val="IndexLink"/>
                <w:rtl w:val="true"/>
              </w:rPr>
              <w:t>حکم نبش قبر بدون سرقت کفن</w:t>
            </w:r>
            <w:r>
              <w:rPr>
                <w:rStyle w:val="IndexLink"/>
                <w:rtl w:val="true"/>
              </w:rPr>
              <w:tab/>
            </w:r>
            <w:r>
              <w:rPr>
                <w:rStyle w:val="IndexLink"/>
              </w:rPr>
              <w:t>177</w:t>
            </w:r>
          </w:hyperlink>
        </w:p>
        <w:p>
          <w:pPr>
            <w:pStyle w:val="Contents5"/>
            <w:tabs>
              <w:tab w:val="clear" w:pos="7892"/>
              <w:tab w:val="right" w:pos="9026" w:leader="dot"/>
            </w:tabs>
            <w:rPr/>
          </w:pPr>
          <w:hyperlink w:anchor="__RefHeading___Toc162315_3244359995">
            <w:r>
              <w:rPr>
                <w:webHidden/>
                <w:rStyle w:val="IndexLink"/>
                <w:rtl w:val="true"/>
              </w:rPr>
              <w:t>اشاره</w:t>
            </w:r>
            <w:r>
              <w:rPr>
                <w:rStyle w:val="IndexLink"/>
                <w:rtl w:val="true"/>
              </w:rPr>
              <w:tab/>
            </w:r>
            <w:r>
              <w:rPr>
                <w:rStyle w:val="IndexLink"/>
              </w:rPr>
              <w:t>177</w:t>
            </w:r>
          </w:hyperlink>
        </w:p>
        <w:p>
          <w:pPr>
            <w:pStyle w:val="Contents5"/>
            <w:tabs>
              <w:tab w:val="clear" w:pos="7892"/>
              <w:tab w:val="right" w:pos="9026" w:leader="dot"/>
            </w:tabs>
            <w:rPr/>
          </w:pPr>
          <w:hyperlink w:anchor="__RefHeading___Toc162317_3244359995">
            <w:r>
              <w:rPr>
                <w:webHidden/>
                <w:rStyle w:val="IndexLink"/>
                <w:rtl w:val="true"/>
              </w:rPr>
              <w:t>فرع دوّم</w:t>
            </w:r>
            <w:r>
              <w:rPr>
                <w:rStyle w:val="IndexLink"/>
                <w:rtl w:val="true"/>
              </w:rPr>
              <w:t xml:space="preserve">: </w:t>
            </w:r>
            <w:r>
              <w:rPr>
                <w:rStyle w:val="IndexLink"/>
                <w:rtl w:val="true"/>
              </w:rPr>
              <w:t>حکم سرقت غیر کفن</w:t>
            </w:r>
            <w:r>
              <w:rPr>
                <w:rStyle w:val="IndexLink"/>
                <w:rtl w:val="true"/>
              </w:rPr>
              <w:tab/>
            </w:r>
            <w:r>
              <w:rPr>
                <w:rStyle w:val="IndexLink"/>
              </w:rPr>
              <w:t>180</w:t>
            </w:r>
          </w:hyperlink>
        </w:p>
        <w:p>
          <w:pPr>
            <w:pStyle w:val="Contents5"/>
            <w:tabs>
              <w:tab w:val="clear" w:pos="7892"/>
              <w:tab w:val="right" w:pos="9026" w:leader="dot"/>
            </w:tabs>
            <w:rPr/>
          </w:pPr>
          <w:hyperlink w:anchor="__RefHeading___Toc162319_3244359995">
            <w:r>
              <w:rPr>
                <w:webHidden/>
                <w:rStyle w:val="IndexLink"/>
                <w:rtl w:val="true"/>
              </w:rPr>
              <w:t>فرع سوّم</w:t>
            </w:r>
            <w:r>
              <w:rPr>
                <w:rStyle w:val="IndexLink"/>
                <w:rtl w:val="true"/>
              </w:rPr>
              <w:t xml:space="preserve">: </w:t>
            </w:r>
            <w:r>
              <w:rPr>
                <w:rStyle w:val="IndexLink"/>
                <w:rtl w:val="true"/>
              </w:rPr>
              <w:t>حکم نبش قبر مکرّر با فرار از سلطان</w:t>
            </w:r>
            <w:r>
              <w:rPr>
                <w:rStyle w:val="IndexLink"/>
                <w:rtl w:val="true"/>
              </w:rPr>
              <w:tab/>
            </w:r>
            <w:r>
              <w:rPr>
                <w:rStyle w:val="IndexLink"/>
              </w:rPr>
              <w:t>180</w:t>
            </w:r>
          </w:hyperlink>
        </w:p>
        <w:p>
          <w:pPr>
            <w:pStyle w:val="Contents6"/>
            <w:tabs>
              <w:tab w:val="clear" w:pos="7609"/>
              <w:tab w:val="right" w:pos="9026" w:leader="dot"/>
            </w:tabs>
            <w:rPr/>
          </w:pPr>
          <w:hyperlink w:anchor="__RefHeading___Toc162321_3244359995">
            <w:r>
              <w:rPr>
                <w:webHidden/>
                <w:rStyle w:val="IndexLink"/>
                <w:rtl w:val="true"/>
              </w:rPr>
              <w:t>اشاره</w:t>
            </w:r>
            <w:r>
              <w:rPr>
                <w:rStyle w:val="IndexLink"/>
                <w:rtl w:val="true"/>
              </w:rPr>
              <w:tab/>
            </w:r>
            <w:r>
              <w:rPr>
                <w:rStyle w:val="IndexLink"/>
              </w:rPr>
              <w:t>180</w:t>
            </w:r>
          </w:hyperlink>
        </w:p>
        <w:p>
          <w:pPr>
            <w:pStyle w:val="Contents6"/>
            <w:tabs>
              <w:tab w:val="clear" w:pos="7609"/>
              <w:tab w:val="right" w:pos="9026" w:leader="dot"/>
            </w:tabs>
            <w:rPr/>
          </w:pPr>
          <w:hyperlink w:anchor="__RefHeading___Toc162323_3244359995">
            <w:r>
              <w:rPr>
                <w:webHidden/>
                <w:rStyle w:val="IndexLink"/>
                <w:rtl w:val="true"/>
              </w:rPr>
              <w:t>دلیل فرع سوّم</w:t>
            </w:r>
            <w:r>
              <w:rPr>
                <w:rStyle w:val="IndexLink"/>
                <w:rtl w:val="true"/>
              </w:rPr>
              <w:tab/>
            </w:r>
            <w:r>
              <w:rPr>
                <w:rStyle w:val="IndexLink"/>
              </w:rPr>
              <w:t>181</w:t>
            </w:r>
          </w:hyperlink>
        </w:p>
        <w:p>
          <w:pPr>
            <w:pStyle w:val="Contents3"/>
            <w:tabs>
              <w:tab w:val="clear" w:pos="8459"/>
              <w:tab w:val="right" w:pos="9026" w:leader="dot"/>
            </w:tabs>
            <w:rPr/>
          </w:pPr>
          <w:hyperlink w:anchor="__RefHeading___Toc162325_3244359995">
            <w:r>
              <w:rPr>
                <w:webHidden/>
                <w:rStyle w:val="IndexLink"/>
                <w:rtl w:val="true"/>
              </w:rPr>
              <w:t>فصل سوّم</w:t>
            </w:r>
            <w:r>
              <w:rPr>
                <w:rStyle w:val="IndexLink"/>
                <w:rtl w:val="true"/>
              </w:rPr>
              <w:t xml:space="preserve">: </w:t>
            </w:r>
            <w:r>
              <w:rPr>
                <w:rStyle w:val="IndexLink"/>
                <w:rtl w:val="true"/>
              </w:rPr>
              <w:t>راه‌های اثبات حدّ و انواع آن</w:t>
            </w:r>
            <w:r>
              <w:rPr>
                <w:rStyle w:val="IndexLink"/>
                <w:rtl w:val="true"/>
              </w:rPr>
              <w:tab/>
            </w:r>
            <w:r>
              <w:rPr>
                <w:rStyle w:val="IndexLink"/>
              </w:rPr>
              <w:t>184</w:t>
            </w:r>
          </w:hyperlink>
        </w:p>
        <w:p>
          <w:pPr>
            <w:pStyle w:val="Contents4"/>
            <w:tabs>
              <w:tab w:val="clear" w:pos="8176"/>
              <w:tab w:val="right" w:pos="9026" w:leader="dot"/>
            </w:tabs>
            <w:rPr/>
          </w:pPr>
          <w:hyperlink w:anchor="__RefHeading___Toc162327_3244359995">
            <w:r>
              <w:rPr>
                <w:webHidden/>
                <w:rStyle w:val="IndexLink"/>
                <w:rtl w:val="true"/>
              </w:rPr>
              <w:t>اشاره</w:t>
            </w:r>
            <w:r>
              <w:rPr>
                <w:rStyle w:val="IndexLink"/>
                <w:rtl w:val="true"/>
              </w:rPr>
              <w:tab/>
            </w:r>
            <w:r>
              <w:rPr>
                <w:rStyle w:val="IndexLink"/>
              </w:rPr>
              <w:t>184</w:t>
            </w:r>
          </w:hyperlink>
        </w:p>
        <w:p>
          <w:pPr>
            <w:pStyle w:val="Contents4"/>
            <w:tabs>
              <w:tab w:val="clear" w:pos="8176"/>
              <w:tab w:val="right" w:pos="9026" w:leader="dot"/>
            </w:tabs>
            <w:rPr/>
          </w:pPr>
          <w:hyperlink w:anchor="__RefHeading___Toc162329_3244359995">
            <w:r>
              <w:rPr>
                <w:webHidden/>
                <w:rStyle w:val="IndexLink"/>
                <w:rtl w:val="true"/>
              </w:rPr>
              <w:t>ثبوت حدّ سرقت به اقرار و بیّنه</w:t>
            </w:r>
            <w:r>
              <w:rPr>
                <w:rStyle w:val="IndexLink"/>
                <w:rtl w:val="true"/>
              </w:rPr>
              <w:tab/>
            </w:r>
            <w:r>
              <w:rPr>
                <w:rStyle w:val="IndexLink"/>
              </w:rPr>
              <w:t>185</w:t>
            </w:r>
          </w:hyperlink>
        </w:p>
        <w:p>
          <w:pPr>
            <w:pStyle w:val="Contents5"/>
            <w:tabs>
              <w:tab w:val="clear" w:pos="7892"/>
              <w:tab w:val="right" w:pos="9026" w:leader="dot"/>
            </w:tabs>
            <w:rPr/>
          </w:pPr>
          <w:hyperlink w:anchor="__RefHeading___Toc162331_3244359995">
            <w:r>
              <w:rPr>
                <w:webHidden/>
                <w:rStyle w:val="IndexLink"/>
                <w:rtl w:val="true"/>
              </w:rPr>
              <w:t>اشاره</w:t>
            </w:r>
            <w:r>
              <w:rPr>
                <w:rStyle w:val="IndexLink"/>
                <w:rtl w:val="true"/>
              </w:rPr>
              <w:tab/>
            </w:r>
            <w:r>
              <w:rPr>
                <w:rStyle w:val="IndexLink"/>
              </w:rPr>
              <w:t>185</w:t>
            </w:r>
          </w:hyperlink>
        </w:p>
        <w:p>
          <w:pPr>
            <w:pStyle w:val="Contents5"/>
            <w:tabs>
              <w:tab w:val="clear" w:pos="7892"/>
              <w:tab w:val="right" w:pos="9026" w:leader="dot"/>
            </w:tabs>
            <w:rPr/>
          </w:pPr>
          <w:hyperlink w:anchor="__RefHeading___Toc162333_3244359995">
            <w:r>
              <w:rPr>
                <w:webHidden/>
                <w:rStyle w:val="IndexLink"/>
                <w:rtl w:val="true"/>
              </w:rPr>
              <w:t>فرع اوّل</w:t>
            </w:r>
            <w:r>
              <w:rPr>
                <w:rStyle w:val="IndexLink"/>
                <w:rtl w:val="true"/>
              </w:rPr>
              <w:t xml:space="preserve">: </w:t>
            </w:r>
            <w:r>
              <w:rPr>
                <w:rStyle w:val="IndexLink"/>
                <w:rtl w:val="true"/>
              </w:rPr>
              <w:t>ثبوت حدّ به اقرار و بیّنه</w:t>
            </w:r>
            <w:r>
              <w:rPr>
                <w:rStyle w:val="IndexLink"/>
                <w:rtl w:val="true"/>
              </w:rPr>
              <w:tab/>
            </w:r>
            <w:r>
              <w:rPr>
                <w:rStyle w:val="IndexLink"/>
              </w:rPr>
              <w:t>185</w:t>
            </w:r>
          </w:hyperlink>
        </w:p>
        <w:p>
          <w:pPr>
            <w:pStyle w:val="Contents6"/>
            <w:tabs>
              <w:tab w:val="clear" w:pos="7609"/>
              <w:tab w:val="right" w:pos="9026" w:leader="dot"/>
            </w:tabs>
            <w:rPr/>
          </w:pPr>
          <w:hyperlink w:anchor="__RefHeading___Toc162335_3244359995">
            <w:r>
              <w:rPr>
                <w:webHidden/>
                <w:rStyle w:val="IndexLink"/>
                <w:rtl w:val="true"/>
              </w:rPr>
              <w:t>اشاره</w:t>
            </w:r>
            <w:r>
              <w:rPr>
                <w:rStyle w:val="IndexLink"/>
                <w:rtl w:val="true"/>
              </w:rPr>
              <w:tab/>
            </w:r>
            <w:r>
              <w:rPr>
                <w:rStyle w:val="IndexLink"/>
              </w:rPr>
              <w:t>185</w:t>
            </w:r>
          </w:hyperlink>
        </w:p>
        <w:p>
          <w:pPr>
            <w:pStyle w:val="Contents6"/>
            <w:tabs>
              <w:tab w:val="clear" w:pos="7609"/>
              <w:tab w:val="right" w:pos="9026" w:leader="dot"/>
            </w:tabs>
            <w:rPr/>
          </w:pPr>
          <w:hyperlink w:anchor="__RefHeading___Toc162337_3244359995">
            <w:r>
              <w:rPr>
                <w:webHidden/>
                <w:rStyle w:val="IndexLink"/>
                <w:rtl w:val="true"/>
              </w:rPr>
              <w:t>دلیل مشهور از اجماع و روایات</w:t>
            </w:r>
            <w:r>
              <w:rPr>
                <w:rStyle w:val="IndexLink"/>
                <w:rtl w:val="true"/>
              </w:rPr>
              <w:tab/>
            </w:r>
            <w:r>
              <w:rPr>
                <w:rStyle w:val="IndexLink"/>
              </w:rPr>
              <w:t>186</w:t>
            </w:r>
          </w:hyperlink>
        </w:p>
        <w:p>
          <w:pPr>
            <w:pStyle w:val="Contents6"/>
            <w:tabs>
              <w:tab w:val="clear" w:pos="7609"/>
              <w:tab w:val="right" w:pos="9026" w:leader="dot"/>
            </w:tabs>
            <w:rPr/>
          </w:pPr>
          <w:hyperlink w:anchor="__RefHeading___Toc162339_3244359995">
            <w:r>
              <w:rPr>
                <w:webHidden/>
                <w:rStyle w:val="IndexLink"/>
                <w:rtl w:val="true"/>
              </w:rPr>
              <w:t>اشاره</w:t>
            </w:r>
            <w:r>
              <w:rPr>
                <w:rStyle w:val="IndexLink"/>
                <w:rtl w:val="true"/>
              </w:rPr>
              <w:tab/>
            </w:r>
            <w:r>
              <w:rPr>
                <w:rStyle w:val="IndexLink"/>
              </w:rPr>
              <w:t>186</w:t>
            </w:r>
          </w:hyperlink>
        </w:p>
        <w:p>
          <w:pPr>
            <w:pStyle w:val="Contents6"/>
            <w:tabs>
              <w:tab w:val="clear" w:pos="7609"/>
              <w:tab w:val="right" w:pos="9026" w:leader="dot"/>
            </w:tabs>
            <w:rPr/>
          </w:pPr>
          <w:hyperlink w:anchor="__RefHeading___Toc162341_3244359995">
            <w:r>
              <w:rPr>
                <w:webHidden/>
                <w:rStyle w:val="IndexLink"/>
                <w:rtl w:val="true"/>
              </w:rPr>
              <w:t>روایات مستند مشهور</w:t>
            </w:r>
            <w:r>
              <w:rPr>
                <w:rStyle w:val="IndexLink"/>
                <w:rtl w:val="true"/>
              </w:rPr>
              <w:tab/>
            </w:r>
            <w:r>
              <w:rPr>
                <w:rStyle w:val="IndexLink"/>
              </w:rPr>
              <w:t>186</w:t>
            </w:r>
          </w:hyperlink>
        </w:p>
        <w:p>
          <w:pPr>
            <w:pStyle w:val="Contents6"/>
            <w:tabs>
              <w:tab w:val="clear" w:pos="7609"/>
              <w:tab w:val="right" w:pos="9026" w:leader="dot"/>
            </w:tabs>
            <w:rPr/>
          </w:pPr>
          <w:hyperlink w:anchor="__RefHeading___Toc162343_3244359995">
            <w:r>
              <w:rPr>
                <w:webHidden/>
                <w:rStyle w:val="IndexLink"/>
                <w:rtl w:val="true"/>
              </w:rPr>
              <w:t>مستند قول شیخ صدوق رحمه الله</w:t>
            </w:r>
            <w:r>
              <w:rPr>
                <w:rStyle w:val="IndexLink"/>
                <w:rtl w:val="true"/>
              </w:rPr>
              <w:tab/>
            </w:r>
            <w:r>
              <w:rPr>
                <w:rStyle w:val="IndexLink"/>
              </w:rPr>
              <w:t>189</w:t>
            </w:r>
          </w:hyperlink>
        </w:p>
        <w:p>
          <w:pPr>
            <w:pStyle w:val="Contents6"/>
            <w:tabs>
              <w:tab w:val="clear" w:pos="7609"/>
              <w:tab w:val="right" w:pos="9026" w:leader="dot"/>
            </w:tabs>
            <w:rPr/>
          </w:pPr>
          <w:hyperlink w:anchor="__RefHeading___Toc162345_3244359995">
            <w:r>
              <w:rPr>
                <w:webHidden/>
                <w:rStyle w:val="IndexLink"/>
                <w:rtl w:val="true"/>
              </w:rPr>
              <w:t>نقد استدلال به روایت دوّم فضیل</w:t>
            </w:r>
            <w:r>
              <w:rPr>
                <w:rStyle w:val="IndexLink"/>
                <w:rtl w:val="true"/>
              </w:rPr>
              <w:tab/>
            </w:r>
            <w:r>
              <w:rPr>
                <w:rStyle w:val="IndexLink"/>
              </w:rPr>
              <w:t>193</w:t>
            </w:r>
          </w:hyperlink>
        </w:p>
        <w:p>
          <w:pPr>
            <w:pStyle w:val="Contents6"/>
            <w:tabs>
              <w:tab w:val="clear" w:pos="7609"/>
              <w:tab w:val="right" w:pos="9026" w:leader="dot"/>
            </w:tabs>
            <w:rPr/>
          </w:pPr>
          <w:hyperlink w:anchor="__RefHeading___Toc162347_3244359995">
            <w:r>
              <w:rPr>
                <w:webHidden/>
                <w:rStyle w:val="IndexLink"/>
                <w:rtl w:val="true"/>
              </w:rPr>
              <w:t>نقد نظر صاحب جواهر رحمه الله</w:t>
            </w:r>
            <w:r>
              <w:rPr>
                <w:rStyle w:val="IndexLink"/>
                <w:rtl w:val="true"/>
              </w:rPr>
              <w:tab/>
            </w:r>
            <w:r>
              <w:rPr>
                <w:rStyle w:val="IndexLink"/>
              </w:rPr>
              <w:t>193</w:t>
            </w:r>
          </w:hyperlink>
        </w:p>
        <w:p>
          <w:pPr>
            <w:pStyle w:val="Contents6"/>
            <w:tabs>
              <w:tab w:val="clear" w:pos="7609"/>
              <w:tab w:val="right" w:pos="9026" w:leader="dot"/>
            </w:tabs>
            <w:rPr/>
          </w:pPr>
          <w:hyperlink w:anchor="__RefHeading___Toc162349_3244359995">
            <w:r>
              <w:rPr>
                <w:webHidden/>
                <w:rStyle w:val="IndexLink"/>
                <w:rtl w:val="true"/>
              </w:rPr>
              <w:t>اشاره</w:t>
            </w:r>
            <w:r>
              <w:rPr>
                <w:rStyle w:val="IndexLink"/>
                <w:rtl w:val="true"/>
              </w:rPr>
              <w:tab/>
            </w:r>
            <w:r>
              <w:rPr>
                <w:rStyle w:val="IndexLink"/>
              </w:rPr>
              <w:t>193</w:t>
            </w:r>
          </w:hyperlink>
        </w:p>
        <w:p>
          <w:pPr>
            <w:pStyle w:val="Contents6"/>
            <w:tabs>
              <w:tab w:val="clear" w:pos="7609"/>
              <w:tab w:val="right" w:pos="9026" w:leader="dot"/>
            </w:tabs>
            <w:rPr/>
          </w:pPr>
          <w:hyperlink w:anchor="__RefHeading___Toc162351_3244359995">
            <w:r>
              <w:rPr>
                <w:webHidden/>
                <w:rStyle w:val="IndexLink"/>
                <w:rtl w:val="true"/>
              </w:rPr>
              <w:t>بازگشت به نقد روایت فضیل</w:t>
            </w:r>
            <w:r>
              <w:rPr>
                <w:rStyle w:val="IndexLink"/>
                <w:rtl w:val="true"/>
              </w:rPr>
              <w:tab/>
            </w:r>
            <w:r>
              <w:rPr>
                <w:rStyle w:val="IndexLink"/>
              </w:rPr>
              <w:t>194</w:t>
            </w:r>
          </w:hyperlink>
        </w:p>
        <w:p>
          <w:pPr>
            <w:pStyle w:val="Contents6"/>
            <w:tabs>
              <w:tab w:val="clear" w:pos="7609"/>
              <w:tab w:val="right" w:pos="9026" w:leader="dot"/>
            </w:tabs>
            <w:rPr/>
          </w:pPr>
          <w:hyperlink w:anchor="__RefHeading___Toc162353_3244359995">
            <w:r>
              <w:rPr>
                <w:webHidden/>
                <w:rStyle w:val="IndexLink"/>
                <w:rtl w:val="true"/>
              </w:rPr>
              <w:t>نقد و توجیه روایت فضیل در باب سرقت</w:t>
            </w:r>
            <w:r>
              <w:rPr>
                <w:rStyle w:val="IndexLink"/>
                <w:rtl w:val="true"/>
              </w:rPr>
              <w:tab/>
            </w:r>
            <w:r>
              <w:rPr>
                <w:rStyle w:val="IndexLink"/>
              </w:rPr>
              <w:t>196</w:t>
            </w:r>
          </w:hyperlink>
        </w:p>
        <w:p>
          <w:pPr>
            <w:pStyle w:val="Contents5"/>
            <w:tabs>
              <w:tab w:val="clear" w:pos="7892"/>
              <w:tab w:val="right" w:pos="9026" w:leader="dot"/>
            </w:tabs>
            <w:rPr/>
          </w:pPr>
          <w:hyperlink w:anchor="__RefHeading___Toc162355_3244359995">
            <w:r>
              <w:rPr>
                <w:webHidden/>
                <w:rStyle w:val="IndexLink"/>
                <w:rtl w:val="true"/>
              </w:rPr>
              <w:t>فرع دوّم</w:t>
            </w:r>
            <w:r>
              <w:rPr>
                <w:rStyle w:val="IndexLink"/>
                <w:rtl w:val="true"/>
              </w:rPr>
              <w:t xml:space="preserve">: </w:t>
            </w:r>
            <w:r>
              <w:rPr>
                <w:rStyle w:val="IndexLink"/>
                <w:rtl w:val="true"/>
              </w:rPr>
              <w:t>عدم قطع دست با یک‌بار اقرار و اخذ مال مسروقه</w:t>
            </w:r>
            <w:r>
              <w:rPr>
                <w:rStyle w:val="IndexLink"/>
                <w:rtl w:val="true"/>
              </w:rPr>
              <w:tab/>
            </w:r>
            <w:r>
              <w:rPr>
                <w:rStyle w:val="IndexLink"/>
              </w:rPr>
              <w:t>197</w:t>
            </w:r>
          </w:hyperlink>
        </w:p>
        <w:p>
          <w:pPr>
            <w:pStyle w:val="Contents5"/>
            <w:tabs>
              <w:tab w:val="clear" w:pos="7892"/>
              <w:tab w:val="right" w:pos="9026" w:leader="dot"/>
            </w:tabs>
            <w:rPr/>
          </w:pPr>
          <w:hyperlink w:anchor="__RefHeading___Toc162357_3244359995">
            <w:r>
              <w:rPr>
                <w:webHidden/>
                <w:rStyle w:val="IndexLink"/>
                <w:rtl w:val="true"/>
              </w:rPr>
              <w:t>فرع سوّم</w:t>
            </w:r>
            <w:r>
              <w:rPr>
                <w:rStyle w:val="IndexLink"/>
                <w:rtl w:val="true"/>
              </w:rPr>
              <w:t xml:space="preserve">: </w:t>
            </w:r>
            <w:r>
              <w:rPr>
                <w:rStyle w:val="IndexLink"/>
                <w:rtl w:val="true"/>
              </w:rPr>
              <w:t>شهادت زنان</w:t>
            </w:r>
            <w:r>
              <w:rPr>
                <w:rStyle w:val="IndexLink"/>
                <w:rtl w:val="true"/>
              </w:rPr>
              <w:t xml:space="preserve">- </w:t>
            </w:r>
            <w:r>
              <w:rPr>
                <w:rStyle w:val="IndexLink"/>
                <w:rtl w:val="true"/>
              </w:rPr>
              <w:t>یک شاهد و قسم</w:t>
            </w:r>
            <w:r>
              <w:rPr>
                <w:rStyle w:val="IndexLink"/>
                <w:rtl w:val="true"/>
              </w:rPr>
              <w:tab/>
            </w:r>
            <w:r>
              <w:rPr>
                <w:rStyle w:val="IndexLink"/>
              </w:rPr>
              <w:t>197</w:t>
            </w:r>
          </w:hyperlink>
        </w:p>
        <w:p>
          <w:pPr>
            <w:pStyle w:val="Contents4"/>
            <w:tabs>
              <w:tab w:val="clear" w:pos="8176"/>
              <w:tab w:val="right" w:pos="9026" w:leader="dot"/>
            </w:tabs>
            <w:rPr/>
          </w:pPr>
          <w:hyperlink w:anchor="__RefHeading___Toc162359_3244359995">
            <w:r>
              <w:rPr>
                <w:webHidden/>
                <w:rStyle w:val="IndexLink"/>
                <w:rtl w:val="true"/>
              </w:rPr>
              <w:t>شرایط مقرّ</w:t>
            </w:r>
            <w:r>
              <w:rPr>
                <w:rStyle w:val="IndexLink"/>
                <w:rtl w:val="true"/>
              </w:rPr>
              <w:tab/>
            </w:r>
            <w:r>
              <w:rPr>
                <w:rStyle w:val="IndexLink"/>
              </w:rPr>
              <w:t>199</w:t>
            </w:r>
          </w:hyperlink>
        </w:p>
        <w:p>
          <w:pPr>
            <w:pStyle w:val="Contents5"/>
            <w:tabs>
              <w:tab w:val="clear" w:pos="7892"/>
              <w:tab w:val="right" w:pos="9026" w:leader="dot"/>
            </w:tabs>
            <w:rPr/>
          </w:pPr>
          <w:hyperlink w:anchor="__RefHeading___Toc162361_3244359995">
            <w:r>
              <w:rPr>
                <w:webHidden/>
                <w:rStyle w:val="IndexLink"/>
                <w:rtl w:val="true"/>
              </w:rPr>
              <w:t>اشاره</w:t>
            </w:r>
            <w:r>
              <w:rPr>
                <w:rStyle w:val="IndexLink"/>
                <w:rtl w:val="true"/>
              </w:rPr>
              <w:tab/>
            </w:r>
            <w:r>
              <w:rPr>
                <w:rStyle w:val="IndexLink"/>
              </w:rPr>
              <w:t>199</w:t>
            </w:r>
          </w:hyperlink>
        </w:p>
        <w:p>
          <w:pPr>
            <w:pStyle w:val="Contents5"/>
            <w:tabs>
              <w:tab w:val="clear" w:pos="7892"/>
              <w:tab w:val="right" w:pos="9026" w:leader="dot"/>
            </w:tabs>
            <w:rPr/>
          </w:pPr>
          <w:hyperlink w:anchor="__RefHeading___Toc162363_3244359995">
            <w:r>
              <w:rPr>
                <w:webHidden/>
                <w:rStyle w:val="IndexLink"/>
              </w:rPr>
              <w:t>1</w:t>
            </w:r>
            <w:r>
              <w:rPr>
                <w:rStyle w:val="IndexLink"/>
                <w:rtl w:val="true"/>
              </w:rPr>
              <w:t xml:space="preserve">- </w:t>
            </w:r>
            <w:r>
              <w:rPr>
                <w:rStyle w:val="IndexLink"/>
                <w:rtl w:val="true"/>
              </w:rPr>
              <w:t>اعتبار بلوغ</w:t>
            </w:r>
            <w:r>
              <w:rPr>
                <w:rStyle w:val="IndexLink"/>
                <w:rtl w:val="true"/>
              </w:rPr>
              <w:tab/>
            </w:r>
            <w:r>
              <w:rPr>
                <w:rStyle w:val="IndexLink"/>
              </w:rPr>
              <w:t>199</w:t>
            </w:r>
          </w:hyperlink>
        </w:p>
        <w:p>
          <w:pPr>
            <w:pStyle w:val="Contents5"/>
            <w:tabs>
              <w:tab w:val="clear" w:pos="7892"/>
              <w:tab w:val="right" w:pos="9026" w:leader="dot"/>
            </w:tabs>
            <w:rPr/>
          </w:pPr>
          <w:hyperlink w:anchor="__RefHeading___Toc162365_3244359995">
            <w:r>
              <w:rPr>
                <w:webHidden/>
                <w:rStyle w:val="IndexLink"/>
              </w:rPr>
              <w:t>2</w:t>
            </w:r>
            <w:r>
              <w:rPr>
                <w:rStyle w:val="IndexLink"/>
                <w:rtl w:val="true"/>
              </w:rPr>
              <w:t xml:space="preserve">- </w:t>
            </w:r>
            <w:r>
              <w:rPr>
                <w:rStyle w:val="IndexLink"/>
                <w:rtl w:val="true"/>
              </w:rPr>
              <w:t>اقرار مجنون</w:t>
            </w:r>
            <w:r>
              <w:rPr>
                <w:rStyle w:val="IndexLink"/>
                <w:rtl w:val="true"/>
              </w:rPr>
              <w:tab/>
            </w:r>
            <w:r>
              <w:rPr>
                <w:rStyle w:val="IndexLink"/>
              </w:rPr>
              <w:t>201</w:t>
            </w:r>
          </w:hyperlink>
        </w:p>
        <w:p>
          <w:pPr>
            <w:pStyle w:val="Contents5"/>
            <w:tabs>
              <w:tab w:val="clear" w:pos="7892"/>
              <w:tab w:val="right" w:pos="9026" w:leader="dot"/>
            </w:tabs>
            <w:rPr/>
          </w:pPr>
          <w:hyperlink w:anchor="__RefHeading___Toc162367_3244359995">
            <w:r>
              <w:rPr>
                <w:webHidden/>
                <w:rStyle w:val="IndexLink"/>
              </w:rPr>
              <w:t>3</w:t>
            </w:r>
            <w:r>
              <w:rPr>
                <w:rStyle w:val="IndexLink"/>
                <w:rtl w:val="true"/>
              </w:rPr>
              <w:t xml:space="preserve">- </w:t>
            </w:r>
            <w:r>
              <w:rPr>
                <w:rStyle w:val="IndexLink"/>
                <w:rtl w:val="true"/>
              </w:rPr>
              <w:t>اقرار مکره</w:t>
            </w:r>
            <w:r>
              <w:rPr>
                <w:rStyle w:val="IndexLink"/>
                <w:rtl w:val="true"/>
              </w:rPr>
              <w:tab/>
            </w:r>
            <w:r>
              <w:rPr>
                <w:rStyle w:val="IndexLink"/>
              </w:rPr>
              <w:t>201</w:t>
            </w:r>
          </w:hyperlink>
        </w:p>
        <w:p>
          <w:pPr>
            <w:pStyle w:val="Contents5"/>
            <w:tabs>
              <w:tab w:val="clear" w:pos="7892"/>
              <w:tab w:val="right" w:pos="9026" w:leader="dot"/>
            </w:tabs>
            <w:rPr/>
          </w:pPr>
          <w:hyperlink w:anchor="__RefHeading___Toc162369_3244359995">
            <w:r>
              <w:rPr>
                <w:webHidden/>
                <w:rStyle w:val="IndexLink"/>
              </w:rPr>
              <w:t>4</w:t>
            </w:r>
            <w:r>
              <w:rPr>
                <w:rStyle w:val="IndexLink"/>
                <w:rtl w:val="true"/>
              </w:rPr>
              <w:t xml:space="preserve">- </w:t>
            </w:r>
            <w:r>
              <w:rPr>
                <w:rStyle w:val="IndexLink"/>
                <w:rtl w:val="true"/>
              </w:rPr>
              <w:t>اعتبار قصد</w:t>
            </w:r>
            <w:r>
              <w:rPr>
                <w:rStyle w:val="IndexLink"/>
                <w:rtl w:val="true"/>
              </w:rPr>
              <w:tab/>
            </w:r>
            <w:r>
              <w:rPr>
                <w:rStyle w:val="IndexLink"/>
              </w:rPr>
              <w:t>202</w:t>
            </w:r>
          </w:hyperlink>
        </w:p>
        <w:p>
          <w:pPr>
            <w:pStyle w:val="Contents4"/>
            <w:tabs>
              <w:tab w:val="clear" w:pos="8176"/>
              <w:tab w:val="right" w:pos="9026" w:leader="dot"/>
            </w:tabs>
            <w:rPr/>
          </w:pPr>
          <w:hyperlink w:anchor="__RefHeading___Toc162371_3244359995">
            <w:r>
              <w:rPr>
                <w:webHidden/>
                <w:rStyle w:val="IndexLink"/>
                <w:rtl w:val="true"/>
              </w:rPr>
              <w:t>اکراه بر اقرار و آوردن مال مسروقه</w:t>
            </w:r>
            <w:r>
              <w:rPr>
                <w:rStyle w:val="IndexLink"/>
                <w:rtl w:val="true"/>
              </w:rPr>
              <w:tab/>
            </w:r>
            <w:r>
              <w:rPr>
                <w:rStyle w:val="IndexLink"/>
              </w:rPr>
              <w:t>203</w:t>
            </w:r>
          </w:hyperlink>
        </w:p>
        <w:p>
          <w:pPr>
            <w:pStyle w:val="Contents5"/>
            <w:tabs>
              <w:tab w:val="clear" w:pos="7892"/>
              <w:tab w:val="right" w:pos="9026" w:leader="dot"/>
            </w:tabs>
            <w:rPr/>
          </w:pPr>
          <w:hyperlink w:anchor="__RefHeading___Toc162373_3244359995">
            <w:r>
              <w:rPr>
                <w:webHidden/>
                <w:rStyle w:val="IndexLink"/>
                <w:rtl w:val="true"/>
              </w:rPr>
              <w:t>اشاره</w:t>
            </w:r>
            <w:r>
              <w:rPr>
                <w:rStyle w:val="IndexLink"/>
                <w:rtl w:val="true"/>
              </w:rPr>
              <w:tab/>
            </w:r>
            <w:r>
              <w:rPr>
                <w:rStyle w:val="IndexLink"/>
              </w:rPr>
              <w:t>203</w:t>
            </w:r>
          </w:hyperlink>
        </w:p>
        <w:p>
          <w:pPr>
            <w:pStyle w:val="Contents5"/>
            <w:tabs>
              <w:tab w:val="clear" w:pos="7892"/>
              <w:tab w:val="right" w:pos="9026" w:leader="dot"/>
            </w:tabs>
            <w:rPr/>
          </w:pPr>
          <w:hyperlink w:anchor="__RefHeading___Toc162375_3244359995">
            <w:r>
              <w:rPr>
                <w:webHidden/>
                <w:rStyle w:val="IndexLink"/>
                <w:rtl w:val="true"/>
              </w:rPr>
              <w:t>اقوال در مسأله</w:t>
            </w:r>
            <w:r>
              <w:rPr>
                <w:rStyle w:val="IndexLink"/>
                <w:rtl w:val="true"/>
              </w:rPr>
              <w:tab/>
            </w:r>
            <w:r>
              <w:rPr>
                <w:rStyle w:val="IndexLink"/>
              </w:rPr>
              <w:t>203</w:t>
            </w:r>
          </w:hyperlink>
        </w:p>
        <w:p>
          <w:pPr>
            <w:pStyle w:val="Contents5"/>
            <w:tabs>
              <w:tab w:val="clear" w:pos="7892"/>
              <w:tab w:val="right" w:pos="9026" w:leader="dot"/>
            </w:tabs>
            <w:rPr/>
          </w:pPr>
          <w:hyperlink w:anchor="__RefHeading___Toc162377_3244359995">
            <w:r>
              <w:rPr>
                <w:webHidden/>
                <w:rStyle w:val="IndexLink"/>
                <w:rtl w:val="true"/>
              </w:rPr>
              <w:t xml:space="preserve">دلیل قول اوّل </w:t>
            </w:r>
            <w:r>
              <w:rPr>
                <w:rStyle w:val="IndexLink"/>
                <w:rtl w:val="true"/>
              </w:rPr>
              <w:t>(</w:t>
            </w:r>
            <w:r>
              <w:rPr>
                <w:rStyle w:val="IndexLink"/>
                <w:rtl w:val="true"/>
              </w:rPr>
              <w:t>قطع دست</w:t>
            </w:r>
            <w:r>
              <w:rPr>
                <w:rStyle w:val="IndexLink"/>
                <w:rtl w:val="true"/>
              </w:rPr>
              <w:t>)</w:t>
              <w:tab/>
            </w:r>
            <w:r>
              <w:rPr>
                <w:rStyle w:val="IndexLink"/>
              </w:rPr>
              <w:t>203</w:t>
            </w:r>
          </w:hyperlink>
        </w:p>
        <w:p>
          <w:pPr>
            <w:pStyle w:val="Contents5"/>
            <w:tabs>
              <w:tab w:val="clear" w:pos="7892"/>
              <w:tab w:val="right" w:pos="9026" w:leader="dot"/>
            </w:tabs>
            <w:rPr/>
          </w:pPr>
          <w:hyperlink w:anchor="__RefHeading___Toc162379_3244359995">
            <w:r>
              <w:rPr>
                <w:webHidden/>
                <w:rStyle w:val="IndexLink"/>
                <w:rtl w:val="true"/>
              </w:rPr>
              <w:t>نقد دلیل اوّل</w:t>
            </w:r>
            <w:r>
              <w:rPr>
                <w:rStyle w:val="IndexLink"/>
                <w:rtl w:val="true"/>
              </w:rPr>
              <w:tab/>
            </w:r>
            <w:r>
              <w:rPr>
                <w:rStyle w:val="IndexLink"/>
              </w:rPr>
              <w:t>204</w:t>
            </w:r>
          </w:hyperlink>
        </w:p>
        <w:p>
          <w:pPr>
            <w:pStyle w:val="Contents5"/>
            <w:tabs>
              <w:tab w:val="clear" w:pos="7892"/>
              <w:tab w:val="right" w:pos="9026" w:leader="dot"/>
            </w:tabs>
            <w:rPr/>
          </w:pPr>
          <w:hyperlink w:anchor="__RefHeading___Toc162381_3244359995">
            <w:r>
              <w:rPr>
                <w:webHidden/>
                <w:rStyle w:val="IndexLink"/>
                <w:rtl w:val="true"/>
              </w:rPr>
              <w:t>نظر برگزیده و دلیل مشهور</w:t>
            </w:r>
            <w:r>
              <w:rPr>
                <w:rStyle w:val="IndexLink"/>
                <w:rtl w:val="true"/>
              </w:rPr>
              <w:tab/>
            </w:r>
            <w:r>
              <w:rPr>
                <w:rStyle w:val="IndexLink"/>
              </w:rPr>
              <w:t>209</w:t>
            </w:r>
          </w:hyperlink>
        </w:p>
        <w:p>
          <w:pPr>
            <w:pStyle w:val="Contents4"/>
            <w:tabs>
              <w:tab w:val="clear" w:pos="8176"/>
              <w:tab w:val="right" w:pos="9026" w:leader="dot"/>
            </w:tabs>
            <w:rPr/>
          </w:pPr>
          <w:hyperlink w:anchor="__RefHeading___Toc162383_3244359995">
            <w:r>
              <w:rPr>
                <w:webHidden/>
                <w:rStyle w:val="IndexLink"/>
                <w:rtl w:val="true"/>
              </w:rPr>
              <w:t>حکم انکار بعد از اقرار و توبه</w:t>
            </w:r>
            <w:r>
              <w:rPr>
                <w:rStyle w:val="IndexLink"/>
                <w:rtl w:val="true"/>
              </w:rPr>
              <w:tab/>
            </w:r>
            <w:r>
              <w:rPr>
                <w:rStyle w:val="IndexLink"/>
              </w:rPr>
              <w:t>210</w:t>
            </w:r>
          </w:hyperlink>
        </w:p>
        <w:p>
          <w:pPr>
            <w:pStyle w:val="Contents5"/>
            <w:tabs>
              <w:tab w:val="clear" w:pos="7892"/>
              <w:tab w:val="right" w:pos="9026" w:leader="dot"/>
            </w:tabs>
            <w:rPr/>
          </w:pPr>
          <w:hyperlink w:anchor="__RefHeading___Toc162385_3244359995">
            <w:r>
              <w:rPr>
                <w:webHidden/>
                <w:rStyle w:val="IndexLink"/>
                <w:rtl w:val="true"/>
              </w:rPr>
              <w:t>اشاره</w:t>
            </w:r>
            <w:r>
              <w:rPr>
                <w:rStyle w:val="IndexLink"/>
                <w:rtl w:val="true"/>
              </w:rPr>
              <w:tab/>
            </w:r>
            <w:r>
              <w:rPr>
                <w:rStyle w:val="IndexLink"/>
              </w:rPr>
              <w:t>210</w:t>
            </w:r>
          </w:hyperlink>
        </w:p>
        <w:p>
          <w:pPr>
            <w:pStyle w:val="Contents5"/>
            <w:tabs>
              <w:tab w:val="clear" w:pos="7892"/>
              <w:tab w:val="right" w:pos="9026" w:leader="dot"/>
            </w:tabs>
            <w:rPr/>
          </w:pPr>
          <w:hyperlink w:anchor="__RefHeading___Toc162387_3244359995">
            <w:r>
              <w:rPr>
                <w:webHidden/>
                <w:rStyle w:val="IndexLink"/>
                <w:rtl w:val="true"/>
              </w:rPr>
              <w:t>فرع اوّل</w:t>
            </w:r>
            <w:r>
              <w:rPr>
                <w:rStyle w:val="IndexLink"/>
                <w:rtl w:val="true"/>
              </w:rPr>
              <w:t xml:space="preserve">: </w:t>
            </w:r>
            <w:r>
              <w:rPr>
                <w:rStyle w:val="IndexLink"/>
                <w:rtl w:val="true"/>
              </w:rPr>
              <w:t>حکم انکار پس از دوبار اقرار</w:t>
            </w:r>
            <w:r>
              <w:rPr>
                <w:rStyle w:val="IndexLink"/>
                <w:rtl w:val="true"/>
              </w:rPr>
              <w:tab/>
            </w:r>
            <w:r>
              <w:rPr>
                <w:rStyle w:val="IndexLink"/>
              </w:rPr>
              <w:t>210</w:t>
            </w:r>
          </w:hyperlink>
        </w:p>
        <w:p>
          <w:pPr>
            <w:pStyle w:val="Contents6"/>
            <w:tabs>
              <w:tab w:val="clear" w:pos="7609"/>
              <w:tab w:val="right" w:pos="9026" w:leader="dot"/>
            </w:tabs>
            <w:rPr/>
          </w:pPr>
          <w:hyperlink w:anchor="__RefHeading___Toc162389_3244359995">
            <w:r>
              <w:rPr>
                <w:webHidden/>
                <w:rStyle w:val="IndexLink"/>
                <w:rtl w:val="true"/>
              </w:rPr>
              <w:t>اشاره</w:t>
            </w:r>
            <w:r>
              <w:rPr>
                <w:rStyle w:val="IndexLink"/>
                <w:rtl w:val="true"/>
              </w:rPr>
              <w:tab/>
            </w:r>
            <w:r>
              <w:rPr>
                <w:rStyle w:val="IndexLink"/>
              </w:rPr>
              <w:t>210</w:t>
            </w:r>
          </w:hyperlink>
        </w:p>
        <w:p>
          <w:pPr>
            <w:pStyle w:val="Contents6"/>
            <w:tabs>
              <w:tab w:val="clear" w:pos="7609"/>
              <w:tab w:val="right" w:pos="9026" w:leader="dot"/>
            </w:tabs>
            <w:rPr/>
          </w:pPr>
          <w:hyperlink w:anchor="__RefHeading___Toc162391_3244359995">
            <w:r>
              <w:rPr>
                <w:webHidden/>
                <w:rStyle w:val="IndexLink"/>
                <w:rtl w:val="true"/>
              </w:rPr>
              <w:t xml:space="preserve">ادلّه‌ی قول اوّل </w:t>
            </w:r>
            <w:r>
              <w:rPr>
                <w:rStyle w:val="IndexLink"/>
                <w:rtl w:val="true"/>
              </w:rPr>
              <w:t>(</w:t>
            </w:r>
            <w:r>
              <w:rPr>
                <w:rStyle w:val="IndexLink"/>
                <w:rtl w:val="true"/>
              </w:rPr>
              <w:t>قطع دست</w:t>
            </w:r>
            <w:r>
              <w:rPr>
                <w:rStyle w:val="IndexLink"/>
                <w:rtl w:val="true"/>
              </w:rPr>
              <w:t>)</w:t>
              <w:tab/>
            </w:r>
            <w:r>
              <w:rPr>
                <w:rStyle w:val="IndexLink"/>
              </w:rPr>
              <w:t>211</w:t>
            </w:r>
          </w:hyperlink>
        </w:p>
        <w:p>
          <w:pPr>
            <w:pStyle w:val="Contents6"/>
            <w:tabs>
              <w:tab w:val="clear" w:pos="7609"/>
              <w:tab w:val="right" w:pos="9026" w:leader="dot"/>
            </w:tabs>
            <w:rPr/>
          </w:pPr>
          <w:hyperlink w:anchor="__RefHeading___Toc162393_3244359995">
            <w:r>
              <w:rPr>
                <w:webHidden/>
                <w:rStyle w:val="IndexLink"/>
                <w:rtl w:val="true"/>
              </w:rPr>
              <w:t xml:space="preserve">ادّله‌ی قول دوّم </w:t>
            </w:r>
            <w:r>
              <w:rPr>
                <w:rStyle w:val="IndexLink"/>
                <w:rtl w:val="true"/>
              </w:rPr>
              <w:t>(</w:t>
            </w:r>
            <w:r>
              <w:rPr>
                <w:rStyle w:val="IndexLink"/>
                <w:rtl w:val="true"/>
              </w:rPr>
              <w:t>سقوط قطع دست</w:t>
            </w:r>
            <w:r>
              <w:rPr>
                <w:rStyle w:val="IndexLink"/>
                <w:rtl w:val="true"/>
              </w:rPr>
              <w:t>)</w:t>
              <w:tab/>
            </w:r>
            <w:r>
              <w:rPr>
                <w:rStyle w:val="IndexLink"/>
              </w:rPr>
              <w:t>214</w:t>
            </w:r>
          </w:hyperlink>
        </w:p>
        <w:p>
          <w:pPr>
            <w:pStyle w:val="Contents6"/>
            <w:tabs>
              <w:tab w:val="clear" w:pos="7609"/>
              <w:tab w:val="right" w:pos="9026" w:leader="dot"/>
            </w:tabs>
            <w:rPr/>
          </w:pPr>
          <w:hyperlink w:anchor="__RefHeading___Toc162395_3244359995">
            <w:r>
              <w:rPr>
                <w:webHidden/>
                <w:rStyle w:val="IndexLink"/>
                <w:rtl w:val="true"/>
              </w:rPr>
              <w:t xml:space="preserve">مستند قول سوّم </w:t>
            </w:r>
            <w:r>
              <w:rPr>
                <w:rStyle w:val="IndexLink"/>
                <w:rtl w:val="true"/>
              </w:rPr>
              <w:t>(</w:t>
            </w:r>
            <w:r>
              <w:rPr>
                <w:rStyle w:val="IndexLink"/>
                <w:rtl w:val="true"/>
              </w:rPr>
              <w:t>تخییر امام بین عفو و قطع دست</w:t>
            </w:r>
            <w:r>
              <w:rPr>
                <w:rStyle w:val="IndexLink"/>
                <w:rtl w:val="true"/>
              </w:rPr>
              <w:t>)</w:t>
              <w:tab/>
            </w:r>
            <w:r>
              <w:rPr>
                <w:rStyle w:val="IndexLink"/>
              </w:rPr>
              <w:t>215</w:t>
            </w:r>
          </w:hyperlink>
        </w:p>
        <w:p>
          <w:pPr>
            <w:pStyle w:val="Contents5"/>
            <w:tabs>
              <w:tab w:val="clear" w:pos="7892"/>
              <w:tab w:val="right" w:pos="9026" w:leader="dot"/>
            </w:tabs>
            <w:rPr/>
          </w:pPr>
          <w:hyperlink w:anchor="__RefHeading___Toc162397_3244359995">
            <w:r>
              <w:rPr>
                <w:webHidden/>
                <w:rStyle w:val="IndexLink"/>
                <w:rtl w:val="true"/>
              </w:rPr>
              <w:t>فرع دوّم</w:t>
            </w:r>
            <w:r>
              <w:rPr>
                <w:rStyle w:val="IndexLink"/>
                <w:rtl w:val="true"/>
              </w:rPr>
              <w:t xml:space="preserve">: </w:t>
            </w:r>
            <w:r>
              <w:rPr>
                <w:rStyle w:val="IndexLink"/>
                <w:rtl w:val="true"/>
              </w:rPr>
              <w:t>حکم انکار پس از یک اقرار</w:t>
            </w:r>
            <w:r>
              <w:rPr>
                <w:rStyle w:val="IndexLink"/>
                <w:rtl w:val="true"/>
              </w:rPr>
              <w:tab/>
            </w:r>
            <w:r>
              <w:rPr>
                <w:rStyle w:val="IndexLink"/>
              </w:rPr>
              <w:t>218</w:t>
            </w:r>
          </w:hyperlink>
        </w:p>
        <w:p>
          <w:pPr>
            <w:pStyle w:val="Contents5"/>
            <w:tabs>
              <w:tab w:val="clear" w:pos="7892"/>
              <w:tab w:val="right" w:pos="9026" w:leader="dot"/>
            </w:tabs>
            <w:rPr/>
          </w:pPr>
          <w:hyperlink w:anchor="__RefHeading___Toc162399_3244359995">
            <w:r>
              <w:rPr>
                <w:webHidden/>
                <w:rStyle w:val="IndexLink"/>
                <w:rtl w:val="true"/>
              </w:rPr>
              <w:t>فرع سوّم</w:t>
            </w:r>
            <w:r>
              <w:rPr>
                <w:rStyle w:val="IndexLink"/>
                <w:rtl w:val="true"/>
              </w:rPr>
              <w:t xml:space="preserve">: </w:t>
            </w:r>
            <w:r>
              <w:rPr>
                <w:rStyle w:val="IndexLink"/>
                <w:rtl w:val="true"/>
              </w:rPr>
              <w:t>حکم توبه قبل از قیام بیّنه و اقرار</w:t>
            </w:r>
            <w:r>
              <w:rPr>
                <w:rStyle w:val="IndexLink"/>
                <w:rtl w:val="true"/>
              </w:rPr>
              <w:tab/>
            </w:r>
            <w:r>
              <w:rPr>
                <w:rStyle w:val="IndexLink"/>
              </w:rPr>
              <w:t>219</w:t>
            </w:r>
          </w:hyperlink>
        </w:p>
        <w:p>
          <w:pPr>
            <w:pStyle w:val="Contents5"/>
            <w:tabs>
              <w:tab w:val="clear" w:pos="7892"/>
              <w:tab w:val="right" w:pos="9026" w:leader="dot"/>
            </w:tabs>
            <w:rPr/>
          </w:pPr>
          <w:hyperlink w:anchor="__RefHeading___Toc162401_3244359995">
            <w:r>
              <w:rPr>
                <w:webHidden/>
                <w:rStyle w:val="IndexLink"/>
                <w:rtl w:val="true"/>
              </w:rPr>
              <w:t>فرع چهارم</w:t>
            </w:r>
            <w:r>
              <w:rPr>
                <w:rStyle w:val="IndexLink"/>
                <w:rtl w:val="true"/>
              </w:rPr>
              <w:t xml:space="preserve">: </w:t>
            </w:r>
            <w:r>
              <w:rPr>
                <w:rStyle w:val="IndexLink"/>
                <w:rtl w:val="true"/>
              </w:rPr>
              <w:t>حکم توبه بعد از قیام بیّنه</w:t>
            </w:r>
            <w:r>
              <w:rPr>
                <w:rStyle w:val="IndexLink"/>
                <w:rtl w:val="true"/>
              </w:rPr>
              <w:tab/>
            </w:r>
            <w:r>
              <w:rPr>
                <w:rStyle w:val="IndexLink"/>
              </w:rPr>
              <w:t>220</w:t>
            </w:r>
          </w:hyperlink>
        </w:p>
        <w:p>
          <w:pPr>
            <w:pStyle w:val="Contents5"/>
            <w:tabs>
              <w:tab w:val="clear" w:pos="7892"/>
              <w:tab w:val="right" w:pos="9026" w:leader="dot"/>
            </w:tabs>
            <w:rPr/>
          </w:pPr>
          <w:hyperlink w:anchor="__RefHeading___Toc162403_3244359995">
            <w:r>
              <w:rPr>
                <w:webHidden/>
                <w:rStyle w:val="IndexLink"/>
                <w:rtl w:val="true"/>
              </w:rPr>
              <w:t>فرع پنجم</w:t>
            </w:r>
            <w:r>
              <w:rPr>
                <w:rStyle w:val="IndexLink"/>
                <w:rtl w:val="true"/>
              </w:rPr>
              <w:t xml:space="preserve">: </w:t>
            </w:r>
            <w:r>
              <w:rPr>
                <w:rStyle w:val="IndexLink"/>
                <w:rtl w:val="true"/>
              </w:rPr>
              <w:t>توبه‌ی بعد از اقرار</w:t>
            </w:r>
            <w:r>
              <w:rPr>
                <w:rStyle w:val="IndexLink"/>
                <w:rtl w:val="true"/>
              </w:rPr>
              <w:tab/>
            </w:r>
            <w:r>
              <w:rPr>
                <w:rStyle w:val="IndexLink"/>
              </w:rPr>
              <w:t>223</w:t>
            </w:r>
          </w:hyperlink>
        </w:p>
        <w:p>
          <w:pPr>
            <w:pStyle w:val="Contents6"/>
            <w:tabs>
              <w:tab w:val="clear" w:pos="7609"/>
              <w:tab w:val="right" w:pos="9026" w:leader="dot"/>
            </w:tabs>
            <w:rPr/>
          </w:pPr>
          <w:hyperlink w:anchor="__RefHeading___Toc162405_3244359995">
            <w:r>
              <w:rPr>
                <w:webHidden/>
                <w:rStyle w:val="IndexLink"/>
                <w:rtl w:val="true"/>
              </w:rPr>
              <w:t>اشاره</w:t>
            </w:r>
            <w:r>
              <w:rPr>
                <w:rStyle w:val="IndexLink"/>
                <w:rtl w:val="true"/>
              </w:rPr>
              <w:tab/>
            </w:r>
            <w:r>
              <w:rPr>
                <w:rStyle w:val="IndexLink"/>
              </w:rPr>
              <w:t>223</w:t>
            </w:r>
          </w:hyperlink>
        </w:p>
        <w:p>
          <w:pPr>
            <w:pStyle w:val="Contents6"/>
            <w:tabs>
              <w:tab w:val="clear" w:pos="7609"/>
              <w:tab w:val="right" w:pos="9026" w:leader="dot"/>
            </w:tabs>
            <w:rPr/>
          </w:pPr>
          <w:hyperlink w:anchor="__RefHeading___Toc162407_3244359995">
            <w:r>
              <w:rPr>
                <w:webHidden/>
                <w:rStyle w:val="IndexLink"/>
                <w:rtl w:val="true"/>
              </w:rPr>
              <w:t xml:space="preserve">مستند قول اوّل </w:t>
            </w:r>
            <w:r>
              <w:rPr>
                <w:rStyle w:val="IndexLink"/>
                <w:rtl w:val="true"/>
              </w:rPr>
              <w:t>(</w:t>
            </w:r>
            <w:r>
              <w:rPr>
                <w:rStyle w:val="IndexLink"/>
                <w:rtl w:val="true"/>
              </w:rPr>
              <w:t>باقی ماندن حکم قطع دست</w:t>
            </w:r>
            <w:r>
              <w:rPr>
                <w:rStyle w:val="IndexLink"/>
                <w:rtl w:val="true"/>
              </w:rPr>
              <w:t>)</w:t>
              <w:tab/>
            </w:r>
            <w:r>
              <w:rPr>
                <w:rStyle w:val="IndexLink"/>
              </w:rPr>
              <w:t>223</w:t>
            </w:r>
          </w:hyperlink>
        </w:p>
        <w:p>
          <w:pPr>
            <w:pStyle w:val="Contents6"/>
            <w:tabs>
              <w:tab w:val="clear" w:pos="7609"/>
              <w:tab w:val="right" w:pos="9026" w:leader="dot"/>
            </w:tabs>
            <w:rPr/>
          </w:pPr>
          <w:hyperlink w:anchor="__RefHeading___Toc162409_3244359995">
            <w:r>
              <w:rPr>
                <w:webHidden/>
                <w:rStyle w:val="IndexLink"/>
                <w:rtl w:val="true"/>
              </w:rPr>
              <w:t xml:space="preserve">مستند قول دوّم </w:t>
            </w:r>
            <w:r>
              <w:rPr>
                <w:rStyle w:val="IndexLink"/>
                <w:rtl w:val="true"/>
              </w:rPr>
              <w:t>(</w:t>
            </w:r>
            <w:r>
              <w:rPr>
                <w:rStyle w:val="IndexLink"/>
                <w:rtl w:val="true"/>
              </w:rPr>
              <w:t>تخیییر حاکم</w:t>
            </w:r>
            <w:r>
              <w:rPr>
                <w:rStyle w:val="IndexLink"/>
                <w:rtl w:val="true"/>
              </w:rPr>
              <w:t>)</w:t>
              <w:tab/>
            </w:r>
            <w:r>
              <w:rPr>
                <w:rStyle w:val="IndexLink"/>
              </w:rPr>
              <w:t>224</w:t>
            </w:r>
          </w:hyperlink>
        </w:p>
        <w:p>
          <w:pPr>
            <w:pStyle w:val="Contents4"/>
            <w:tabs>
              <w:tab w:val="clear" w:pos="8176"/>
              <w:tab w:val="right" w:pos="9026" w:leader="dot"/>
            </w:tabs>
            <w:rPr/>
          </w:pPr>
          <w:hyperlink w:anchor="__RefHeading___Toc162411_3244359995">
            <w:r>
              <w:rPr>
                <w:webHidden/>
                <w:rStyle w:val="IndexLink"/>
                <w:rtl w:val="true"/>
              </w:rPr>
              <w:t>مراتب حدّ سارق</w:t>
            </w:r>
            <w:r>
              <w:rPr>
                <w:rStyle w:val="IndexLink"/>
                <w:rtl w:val="true"/>
              </w:rPr>
              <w:tab/>
            </w:r>
            <w:r>
              <w:rPr>
                <w:rStyle w:val="IndexLink"/>
              </w:rPr>
              <w:t>226</w:t>
            </w:r>
          </w:hyperlink>
        </w:p>
        <w:p>
          <w:pPr>
            <w:pStyle w:val="Contents5"/>
            <w:tabs>
              <w:tab w:val="clear" w:pos="7892"/>
              <w:tab w:val="right" w:pos="9026" w:leader="dot"/>
            </w:tabs>
            <w:rPr/>
          </w:pPr>
          <w:hyperlink w:anchor="__RefHeading___Toc162413_3244359995">
            <w:r>
              <w:rPr>
                <w:webHidden/>
                <w:rStyle w:val="IndexLink"/>
                <w:rtl w:val="true"/>
              </w:rPr>
              <w:t>اشاره</w:t>
            </w:r>
            <w:r>
              <w:rPr>
                <w:rStyle w:val="IndexLink"/>
                <w:rtl w:val="true"/>
              </w:rPr>
              <w:tab/>
            </w:r>
            <w:r>
              <w:rPr>
                <w:rStyle w:val="IndexLink"/>
              </w:rPr>
              <w:t>226</w:t>
            </w:r>
          </w:hyperlink>
        </w:p>
        <w:p>
          <w:pPr>
            <w:pStyle w:val="Contents5"/>
            <w:tabs>
              <w:tab w:val="clear" w:pos="7892"/>
              <w:tab w:val="right" w:pos="9026" w:leader="dot"/>
            </w:tabs>
            <w:rPr/>
          </w:pPr>
          <w:hyperlink w:anchor="__RefHeading___Toc162415_3244359995">
            <w:r>
              <w:rPr>
                <w:webHidden/>
                <w:rStyle w:val="IndexLink"/>
                <w:rtl w:val="true"/>
              </w:rPr>
              <w:t>فرع اوّل</w:t>
            </w:r>
            <w:r>
              <w:rPr>
                <w:rStyle w:val="IndexLink"/>
                <w:rtl w:val="true"/>
              </w:rPr>
              <w:t xml:space="preserve">: </w:t>
            </w:r>
            <w:r>
              <w:rPr>
                <w:rStyle w:val="IndexLink"/>
                <w:rtl w:val="true"/>
              </w:rPr>
              <w:t>حدّ سرقت در مرتبه‌ی اوّل</w:t>
            </w:r>
            <w:r>
              <w:rPr>
                <w:rStyle w:val="IndexLink"/>
                <w:rtl w:val="true"/>
              </w:rPr>
              <w:tab/>
            </w:r>
            <w:r>
              <w:rPr>
                <w:rStyle w:val="IndexLink"/>
              </w:rPr>
              <w:t>226</w:t>
            </w:r>
          </w:hyperlink>
        </w:p>
        <w:p>
          <w:pPr>
            <w:pStyle w:val="Contents6"/>
            <w:tabs>
              <w:tab w:val="clear" w:pos="7609"/>
              <w:tab w:val="right" w:pos="9026" w:leader="dot"/>
            </w:tabs>
            <w:rPr/>
          </w:pPr>
          <w:hyperlink w:anchor="__RefHeading___Toc162417_3244359995">
            <w:r>
              <w:rPr>
                <w:webHidden/>
                <w:rStyle w:val="IndexLink"/>
                <w:rtl w:val="true"/>
              </w:rPr>
              <w:t>اشاره</w:t>
            </w:r>
            <w:r>
              <w:rPr>
                <w:rStyle w:val="IndexLink"/>
                <w:rtl w:val="true"/>
              </w:rPr>
              <w:tab/>
            </w:r>
            <w:r>
              <w:rPr>
                <w:rStyle w:val="IndexLink"/>
              </w:rPr>
              <w:t>226</w:t>
            </w:r>
          </w:hyperlink>
        </w:p>
        <w:p>
          <w:pPr>
            <w:pStyle w:val="Contents6"/>
            <w:tabs>
              <w:tab w:val="clear" w:pos="7609"/>
              <w:tab w:val="right" w:pos="9026" w:leader="dot"/>
            </w:tabs>
            <w:rPr/>
          </w:pPr>
          <w:hyperlink w:anchor="__RefHeading___Toc162419_3244359995">
            <w:r>
              <w:rPr>
                <w:webHidden/>
                <w:rStyle w:val="IndexLink"/>
                <w:rtl w:val="true"/>
              </w:rPr>
              <w:t>روایت منافی با روایات گذشته</w:t>
            </w:r>
            <w:r>
              <w:rPr>
                <w:rStyle w:val="IndexLink"/>
                <w:rtl w:val="true"/>
              </w:rPr>
              <w:tab/>
            </w:r>
            <w:r>
              <w:rPr>
                <w:rStyle w:val="IndexLink"/>
              </w:rPr>
              <w:t>230</w:t>
            </w:r>
          </w:hyperlink>
        </w:p>
        <w:p>
          <w:pPr>
            <w:pStyle w:val="Contents6"/>
            <w:tabs>
              <w:tab w:val="clear" w:pos="7609"/>
              <w:tab w:val="right" w:pos="9026" w:leader="dot"/>
            </w:tabs>
            <w:rPr/>
          </w:pPr>
          <w:hyperlink w:anchor="__RefHeading___Toc162421_3244359995">
            <w:r>
              <w:rPr>
                <w:webHidden/>
                <w:rStyle w:val="IndexLink"/>
                <w:rtl w:val="true"/>
              </w:rPr>
              <w:t>اشاره</w:t>
            </w:r>
            <w:r>
              <w:rPr>
                <w:rStyle w:val="IndexLink"/>
                <w:rtl w:val="true"/>
              </w:rPr>
              <w:tab/>
            </w:r>
            <w:r>
              <w:rPr>
                <w:rStyle w:val="IndexLink"/>
              </w:rPr>
              <w:t>230</w:t>
            </w:r>
          </w:hyperlink>
        </w:p>
        <w:p>
          <w:pPr>
            <w:pStyle w:val="Contents6"/>
            <w:tabs>
              <w:tab w:val="clear" w:pos="7609"/>
              <w:tab w:val="right" w:pos="9026" w:leader="dot"/>
            </w:tabs>
            <w:rPr/>
          </w:pPr>
          <w:hyperlink w:anchor="__RefHeading___Toc162423_3244359995">
            <w:r>
              <w:rPr>
                <w:webHidden/>
                <w:rStyle w:val="IndexLink"/>
                <w:rtl w:val="true"/>
              </w:rPr>
              <w:t>مسأله‌ی اوّل</w:t>
            </w:r>
            <w:r>
              <w:rPr>
                <w:rStyle w:val="IndexLink"/>
                <w:rtl w:val="true"/>
              </w:rPr>
              <w:t xml:space="preserve">: </w:t>
            </w:r>
            <w:r>
              <w:rPr>
                <w:rStyle w:val="IndexLink"/>
                <w:rtl w:val="true"/>
              </w:rPr>
              <w:t>حکم نقص در انگشتان</w:t>
            </w:r>
            <w:r>
              <w:rPr>
                <w:rStyle w:val="IndexLink"/>
                <w:rtl w:val="true"/>
              </w:rPr>
              <w:tab/>
            </w:r>
            <w:r>
              <w:rPr>
                <w:rStyle w:val="IndexLink"/>
              </w:rPr>
              <w:t>232</w:t>
            </w:r>
          </w:hyperlink>
        </w:p>
        <w:p>
          <w:pPr>
            <w:pStyle w:val="Contents6"/>
            <w:tabs>
              <w:tab w:val="clear" w:pos="7609"/>
              <w:tab w:val="right" w:pos="9026" w:leader="dot"/>
            </w:tabs>
            <w:rPr/>
          </w:pPr>
          <w:hyperlink w:anchor="__RefHeading___Toc162425_3244359995">
            <w:r>
              <w:rPr>
                <w:webHidden/>
                <w:rStyle w:val="IndexLink"/>
                <w:rtl w:val="true"/>
              </w:rPr>
              <w:t>مسأله‌ی دوّم</w:t>
            </w:r>
            <w:r>
              <w:rPr>
                <w:rStyle w:val="IndexLink"/>
                <w:rtl w:val="true"/>
              </w:rPr>
              <w:t xml:space="preserve">: </w:t>
            </w:r>
            <w:r>
              <w:rPr>
                <w:rStyle w:val="IndexLink"/>
                <w:rtl w:val="true"/>
              </w:rPr>
              <w:t>حکم انگشت زائد</w:t>
            </w:r>
            <w:r>
              <w:rPr>
                <w:rStyle w:val="IndexLink"/>
                <w:rtl w:val="true"/>
              </w:rPr>
              <w:tab/>
            </w:r>
            <w:r>
              <w:rPr>
                <w:rStyle w:val="IndexLink"/>
              </w:rPr>
              <w:t>232</w:t>
            </w:r>
          </w:hyperlink>
        </w:p>
        <w:p>
          <w:pPr>
            <w:pStyle w:val="Contents6"/>
            <w:tabs>
              <w:tab w:val="clear" w:pos="7609"/>
              <w:tab w:val="right" w:pos="9026" w:leader="dot"/>
            </w:tabs>
            <w:rPr/>
          </w:pPr>
          <w:hyperlink w:anchor="__RefHeading___Toc162427_3244359995">
            <w:r>
              <w:rPr>
                <w:webHidden/>
                <w:rStyle w:val="IndexLink"/>
                <w:rtl w:val="true"/>
              </w:rPr>
              <w:t>مسأله سوّم</w:t>
            </w:r>
            <w:r>
              <w:rPr>
                <w:rStyle w:val="IndexLink"/>
                <w:rtl w:val="true"/>
              </w:rPr>
              <w:t xml:space="preserve">: </w:t>
            </w:r>
            <w:r>
              <w:rPr>
                <w:rStyle w:val="IndexLink"/>
                <w:rtl w:val="true"/>
              </w:rPr>
              <w:t>کیفیّت قطع اصابع</w:t>
            </w:r>
            <w:r>
              <w:rPr>
                <w:rStyle w:val="IndexLink"/>
                <w:rtl w:val="true"/>
              </w:rPr>
              <w:tab/>
            </w:r>
            <w:r>
              <w:rPr>
                <w:rStyle w:val="IndexLink"/>
              </w:rPr>
              <w:t>235</w:t>
            </w:r>
          </w:hyperlink>
        </w:p>
        <w:p>
          <w:pPr>
            <w:pStyle w:val="Contents5"/>
            <w:tabs>
              <w:tab w:val="clear" w:pos="7892"/>
              <w:tab w:val="right" w:pos="9026" w:leader="dot"/>
            </w:tabs>
            <w:rPr/>
          </w:pPr>
          <w:hyperlink w:anchor="__RefHeading___Toc162429_3244359995">
            <w:r>
              <w:rPr>
                <w:webHidden/>
                <w:rStyle w:val="IndexLink"/>
                <w:rtl w:val="true"/>
              </w:rPr>
              <w:t>فرع دوّم</w:t>
            </w:r>
            <w:r>
              <w:rPr>
                <w:rStyle w:val="IndexLink"/>
                <w:rtl w:val="true"/>
              </w:rPr>
              <w:t xml:space="preserve">: </w:t>
            </w:r>
            <w:r>
              <w:rPr>
                <w:rStyle w:val="IndexLink"/>
                <w:rtl w:val="true"/>
              </w:rPr>
              <w:t>حد دوّم سرقت</w:t>
            </w:r>
            <w:r>
              <w:rPr>
                <w:rStyle w:val="IndexLink"/>
                <w:rtl w:val="true"/>
              </w:rPr>
              <w:tab/>
            </w:r>
            <w:r>
              <w:rPr>
                <w:rStyle w:val="IndexLink"/>
              </w:rPr>
              <w:t>236</w:t>
            </w:r>
          </w:hyperlink>
        </w:p>
        <w:p>
          <w:pPr>
            <w:pStyle w:val="Contents6"/>
            <w:tabs>
              <w:tab w:val="clear" w:pos="7609"/>
              <w:tab w:val="right" w:pos="9026" w:leader="dot"/>
            </w:tabs>
            <w:rPr/>
          </w:pPr>
          <w:hyperlink w:anchor="__RefHeading___Toc162431_3244359995">
            <w:r>
              <w:rPr>
                <w:webHidden/>
                <w:rStyle w:val="IndexLink"/>
                <w:rtl w:val="true"/>
              </w:rPr>
              <w:t>اشاره</w:t>
            </w:r>
            <w:r>
              <w:rPr>
                <w:rStyle w:val="IndexLink"/>
                <w:rtl w:val="true"/>
              </w:rPr>
              <w:tab/>
            </w:r>
            <w:r>
              <w:rPr>
                <w:rStyle w:val="IndexLink"/>
              </w:rPr>
              <w:t>236</w:t>
            </w:r>
          </w:hyperlink>
        </w:p>
        <w:p>
          <w:pPr>
            <w:pStyle w:val="Contents6"/>
            <w:tabs>
              <w:tab w:val="clear" w:pos="7609"/>
              <w:tab w:val="right" w:pos="9026" w:leader="dot"/>
            </w:tabs>
            <w:rPr/>
          </w:pPr>
          <w:hyperlink w:anchor="__RefHeading___Toc162433_3244359995">
            <w:r>
              <w:rPr>
                <w:webHidden/>
                <w:rStyle w:val="IndexLink"/>
                <w:rtl w:val="true"/>
              </w:rPr>
              <w:t xml:space="preserve">دلیل قول اوّل </w:t>
            </w:r>
            <w:r>
              <w:rPr>
                <w:rStyle w:val="IndexLink"/>
                <w:rtl w:val="true"/>
              </w:rPr>
              <w:t>(</w:t>
            </w:r>
            <w:r>
              <w:rPr>
                <w:rStyle w:val="IndexLink"/>
                <w:rtl w:val="true"/>
              </w:rPr>
              <w:t>قطع از مفصل قدم</w:t>
            </w:r>
            <w:r>
              <w:rPr>
                <w:rStyle w:val="IndexLink"/>
                <w:rtl w:val="true"/>
              </w:rPr>
              <w:t>)</w:t>
              <w:tab/>
            </w:r>
            <w:r>
              <w:rPr>
                <w:rStyle w:val="IndexLink"/>
              </w:rPr>
              <w:t>239</w:t>
            </w:r>
          </w:hyperlink>
        </w:p>
        <w:p>
          <w:pPr>
            <w:pStyle w:val="Contents6"/>
            <w:tabs>
              <w:tab w:val="clear" w:pos="7609"/>
              <w:tab w:val="right" w:pos="9026" w:leader="dot"/>
            </w:tabs>
            <w:rPr/>
          </w:pPr>
          <w:hyperlink w:anchor="__RefHeading___Toc162435_3244359995">
            <w:r>
              <w:rPr>
                <w:webHidden/>
                <w:rStyle w:val="IndexLink"/>
                <w:rtl w:val="true"/>
              </w:rPr>
              <w:t xml:space="preserve">مستند قول دوّم </w:t>
            </w:r>
            <w:r>
              <w:rPr>
                <w:rStyle w:val="IndexLink"/>
                <w:rtl w:val="true"/>
              </w:rPr>
              <w:t>(</w:t>
            </w:r>
            <w:r>
              <w:rPr>
                <w:rStyle w:val="IndexLink"/>
                <w:rtl w:val="true"/>
              </w:rPr>
              <w:t>قطع از وسط قدم</w:t>
            </w:r>
            <w:r>
              <w:rPr>
                <w:rStyle w:val="IndexLink"/>
                <w:rtl w:val="true"/>
              </w:rPr>
              <w:t>)</w:t>
              <w:tab/>
            </w:r>
            <w:r>
              <w:rPr>
                <w:rStyle w:val="IndexLink"/>
              </w:rPr>
              <w:t>240</w:t>
            </w:r>
          </w:hyperlink>
        </w:p>
        <w:p>
          <w:pPr>
            <w:pStyle w:val="Contents6"/>
            <w:tabs>
              <w:tab w:val="clear" w:pos="7609"/>
              <w:tab w:val="right" w:pos="9026" w:leader="dot"/>
            </w:tabs>
            <w:rPr/>
          </w:pPr>
          <w:hyperlink w:anchor="__RefHeading___Toc162437_3244359995">
            <w:r>
              <w:rPr>
                <w:webHidden/>
                <w:rStyle w:val="IndexLink"/>
                <w:rtl w:val="true"/>
              </w:rPr>
              <w:t>کیفیّت جمع بین دو طایفه از روایات</w:t>
            </w:r>
            <w:r>
              <w:rPr>
                <w:rStyle w:val="IndexLink"/>
                <w:rtl w:val="true"/>
              </w:rPr>
              <w:tab/>
            </w:r>
            <w:r>
              <w:rPr>
                <w:rStyle w:val="IndexLink"/>
              </w:rPr>
              <w:t>242</w:t>
            </w:r>
          </w:hyperlink>
        </w:p>
        <w:p>
          <w:pPr>
            <w:pStyle w:val="Contents5"/>
            <w:tabs>
              <w:tab w:val="clear" w:pos="7892"/>
              <w:tab w:val="right" w:pos="9026" w:leader="dot"/>
            </w:tabs>
            <w:rPr/>
          </w:pPr>
          <w:hyperlink w:anchor="__RefHeading___Toc162439_3244359995">
            <w:r>
              <w:rPr>
                <w:webHidden/>
                <w:rStyle w:val="IndexLink"/>
                <w:rtl w:val="true"/>
              </w:rPr>
              <w:t>فرع سوّم و چهارم</w:t>
            </w:r>
            <w:r>
              <w:rPr>
                <w:rStyle w:val="IndexLink"/>
                <w:rtl w:val="true"/>
              </w:rPr>
              <w:t xml:space="preserve">: </w:t>
            </w:r>
            <w:r>
              <w:rPr>
                <w:rStyle w:val="IndexLink"/>
                <w:rtl w:val="true"/>
              </w:rPr>
              <w:t>حدّ سوّم و چهارم سرقت</w:t>
            </w:r>
            <w:r>
              <w:rPr>
                <w:rStyle w:val="IndexLink"/>
                <w:rtl w:val="true"/>
              </w:rPr>
              <w:tab/>
            </w:r>
            <w:r>
              <w:rPr>
                <w:rStyle w:val="IndexLink"/>
              </w:rPr>
              <w:t>242</w:t>
            </w:r>
          </w:hyperlink>
        </w:p>
        <w:p>
          <w:pPr>
            <w:pStyle w:val="Contents4"/>
            <w:tabs>
              <w:tab w:val="clear" w:pos="8176"/>
              <w:tab w:val="right" w:pos="9026" w:leader="dot"/>
            </w:tabs>
            <w:rPr/>
          </w:pPr>
          <w:hyperlink w:anchor="__RefHeading___Toc162441_3244359995">
            <w:r>
              <w:rPr>
                <w:webHidden/>
                <w:rStyle w:val="IndexLink"/>
                <w:rtl w:val="true"/>
              </w:rPr>
              <w:t>حکم تکرار سرقت</w:t>
            </w:r>
            <w:r>
              <w:rPr>
                <w:rStyle w:val="IndexLink"/>
                <w:rtl w:val="true"/>
              </w:rPr>
              <w:tab/>
            </w:r>
            <w:r>
              <w:rPr>
                <w:rStyle w:val="IndexLink"/>
              </w:rPr>
              <w:t>247</w:t>
            </w:r>
          </w:hyperlink>
        </w:p>
        <w:p>
          <w:pPr>
            <w:pStyle w:val="Contents4"/>
            <w:tabs>
              <w:tab w:val="clear" w:pos="8176"/>
              <w:tab w:val="right" w:pos="9026" w:leader="dot"/>
            </w:tabs>
            <w:rPr/>
          </w:pPr>
          <w:hyperlink w:anchor="__RefHeading___Toc162443_3244359995">
            <w:r>
              <w:rPr>
                <w:webHidden/>
                <w:rStyle w:val="IndexLink"/>
                <w:rtl w:val="true"/>
              </w:rPr>
              <w:t>حکم قطع دست چپ و احتمال خطر جانی در قطع دست راست</w:t>
            </w:r>
            <w:r>
              <w:rPr>
                <w:rStyle w:val="IndexLink"/>
                <w:rtl w:val="true"/>
              </w:rPr>
              <w:tab/>
            </w:r>
            <w:r>
              <w:rPr>
                <w:rStyle w:val="IndexLink"/>
              </w:rPr>
              <w:t>249</w:t>
            </w:r>
          </w:hyperlink>
        </w:p>
        <w:p>
          <w:pPr>
            <w:pStyle w:val="Contents5"/>
            <w:tabs>
              <w:tab w:val="clear" w:pos="7892"/>
              <w:tab w:val="right" w:pos="9026" w:leader="dot"/>
            </w:tabs>
            <w:rPr/>
          </w:pPr>
          <w:hyperlink w:anchor="__RefHeading___Toc162445_3244359995">
            <w:r>
              <w:rPr>
                <w:webHidden/>
                <w:rStyle w:val="IndexLink"/>
                <w:rtl w:val="true"/>
              </w:rPr>
              <w:t>اشاره</w:t>
            </w:r>
            <w:r>
              <w:rPr>
                <w:rStyle w:val="IndexLink"/>
                <w:rtl w:val="true"/>
              </w:rPr>
              <w:tab/>
            </w:r>
            <w:r>
              <w:rPr>
                <w:rStyle w:val="IndexLink"/>
              </w:rPr>
              <w:t>249</w:t>
            </w:r>
          </w:hyperlink>
        </w:p>
        <w:p>
          <w:pPr>
            <w:pStyle w:val="Contents5"/>
            <w:tabs>
              <w:tab w:val="clear" w:pos="7892"/>
              <w:tab w:val="right" w:pos="9026" w:leader="dot"/>
            </w:tabs>
            <w:rPr/>
          </w:pPr>
          <w:hyperlink w:anchor="__RefHeading___Toc162447_3244359995">
            <w:r>
              <w:rPr>
                <w:webHidden/>
                <w:rStyle w:val="IndexLink"/>
                <w:rtl w:val="true"/>
              </w:rPr>
              <w:t>عدم قطع دست راست با احتمال خطر جانی</w:t>
            </w:r>
            <w:r>
              <w:rPr>
                <w:rStyle w:val="IndexLink"/>
                <w:rtl w:val="true"/>
              </w:rPr>
              <w:tab/>
            </w:r>
            <w:r>
              <w:rPr>
                <w:rStyle w:val="IndexLink"/>
              </w:rPr>
              <w:t>252</w:t>
            </w:r>
          </w:hyperlink>
        </w:p>
        <w:p>
          <w:pPr>
            <w:pStyle w:val="Contents4"/>
            <w:tabs>
              <w:tab w:val="clear" w:pos="8176"/>
              <w:tab w:val="right" w:pos="9026" w:leader="dot"/>
            </w:tabs>
            <w:rPr/>
          </w:pPr>
          <w:hyperlink w:anchor="__RefHeading___Toc162449_3244359995">
            <w:r>
              <w:rPr>
                <w:webHidden/>
                <w:rStyle w:val="IndexLink"/>
                <w:rtl w:val="true"/>
              </w:rPr>
              <w:t>حکم مقطوع الیسار ومقطوع الیمین</w:t>
            </w:r>
            <w:r>
              <w:rPr>
                <w:rStyle w:val="IndexLink"/>
                <w:rtl w:val="true"/>
              </w:rPr>
              <w:tab/>
            </w:r>
            <w:r>
              <w:rPr>
                <w:rStyle w:val="IndexLink"/>
              </w:rPr>
              <w:t>255</w:t>
            </w:r>
          </w:hyperlink>
        </w:p>
        <w:p>
          <w:pPr>
            <w:pStyle w:val="Contents5"/>
            <w:tabs>
              <w:tab w:val="clear" w:pos="7892"/>
              <w:tab w:val="right" w:pos="9026" w:leader="dot"/>
            </w:tabs>
            <w:rPr/>
          </w:pPr>
          <w:hyperlink w:anchor="__RefHeading___Toc162451_3244359995">
            <w:r>
              <w:rPr>
                <w:webHidden/>
                <w:rStyle w:val="IndexLink"/>
                <w:rtl w:val="true"/>
              </w:rPr>
              <w:t>اشاره</w:t>
            </w:r>
            <w:r>
              <w:rPr>
                <w:rStyle w:val="IndexLink"/>
                <w:rtl w:val="true"/>
              </w:rPr>
              <w:tab/>
            </w:r>
            <w:r>
              <w:rPr>
                <w:rStyle w:val="IndexLink"/>
              </w:rPr>
              <w:t>255</w:t>
            </w:r>
          </w:hyperlink>
        </w:p>
        <w:p>
          <w:pPr>
            <w:pStyle w:val="Contents5"/>
            <w:tabs>
              <w:tab w:val="clear" w:pos="7892"/>
              <w:tab w:val="right" w:pos="9026" w:leader="dot"/>
            </w:tabs>
            <w:rPr/>
          </w:pPr>
          <w:hyperlink w:anchor="__RefHeading___Toc162453_3244359995">
            <w:r>
              <w:rPr>
                <w:webHidden/>
                <w:rStyle w:val="IndexLink"/>
                <w:rtl w:val="true"/>
              </w:rPr>
              <w:t>فرع اوّل</w:t>
            </w:r>
            <w:r>
              <w:rPr>
                <w:rStyle w:val="IndexLink"/>
                <w:rtl w:val="true"/>
              </w:rPr>
              <w:t xml:space="preserve">: </w:t>
            </w:r>
            <w:r>
              <w:rPr>
                <w:rStyle w:val="IndexLink"/>
                <w:rtl w:val="true"/>
              </w:rPr>
              <w:t>حکم مقطوع الیسار</w:t>
            </w:r>
            <w:r>
              <w:rPr>
                <w:rStyle w:val="IndexLink"/>
                <w:rtl w:val="true"/>
              </w:rPr>
              <w:tab/>
            </w:r>
            <w:r>
              <w:rPr>
                <w:rStyle w:val="IndexLink"/>
              </w:rPr>
              <w:t>255</w:t>
            </w:r>
          </w:hyperlink>
        </w:p>
        <w:p>
          <w:pPr>
            <w:pStyle w:val="Contents5"/>
            <w:tabs>
              <w:tab w:val="clear" w:pos="7892"/>
              <w:tab w:val="right" w:pos="9026" w:leader="dot"/>
            </w:tabs>
            <w:rPr/>
          </w:pPr>
          <w:hyperlink w:anchor="__RefHeading___Toc162455_3244359995">
            <w:r>
              <w:rPr>
                <w:webHidden/>
                <w:rStyle w:val="IndexLink"/>
                <w:rtl w:val="true"/>
              </w:rPr>
              <w:t>فرع دوّم</w:t>
            </w:r>
            <w:r>
              <w:rPr>
                <w:rStyle w:val="IndexLink"/>
                <w:rtl w:val="true"/>
              </w:rPr>
              <w:t xml:space="preserve">: </w:t>
            </w:r>
            <w:r>
              <w:rPr>
                <w:rStyle w:val="IndexLink"/>
                <w:rtl w:val="true"/>
              </w:rPr>
              <w:t>حکم مقطوع الیمین</w:t>
            </w:r>
            <w:r>
              <w:rPr>
                <w:rStyle w:val="IndexLink"/>
                <w:rtl w:val="true"/>
              </w:rPr>
              <w:tab/>
            </w:r>
            <w:r>
              <w:rPr>
                <w:rStyle w:val="IndexLink"/>
              </w:rPr>
              <w:t>258</w:t>
            </w:r>
          </w:hyperlink>
        </w:p>
        <w:p>
          <w:pPr>
            <w:pStyle w:val="Contents4"/>
            <w:tabs>
              <w:tab w:val="clear" w:pos="8176"/>
              <w:tab w:val="right" w:pos="9026" w:leader="dot"/>
            </w:tabs>
            <w:rPr/>
          </w:pPr>
          <w:hyperlink w:anchor="__RefHeading___Toc162457_3244359995">
            <w:r>
              <w:rPr>
                <w:webHidden/>
                <w:rStyle w:val="IndexLink"/>
                <w:rtl w:val="true"/>
              </w:rPr>
              <w:t>حکم مقطوع الیمین در حال سرقت</w:t>
            </w:r>
            <w:r>
              <w:rPr>
                <w:rStyle w:val="IndexLink"/>
                <w:rtl w:val="true"/>
              </w:rPr>
              <w:tab/>
            </w:r>
            <w:r>
              <w:rPr>
                <w:rStyle w:val="IndexLink"/>
              </w:rPr>
              <w:t>259</w:t>
            </w:r>
          </w:hyperlink>
        </w:p>
        <w:p>
          <w:pPr>
            <w:pStyle w:val="Contents5"/>
            <w:tabs>
              <w:tab w:val="clear" w:pos="7892"/>
              <w:tab w:val="right" w:pos="9026" w:leader="dot"/>
            </w:tabs>
            <w:rPr/>
          </w:pPr>
          <w:hyperlink w:anchor="__RefHeading___Toc162459_3244359995">
            <w:r>
              <w:rPr>
                <w:webHidden/>
                <w:rStyle w:val="IndexLink"/>
                <w:rtl w:val="true"/>
              </w:rPr>
              <w:t>اشاره</w:t>
            </w:r>
            <w:r>
              <w:rPr>
                <w:rStyle w:val="IndexLink"/>
                <w:rtl w:val="true"/>
              </w:rPr>
              <w:tab/>
            </w:r>
            <w:r>
              <w:rPr>
                <w:rStyle w:val="IndexLink"/>
              </w:rPr>
              <w:t>259</w:t>
            </w:r>
          </w:hyperlink>
        </w:p>
        <w:p>
          <w:pPr>
            <w:pStyle w:val="Contents5"/>
            <w:tabs>
              <w:tab w:val="clear" w:pos="7892"/>
              <w:tab w:val="right" w:pos="9026" w:leader="dot"/>
            </w:tabs>
            <w:rPr/>
          </w:pPr>
          <w:hyperlink w:anchor="__RefHeading___Toc162461_3244359995">
            <w:r>
              <w:rPr>
                <w:webHidden/>
                <w:rStyle w:val="IndexLink"/>
                <w:rtl w:val="true"/>
              </w:rPr>
              <w:t xml:space="preserve">دلیل قول اوّل </w:t>
            </w:r>
            <w:r>
              <w:rPr>
                <w:rStyle w:val="IndexLink"/>
                <w:rtl w:val="true"/>
              </w:rPr>
              <w:t>(</w:t>
            </w:r>
            <w:r>
              <w:rPr>
                <w:rStyle w:val="IndexLink"/>
                <w:rtl w:val="true"/>
              </w:rPr>
              <w:t>انتقال قطع به دست چپ</w:t>
            </w:r>
            <w:r>
              <w:rPr>
                <w:rStyle w:val="IndexLink"/>
                <w:rtl w:val="true"/>
              </w:rPr>
              <w:t>)</w:t>
              <w:tab/>
            </w:r>
            <w:r>
              <w:rPr>
                <w:rStyle w:val="IndexLink"/>
              </w:rPr>
              <w:t>260</w:t>
            </w:r>
          </w:hyperlink>
        </w:p>
        <w:p>
          <w:pPr>
            <w:pStyle w:val="Contents6"/>
            <w:tabs>
              <w:tab w:val="clear" w:pos="7609"/>
              <w:tab w:val="right" w:pos="9026" w:leader="dot"/>
            </w:tabs>
            <w:rPr/>
          </w:pPr>
          <w:hyperlink w:anchor="__RefHeading___Toc162463_3244359995">
            <w:r>
              <w:rPr>
                <w:webHidden/>
                <w:rStyle w:val="IndexLink"/>
                <w:rtl w:val="true"/>
              </w:rPr>
              <w:t>اشاره</w:t>
            </w:r>
            <w:r>
              <w:rPr>
                <w:rStyle w:val="IndexLink"/>
                <w:rtl w:val="true"/>
              </w:rPr>
              <w:tab/>
            </w:r>
            <w:r>
              <w:rPr>
                <w:rStyle w:val="IndexLink"/>
              </w:rPr>
              <w:t>260</w:t>
            </w:r>
          </w:hyperlink>
        </w:p>
        <w:p>
          <w:pPr>
            <w:pStyle w:val="Contents6"/>
            <w:tabs>
              <w:tab w:val="clear" w:pos="7609"/>
              <w:tab w:val="right" w:pos="9026" w:leader="dot"/>
            </w:tabs>
            <w:rPr/>
          </w:pPr>
          <w:hyperlink w:anchor="__RefHeading___Toc162465_3244359995">
            <w:r>
              <w:rPr>
                <w:webHidden/>
                <w:rStyle w:val="IndexLink"/>
                <w:rtl w:val="true"/>
              </w:rPr>
              <w:t>نقد دلیل قول اوّل</w:t>
            </w:r>
            <w:r>
              <w:rPr>
                <w:rStyle w:val="IndexLink"/>
                <w:rtl w:val="true"/>
              </w:rPr>
              <w:tab/>
            </w:r>
            <w:r>
              <w:rPr>
                <w:rStyle w:val="IndexLink"/>
              </w:rPr>
              <w:t>260</w:t>
            </w:r>
          </w:hyperlink>
        </w:p>
        <w:p>
          <w:pPr>
            <w:pStyle w:val="Contents5"/>
            <w:tabs>
              <w:tab w:val="clear" w:pos="7892"/>
              <w:tab w:val="right" w:pos="9026" w:leader="dot"/>
            </w:tabs>
            <w:rPr/>
          </w:pPr>
          <w:hyperlink w:anchor="__RefHeading___Toc162467_3244359995">
            <w:r>
              <w:rPr>
                <w:webHidden/>
                <w:rStyle w:val="IndexLink"/>
                <w:rtl w:val="true"/>
              </w:rPr>
              <w:t xml:space="preserve">دلیل قول دوّم </w:t>
            </w:r>
            <w:r>
              <w:rPr>
                <w:rStyle w:val="IndexLink"/>
                <w:rtl w:val="true"/>
              </w:rPr>
              <w:t>(</w:t>
            </w:r>
            <w:r>
              <w:rPr>
                <w:rStyle w:val="IndexLink"/>
                <w:rtl w:val="true"/>
              </w:rPr>
              <w:t>انتقال قطع به پای چپ</w:t>
            </w:r>
            <w:r>
              <w:rPr>
                <w:rStyle w:val="IndexLink"/>
                <w:rtl w:val="true"/>
              </w:rPr>
              <w:t>)</w:t>
              <w:tab/>
            </w:r>
            <w:r>
              <w:rPr>
                <w:rStyle w:val="IndexLink"/>
              </w:rPr>
              <w:t>261</w:t>
            </w:r>
          </w:hyperlink>
        </w:p>
        <w:p>
          <w:pPr>
            <w:pStyle w:val="Contents6"/>
            <w:tabs>
              <w:tab w:val="clear" w:pos="7609"/>
              <w:tab w:val="right" w:pos="9026" w:leader="dot"/>
            </w:tabs>
            <w:rPr/>
          </w:pPr>
          <w:hyperlink w:anchor="__RefHeading___Toc162469_3244359995">
            <w:r>
              <w:rPr>
                <w:webHidden/>
                <w:rStyle w:val="IndexLink"/>
                <w:rtl w:val="true"/>
              </w:rPr>
              <w:t>اشاره</w:t>
            </w:r>
            <w:r>
              <w:rPr>
                <w:rStyle w:val="IndexLink"/>
                <w:rtl w:val="true"/>
              </w:rPr>
              <w:tab/>
            </w:r>
            <w:r>
              <w:rPr>
                <w:rStyle w:val="IndexLink"/>
              </w:rPr>
              <w:t>261</w:t>
            </w:r>
          </w:hyperlink>
        </w:p>
        <w:p>
          <w:pPr>
            <w:pStyle w:val="Contents6"/>
            <w:tabs>
              <w:tab w:val="clear" w:pos="7609"/>
              <w:tab w:val="right" w:pos="9026" w:leader="dot"/>
            </w:tabs>
            <w:rPr/>
          </w:pPr>
          <w:hyperlink w:anchor="__RefHeading___Toc162471_3244359995">
            <w:r>
              <w:rPr>
                <w:webHidden/>
                <w:rStyle w:val="IndexLink"/>
                <w:rtl w:val="true"/>
              </w:rPr>
              <w:t>نقد دلیل قول دوّم</w:t>
            </w:r>
            <w:r>
              <w:rPr>
                <w:rStyle w:val="IndexLink"/>
                <w:rtl w:val="true"/>
              </w:rPr>
              <w:tab/>
            </w:r>
            <w:r>
              <w:rPr>
                <w:rStyle w:val="IndexLink"/>
              </w:rPr>
              <w:t>261</w:t>
            </w:r>
          </w:hyperlink>
        </w:p>
        <w:p>
          <w:pPr>
            <w:pStyle w:val="Contents4"/>
            <w:tabs>
              <w:tab w:val="clear" w:pos="8176"/>
              <w:tab w:val="right" w:pos="9026" w:leader="dot"/>
            </w:tabs>
            <w:rPr/>
          </w:pPr>
          <w:hyperlink w:anchor="__RefHeading___Toc162473_3244359995">
            <w:r>
              <w:rPr>
                <w:webHidden/>
                <w:rStyle w:val="IndexLink"/>
                <w:rtl w:val="true"/>
              </w:rPr>
              <w:t>حکم قطع دست چپ توسط مجری حدّ</w:t>
            </w:r>
            <w:r>
              <w:rPr>
                <w:rStyle w:val="IndexLink"/>
                <w:rtl w:val="true"/>
              </w:rPr>
              <w:tab/>
            </w:r>
            <w:r>
              <w:rPr>
                <w:rStyle w:val="IndexLink"/>
              </w:rPr>
              <w:t>264</w:t>
            </w:r>
          </w:hyperlink>
        </w:p>
        <w:p>
          <w:pPr>
            <w:pStyle w:val="Contents5"/>
            <w:tabs>
              <w:tab w:val="clear" w:pos="7892"/>
              <w:tab w:val="right" w:pos="9026" w:leader="dot"/>
            </w:tabs>
            <w:rPr/>
          </w:pPr>
          <w:hyperlink w:anchor="__RefHeading___Toc162475_3244359995">
            <w:r>
              <w:rPr>
                <w:webHidden/>
                <w:rStyle w:val="IndexLink"/>
                <w:rtl w:val="true"/>
              </w:rPr>
              <w:t>اشاره</w:t>
            </w:r>
            <w:r>
              <w:rPr>
                <w:rStyle w:val="IndexLink"/>
                <w:rtl w:val="true"/>
              </w:rPr>
              <w:tab/>
            </w:r>
            <w:r>
              <w:rPr>
                <w:rStyle w:val="IndexLink"/>
              </w:rPr>
              <w:t>264</w:t>
            </w:r>
          </w:hyperlink>
        </w:p>
        <w:p>
          <w:pPr>
            <w:pStyle w:val="Contents5"/>
            <w:tabs>
              <w:tab w:val="clear" w:pos="7892"/>
              <w:tab w:val="right" w:pos="9026" w:leader="dot"/>
            </w:tabs>
            <w:rPr/>
          </w:pPr>
          <w:hyperlink w:anchor="__RefHeading___Toc162477_3244359995">
            <w:r>
              <w:rPr>
                <w:webHidden/>
                <w:rStyle w:val="IndexLink"/>
                <w:rtl w:val="true"/>
              </w:rPr>
              <w:t>فرع اوّل</w:t>
            </w:r>
            <w:r>
              <w:rPr>
                <w:rStyle w:val="IndexLink"/>
                <w:rtl w:val="true"/>
              </w:rPr>
              <w:t xml:space="preserve">: </w:t>
            </w:r>
            <w:r>
              <w:rPr>
                <w:rStyle w:val="IndexLink"/>
                <w:rtl w:val="true"/>
              </w:rPr>
              <w:t>قطع دست چپ توسّط مجری حدّ با علم به موضوع و حکم</w:t>
            </w:r>
            <w:r>
              <w:rPr>
                <w:rStyle w:val="IndexLink"/>
                <w:rtl w:val="true"/>
              </w:rPr>
              <w:tab/>
            </w:r>
            <w:r>
              <w:rPr>
                <w:rStyle w:val="IndexLink"/>
              </w:rPr>
              <w:t>264</w:t>
            </w:r>
          </w:hyperlink>
        </w:p>
        <w:p>
          <w:pPr>
            <w:pStyle w:val="Contents5"/>
            <w:tabs>
              <w:tab w:val="clear" w:pos="7892"/>
              <w:tab w:val="right" w:pos="9026" w:leader="dot"/>
            </w:tabs>
            <w:rPr/>
          </w:pPr>
          <w:hyperlink w:anchor="__RefHeading___Toc162479_3244359995">
            <w:r>
              <w:rPr>
                <w:webHidden/>
                <w:rStyle w:val="IndexLink"/>
                <w:rtl w:val="true"/>
              </w:rPr>
              <w:t>فرع دوّم</w:t>
            </w:r>
            <w:r>
              <w:rPr>
                <w:rStyle w:val="IndexLink"/>
                <w:rtl w:val="true"/>
              </w:rPr>
              <w:t xml:space="preserve">: </w:t>
            </w:r>
            <w:r>
              <w:rPr>
                <w:rStyle w:val="IndexLink"/>
                <w:rtl w:val="true"/>
              </w:rPr>
              <w:t>قطع دست چپ توسط مجری حدّ با اشتباه در موضوع یا حکم</w:t>
            </w:r>
            <w:r>
              <w:rPr>
                <w:rStyle w:val="IndexLink"/>
                <w:rtl w:val="true"/>
              </w:rPr>
              <w:tab/>
            </w:r>
            <w:r>
              <w:rPr>
                <w:rStyle w:val="IndexLink"/>
              </w:rPr>
              <w:t>266</w:t>
            </w:r>
          </w:hyperlink>
        </w:p>
        <w:p>
          <w:pPr>
            <w:pStyle w:val="Contents6"/>
            <w:tabs>
              <w:tab w:val="clear" w:pos="7609"/>
              <w:tab w:val="right" w:pos="9026" w:leader="dot"/>
            </w:tabs>
            <w:rPr/>
          </w:pPr>
          <w:hyperlink w:anchor="__RefHeading___Toc162481_3244359995">
            <w:r>
              <w:rPr>
                <w:webHidden/>
                <w:rStyle w:val="IndexLink"/>
                <w:rtl w:val="true"/>
              </w:rPr>
              <w:t>اشاره</w:t>
            </w:r>
            <w:r>
              <w:rPr>
                <w:rStyle w:val="IndexLink"/>
                <w:rtl w:val="true"/>
              </w:rPr>
              <w:tab/>
            </w:r>
            <w:r>
              <w:rPr>
                <w:rStyle w:val="IndexLink"/>
              </w:rPr>
              <w:t>266</w:t>
            </w:r>
          </w:hyperlink>
        </w:p>
        <w:p>
          <w:pPr>
            <w:pStyle w:val="Contents6"/>
            <w:tabs>
              <w:tab w:val="clear" w:pos="7609"/>
              <w:tab w:val="right" w:pos="9026" w:leader="dot"/>
            </w:tabs>
            <w:rPr/>
          </w:pPr>
          <w:hyperlink w:anchor="__RefHeading___Toc162483_3244359995">
            <w:r>
              <w:rPr>
                <w:webHidden/>
                <w:rStyle w:val="IndexLink"/>
                <w:rtl w:val="true"/>
              </w:rPr>
              <w:t>جهت اوّل</w:t>
            </w:r>
            <w:r>
              <w:rPr>
                <w:rStyle w:val="IndexLink"/>
                <w:rtl w:val="true"/>
              </w:rPr>
              <w:t xml:space="preserve">: </w:t>
            </w:r>
            <w:r>
              <w:rPr>
                <w:rStyle w:val="IndexLink"/>
                <w:rtl w:val="true"/>
              </w:rPr>
              <w:t>عقوبت مجری حدّ</w:t>
            </w:r>
            <w:r>
              <w:rPr>
                <w:rStyle w:val="IndexLink"/>
                <w:rtl w:val="true"/>
              </w:rPr>
              <w:tab/>
            </w:r>
            <w:r>
              <w:rPr>
                <w:rStyle w:val="IndexLink"/>
              </w:rPr>
              <w:t>266</w:t>
            </w:r>
          </w:hyperlink>
        </w:p>
        <w:p>
          <w:pPr>
            <w:pStyle w:val="Contents6"/>
            <w:tabs>
              <w:tab w:val="clear" w:pos="7609"/>
              <w:tab w:val="right" w:pos="9026" w:leader="dot"/>
            </w:tabs>
            <w:rPr/>
          </w:pPr>
          <w:hyperlink w:anchor="__RefHeading___Toc162485_3244359995">
            <w:r>
              <w:rPr>
                <w:webHidden/>
                <w:rStyle w:val="IndexLink"/>
                <w:rtl w:val="true"/>
              </w:rPr>
              <w:t>جهت دوّم</w:t>
            </w:r>
            <w:r>
              <w:rPr>
                <w:rStyle w:val="IndexLink"/>
                <w:rtl w:val="true"/>
              </w:rPr>
              <w:t xml:space="preserve">: </w:t>
            </w:r>
            <w:r>
              <w:rPr>
                <w:rStyle w:val="IndexLink"/>
                <w:rtl w:val="true"/>
              </w:rPr>
              <w:t>سقوط حدّ سرقت از سارق</w:t>
            </w:r>
            <w:r>
              <w:rPr>
                <w:rStyle w:val="IndexLink"/>
                <w:rtl w:val="true"/>
              </w:rPr>
              <w:tab/>
            </w:r>
            <w:r>
              <w:rPr>
                <w:rStyle w:val="IndexLink"/>
              </w:rPr>
              <w:t>266</w:t>
            </w:r>
          </w:hyperlink>
        </w:p>
        <w:p>
          <w:pPr>
            <w:pStyle w:val="Contents4"/>
            <w:tabs>
              <w:tab w:val="clear" w:pos="8176"/>
              <w:tab w:val="right" w:pos="9026" w:leader="dot"/>
            </w:tabs>
            <w:rPr/>
          </w:pPr>
          <w:hyperlink w:anchor="__RefHeading___Toc162487_3244359995">
            <w:r>
              <w:rPr>
                <w:webHidden/>
                <w:rStyle w:val="IndexLink"/>
                <w:rtl w:val="true"/>
              </w:rPr>
              <w:t>سرایت حدّ به اعضای دیگر</w:t>
            </w:r>
            <w:r>
              <w:rPr>
                <w:rStyle w:val="IndexLink"/>
                <w:rtl w:val="true"/>
              </w:rPr>
              <w:tab/>
            </w:r>
            <w:r>
              <w:rPr>
                <w:rStyle w:val="IndexLink"/>
              </w:rPr>
              <w:t>269</w:t>
            </w:r>
          </w:hyperlink>
        </w:p>
        <w:p>
          <w:pPr>
            <w:pStyle w:val="Contents5"/>
            <w:tabs>
              <w:tab w:val="clear" w:pos="7892"/>
              <w:tab w:val="right" w:pos="9026" w:leader="dot"/>
            </w:tabs>
            <w:rPr/>
          </w:pPr>
          <w:hyperlink w:anchor="__RefHeading___Toc162489_3244359995">
            <w:r>
              <w:rPr>
                <w:webHidden/>
                <w:rStyle w:val="IndexLink"/>
                <w:rtl w:val="true"/>
              </w:rPr>
              <w:t>اشاره</w:t>
            </w:r>
            <w:r>
              <w:rPr>
                <w:rStyle w:val="IndexLink"/>
                <w:rtl w:val="true"/>
              </w:rPr>
              <w:tab/>
            </w:r>
            <w:r>
              <w:rPr>
                <w:rStyle w:val="IndexLink"/>
              </w:rPr>
              <w:t>269</w:t>
            </w:r>
          </w:hyperlink>
        </w:p>
        <w:p>
          <w:pPr>
            <w:pStyle w:val="Contents5"/>
            <w:tabs>
              <w:tab w:val="clear" w:pos="7892"/>
              <w:tab w:val="right" w:pos="9026" w:leader="dot"/>
            </w:tabs>
            <w:rPr/>
          </w:pPr>
          <w:hyperlink w:anchor="__RefHeading___Toc162491_3244359995">
            <w:r>
              <w:rPr>
                <w:webHidden/>
                <w:rStyle w:val="IndexLink"/>
                <w:rtl w:val="true"/>
              </w:rPr>
              <w:t>بررسی روایات معارض</w:t>
            </w:r>
            <w:r>
              <w:rPr>
                <w:rStyle w:val="IndexLink"/>
                <w:rtl w:val="true"/>
              </w:rPr>
              <w:tab/>
            </w:r>
            <w:r>
              <w:rPr>
                <w:rStyle w:val="IndexLink"/>
              </w:rPr>
              <w:t>270</w:t>
            </w:r>
          </w:hyperlink>
        </w:p>
        <w:p>
          <w:pPr>
            <w:pStyle w:val="Contents3"/>
            <w:tabs>
              <w:tab w:val="clear" w:pos="8459"/>
              <w:tab w:val="right" w:pos="9026" w:leader="dot"/>
            </w:tabs>
            <w:rPr/>
          </w:pPr>
          <w:hyperlink w:anchor="__RefHeading___Toc162493_3244359995">
            <w:r>
              <w:rPr>
                <w:webHidden/>
                <w:rStyle w:val="IndexLink"/>
                <w:rtl w:val="true"/>
              </w:rPr>
              <w:t>فصل چهارم</w:t>
            </w:r>
            <w:r>
              <w:rPr>
                <w:rStyle w:val="IndexLink"/>
                <w:rtl w:val="true"/>
              </w:rPr>
              <w:t xml:space="preserve">: </w:t>
            </w:r>
            <w:r>
              <w:rPr>
                <w:rStyle w:val="IndexLink"/>
                <w:rtl w:val="true"/>
              </w:rPr>
              <w:t>ملحقات باب سرقت</w:t>
            </w:r>
            <w:r>
              <w:rPr>
                <w:rStyle w:val="IndexLink"/>
                <w:rtl w:val="true"/>
              </w:rPr>
              <w:tab/>
            </w:r>
            <w:r>
              <w:rPr>
                <w:rStyle w:val="IndexLink"/>
              </w:rPr>
              <w:t>273</w:t>
            </w:r>
          </w:hyperlink>
        </w:p>
        <w:p>
          <w:pPr>
            <w:pStyle w:val="Contents4"/>
            <w:tabs>
              <w:tab w:val="clear" w:pos="8176"/>
              <w:tab w:val="right" w:pos="9026" w:leader="dot"/>
            </w:tabs>
            <w:rPr/>
          </w:pPr>
          <w:hyperlink w:anchor="__RefHeading___Toc162495_3244359995">
            <w:r>
              <w:rPr>
                <w:webHidden/>
                <w:rStyle w:val="IndexLink"/>
                <w:rtl w:val="true"/>
              </w:rPr>
              <w:t>اشاره</w:t>
            </w:r>
            <w:r>
              <w:rPr>
                <w:rStyle w:val="IndexLink"/>
                <w:rtl w:val="true"/>
              </w:rPr>
              <w:tab/>
            </w:r>
            <w:r>
              <w:rPr>
                <w:rStyle w:val="IndexLink"/>
              </w:rPr>
              <w:t>273</w:t>
            </w:r>
          </w:hyperlink>
        </w:p>
        <w:p>
          <w:pPr>
            <w:pStyle w:val="Contents4"/>
            <w:tabs>
              <w:tab w:val="clear" w:pos="8176"/>
              <w:tab w:val="right" w:pos="9026" w:leader="dot"/>
            </w:tabs>
            <w:rPr/>
          </w:pPr>
          <w:hyperlink w:anchor="__RefHeading___Toc162497_3244359995">
            <w:r>
              <w:rPr>
                <w:webHidden/>
                <w:rStyle w:val="IndexLink"/>
                <w:rtl w:val="true"/>
              </w:rPr>
              <w:t>اشتراک در سرقت نصاب</w:t>
            </w:r>
            <w:r>
              <w:rPr>
                <w:rStyle w:val="IndexLink"/>
                <w:rtl w:val="true"/>
              </w:rPr>
              <w:tab/>
            </w:r>
            <w:r>
              <w:rPr>
                <w:rStyle w:val="IndexLink"/>
              </w:rPr>
              <w:t>274</w:t>
            </w:r>
          </w:hyperlink>
        </w:p>
        <w:p>
          <w:pPr>
            <w:pStyle w:val="Contents5"/>
            <w:tabs>
              <w:tab w:val="clear" w:pos="7892"/>
              <w:tab w:val="right" w:pos="9026" w:leader="dot"/>
            </w:tabs>
            <w:rPr/>
          </w:pPr>
          <w:hyperlink w:anchor="__RefHeading___Toc162499_3244359995">
            <w:r>
              <w:rPr>
                <w:webHidden/>
                <w:rStyle w:val="IndexLink"/>
                <w:rtl w:val="true"/>
              </w:rPr>
              <w:t>اشاره</w:t>
            </w:r>
            <w:r>
              <w:rPr>
                <w:rStyle w:val="IndexLink"/>
                <w:rtl w:val="true"/>
              </w:rPr>
              <w:tab/>
            </w:r>
            <w:r>
              <w:rPr>
                <w:rStyle w:val="IndexLink"/>
              </w:rPr>
              <w:t>274</w:t>
            </w:r>
          </w:hyperlink>
        </w:p>
        <w:p>
          <w:pPr>
            <w:pStyle w:val="Contents5"/>
            <w:tabs>
              <w:tab w:val="clear" w:pos="7892"/>
              <w:tab w:val="right" w:pos="9026" w:leader="dot"/>
            </w:tabs>
            <w:rPr/>
          </w:pPr>
          <w:hyperlink w:anchor="__RefHeading___Toc162501_3244359995">
            <w:r>
              <w:rPr>
                <w:webHidden/>
                <w:rStyle w:val="IndexLink"/>
                <w:rtl w:val="true"/>
              </w:rPr>
              <w:t>مقتضای قاعده در سرقت اشتراکی</w:t>
            </w:r>
            <w:r>
              <w:rPr>
                <w:rStyle w:val="IndexLink"/>
                <w:rtl w:val="true"/>
              </w:rPr>
              <w:tab/>
            </w:r>
            <w:r>
              <w:rPr>
                <w:rStyle w:val="IndexLink"/>
              </w:rPr>
              <w:t>276</w:t>
            </w:r>
          </w:hyperlink>
        </w:p>
        <w:p>
          <w:pPr>
            <w:pStyle w:val="Contents5"/>
            <w:tabs>
              <w:tab w:val="clear" w:pos="7892"/>
              <w:tab w:val="right" w:pos="9026" w:leader="dot"/>
            </w:tabs>
            <w:rPr/>
          </w:pPr>
          <w:hyperlink w:anchor="__RefHeading___Toc162503_3244359995">
            <w:r>
              <w:rPr>
                <w:webHidden/>
                <w:rStyle w:val="IndexLink"/>
                <w:rtl w:val="true"/>
              </w:rPr>
              <w:t>مقتضای روایات در سرقت اشتراکی</w:t>
            </w:r>
            <w:r>
              <w:rPr>
                <w:rStyle w:val="IndexLink"/>
                <w:rtl w:val="true"/>
              </w:rPr>
              <w:tab/>
            </w:r>
            <w:r>
              <w:rPr>
                <w:rStyle w:val="IndexLink"/>
              </w:rPr>
              <w:t>277</w:t>
            </w:r>
          </w:hyperlink>
        </w:p>
        <w:p>
          <w:pPr>
            <w:pStyle w:val="Contents4"/>
            <w:tabs>
              <w:tab w:val="clear" w:pos="8176"/>
              <w:tab w:val="right" w:pos="9026" w:leader="dot"/>
            </w:tabs>
            <w:rPr/>
          </w:pPr>
          <w:hyperlink w:anchor="__RefHeading___Toc162505_3244359995">
            <w:r>
              <w:rPr>
                <w:webHidden/>
                <w:rStyle w:val="IndexLink"/>
                <w:rtl w:val="true"/>
              </w:rPr>
              <w:t>حکم ثبوت سرقت مکرّر</w:t>
            </w:r>
            <w:r>
              <w:rPr>
                <w:rStyle w:val="IndexLink"/>
                <w:rtl w:val="true"/>
              </w:rPr>
              <w:tab/>
            </w:r>
            <w:r>
              <w:rPr>
                <w:rStyle w:val="IndexLink"/>
              </w:rPr>
              <w:t>280</w:t>
            </w:r>
          </w:hyperlink>
        </w:p>
        <w:p>
          <w:pPr>
            <w:pStyle w:val="Contents5"/>
            <w:tabs>
              <w:tab w:val="clear" w:pos="7892"/>
              <w:tab w:val="right" w:pos="9026" w:leader="dot"/>
            </w:tabs>
            <w:rPr/>
          </w:pPr>
          <w:hyperlink w:anchor="__RefHeading___Toc162507_3244359995">
            <w:r>
              <w:rPr>
                <w:webHidden/>
                <w:rStyle w:val="IndexLink"/>
                <w:rtl w:val="true"/>
              </w:rPr>
              <w:t>اشاره</w:t>
            </w:r>
            <w:r>
              <w:rPr>
                <w:rStyle w:val="IndexLink"/>
                <w:rtl w:val="true"/>
              </w:rPr>
              <w:tab/>
            </w:r>
            <w:r>
              <w:rPr>
                <w:rStyle w:val="IndexLink"/>
              </w:rPr>
              <w:t>280</w:t>
            </w:r>
          </w:hyperlink>
        </w:p>
        <w:p>
          <w:pPr>
            <w:pStyle w:val="Contents5"/>
            <w:tabs>
              <w:tab w:val="clear" w:pos="7892"/>
              <w:tab w:val="right" w:pos="9026" w:leader="dot"/>
            </w:tabs>
            <w:rPr/>
          </w:pPr>
          <w:hyperlink w:anchor="__RefHeading___Toc162509_3244359995">
            <w:r>
              <w:rPr>
                <w:webHidden/>
                <w:rStyle w:val="IndexLink"/>
                <w:rtl w:val="true"/>
              </w:rPr>
              <w:t>فرع اوّل</w:t>
            </w:r>
            <w:r>
              <w:rPr>
                <w:rStyle w:val="IndexLink"/>
                <w:rtl w:val="true"/>
              </w:rPr>
              <w:t xml:space="preserve">: </w:t>
            </w:r>
            <w:r>
              <w:rPr>
                <w:rStyle w:val="IndexLink"/>
                <w:rtl w:val="true"/>
              </w:rPr>
              <w:t>قیام حجّت بر سرقت دوّم قبل از اجرای حدّ</w:t>
            </w:r>
            <w:r>
              <w:rPr>
                <w:rStyle w:val="IndexLink"/>
                <w:rtl w:val="true"/>
              </w:rPr>
              <w:tab/>
            </w:r>
            <w:r>
              <w:rPr>
                <w:rStyle w:val="IndexLink"/>
              </w:rPr>
              <w:t>280</w:t>
            </w:r>
          </w:hyperlink>
        </w:p>
        <w:p>
          <w:pPr>
            <w:pStyle w:val="Contents5"/>
            <w:tabs>
              <w:tab w:val="clear" w:pos="7892"/>
              <w:tab w:val="right" w:pos="9026" w:leader="dot"/>
            </w:tabs>
            <w:rPr/>
          </w:pPr>
          <w:hyperlink w:anchor="__RefHeading___Toc162511_3244359995">
            <w:r>
              <w:rPr>
                <w:webHidden/>
                <w:rStyle w:val="IndexLink"/>
                <w:rtl w:val="true"/>
              </w:rPr>
              <w:t>فرع دوّم</w:t>
            </w:r>
            <w:r>
              <w:rPr>
                <w:rStyle w:val="IndexLink"/>
                <w:rtl w:val="true"/>
              </w:rPr>
              <w:t xml:space="preserve">: </w:t>
            </w:r>
            <w:r>
              <w:rPr>
                <w:rStyle w:val="IndexLink"/>
                <w:rtl w:val="true"/>
              </w:rPr>
              <w:t>قیام حجّت پس از اجرای حدّ</w:t>
            </w:r>
            <w:r>
              <w:rPr>
                <w:rStyle w:val="IndexLink"/>
                <w:rtl w:val="true"/>
              </w:rPr>
              <w:tab/>
            </w:r>
            <w:r>
              <w:rPr>
                <w:rStyle w:val="IndexLink"/>
              </w:rPr>
              <w:t>286</w:t>
            </w:r>
          </w:hyperlink>
        </w:p>
        <w:p>
          <w:pPr>
            <w:pStyle w:val="Contents4"/>
            <w:tabs>
              <w:tab w:val="clear" w:pos="8176"/>
              <w:tab w:val="right" w:pos="9026" w:leader="dot"/>
            </w:tabs>
            <w:rPr/>
          </w:pPr>
          <w:hyperlink w:anchor="__RefHeading___Toc162513_3244359995">
            <w:r>
              <w:rPr>
                <w:webHidden/>
                <w:rStyle w:val="IndexLink"/>
                <w:rtl w:val="true"/>
              </w:rPr>
              <w:t>توقّف اجرای حدّ بر مطالبه‌ی مال‌باخته</w:t>
            </w:r>
            <w:r>
              <w:rPr>
                <w:rStyle w:val="IndexLink"/>
                <w:rtl w:val="true"/>
              </w:rPr>
              <w:tab/>
            </w:r>
            <w:r>
              <w:rPr>
                <w:rStyle w:val="IndexLink"/>
              </w:rPr>
              <w:t>287</w:t>
            </w:r>
          </w:hyperlink>
        </w:p>
        <w:p>
          <w:pPr>
            <w:pStyle w:val="Contents5"/>
            <w:tabs>
              <w:tab w:val="clear" w:pos="7892"/>
              <w:tab w:val="right" w:pos="9026" w:leader="dot"/>
            </w:tabs>
            <w:rPr/>
          </w:pPr>
          <w:hyperlink w:anchor="__RefHeading___Toc162515_3244359995">
            <w:r>
              <w:rPr>
                <w:webHidden/>
                <w:rStyle w:val="IndexLink"/>
                <w:rtl w:val="true"/>
              </w:rPr>
              <w:t>اشاره</w:t>
            </w:r>
            <w:r>
              <w:rPr>
                <w:rStyle w:val="IndexLink"/>
                <w:rtl w:val="true"/>
              </w:rPr>
              <w:tab/>
            </w:r>
            <w:r>
              <w:rPr>
                <w:rStyle w:val="IndexLink"/>
              </w:rPr>
              <w:t>287</w:t>
            </w:r>
          </w:hyperlink>
        </w:p>
        <w:p>
          <w:pPr>
            <w:pStyle w:val="Contents5"/>
            <w:tabs>
              <w:tab w:val="clear" w:pos="7892"/>
              <w:tab w:val="right" w:pos="9026" w:leader="dot"/>
            </w:tabs>
            <w:rPr/>
          </w:pPr>
          <w:hyperlink w:anchor="__RefHeading___Toc162517_3244359995">
            <w:r>
              <w:rPr>
                <w:webHidden/>
                <w:rStyle w:val="IndexLink"/>
                <w:rtl w:val="true"/>
              </w:rPr>
              <w:t>فرع اوّل</w:t>
            </w:r>
            <w:r>
              <w:rPr>
                <w:rStyle w:val="IndexLink"/>
                <w:rtl w:val="true"/>
              </w:rPr>
              <w:t xml:space="preserve">: </w:t>
            </w:r>
            <w:r>
              <w:rPr>
                <w:rStyle w:val="IndexLink"/>
                <w:rtl w:val="true"/>
              </w:rPr>
              <w:t>توقّف اجرای حدّ بر مطالبه‌ی مال‌باخته</w:t>
            </w:r>
            <w:r>
              <w:rPr>
                <w:rStyle w:val="IndexLink"/>
                <w:rtl w:val="true"/>
              </w:rPr>
              <w:tab/>
            </w:r>
            <w:r>
              <w:rPr>
                <w:rStyle w:val="IndexLink"/>
              </w:rPr>
              <w:t>287</w:t>
            </w:r>
          </w:hyperlink>
        </w:p>
        <w:p>
          <w:pPr>
            <w:pStyle w:val="Contents6"/>
            <w:tabs>
              <w:tab w:val="clear" w:pos="7609"/>
              <w:tab w:val="right" w:pos="9026" w:leader="dot"/>
            </w:tabs>
            <w:rPr/>
          </w:pPr>
          <w:hyperlink w:anchor="__RefHeading___Toc162519_3244359995">
            <w:r>
              <w:rPr>
                <w:webHidden/>
                <w:rStyle w:val="IndexLink"/>
                <w:rtl w:val="true"/>
              </w:rPr>
              <w:t>اشاره</w:t>
            </w:r>
            <w:r>
              <w:rPr>
                <w:rStyle w:val="IndexLink"/>
                <w:rtl w:val="true"/>
              </w:rPr>
              <w:tab/>
            </w:r>
            <w:r>
              <w:rPr>
                <w:rStyle w:val="IndexLink"/>
              </w:rPr>
              <w:t>287</w:t>
            </w:r>
          </w:hyperlink>
        </w:p>
        <w:p>
          <w:pPr>
            <w:pStyle w:val="Contents6"/>
            <w:tabs>
              <w:tab w:val="clear" w:pos="7609"/>
              <w:tab w:val="right" w:pos="9026" w:leader="dot"/>
            </w:tabs>
            <w:rPr/>
          </w:pPr>
          <w:hyperlink w:anchor="__RefHeading___Toc162521_3244359995">
            <w:r>
              <w:rPr>
                <w:webHidden/>
                <w:rStyle w:val="IndexLink"/>
                <w:rtl w:val="true"/>
              </w:rPr>
              <w:t>دلیل قول مشهور</w:t>
            </w:r>
            <w:r>
              <w:rPr>
                <w:rStyle w:val="IndexLink"/>
                <w:rtl w:val="true"/>
              </w:rPr>
              <w:tab/>
            </w:r>
            <w:r>
              <w:rPr>
                <w:rStyle w:val="IndexLink"/>
              </w:rPr>
              <w:t>288</w:t>
            </w:r>
          </w:hyperlink>
        </w:p>
        <w:p>
          <w:pPr>
            <w:pStyle w:val="Contents6"/>
            <w:tabs>
              <w:tab w:val="clear" w:pos="7609"/>
              <w:tab w:val="right" w:pos="9026" w:leader="dot"/>
            </w:tabs>
            <w:rPr/>
          </w:pPr>
          <w:hyperlink w:anchor="__RefHeading___Toc162523_3244359995">
            <w:r>
              <w:rPr>
                <w:webHidden/>
                <w:rStyle w:val="IndexLink"/>
                <w:rtl w:val="true"/>
              </w:rPr>
              <w:t>حکم فرع‌های سه‌گانه</w:t>
            </w:r>
            <w:r>
              <w:rPr>
                <w:rStyle w:val="IndexLink"/>
                <w:rtl w:val="true"/>
              </w:rPr>
              <w:tab/>
            </w:r>
            <w:r>
              <w:rPr>
                <w:rStyle w:val="IndexLink"/>
              </w:rPr>
              <w:t>291</w:t>
            </w:r>
          </w:hyperlink>
        </w:p>
        <w:p>
          <w:pPr>
            <w:pStyle w:val="Contents4"/>
            <w:tabs>
              <w:tab w:val="clear" w:pos="8176"/>
              <w:tab w:val="right" w:pos="9026" w:leader="dot"/>
            </w:tabs>
            <w:rPr/>
          </w:pPr>
          <w:hyperlink w:anchor="__RefHeading___Toc162525_3244359995">
            <w:r>
              <w:rPr>
                <w:webHidden/>
                <w:rStyle w:val="IndexLink"/>
                <w:rtl w:val="true"/>
              </w:rPr>
              <w:t>حکم ارجاع مال مسروقه به حرز پس از اخراج</w:t>
            </w:r>
            <w:r>
              <w:rPr>
                <w:rStyle w:val="IndexLink"/>
                <w:rtl w:val="true"/>
              </w:rPr>
              <w:tab/>
            </w:r>
            <w:r>
              <w:rPr>
                <w:rStyle w:val="IndexLink"/>
              </w:rPr>
              <w:t>295</w:t>
            </w:r>
          </w:hyperlink>
        </w:p>
        <w:p>
          <w:pPr>
            <w:pStyle w:val="Contents5"/>
            <w:tabs>
              <w:tab w:val="clear" w:pos="7892"/>
              <w:tab w:val="right" w:pos="9026" w:leader="dot"/>
            </w:tabs>
            <w:rPr/>
          </w:pPr>
          <w:hyperlink w:anchor="__RefHeading___Toc162527_3244359995">
            <w:r>
              <w:rPr>
                <w:webHidden/>
                <w:rStyle w:val="IndexLink"/>
                <w:rtl w:val="true"/>
              </w:rPr>
              <w:t>اشاره</w:t>
            </w:r>
            <w:r>
              <w:rPr>
                <w:rStyle w:val="IndexLink"/>
                <w:rtl w:val="true"/>
              </w:rPr>
              <w:tab/>
            </w:r>
            <w:r>
              <w:rPr>
                <w:rStyle w:val="IndexLink"/>
              </w:rPr>
              <w:t>295</w:t>
            </w:r>
          </w:hyperlink>
        </w:p>
        <w:p>
          <w:pPr>
            <w:pStyle w:val="Contents5"/>
            <w:tabs>
              <w:tab w:val="clear" w:pos="7892"/>
              <w:tab w:val="right" w:pos="9026" w:leader="dot"/>
            </w:tabs>
            <w:rPr/>
          </w:pPr>
          <w:hyperlink w:anchor="__RefHeading___Toc162529_3244359995">
            <w:r>
              <w:rPr>
                <w:webHidden/>
                <w:rStyle w:val="IndexLink"/>
                <w:rtl w:val="true"/>
              </w:rPr>
              <w:t xml:space="preserve">حکم صورت اوّل </w:t>
            </w:r>
            <w:r>
              <w:rPr>
                <w:rStyle w:val="IndexLink"/>
                <w:rtl w:val="true"/>
              </w:rPr>
              <w:t>(</w:t>
            </w:r>
            <w:r>
              <w:rPr>
                <w:rStyle w:val="IndexLink"/>
                <w:rtl w:val="true"/>
              </w:rPr>
              <w:t>قرار گرفتن مال تحت ید مالک</w:t>
            </w:r>
            <w:r>
              <w:rPr>
                <w:rStyle w:val="IndexLink"/>
                <w:rtl w:val="true"/>
              </w:rPr>
              <w:t>)</w:t>
              <w:tab/>
            </w:r>
            <w:r>
              <w:rPr>
                <w:rStyle w:val="IndexLink"/>
              </w:rPr>
              <w:t>295</w:t>
            </w:r>
          </w:hyperlink>
        </w:p>
        <w:p>
          <w:pPr>
            <w:pStyle w:val="Contents5"/>
            <w:tabs>
              <w:tab w:val="clear" w:pos="7892"/>
              <w:tab w:val="right" w:pos="9026" w:leader="dot"/>
            </w:tabs>
            <w:rPr/>
          </w:pPr>
          <w:hyperlink w:anchor="__RefHeading___Toc162531_3244359995">
            <w:r>
              <w:rPr>
                <w:webHidden/>
                <w:rStyle w:val="IndexLink"/>
                <w:rtl w:val="true"/>
              </w:rPr>
              <w:t xml:space="preserve">حکم صورت دوّم </w:t>
            </w:r>
            <w:r>
              <w:rPr>
                <w:rStyle w:val="IndexLink"/>
                <w:rtl w:val="true"/>
              </w:rPr>
              <w:t>(</w:t>
            </w:r>
            <w:r>
              <w:rPr>
                <w:rStyle w:val="IndexLink"/>
                <w:rtl w:val="true"/>
              </w:rPr>
              <w:t>قرار نگرفتن مال تحت ید مالک</w:t>
            </w:r>
            <w:r>
              <w:rPr>
                <w:rStyle w:val="IndexLink"/>
                <w:rtl w:val="true"/>
              </w:rPr>
              <w:t>)</w:t>
              <w:tab/>
            </w:r>
            <w:r>
              <w:rPr>
                <w:rStyle w:val="IndexLink"/>
              </w:rPr>
              <w:t>297</w:t>
            </w:r>
          </w:hyperlink>
        </w:p>
        <w:p>
          <w:pPr>
            <w:pStyle w:val="Contents6"/>
            <w:tabs>
              <w:tab w:val="clear" w:pos="7609"/>
              <w:tab w:val="right" w:pos="9026" w:leader="dot"/>
            </w:tabs>
            <w:rPr/>
          </w:pPr>
          <w:hyperlink w:anchor="__RefHeading___Toc162533_3244359995">
            <w:r>
              <w:rPr>
                <w:webHidden/>
                <w:rStyle w:val="IndexLink"/>
                <w:rtl w:val="true"/>
              </w:rPr>
              <w:t>اشاره</w:t>
            </w:r>
            <w:r>
              <w:rPr>
                <w:rStyle w:val="IndexLink"/>
                <w:rtl w:val="true"/>
              </w:rPr>
              <w:tab/>
            </w:r>
            <w:r>
              <w:rPr>
                <w:rStyle w:val="IndexLink"/>
              </w:rPr>
              <w:t>297</w:t>
            </w:r>
          </w:hyperlink>
        </w:p>
        <w:p>
          <w:pPr>
            <w:pStyle w:val="Contents6"/>
            <w:tabs>
              <w:tab w:val="clear" w:pos="7609"/>
              <w:tab w:val="right" w:pos="9026" w:leader="dot"/>
            </w:tabs>
            <w:rPr/>
          </w:pPr>
          <w:hyperlink w:anchor="__RefHeading___Toc162535_3244359995">
            <w:r>
              <w:rPr>
                <w:webHidden/>
                <w:rStyle w:val="IndexLink"/>
                <w:rtl w:val="true"/>
              </w:rPr>
              <w:t>نقد کلام صاحب جواهر رحمه الله</w:t>
            </w:r>
            <w:r>
              <w:rPr>
                <w:rStyle w:val="IndexLink"/>
                <w:rtl w:val="true"/>
              </w:rPr>
              <w:tab/>
            </w:r>
            <w:r>
              <w:rPr>
                <w:rStyle w:val="IndexLink"/>
              </w:rPr>
              <w:t>297</w:t>
            </w:r>
          </w:hyperlink>
        </w:p>
        <w:p>
          <w:pPr>
            <w:pStyle w:val="Contents4"/>
            <w:tabs>
              <w:tab w:val="clear" w:pos="8176"/>
              <w:tab w:val="right" w:pos="9026" w:leader="dot"/>
            </w:tabs>
            <w:rPr/>
          </w:pPr>
          <w:hyperlink w:anchor="__RefHeading___Toc162537_3244359995">
            <w:r>
              <w:rPr>
                <w:webHidden/>
                <w:rStyle w:val="IndexLink"/>
                <w:rtl w:val="true"/>
              </w:rPr>
              <w:t>صورت‌های هتک حرز اجتماعی و اخراج مال انفرادی</w:t>
            </w:r>
            <w:r>
              <w:rPr>
                <w:rStyle w:val="IndexLink"/>
                <w:rtl w:val="true"/>
              </w:rPr>
              <w:tab/>
            </w:r>
            <w:r>
              <w:rPr>
                <w:rStyle w:val="IndexLink"/>
              </w:rPr>
              <w:t>299</w:t>
            </w:r>
          </w:hyperlink>
        </w:p>
        <w:p>
          <w:pPr>
            <w:pStyle w:val="Contents5"/>
            <w:tabs>
              <w:tab w:val="clear" w:pos="7892"/>
              <w:tab w:val="right" w:pos="9026" w:leader="dot"/>
            </w:tabs>
            <w:rPr/>
          </w:pPr>
          <w:hyperlink w:anchor="__RefHeading___Toc162539_3244359995">
            <w:r>
              <w:rPr>
                <w:webHidden/>
                <w:rStyle w:val="IndexLink"/>
                <w:rtl w:val="true"/>
              </w:rPr>
              <w:t>اشاره</w:t>
            </w:r>
            <w:r>
              <w:rPr>
                <w:rStyle w:val="IndexLink"/>
                <w:rtl w:val="true"/>
              </w:rPr>
              <w:tab/>
            </w:r>
            <w:r>
              <w:rPr>
                <w:rStyle w:val="IndexLink"/>
              </w:rPr>
              <w:t>299</w:t>
            </w:r>
          </w:hyperlink>
        </w:p>
        <w:p>
          <w:pPr>
            <w:pStyle w:val="Contents5"/>
            <w:tabs>
              <w:tab w:val="clear" w:pos="7892"/>
              <w:tab w:val="right" w:pos="9026" w:leader="dot"/>
            </w:tabs>
            <w:rPr/>
          </w:pPr>
          <w:hyperlink w:anchor="__RefHeading___Toc162541_3244359995">
            <w:r>
              <w:rPr>
                <w:webHidden/>
                <w:rStyle w:val="IndexLink"/>
                <w:rtl w:val="true"/>
              </w:rPr>
              <w:t>صورت اوّل</w:t>
            </w:r>
            <w:r>
              <w:rPr>
                <w:rStyle w:val="IndexLink"/>
                <w:rtl w:val="true"/>
              </w:rPr>
              <w:t xml:space="preserve">: </w:t>
            </w:r>
            <w:r>
              <w:rPr>
                <w:rStyle w:val="IndexLink"/>
                <w:rtl w:val="true"/>
              </w:rPr>
              <w:t>اخراج مال توسّط یک نفر</w:t>
            </w:r>
            <w:r>
              <w:rPr>
                <w:rStyle w:val="IndexLink"/>
                <w:rtl w:val="true"/>
              </w:rPr>
              <w:tab/>
            </w:r>
            <w:r>
              <w:rPr>
                <w:rStyle w:val="IndexLink"/>
              </w:rPr>
              <w:t>300</w:t>
            </w:r>
          </w:hyperlink>
        </w:p>
        <w:p>
          <w:pPr>
            <w:pStyle w:val="Contents5"/>
            <w:tabs>
              <w:tab w:val="clear" w:pos="7892"/>
              <w:tab w:val="right" w:pos="9026" w:leader="dot"/>
            </w:tabs>
            <w:rPr/>
          </w:pPr>
          <w:hyperlink w:anchor="__RefHeading___Toc162543_3244359995">
            <w:r>
              <w:rPr>
                <w:webHidden/>
                <w:rStyle w:val="IndexLink"/>
                <w:rtl w:val="true"/>
              </w:rPr>
              <w:t>صورت دوّم</w:t>
            </w:r>
            <w:r>
              <w:rPr>
                <w:rStyle w:val="IndexLink"/>
                <w:rtl w:val="true"/>
              </w:rPr>
              <w:t xml:space="preserve">: </w:t>
            </w:r>
            <w:r>
              <w:rPr>
                <w:rStyle w:val="IndexLink"/>
                <w:rtl w:val="true"/>
              </w:rPr>
              <w:t>نزدیک کردن مال به درب حرز و اخراج توسّط دیگری</w:t>
            </w:r>
            <w:r>
              <w:rPr>
                <w:rStyle w:val="IndexLink"/>
                <w:rtl w:val="true"/>
              </w:rPr>
              <w:tab/>
            </w:r>
            <w:r>
              <w:rPr>
                <w:rStyle w:val="IndexLink"/>
              </w:rPr>
              <w:t>301</w:t>
            </w:r>
          </w:hyperlink>
        </w:p>
        <w:p>
          <w:pPr>
            <w:pStyle w:val="Contents5"/>
            <w:tabs>
              <w:tab w:val="clear" w:pos="7892"/>
              <w:tab w:val="right" w:pos="9026" w:leader="dot"/>
            </w:tabs>
            <w:rPr/>
          </w:pPr>
          <w:hyperlink w:anchor="__RefHeading___Toc162545_3244359995">
            <w:r>
              <w:rPr>
                <w:webHidden/>
                <w:rStyle w:val="IndexLink"/>
                <w:rtl w:val="true"/>
              </w:rPr>
              <w:t>صورت سوّم</w:t>
            </w:r>
            <w:r>
              <w:rPr>
                <w:rStyle w:val="IndexLink"/>
                <w:rtl w:val="true"/>
              </w:rPr>
              <w:t xml:space="preserve">: </w:t>
            </w:r>
            <w:r>
              <w:rPr>
                <w:rStyle w:val="IndexLink"/>
                <w:rtl w:val="true"/>
              </w:rPr>
              <w:t>آوردن مال تا وسط نقب و اخراج توسط دیگری</w:t>
            </w:r>
            <w:r>
              <w:rPr>
                <w:rStyle w:val="IndexLink"/>
                <w:rtl w:val="true"/>
              </w:rPr>
              <w:tab/>
            </w:r>
            <w:r>
              <w:rPr>
                <w:rStyle w:val="IndexLink"/>
              </w:rPr>
              <w:t>301</w:t>
            </w:r>
          </w:hyperlink>
        </w:p>
        <w:p>
          <w:pPr>
            <w:pStyle w:val="Contents5"/>
            <w:tabs>
              <w:tab w:val="clear" w:pos="7892"/>
              <w:tab w:val="right" w:pos="9026" w:leader="dot"/>
            </w:tabs>
            <w:rPr/>
          </w:pPr>
          <w:hyperlink w:anchor="__RefHeading___Toc162547_3244359995">
            <w:r>
              <w:rPr>
                <w:webHidden/>
                <w:rStyle w:val="IndexLink"/>
                <w:rtl w:val="true"/>
              </w:rPr>
              <w:t>صورت چهارم</w:t>
            </w:r>
            <w:r>
              <w:rPr>
                <w:rStyle w:val="IndexLink"/>
                <w:rtl w:val="true"/>
              </w:rPr>
              <w:t xml:space="preserve">: </w:t>
            </w:r>
            <w:r>
              <w:rPr>
                <w:rStyle w:val="IndexLink"/>
                <w:rtl w:val="true"/>
              </w:rPr>
              <w:t>بردن مال از بین درب خانه</w:t>
            </w:r>
            <w:r>
              <w:rPr>
                <w:rStyle w:val="IndexLink"/>
                <w:rtl w:val="true"/>
              </w:rPr>
              <w:tab/>
            </w:r>
            <w:r>
              <w:rPr>
                <w:rStyle w:val="IndexLink"/>
              </w:rPr>
              <w:t>304</w:t>
            </w:r>
          </w:hyperlink>
        </w:p>
        <w:p>
          <w:pPr>
            <w:pStyle w:val="Contents4"/>
            <w:tabs>
              <w:tab w:val="clear" w:pos="8176"/>
              <w:tab w:val="right" w:pos="9026" w:leader="dot"/>
            </w:tabs>
            <w:rPr/>
          </w:pPr>
          <w:hyperlink w:anchor="__RefHeading___Toc162549_3244359995">
            <w:r>
              <w:rPr>
                <w:webHidden/>
                <w:rStyle w:val="IndexLink"/>
                <w:rtl w:val="true"/>
              </w:rPr>
              <w:t>حکم اخراج نصاب در چند سرقت</w:t>
            </w:r>
            <w:r>
              <w:rPr>
                <w:rStyle w:val="IndexLink"/>
                <w:rtl w:val="true"/>
              </w:rPr>
              <w:tab/>
            </w:r>
            <w:r>
              <w:rPr>
                <w:rStyle w:val="IndexLink"/>
              </w:rPr>
              <w:t>306</w:t>
            </w:r>
          </w:hyperlink>
        </w:p>
        <w:p>
          <w:pPr>
            <w:pStyle w:val="Contents4"/>
            <w:tabs>
              <w:tab w:val="clear" w:pos="8176"/>
              <w:tab w:val="right" w:pos="9026" w:leader="dot"/>
            </w:tabs>
            <w:rPr/>
          </w:pPr>
          <w:hyperlink w:anchor="__RefHeading___Toc162551_3244359995">
            <w:r>
              <w:rPr>
                <w:webHidden/>
                <w:rStyle w:val="IndexLink"/>
                <w:rtl w:val="true"/>
              </w:rPr>
              <w:t>حکم دستگیری سارق در حرز</w:t>
            </w:r>
            <w:r>
              <w:rPr>
                <w:rStyle w:val="IndexLink"/>
                <w:rtl w:val="true"/>
              </w:rPr>
              <w:tab/>
            </w:r>
            <w:r>
              <w:rPr>
                <w:rStyle w:val="IndexLink"/>
              </w:rPr>
              <w:t>311</w:t>
            </w:r>
          </w:hyperlink>
        </w:p>
        <w:p>
          <w:pPr>
            <w:pStyle w:val="Contents5"/>
            <w:tabs>
              <w:tab w:val="clear" w:pos="7892"/>
              <w:tab w:val="right" w:pos="9026" w:leader="dot"/>
            </w:tabs>
            <w:rPr/>
          </w:pPr>
          <w:hyperlink w:anchor="__RefHeading___Toc162553_3244359995">
            <w:r>
              <w:rPr>
                <w:webHidden/>
                <w:rStyle w:val="IndexLink"/>
                <w:rtl w:val="true"/>
              </w:rPr>
              <w:t>اشاره</w:t>
            </w:r>
            <w:r>
              <w:rPr>
                <w:rStyle w:val="IndexLink"/>
                <w:rtl w:val="true"/>
              </w:rPr>
              <w:tab/>
            </w:r>
            <w:r>
              <w:rPr>
                <w:rStyle w:val="IndexLink"/>
              </w:rPr>
              <w:t>311</w:t>
            </w:r>
          </w:hyperlink>
        </w:p>
        <w:p>
          <w:pPr>
            <w:pStyle w:val="Contents5"/>
            <w:tabs>
              <w:tab w:val="clear" w:pos="7892"/>
              <w:tab w:val="right" w:pos="9026" w:leader="dot"/>
            </w:tabs>
            <w:rPr/>
          </w:pPr>
          <w:hyperlink w:anchor="__RefHeading___Toc162555_3244359995">
            <w:r>
              <w:rPr>
                <w:webHidden/>
                <w:rStyle w:val="IndexLink"/>
                <w:rtl w:val="true"/>
              </w:rPr>
              <w:t>فرع اوّل</w:t>
            </w:r>
            <w:r>
              <w:rPr>
                <w:rStyle w:val="IndexLink"/>
                <w:rtl w:val="true"/>
              </w:rPr>
              <w:t xml:space="preserve">: </w:t>
            </w:r>
            <w:r>
              <w:rPr>
                <w:rStyle w:val="IndexLink"/>
                <w:rtl w:val="true"/>
              </w:rPr>
              <w:t>دستگیری در حرز</w:t>
            </w:r>
            <w:r>
              <w:rPr>
                <w:rStyle w:val="IndexLink"/>
                <w:rtl w:val="true"/>
              </w:rPr>
              <w:tab/>
            </w:r>
            <w:r>
              <w:rPr>
                <w:rStyle w:val="IndexLink"/>
              </w:rPr>
              <w:t>311</w:t>
            </w:r>
          </w:hyperlink>
        </w:p>
        <w:p>
          <w:pPr>
            <w:pStyle w:val="Contents5"/>
            <w:tabs>
              <w:tab w:val="clear" w:pos="7892"/>
              <w:tab w:val="right" w:pos="9026" w:leader="dot"/>
            </w:tabs>
            <w:rPr/>
          </w:pPr>
          <w:hyperlink w:anchor="__RefHeading___Toc162557_3244359995">
            <w:r>
              <w:rPr>
                <w:webHidden/>
                <w:rStyle w:val="IndexLink"/>
                <w:rtl w:val="true"/>
              </w:rPr>
              <w:t>فرع دوّم</w:t>
            </w:r>
            <w:r>
              <w:rPr>
                <w:rStyle w:val="IndexLink"/>
                <w:rtl w:val="true"/>
              </w:rPr>
              <w:t xml:space="preserve">: </w:t>
            </w:r>
            <w:r>
              <w:rPr>
                <w:rStyle w:val="IndexLink"/>
                <w:rtl w:val="true"/>
              </w:rPr>
              <w:t>احداث نقص در مال مسروقه</w:t>
            </w:r>
            <w:r>
              <w:rPr>
                <w:rStyle w:val="IndexLink"/>
                <w:rtl w:val="true"/>
              </w:rPr>
              <w:tab/>
            </w:r>
            <w:r>
              <w:rPr>
                <w:rStyle w:val="IndexLink"/>
              </w:rPr>
              <w:t>313</w:t>
            </w:r>
          </w:hyperlink>
        </w:p>
        <w:p>
          <w:pPr>
            <w:pStyle w:val="Contents5"/>
            <w:tabs>
              <w:tab w:val="clear" w:pos="7892"/>
              <w:tab w:val="right" w:pos="9026" w:leader="dot"/>
            </w:tabs>
            <w:rPr/>
          </w:pPr>
          <w:hyperlink w:anchor="__RefHeading___Toc162559_3244359995">
            <w:r>
              <w:rPr>
                <w:webHidden/>
                <w:rStyle w:val="IndexLink"/>
                <w:rtl w:val="true"/>
              </w:rPr>
              <w:t>فرع سوّم</w:t>
            </w:r>
            <w:r>
              <w:rPr>
                <w:rStyle w:val="IndexLink"/>
                <w:rtl w:val="true"/>
              </w:rPr>
              <w:t xml:space="preserve">: </w:t>
            </w:r>
            <w:r>
              <w:rPr>
                <w:rStyle w:val="IndexLink"/>
                <w:rtl w:val="true"/>
              </w:rPr>
              <w:t>سقوط از حدّ نصاب پس از اخراج</w:t>
            </w:r>
            <w:r>
              <w:rPr>
                <w:rStyle w:val="IndexLink"/>
                <w:rtl w:val="true"/>
              </w:rPr>
              <w:tab/>
            </w:r>
            <w:r>
              <w:rPr>
                <w:rStyle w:val="IndexLink"/>
              </w:rPr>
              <w:t>313</w:t>
            </w:r>
          </w:hyperlink>
        </w:p>
        <w:p>
          <w:pPr>
            <w:pStyle w:val="Contents4"/>
            <w:tabs>
              <w:tab w:val="clear" w:pos="8176"/>
              <w:tab w:val="right" w:pos="9026" w:leader="dot"/>
            </w:tabs>
            <w:rPr/>
          </w:pPr>
          <w:hyperlink w:anchor="__RefHeading___Toc162561_3244359995">
            <w:r>
              <w:rPr>
                <w:webHidden/>
                <w:rStyle w:val="IndexLink"/>
                <w:rtl w:val="true"/>
              </w:rPr>
              <w:t>حکم صورت‌های بلعیدن مال مسروقه</w:t>
            </w:r>
            <w:r>
              <w:rPr>
                <w:rStyle w:val="IndexLink"/>
                <w:rtl w:val="true"/>
              </w:rPr>
              <w:tab/>
            </w:r>
            <w:r>
              <w:rPr>
                <w:rStyle w:val="IndexLink"/>
              </w:rPr>
              <w:t>315</w:t>
            </w:r>
          </w:hyperlink>
        </w:p>
        <w:p>
          <w:pPr>
            <w:pStyle w:val="Contents5"/>
            <w:tabs>
              <w:tab w:val="clear" w:pos="7892"/>
              <w:tab w:val="right" w:pos="9026" w:leader="dot"/>
            </w:tabs>
            <w:rPr/>
          </w:pPr>
          <w:hyperlink w:anchor="__RefHeading___Toc162563_3244359995">
            <w:r>
              <w:rPr>
                <w:webHidden/>
                <w:rStyle w:val="IndexLink"/>
                <w:rtl w:val="true"/>
              </w:rPr>
              <w:t>اشاره</w:t>
            </w:r>
            <w:r>
              <w:rPr>
                <w:rStyle w:val="IndexLink"/>
                <w:rtl w:val="true"/>
              </w:rPr>
              <w:tab/>
            </w:r>
            <w:r>
              <w:rPr>
                <w:rStyle w:val="IndexLink"/>
              </w:rPr>
              <w:t>315</w:t>
            </w:r>
          </w:hyperlink>
        </w:p>
        <w:p>
          <w:pPr>
            <w:pStyle w:val="Contents5"/>
            <w:tabs>
              <w:tab w:val="clear" w:pos="7892"/>
              <w:tab w:val="right" w:pos="9026" w:leader="dot"/>
            </w:tabs>
            <w:rPr/>
          </w:pPr>
          <w:hyperlink w:anchor="__RefHeading___Toc162565_3244359995">
            <w:r>
              <w:rPr>
                <w:webHidden/>
                <w:rStyle w:val="IndexLink"/>
                <w:rtl w:val="true"/>
              </w:rPr>
              <w:t>صورت اوّل</w:t>
            </w:r>
            <w:r>
              <w:rPr>
                <w:rStyle w:val="IndexLink"/>
                <w:rtl w:val="true"/>
              </w:rPr>
              <w:t xml:space="preserve">: </w:t>
            </w:r>
            <w:r>
              <w:rPr>
                <w:rStyle w:val="IndexLink"/>
                <w:rtl w:val="true"/>
              </w:rPr>
              <w:t>استهلاک مال مسروقه به بلعیدن</w:t>
            </w:r>
            <w:r>
              <w:rPr>
                <w:rStyle w:val="IndexLink"/>
                <w:rtl w:val="true"/>
              </w:rPr>
              <w:tab/>
            </w:r>
            <w:r>
              <w:rPr>
                <w:rStyle w:val="IndexLink"/>
              </w:rPr>
              <w:t>315</w:t>
            </w:r>
          </w:hyperlink>
        </w:p>
        <w:p>
          <w:pPr>
            <w:pStyle w:val="Contents5"/>
            <w:tabs>
              <w:tab w:val="clear" w:pos="7892"/>
              <w:tab w:val="right" w:pos="9026" w:leader="dot"/>
            </w:tabs>
            <w:rPr/>
          </w:pPr>
          <w:hyperlink w:anchor="__RefHeading___Toc162567_3244359995">
            <w:r>
              <w:rPr>
                <w:webHidden/>
                <w:rStyle w:val="IndexLink"/>
                <w:rtl w:val="true"/>
              </w:rPr>
              <w:t>صورت دوّم</w:t>
            </w:r>
            <w:r>
              <w:rPr>
                <w:rStyle w:val="IndexLink"/>
                <w:rtl w:val="true"/>
              </w:rPr>
              <w:t xml:space="preserve">: </w:t>
            </w:r>
            <w:r>
              <w:rPr>
                <w:rStyle w:val="IndexLink"/>
                <w:rtl w:val="true"/>
              </w:rPr>
              <w:t>تعذّر اخراج مال بلعیده شده</w:t>
            </w:r>
            <w:r>
              <w:rPr>
                <w:rStyle w:val="IndexLink"/>
                <w:rtl w:val="true"/>
              </w:rPr>
              <w:tab/>
            </w:r>
            <w:r>
              <w:rPr>
                <w:rStyle w:val="IndexLink"/>
              </w:rPr>
              <w:t>316</w:t>
            </w:r>
          </w:hyperlink>
        </w:p>
        <w:p>
          <w:pPr>
            <w:pStyle w:val="Contents5"/>
            <w:tabs>
              <w:tab w:val="clear" w:pos="7892"/>
              <w:tab w:val="right" w:pos="9026" w:leader="dot"/>
            </w:tabs>
            <w:rPr/>
          </w:pPr>
          <w:hyperlink w:anchor="__RefHeading___Toc162569_3244359995">
            <w:r>
              <w:rPr>
                <w:webHidden/>
                <w:rStyle w:val="IndexLink"/>
                <w:rtl w:val="true"/>
              </w:rPr>
              <w:t>صورت سوّم</w:t>
            </w:r>
            <w:r>
              <w:rPr>
                <w:rStyle w:val="IndexLink"/>
                <w:rtl w:val="true"/>
              </w:rPr>
              <w:t xml:space="preserve">: </w:t>
            </w:r>
            <w:r>
              <w:rPr>
                <w:rStyle w:val="IndexLink"/>
                <w:rtl w:val="true"/>
              </w:rPr>
              <w:t>امکان اخراج مال بلعیده شده</w:t>
            </w:r>
            <w:r>
              <w:rPr>
                <w:rStyle w:val="IndexLink"/>
                <w:rtl w:val="true"/>
              </w:rPr>
              <w:tab/>
            </w:r>
            <w:r>
              <w:rPr>
                <w:rStyle w:val="IndexLink"/>
              </w:rPr>
              <w:t>316</w:t>
            </w:r>
          </w:hyperlink>
        </w:p>
        <w:p>
          <w:pPr>
            <w:pStyle w:val="Contents2"/>
            <w:tabs>
              <w:tab w:val="clear" w:pos="8743"/>
              <w:tab w:val="right" w:pos="9026" w:leader="dot"/>
            </w:tabs>
            <w:rPr/>
          </w:pPr>
          <w:hyperlink w:anchor="__RefHeading___Toc162571_3244359995">
            <w:r>
              <w:rPr>
                <w:webHidden/>
                <w:rStyle w:val="IndexLink"/>
                <w:rtl w:val="true"/>
              </w:rPr>
              <w:t>بخش پنجم</w:t>
            </w:r>
            <w:r>
              <w:rPr>
                <w:rStyle w:val="IndexLink"/>
                <w:rtl w:val="true"/>
              </w:rPr>
              <w:t xml:space="preserve">: </w:t>
            </w:r>
            <w:r>
              <w:rPr>
                <w:rStyle w:val="IndexLink"/>
                <w:rtl w:val="true"/>
              </w:rPr>
              <w:t>در حدّ محارب</w:t>
            </w:r>
            <w:r>
              <w:rPr>
                <w:rStyle w:val="IndexLink"/>
                <w:rtl w:val="true"/>
              </w:rPr>
              <w:tab/>
            </w:r>
            <w:r>
              <w:rPr>
                <w:rStyle w:val="IndexLink"/>
              </w:rPr>
              <w:t>318</w:t>
            </w:r>
          </w:hyperlink>
        </w:p>
        <w:p>
          <w:pPr>
            <w:pStyle w:val="Contents3"/>
            <w:tabs>
              <w:tab w:val="clear" w:pos="8459"/>
              <w:tab w:val="right" w:pos="9026" w:leader="dot"/>
            </w:tabs>
            <w:rPr/>
          </w:pPr>
          <w:hyperlink w:anchor="__RefHeading___Toc162573_3244359995">
            <w:r>
              <w:rPr>
                <w:webHidden/>
                <w:rStyle w:val="IndexLink"/>
                <w:rtl w:val="true"/>
              </w:rPr>
              <w:t>اشاره</w:t>
            </w:r>
            <w:r>
              <w:rPr>
                <w:rStyle w:val="IndexLink"/>
                <w:rtl w:val="true"/>
              </w:rPr>
              <w:tab/>
            </w:r>
            <w:r>
              <w:rPr>
                <w:rStyle w:val="IndexLink"/>
              </w:rPr>
              <w:t>318</w:t>
            </w:r>
          </w:hyperlink>
        </w:p>
        <w:p>
          <w:pPr>
            <w:pStyle w:val="Contents3"/>
            <w:tabs>
              <w:tab w:val="clear" w:pos="8459"/>
              <w:tab w:val="right" w:pos="9026" w:leader="dot"/>
            </w:tabs>
            <w:rPr/>
          </w:pPr>
          <w:hyperlink w:anchor="__RefHeading___Toc162575_3244359995">
            <w:r>
              <w:rPr>
                <w:webHidden/>
                <w:rStyle w:val="IndexLink"/>
                <w:rtl w:val="true"/>
              </w:rPr>
              <w:t>تعریف محارب</w:t>
            </w:r>
            <w:r>
              <w:rPr>
                <w:rStyle w:val="IndexLink"/>
                <w:rtl w:val="true"/>
              </w:rPr>
              <w:tab/>
            </w:r>
            <w:r>
              <w:rPr>
                <w:rStyle w:val="IndexLink"/>
              </w:rPr>
              <w:t>319</w:t>
            </w:r>
          </w:hyperlink>
        </w:p>
        <w:p>
          <w:pPr>
            <w:pStyle w:val="Contents4"/>
            <w:tabs>
              <w:tab w:val="clear" w:pos="8176"/>
              <w:tab w:val="right" w:pos="9026" w:leader="dot"/>
            </w:tabs>
            <w:rPr/>
          </w:pPr>
          <w:hyperlink w:anchor="__RefHeading___Toc162577_3244359995">
            <w:r>
              <w:rPr>
                <w:webHidden/>
                <w:rStyle w:val="IndexLink"/>
                <w:rtl w:val="true"/>
              </w:rPr>
              <w:t>اشاره</w:t>
            </w:r>
            <w:r>
              <w:rPr>
                <w:rStyle w:val="IndexLink"/>
                <w:rtl w:val="true"/>
              </w:rPr>
              <w:tab/>
            </w:r>
            <w:r>
              <w:rPr>
                <w:rStyle w:val="IndexLink"/>
              </w:rPr>
              <w:t>319</w:t>
            </w:r>
          </w:hyperlink>
        </w:p>
        <w:p>
          <w:pPr>
            <w:pStyle w:val="Contents4"/>
            <w:tabs>
              <w:tab w:val="clear" w:pos="8176"/>
              <w:tab w:val="right" w:pos="9026" w:leader="dot"/>
            </w:tabs>
            <w:rPr/>
          </w:pPr>
          <w:hyperlink w:anchor="__RefHeading___Toc162579_3244359995">
            <w:r>
              <w:rPr>
                <w:webHidden/>
                <w:rStyle w:val="IndexLink"/>
                <w:rtl w:val="true"/>
              </w:rPr>
              <w:t>مقدّمه</w:t>
            </w:r>
            <w:r>
              <w:rPr>
                <w:rStyle w:val="IndexLink"/>
                <w:rtl w:val="true"/>
              </w:rPr>
              <w:tab/>
            </w:r>
            <w:r>
              <w:rPr>
                <w:rStyle w:val="IndexLink"/>
              </w:rPr>
              <w:t>319</w:t>
            </w:r>
          </w:hyperlink>
        </w:p>
        <w:p>
          <w:pPr>
            <w:pStyle w:val="Contents4"/>
            <w:tabs>
              <w:tab w:val="clear" w:pos="8176"/>
              <w:tab w:val="right" w:pos="9026" w:leader="dot"/>
            </w:tabs>
            <w:rPr/>
          </w:pPr>
          <w:hyperlink w:anchor="__RefHeading___Toc162581_3244359995">
            <w:r>
              <w:rPr>
                <w:webHidden/>
                <w:rStyle w:val="IndexLink"/>
                <w:rtl w:val="true"/>
              </w:rPr>
              <w:t>محارب کیست؟</w:t>
            </w:r>
            <w:r>
              <w:rPr>
                <w:rStyle w:val="IndexLink"/>
                <w:rtl w:val="true"/>
              </w:rPr>
              <w:tab/>
            </w:r>
            <w:r>
              <w:rPr>
                <w:rStyle w:val="IndexLink"/>
              </w:rPr>
              <w:t>323</w:t>
            </w:r>
          </w:hyperlink>
        </w:p>
        <w:p>
          <w:pPr>
            <w:pStyle w:val="Contents4"/>
            <w:tabs>
              <w:tab w:val="clear" w:pos="8176"/>
              <w:tab w:val="right" w:pos="9026" w:leader="dot"/>
            </w:tabs>
            <w:rPr/>
          </w:pPr>
          <w:hyperlink w:anchor="__RefHeading___Toc162583_3244359995">
            <w:r>
              <w:rPr>
                <w:webHidden/>
                <w:rStyle w:val="IndexLink"/>
                <w:rtl w:val="true"/>
              </w:rPr>
              <w:t>مراد از سلاح در تعریف محارب</w:t>
            </w:r>
            <w:r>
              <w:rPr>
                <w:rStyle w:val="IndexLink"/>
                <w:rtl w:val="true"/>
              </w:rPr>
              <w:tab/>
            </w:r>
            <w:r>
              <w:rPr>
                <w:rStyle w:val="IndexLink"/>
              </w:rPr>
              <w:t>324</w:t>
            </w:r>
          </w:hyperlink>
        </w:p>
        <w:p>
          <w:pPr>
            <w:pStyle w:val="Contents4"/>
            <w:tabs>
              <w:tab w:val="clear" w:pos="8176"/>
              <w:tab w:val="right" w:pos="9026" w:leader="dot"/>
            </w:tabs>
            <w:rPr/>
          </w:pPr>
          <w:hyperlink w:anchor="__RefHeading___Toc162585_3244359995">
            <w:r>
              <w:rPr>
                <w:webHidden/>
                <w:rStyle w:val="IndexLink"/>
                <w:rtl w:val="true"/>
              </w:rPr>
              <w:t>مقصود از ترساندن مردم</w:t>
            </w:r>
            <w:r>
              <w:rPr>
                <w:rStyle w:val="IndexLink"/>
                <w:rtl w:val="true"/>
              </w:rPr>
              <w:tab/>
            </w:r>
            <w:r>
              <w:rPr>
                <w:rStyle w:val="IndexLink"/>
              </w:rPr>
              <w:t>326</w:t>
            </w:r>
          </w:hyperlink>
        </w:p>
        <w:p>
          <w:pPr>
            <w:pStyle w:val="Contents4"/>
            <w:tabs>
              <w:tab w:val="clear" w:pos="8176"/>
              <w:tab w:val="right" w:pos="9026" w:leader="dot"/>
            </w:tabs>
            <w:rPr/>
          </w:pPr>
          <w:hyperlink w:anchor="__RefHeading___Toc162587_3244359995">
            <w:r>
              <w:rPr>
                <w:webHidden/>
                <w:rStyle w:val="IndexLink"/>
                <w:rtl w:val="true"/>
              </w:rPr>
              <w:t>کیفیّت اخافه‌ی مأخوذ در تعریف</w:t>
            </w:r>
            <w:r>
              <w:rPr>
                <w:rStyle w:val="IndexLink"/>
                <w:rtl w:val="true"/>
              </w:rPr>
              <w:tab/>
            </w:r>
            <w:r>
              <w:rPr>
                <w:rStyle w:val="IndexLink"/>
              </w:rPr>
              <w:t>327</w:t>
            </w:r>
          </w:hyperlink>
        </w:p>
        <w:p>
          <w:pPr>
            <w:pStyle w:val="Contents4"/>
            <w:tabs>
              <w:tab w:val="clear" w:pos="8176"/>
              <w:tab w:val="right" w:pos="9026" w:leader="dot"/>
            </w:tabs>
            <w:rPr/>
          </w:pPr>
          <w:hyperlink w:anchor="__RefHeading___Toc162589_3244359995">
            <w:r>
              <w:rPr>
                <w:webHidden/>
                <w:rStyle w:val="IndexLink"/>
                <w:rtl w:val="true"/>
              </w:rPr>
              <w:t>تعمیم محاربه به دریا و خشکی، شهر و بیابان، شب و روز</w:t>
            </w:r>
            <w:r>
              <w:rPr>
                <w:rStyle w:val="IndexLink"/>
                <w:rtl w:val="true"/>
              </w:rPr>
              <w:tab/>
            </w:r>
            <w:r>
              <w:rPr>
                <w:rStyle w:val="IndexLink"/>
              </w:rPr>
              <w:t>328</w:t>
            </w:r>
          </w:hyperlink>
        </w:p>
        <w:p>
          <w:pPr>
            <w:pStyle w:val="Contents4"/>
            <w:tabs>
              <w:tab w:val="clear" w:pos="8176"/>
              <w:tab w:val="right" w:pos="9026" w:leader="dot"/>
            </w:tabs>
            <w:rPr/>
          </w:pPr>
          <w:hyperlink w:anchor="__RefHeading___Toc162591_3244359995">
            <w:r>
              <w:rPr>
                <w:webHidden/>
                <w:rStyle w:val="IndexLink"/>
                <w:rtl w:val="true"/>
              </w:rPr>
              <w:t>عدم اشتراط بودن از اهل ریبه</w:t>
            </w:r>
            <w:r>
              <w:rPr>
                <w:rStyle w:val="IndexLink"/>
                <w:rtl w:val="true"/>
              </w:rPr>
              <w:tab/>
            </w:r>
            <w:r>
              <w:rPr>
                <w:rStyle w:val="IndexLink"/>
              </w:rPr>
              <w:t>330</w:t>
            </w:r>
          </w:hyperlink>
        </w:p>
        <w:p>
          <w:pPr>
            <w:pStyle w:val="Contents4"/>
            <w:tabs>
              <w:tab w:val="clear" w:pos="8176"/>
              <w:tab w:val="right" w:pos="9026" w:leader="dot"/>
            </w:tabs>
            <w:rPr/>
          </w:pPr>
          <w:hyperlink w:anchor="__RefHeading___Toc162593_3244359995">
            <w:r>
              <w:rPr>
                <w:webHidden/>
                <w:rStyle w:val="IndexLink"/>
                <w:rtl w:val="true"/>
              </w:rPr>
              <w:t>تعمیم عنوان محارب نسبت به زن و مرد</w:t>
            </w:r>
            <w:r>
              <w:rPr>
                <w:rStyle w:val="IndexLink"/>
                <w:rtl w:val="true"/>
              </w:rPr>
              <w:tab/>
            </w:r>
            <w:r>
              <w:rPr>
                <w:rStyle w:val="IndexLink"/>
              </w:rPr>
              <w:t>331</w:t>
            </w:r>
          </w:hyperlink>
        </w:p>
        <w:p>
          <w:pPr>
            <w:pStyle w:val="Contents3"/>
            <w:tabs>
              <w:tab w:val="clear" w:pos="8459"/>
              <w:tab w:val="right" w:pos="9026" w:leader="dot"/>
            </w:tabs>
            <w:rPr/>
          </w:pPr>
          <w:hyperlink w:anchor="__RefHeading___Toc162595_3244359995">
            <w:r>
              <w:rPr>
                <w:webHidden/>
                <w:rStyle w:val="IndexLink"/>
                <w:rtl w:val="true"/>
              </w:rPr>
              <w:t>موارد عدم ثبوت حدّ محارب</w:t>
            </w:r>
            <w:r>
              <w:rPr>
                <w:rStyle w:val="IndexLink"/>
                <w:rtl w:val="true"/>
              </w:rPr>
              <w:tab/>
            </w:r>
            <w:r>
              <w:rPr>
                <w:rStyle w:val="IndexLink"/>
              </w:rPr>
              <w:t>333</w:t>
            </w:r>
          </w:hyperlink>
        </w:p>
        <w:p>
          <w:pPr>
            <w:pStyle w:val="Contents4"/>
            <w:tabs>
              <w:tab w:val="clear" w:pos="8176"/>
              <w:tab w:val="right" w:pos="9026" w:leader="dot"/>
            </w:tabs>
            <w:rPr/>
          </w:pPr>
          <w:hyperlink w:anchor="__RefHeading___Toc162597_3244359995">
            <w:r>
              <w:rPr>
                <w:webHidden/>
                <w:rStyle w:val="IndexLink"/>
                <w:rtl w:val="true"/>
              </w:rPr>
              <w:t>اشاره</w:t>
            </w:r>
            <w:r>
              <w:rPr>
                <w:rStyle w:val="IndexLink"/>
                <w:rtl w:val="true"/>
              </w:rPr>
              <w:tab/>
            </w:r>
            <w:r>
              <w:rPr>
                <w:rStyle w:val="IndexLink"/>
              </w:rPr>
              <w:t>333</w:t>
            </w:r>
          </w:hyperlink>
        </w:p>
        <w:p>
          <w:pPr>
            <w:pStyle w:val="Contents4"/>
            <w:tabs>
              <w:tab w:val="clear" w:pos="8176"/>
              <w:tab w:val="right" w:pos="9026" w:leader="dot"/>
            </w:tabs>
            <w:rPr/>
          </w:pPr>
          <w:hyperlink w:anchor="__RefHeading___Toc162599_3244359995">
            <w:r>
              <w:rPr>
                <w:webHidden/>
                <w:rStyle w:val="IndexLink"/>
                <w:rtl w:val="true"/>
              </w:rPr>
              <w:t>بیان دو اشکال در عبارت شرایع و تحریرالوسیله</w:t>
            </w:r>
            <w:r>
              <w:rPr>
                <w:rStyle w:val="IndexLink"/>
                <w:rtl w:val="true"/>
              </w:rPr>
              <w:tab/>
            </w:r>
            <w:r>
              <w:rPr>
                <w:rStyle w:val="IndexLink"/>
              </w:rPr>
              <w:t>333</w:t>
            </w:r>
          </w:hyperlink>
        </w:p>
        <w:p>
          <w:pPr>
            <w:pStyle w:val="Contents4"/>
            <w:tabs>
              <w:tab w:val="clear" w:pos="8176"/>
              <w:tab w:val="right" w:pos="9026" w:leader="dot"/>
            </w:tabs>
            <w:rPr/>
          </w:pPr>
          <w:hyperlink w:anchor="__RefHeading___Toc162601_3244359995">
            <w:r>
              <w:rPr>
                <w:webHidden/>
                <w:rStyle w:val="IndexLink"/>
                <w:rtl w:val="true"/>
              </w:rPr>
              <w:t xml:space="preserve">خروج </w:t>
            </w:r>
            <w:r>
              <w:rPr>
                <w:rStyle w:val="IndexLink"/>
                <w:rtl w:val="true"/>
              </w:rPr>
              <w:t>«</w:t>
            </w:r>
            <w:r>
              <w:rPr>
                <w:rStyle w:val="IndexLink"/>
                <w:rtl w:val="true"/>
              </w:rPr>
              <w:t>طلیع</w:t>
            </w:r>
            <w:r>
              <w:rPr>
                <w:rStyle w:val="IndexLink"/>
                <w:rtl w:val="true"/>
              </w:rPr>
              <w:t xml:space="preserve">» </w:t>
            </w:r>
            <w:r>
              <w:rPr>
                <w:rStyle w:val="IndexLink"/>
                <w:rtl w:val="true"/>
              </w:rPr>
              <w:t>از عنوان محارب</w:t>
            </w:r>
            <w:r>
              <w:rPr>
                <w:rStyle w:val="IndexLink"/>
                <w:rtl w:val="true"/>
              </w:rPr>
              <w:tab/>
            </w:r>
            <w:r>
              <w:rPr>
                <w:rStyle w:val="IndexLink"/>
              </w:rPr>
              <w:t>334</w:t>
            </w:r>
          </w:hyperlink>
        </w:p>
        <w:p>
          <w:pPr>
            <w:pStyle w:val="Contents4"/>
            <w:tabs>
              <w:tab w:val="clear" w:pos="8176"/>
              <w:tab w:val="right" w:pos="9026" w:leader="dot"/>
            </w:tabs>
            <w:rPr/>
          </w:pPr>
          <w:hyperlink w:anchor="__RefHeading___Toc162603_3244359995">
            <w:r>
              <w:rPr>
                <w:webHidden/>
                <w:rStyle w:val="IndexLink"/>
                <w:rtl w:val="true"/>
              </w:rPr>
              <w:t xml:space="preserve">خروج </w:t>
            </w:r>
            <w:r>
              <w:rPr>
                <w:rStyle w:val="IndexLink"/>
                <w:rtl w:val="true"/>
              </w:rPr>
              <w:t>«</w:t>
            </w:r>
            <w:r>
              <w:rPr>
                <w:rStyle w:val="IndexLink"/>
                <w:rtl w:val="true"/>
              </w:rPr>
              <w:t>ردء</w:t>
            </w:r>
            <w:r>
              <w:rPr>
                <w:rStyle w:val="IndexLink"/>
                <w:rtl w:val="true"/>
              </w:rPr>
              <w:t xml:space="preserve">» </w:t>
            </w:r>
            <w:r>
              <w:rPr>
                <w:rStyle w:val="IndexLink"/>
                <w:rtl w:val="true"/>
              </w:rPr>
              <w:t>از عنوان محارب</w:t>
            </w:r>
            <w:r>
              <w:rPr>
                <w:rStyle w:val="IndexLink"/>
                <w:rtl w:val="true"/>
              </w:rPr>
              <w:tab/>
            </w:r>
            <w:r>
              <w:rPr>
                <w:rStyle w:val="IndexLink"/>
              </w:rPr>
              <w:t>335</w:t>
            </w:r>
          </w:hyperlink>
        </w:p>
        <w:p>
          <w:pPr>
            <w:pStyle w:val="Contents4"/>
            <w:tabs>
              <w:tab w:val="clear" w:pos="8176"/>
              <w:tab w:val="right" w:pos="9026" w:leader="dot"/>
            </w:tabs>
            <w:rPr/>
          </w:pPr>
          <w:hyperlink w:anchor="__RefHeading___Toc162605_3244359995">
            <w:r>
              <w:rPr>
                <w:webHidden/>
                <w:rStyle w:val="IndexLink"/>
                <w:rtl w:val="true"/>
              </w:rPr>
              <w:t xml:space="preserve">خروج </w:t>
            </w:r>
            <w:r>
              <w:rPr>
                <w:rStyle w:val="IndexLink"/>
                <w:rtl w:val="true"/>
              </w:rPr>
              <w:t>«</w:t>
            </w:r>
            <w:r>
              <w:rPr>
                <w:rStyle w:val="IndexLink"/>
                <w:rtl w:val="true"/>
              </w:rPr>
              <w:t>مدافع</w:t>
            </w:r>
            <w:r>
              <w:rPr>
                <w:rStyle w:val="IndexLink"/>
                <w:rtl w:val="true"/>
              </w:rPr>
              <w:t xml:space="preserve">» </w:t>
            </w:r>
            <w:r>
              <w:rPr>
                <w:rStyle w:val="IndexLink"/>
                <w:rtl w:val="true"/>
              </w:rPr>
              <w:t>از عنوان محارب</w:t>
            </w:r>
            <w:r>
              <w:rPr>
                <w:rStyle w:val="IndexLink"/>
                <w:rtl w:val="true"/>
              </w:rPr>
              <w:tab/>
            </w:r>
            <w:r>
              <w:rPr>
                <w:rStyle w:val="IndexLink"/>
              </w:rPr>
              <w:t>336</w:t>
            </w:r>
          </w:hyperlink>
        </w:p>
        <w:p>
          <w:pPr>
            <w:pStyle w:val="Contents4"/>
            <w:tabs>
              <w:tab w:val="clear" w:pos="8176"/>
              <w:tab w:val="right" w:pos="9026" w:leader="dot"/>
            </w:tabs>
            <w:rPr/>
          </w:pPr>
          <w:hyperlink w:anchor="__RefHeading___Toc162607_3244359995">
            <w:r>
              <w:rPr>
                <w:webHidden/>
                <w:rStyle w:val="IndexLink"/>
                <w:rtl w:val="true"/>
              </w:rPr>
              <w:t>خروج کودک، مجنون و شوخ از عنوان محارب</w:t>
            </w:r>
            <w:r>
              <w:rPr>
                <w:rStyle w:val="IndexLink"/>
                <w:rtl w:val="true"/>
              </w:rPr>
              <w:tab/>
            </w:r>
            <w:r>
              <w:rPr>
                <w:rStyle w:val="IndexLink"/>
              </w:rPr>
              <w:t>336</w:t>
            </w:r>
          </w:hyperlink>
        </w:p>
        <w:p>
          <w:pPr>
            <w:pStyle w:val="Contents3"/>
            <w:tabs>
              <w:tab w:val="clear" w:pos="8459"/>
              <w:tab w:val="right" w:pos="9026" w:leader="dot"/>
            </w:tabs>
            <w:rPr/>
          </w:pPr>
          <w:hyperlink w:anchor="__RefHeading___Toc162609_3244359995">
            <w:r>
              <w:rPr>
                <w:webHidden/>
                <w:rStyle w:val="IndexLink"/>
                <w:rtl w:val="true"/>
              </w:rPr>
              <w:t>حکم دفاع و ترساندن با تازیانه و عصا و سنگ</w:t>
            </w:r>
            <w:r>
              <w:rPr>
                <w:rStyle w:val="IndexLink"/>
                <w:rtl w:val="true"/>
              </w:rPr>
              <w:tab/>
            </w:r>
            <w:r>
              <w:rPr>
                <w:rStyle w:val="IndexLink"/>
              </w:rPr>
              <w:t>338</w:t>
            </w:r>
          </w:hyperlink>
        </w:p>
        <w:p>
          <w:pPr>
            <w:pStyle w:val="Contents4"/>
            <w:tabs>
              <w:tab w:val="clear" w:pos="8176"/>
              <w:tab w:val="right" w:pos="9026" w:leader="dot"/>
            </w:tabs>
            <w:rPr/>
          </w:pPr>
          <w:hyperlink w:anchor="__RefHeading___Toc162611_3244359995">
            <w:r>
              <w:rPr>
                <w:webHidden/>
                <w:rStyle w:val="IndexLink"/>
                <w:rtl w:val="true"/>
              </w:rPr>
              <w:t>اشاره</w:t>
            </w:r>
            <w:r>
              <w:rPr>
                <w:rStyle w:val="IndexLink"/>
                <w:rtl w:val="true"/>
              </w:rPr>
              <w:tab/>
            </w:r>
            <w:r>
              <w:rPr>
                <w:rStyle w:val="IndexLink"/>
              </w:rPr>
              <w:t>338</w:t>
            </w:r>
          </w:hyperlink>
        </w:p>
        <w:p>
          <w:pPr>
            <w:pStyle w:val="Contents4"/>
            <w:tabs>
              <w:tab w:val="clear" w:pos="8176"/>
              <w:tab w:val="right" w:pos="9026" w:leader="dot"/>
            </w:tabs>
            <w:rPr/>
          </w:pPr>
          <w:hyperlink w:anchor="__RefHeading___Toc162613_3244359995">
            <w:r>
              <w:rPr>
                <w:webHidden/>
                <w:rStyle w:val="IndexLink"/>
                <w:rtl w:val="true"/>
              </w:rPr>
              <w:t>فرع اوّل</w:t>
            </w:r>
            <w:r>
              <w:rPr>
                <w:rStyle w:val="IndexLink"/>
                <w:rtl w:val="true"/>
              </w:rPr>
              <w:t xml:space="preserve">: </w:t>
            </w:r>
            <w:r>
              <w:rPr>
                <w:rStyle w:val="IndexLink"/>
                <w:rtl w:val="true"/>
              </w:rPr>
              <w:t>حکم دفاع از مال و جان</w:t>
            </w:r>
            <w:r>
              <w:rPr>
                <w:rStyle w:val="IndexLink"/>
                <w:rtl w:val="true"/>
              </w:rPr>
              <w:tab/>
            </w:r>
            <w:r>
              <w:rPr>
                <w:rStyle w:val="IndexLink"/>
              </w:rPr>
              <w:t>338</w:t>
            </w:r>
          </w:hyperlink>
        </w:p>
        <w:p>
          <w:pPr>
            <w:pStyle w:val="Contents5"/>
            <w:tabs>
              <w:tab w:val="clear" w:pos="7892"/>
              <w:tab w:val="right" w:pos="9026" w:leader="dot"/>
            </w:tabs>
            <w:rPr/>
          </w:pPr>
          <w:hyperlink w:anchor="__RefHeading___Toc162615_3244359995">
            <w:r>
              <w:rPr>
                <w:webHidden/>
                <w:rStyle w:val="IndexLink"/>
                <w:rtl w:val="true"/>
              </w:rPr>
              <w:t>اشاره</w:t>
            </w:r>
            <w:r>
              <w:rPr>
                <w:rStyle w:val="IndexLink"/>
                <w:rtl w:val="true"/>
              </w:rPr>
              <w:tab/>
            </w:r>
            <w:r>
              <w:rPr>
                <w:rStyle w:val="IndexLink"/>
              </w:rPr>
              <w:t>338</w:t>
            </w:r>
          </w:hyperlink>
        </w:p>
        <w:p>
          <w:pPr>
            <w:pStyle w:val="Contents5"/>
            <w:tabs>
              <w:tab w:val="clear" w:pos="7892"/>
              <w:tab w:val="right" w:pos="9026" w:leader="dot"/>
            </w:tabs>
            <w:rPr/>
          </w:pPr>
          <w:hyperlink w:anchor="__RefHeading___Toc162617_3244359995">
            <w:r>
              <w:rPr>
                <w:webHidden/>
                <w:rStyle w:val="IndexLink"/>
                <w:rtl w:val="true"/>
              </w:rPr>
              <w:t>ادلّه‌ی دفاع از مال</w:t>
            </w:r>
            <w:r>
              <w:rPr>
                <w:rStyle w:val="IndexLink"/>
                <w:rtl w:val="true"/>
              </w:rPr>
              <w:tab/>
            </w:r>
            <w:r>
              <w:rPr>
                <w:rStyle w:val="IndexLink"/>
              </w:rPr>
              <w:t>339</w:t>
            </w:r>
          </w:hyperlink>
        </w:p>
        <w:p>
          <w:pPr>
            <w:pStyle w:val="Contents5"/>
            <w:tabs>
              <w:tab w:val="clear" w:pos="7892"/>
              <w:tab w:val="right" w:pos="9026" w:leader="dot"/>
            </w:tabs>
            <w:rPr/>
          </w:pPr>
          <w:hyperlink w:anchor="__RefHeading___Toc162619_3244359995">
            <w:r>
              <w:rPr>
                <w:webHidden/>
                <w:rStyle w:val="IndexLink"/>
                <w:rtl w:val="true"/>
              </w:rPr>
              <w:t>مطلب دوّم</w:t>
            </w:r>
            <w:r>
              <w:rPr>
                <w:rStyle w:val="IndexLink"/>
                <w:rtl w:val="true"/>
              </w:rPr>
              <w:t xml:space="preserve">: </w:t>
            </w:r>
            <w:r>
              <w:rPr>
                <w:rStyle w:val="IndexLink"/>
                <w:rtl w:val="true"/>
              </w:rPr>
              <w:t>صدق عنوان محارب</w:t>
            </w:r>
            <w:r>
              <w:rPr>
                <w:rStyle w:val="IndexLink"/>
                <w:rtl w:val="true"/>
              </w:rPr>
              <w:tab/>
            </w:r>
            <w:r>
              <w:rPr>
                <w:rStyle w:val="IndexLink"/>
              </w:rPr>
              <w:t>341</w:t>
            </w:r>
          </w:hyperlink>
        </w:p>
        <w:p>
          <w:pPr>
            <w:pStyle w:val="Contents5"/>
            <w:tabs>
              <w:tab w:val="clear" w:pos="7892"/>
              <w:tab w:val="right" w:pos="9026" w:leader="dot"/>
            </w:tabs>
            <w:rPr/>
          </w:pPr>
          <w:hyperlink w:anchor="__RefHeading___Toc162621_3244359995">
            <w:r>
              <w:rPr>
                <w:webHidden/>
                <w:rStyle w:val="IndexLink"/>
                <w:rtl w:val="true"/>
              </w:rPr>
              <w:t>توسعه و تضییق معنای محارب</w:t>
            </w:r>
            <w:r>
              <w:rPr>
                <w:rStyle w:val="IndexLink"/>
                <w:rtl w:val="true"/>
              </w:rPr>
              <w:tab/>
            </w:r>
            <w:r>
              <w:rPr>
                <w:rStyle w:val="IndexLink"/>
              </w:rPr>
              <w:t>341</w:t>
            </w:r>
          </w:hyperlink>
        </w:p>
        <w:p>
          <w:pPr>
            <w:pStyle w:val="Contents4"/>
            <w:tabs>
              <w:tab w:val="clear" w:pos="8176"/>
              <w:tab w:val="right" w:pos="9026" w:leader="dot"/>
            </w:tabs>
            <w:rPr/>
          </w:pPr>
          <w:hyperlink w:anchor="__RefHeading___Toc162623_3244359995">
            <w:r>
              <w:rPr>
                <w:webHidden/>
                <w:rStyle w:val="IndexLink"/>
                <w:rtl w:val="true"/>
              </w:rPr>
              <w:t>فرع دوّم</w:t>
            </w:r>
            <w:r>
              <w:rPr>
                <w:rStyle w:val="IndexLink"/>
                <w:rtl w:val="true"/>
              </w:rPr>
              <w:t xml:space="preserve">: </w:t>
            </w:r>
            <w:r>
              <w:rPr>
                <w:rStyle w:val="IndexLink"/>
                <w:rtl w:val="true"/>
              </w:rPr>
              <w:t>ترساندن با سنگ و تازیانه و چوب</w:t>
            </w:r>
            <w:r>
              <w:rPr>
                <w:rStyle w:val="IndexLink"/>
                <w:rtl w:val="true"/>
              </w:rPr>
              <w:tab/>
            </w:r>
            <w:r>
              <w:rPr>
                <w:rStyle w:val="IndexLink"/>
              </w:rPr>
              <w:t>343</w:t>
            </w:r>
          </w:hyperlink>
        </w:p>
        <w:p>
          <w:pPr>
            <w:pStyle w:val="Contents3"/>
            <w:tabs>
              <w:tab w:val="clear" w:pos="8459"/>
              <w:tab w:val="right" w:pos="9026" w:leader="dot"/>
            </w:tabs>
            <w:rPr/>
          </w:pPr>
          <w:hyperlink w:anchor="__RefHeading___Toc162625_3244359995">
            <w:r>
              <w:rPr>
                <w:webHidden/>
                <w:rStyle w:val="IndexLink"/>
                <w:rtl w:val="true"/>
              </w:rPr>
              <w:t>ثبوت محاربه به اقرار و شهادت</w:t>
            </w:r>
            <w:r>
              <w:rPr>
                <w:rStyle w:val="IndexLink"/>
                <w:rtl w:val="true"/>
              </w:rPr>
              <w:tab/>
            </w:r>
            <w:r>
              <w:rPr>
                <w:rStyle w:val="IndexLink"/>
              </w:rPr>
              <w:t>344</w:t>
            </w:r>
          </w:hyperlink>
        </w:p>
        <w:p>
          <w:pPr>
            <w:pStyle w:val="Contents4"/>
            <w:tabs>
              <w:tab w:val="clear" w:pos="8176"/>
              <w:tab w:val="right" w:pos="9026" w:leader="dot"/>
            </w:tabs>
            <w:rPr/>
          </w:pPr>
          <w:hyperlink w:anchor="__RefHeading___Toc162627_3244359995">
            <w:r>
              <w:rPr>
                <w:webHidden/>
                <w:rStyle w:val="IndexLink"/>
                <w:rtl w:val="true"/>
              </w:rPr>
              <w:t>اشاره</w:t>
            </w:r>
            <w:r>
              <w:rPr>
                <w:rStyle w:val="IndexLink"/>
                <w:rtl w:val="true"/>
              </w:rPr>
              <w:tab/>
            </w:r>
            <w:r>
              <w:rPr>
                <w:rStyle w:val="IndexLink"/>
              </w:rPr>
              <w:t>344</w:t>
            </w:r>
          </w:hyperlink>
        </w:p>
        <w:p>
          <w:pPr>
            <w:pStyle w:val="Contents4"/>
            <w:tabs>
              <w:tab w:val="clear" w:pos="8176"/>
              <w:tab w:val="right" w:pos="9026" w:leader="dot"/>
            </w:tabs>
            <w:rPr/>
          </w:pPr>
          <w:hyperlink w:anchor="__RefHeading___Toc162629_3244359995">
            <w:r>
              <w:rPr>
                <w:webHidden/>
                <w:rStyle w:val="IndexLink"/>
                <w:rtl w:val="true"/>
              </w:rPr>
              <w:t>ثبوت محاربه به اقرار</w:t>
            </w:r>
            <w:r>
              <w:rPr>
                <w:rStyle w:val="IndexLink"/>
                <w:rtl w:val="true"/>
              </w:rPr>
              <w:tab/>
            </w:r>
            <w:r>
              <w:rPr>
                <w:rStyle w:val="IndexLink"/>
              </w:rPr>
              <w:t>344</w:t>
            </w:r>
          </w:hyperlink>
        </w:p>
        <w:p>
          <w:pPr>
            <w:pStyle w:val="Contents4"/>
            <w:tabs>
              <w:tab w:val="clear" w:pos="8176"/>
              <w:tab w:val="right" w:pos="9026" w:leader="dot"/>
            </w:tabs>
            <w:rPr/>
          </w:pPr>
          <w:hyperlink w:anchor="__RefHeading___Toc162631_3244359995">
            <w:r>
              <w:rPr>
                <w:webHidden/>
                <w:rStyle w:val="IndexLink"/>
                <w:rtl w:val="true"/>
              </w:rPr>
              <w:t>ثبوت محاربه به شهادت دو عادل</w:t>
            </w:r>
            <w:r>
              <w:rPr>
                <w:rStyle w:val="IndexLink"/>
                <w:rtl w:val="true"/>
              </w:rPr>
              <w:tab/>
            </w:r>
            <w:r>
              <w:rPr>
                <w:rStyle w:val="IndexLink"/>
              </w:rPr>
              <w:t>345</w:t>
            </w:r>
          </w:hyperlink>
        </w:p>
        <w:p>
          <w:pPr>
            <w:pStyle w:val="Contents4"/>
            <w:tabs>
              <w:tab w:val="clear" w:pos="8176"/>
              <w:tab w:val="right" w:pos="9026" w:leader="dot"/>
            </w:tabs>
            <w:rPr/>
          </w:pPr>
          <w:hyperlink w:anchor="__RefHeading___Toc162633_3244359995">
            <w:r>
              <w:rPr>
                <w:webHidden/>
                <w:rStyle w:val="IndexLink"/>
                <w:rtl w:val="true"/>
              </w:rPr>
              <w:t>شهادت زنان در باب محاربه</w:t>
            </w:r>
            <w:r>
              <w:rPr>
                <w:rStyle w:val="IndexLink"/>
                <w:rtl w:val="true"/>
              </w:rPr>
              <w:tab/>
            </w:r>
            <w:r>
              <w:rPr>
                <w:rStyle w:val="IndexLink"/>
              </w:rPr>
              <w:t>346</w:t>
            </w:r>
          </w:hyperlink>
        </w:p>
        <w:p>
          <w:pPr>
            <w:pStyle w:val="Contents4"/>
            <w:tabs>
              <w:tab w:val="clear" w:pos="8176"/>
              <w:tab w:val="right" w:pos="9026" w:leader="dot"/>
            </w:tabs>
            <w:rPr/>
          </w:pPr>
          <w:hyperlink w:anchor="__RefHeading___Toc162635_3244359995">
            <w:r>
              <w:rPr>
                <w:webHidden/>
                <w:rStyle w:val="IndexLink"/>
                <w:rtl w:val="true"/>
              </w:rPr>
              <w:t>شهادت دزدان و محاربین علیه یکدیگر</w:t>
            </w:r>
            <w:r>
              <w:rPr>
                <w:rStyle w:val="IndexLink"/>
                <w:rtl w:val="true"/>
              </w:rPr>
              <w:tab/>
            </w:r>
            <w:r>
              <w:rPr>
                <w:rStyle w:val="IndexLink"/>
              </w:rPr>
              <w:t>346</w:t>
            </w:r>
          </w:hyperlink>
        </w:p>
        <w:p>
          <w:pPr>
            <w:pStyle w:val="Contents4"/>
            <w:tabs>
              <w:tab w:val="clear" w:pos="8176"/>
              <w:tab w:val="right" w:pos="9026" w:leader="dot"/>
            </w:tabs>
            <w:rPr/>
          </w:pPr>
          <w:hyperlink w:anchor="__RefHeading___Toc162637_3244359995">
            <w:r>
              <w:rPr>
                <w:webHidden/>
                <w:rStyle w:val="IndexLink"/>
                <w:rtl w:val="true"/>
              </w:rPr>
              <w:t>شهادت افراد قافله بر محاربه</w:t>
            </w:r>
            <w:r>
              <w:rPr>
                <w:rStyle w:val="IndexLink"/>
                <w:rtl w:val="true"/>
              </w:rPr>
              <w:tab/>
            </w:r>
            <w:r>
              <w:rPr>
                <w:rStyle w:val="IndexLink"/>
              </w:rPr>
              <w:t>347</w:t>
            </w:r>
          </w:hyperlink>
        </w:p>
        <w:p>
          <w:pPr>
            <w:pStyle w:val="Contents3"/>
            <w:tabs>
              <w:tab w:val="clear" w:pos="8459"/>
              <w:tab w:val="right" w:pos="9026" w:leader="dot"/>
            </w:tabs>
            <w:rPr/>
          </w:pPr>
          <w:hyperlink w:anchor="__RefHeading___Toc162639_3244359995">
            <w:r>
              <w:rPr>
                <w:webHidden/>
                <w:rStyle w:val="IndexLink"/>
                <w:rtl w:val="true"/>
              </w:rPr>
              <w:t>حدّ محارب</w:t>
            </w:r>
            <w:r>
              <w:rPr>
                <w:rStyle w:val="IndexLink"/>
                <w:rtl w:val="true"/>
              </w:rPr>
              <w:tab/>
            </w:r>
            <w:r>
              <w:rPr>
                <w:rStyle w:val="IndexLink"/>
              </w:rPr>
              <w:t>351</w:t>
            </w:r>
          </w:hyperlink>
        </w:p>
        <w:p>
          <w:pPr>
            <w:pStyle w:val="Contents4"/>
            <w:tabs>
              <w:tab w:val="clear" w:pos="8176"/>
              <w:tab w:val="right" w:pos="9026" w:leader="dot"/>
            </w:tabs>
            <w:rPr/>
          </w:pPr>
          <w:hyperlink w:anchor="__RefHeading___Toc162641_3244359995">
            <w:r>
              <w:rPr>
                <w:webHidden/>
                <w:rStyle w:val="IndexLink"/>
                <w:rtl w:val="true"/>
              </w:rPr>
              <w:t>اشاره</w:t>
            </w:r>
            <w:r>
              <w:rPr>
                <w:rStyle w:val="IndexLink"/>
                <w:rtl w:val="true"/>
              </w:rPr>
              <w:tab/>
            </w:r>
            <w:r>
              <w:rPr>
                <w:rStyle w:val="IndexLink"/>
              </w:rPr>
              <w:t>351</w:t>
            </w:r>
          </w:hyperlink>
        </w:p>
        <w:p>
          <w:pPr>
            <w:pStyle w:val="Contents4"/>
            <w:tabs>
              <w:tab w:val="clear" w:pos="8176"/>
              <w:tab w:val="right" w:pos="9026" w:leader="dot"/>
            </w:tabs>
            <w:rPr/>
          </w:pPr>
          <w:hyperlink w:anchor="__RefHeading___Toc162643_3244359995">
            <w:r>
              <w:rPr>
                <w:webHidden/>
                <w:rStyle w:val="IndexLink"/>
                <w:rtl w:val="true"/>
              </w:rPr>
              <w:t>تخییری یا تعیینی بودن حدّ محارب</w:t>
            </w:r>
            <w:r>
              <w:rPr>
                <w:rStyle w:val="IndexLink"/>
                <w:rtl w:val="true"/>
              </w:rPr>
              <w:tab/>
            </w:r>
            <w:r>
              <w:rPr>
                <w:rStyle w:val="IndexLink"/>
              </w:rPr>
              <w:t>351</w:t>
            </w:r>
          </w:hyperlink>
        </w:p>
        <w:p>
          <w:pPr>
            <w:pStyle w:val="Contents4"/>
            <w:tabs>
              <w:tab w:val="clear" w:pos="8176"/>
              <w:tab w:val="right" w:pos="9026" w:leader="dot"/>
            </w:tabs>
            <w:rPr/>
          </w:pPr>
          <w:hyperlink w:anchor="__RefHeading___Toc162645_3244359995">
            <w:r>
              <w:rPr>
                <w:webHidden/>
                <w:rStyle w:val="IndexLink"/>
                <w:rtl w:val="true"/>
              </w:rPr>
              <w:t>مقام اوّل</w:t>
            </w:r>
            <w:r>
              <w:rPr>
                <w:rStyle w:val="IndexLink"/>
                <w:rtl w:val="true"/>
              </w:rPr>
              <w:t xml:space="preserve">: </w:t>
            </w:r>
            <w:r>
              <w:rPr>
                <w:rStyle w:val="IndexLink"/>
                <w:rtl w:val="true"/>
              </w:rPr>
              <w:t>ترتیب یا تخییر؟</w:t>
            </w:r>
            <w:r>
              <w:rPr>
                <w:rStyle w:val="IndexLink"/>
                <w:rtl w:val="true"/>
              </w:rPr>
              <w:tab/>
            </w:r>
            <w:r>
              <w:rPr>
                <w:rStyle w:val="IndexLink"/>
              </w:rPr>
              <w:t>352</w:t>
            </w:r>
          </w:hyperlink>
        </w:p>
        <w:p>
          <w:pPr>
            <w:pStyle w:val="Contents5"/>
            <w:tabs>
              <w:tab w:val="clear" w:pos="7892"/>
              <w:tab w:val="right" w:pos="9026" w:leader="dot"/>
            </w:tabs>
            <w:rPr/>
          </w:pPr>
          <w:hyperlink w:anchor="__RefHeading___Toc162647_3244359995">
            <w:r>
              <w:rPr>
                <w:webHidden/>
                <w:rStyle w:val="IndexLink"/>
                <w:rtl w:val="true"/>
              </w:rPr>
              <w:t>اشاره</w:t>
            </w:r>
            <w:r>
              <w:rPr>
                <w:rStyle w:val="IndexLink"/>
                <w:rtl w:val="true"/>
              </w:rPr>
              <w:tab/>
            </w:r>
            <w:r>
              <w:rPr>
                <w:rStyle w:val="IndexLink"/>
              </w:rPr>
              <w:t>352</w:t>
            </w:r>
          </w:hyperlink>
        </w:p>
        <w:p>
          <w:pPr>
            <w:pStyle w:val="Contents5"/>
            <w:tabs>
              <w:tab w:val="clear" w:pos="7892"/>
              <w:tab w:val="right" w:pos="9026" w:leader="dot"/>
            </w:tabs>
            <w:rPr/>
          </w:pPr>
          <w:hyperlink w:anchor="__RefHeading___Toc162649_3244359995">
            <w:r>
              <w:rPr>
                <w:webHidden/>
                <w:rStyle w:val="IndexLink"/>
                <w:rtl w:val="true"/>
              </w:rPr>
              <w:t>ادلّه‌ی تخییر</w:t>
            </w:r>
            <w:r>
              <w:rPr>
                <w:rStyle w:val="IndexLink"/>
                <w:rtl w:val="true"/>
              </w:rPr>
              <w:tab/>
            </w:r>
            <w:r>
              <w:rPr>
                <w:rStyle w:val="IndexLink"/>
              </w:rPr>
              <w:t>353</w:t>
            </w:r>
          </w:hyperlink>
        </w:p>
        <w:p>
          <w:pPr>
            <w:pStyle w:val="Contents5"/>
            <w:tabs>
              <w:tab w:val="clear" w:pos="7892"/>
              <w:tab w:val="right" w:pos="9026" w:leader="dot"/>
            </w:tabs>
            <w:rPr/>
          </w:pPr>
          <w:hyperlink w:anchor="__RefHeading___Toc162651_3244359995">
            <w:r>
              <w:rPr>
                <w:webHidden/>
                <w:rStyle w:val="IndexLink"/>
                <w:rtl w:val="true"/>
              </w:rPr>
              <w:t>دلیل ترتیب</w:t>
            </w:r>
            <w:r>
              <w:rPr>
                <w:rStyle w:val="IndexLink"/>
                <w:rtl w:val="true"/>
              </w:rPr>
              <w:tab/>
            </w:r>
            <w:r>
              <w:rPr>
                <w:rStyle w:val="IndexLink"/>
              </w:rPr>
              <w:t>354</w:t>
            </w:r>
          </w:hyperlink>
        </w:p>
        <w:p>
          <w:pPr>
            <w:pStyle w:val="Contents4"/>
            <w:tabs>
              <w:tab w:val="clear" w:pos="8176"/>
              <w:tab w:val="right" w:pos="9026" w:leader="dot"/>
            </w:tabs>
            <w:rPr/>
          </w:pPr>
          <w:hyperlink w:anchor="__RefHeading___Toc162653_3244359995">
            <w:r>
              <w:rPr>
                <w:webHidden/>
                <w:rStyle w:val="IndexLink"/>
                <w:rtl w:val="true"/>
              </w:rPr>
              <w:t>مقام دوّم</w:t>
            </w:r>
            <w:r>
              <w:rPr>
                <w:rStyle w:val="IndexLink"/>
                <w:rtl w:val="true"/>
              </w:rPr>
              <w:t xml:space="preserve">: </w:t>
            </w:r>
            <w:r>
              <w:rPr>
                <w:rStyle w:val="IndexLink"/>
                <w:rtl w:val="true"/>
              </w:rPr>
              <w:t>کیفیّت ترتیب</w:t>
            </w:r>
            <w:r>
              <w:rPr>
                <w:rStyle w:val="IndexLink"/>
                <w:rtl w:val="true"/>
              </w:rPr>
              <w:tab/>
            </w:r>
            <w:r>
              <w:rPr>
                <w:rStyle w:val="IndexLink"/>
              </w:rPr>
              <w:t>357</w:t>
            </w:r>
          </w:hyperlink>
        </w:p>
        <w:p>
          <w:pPr>
            <w:pStyle w:val="Contents5"/>
            <w:tabs>
              <w:tab w:val="clear" w:pos="7892"/>
              <w:tab w:val="right" w:pos="9026" w:leader="dot"/>
            </w:tabs>
            <w:rPr/>
          </w:pPr>
          <w:hyperlink w:anchor="__RefHeading___Toc162655_3244359995">
            <w:r>
              <w:rPr>
                <w:webHidden/>
                <w:rStyle w:val="IndexLink"/>
                <w:rtl w:val="true"/>
              </w:rPr>
              <w:t>اشاره</w:t>
            </w:r>
            <w:r>
              <w:rPr>
                <w:rStyle w:val="IndexLink"/>
                <w:rtl w:val="true"/>
              </w:rPr>
              <w:tab/>
            </w:r>
            <w:r>
              <w:rPr>
                <w:rStyle w:val="IndexLink"/>
              </w:rPr>
              <w:t>357</w:t>
            </w:r>
          </w:hyperlink>
        </w:p>
        <w:p>
          <w:pPr>
            <w:pStyle w:val="Contents5"/>
            <w:tabs>
              <w:tab w:val="clear" w:pos="7892"/>
              <w:tab w:val="right" w:pos="9026" w:leader="dot"/>
            </w:tabs>
            <w:rPr/>
          </w:pPr>
          <w:hyperlink w:anchor="__RefHeading___Toc162657_3244359995">
            <w:r>
              <w:rPr>
                <w:webHidden/>
                <w:rStyle w:val="IndexLink"/>
                <w:rtl w:val="true"/>
              </w:rPr>
              <w:t>دلیل قول چهارم و نقد آن</w:t>
            </w:r>
            <w:r>
              <w:rPr>
                <w:rStyle w:val="IndexLink"/>
                <w:rtl w:val="true"/>
              </w:rPr>
              <w:tab/>
            </w:r>
            <w:r>
              <w:rPr>
                <w:rStyle w:val="IndexLink"/>
              </w:rPr>
              <w:t>359</w:t>
            </w:r>
          </w:hyperlink>
        </w:p>
        <w:p>
          <w:pPr>
            <w:pStyle w:val="Contents5"/>
            <w:tabs>
              <w:tab w:val="clear" w:pos="7892"/>
              <w:tab w:val="right" w:pos="9026" w:leader="dot"/>
            </w:tabs>
            <w:rPr/>
          </w:pPr>
          <w:hyperlink w:anchor="__RefHeading___Toc162659_3244359995">
            <w:r>
              <w:rPr>
                <w:webHidden/>
                <w:rStyle w:val="IndexLink"/>
                <w:rtl w:val="true"/>
              </w:rPr>
              <w:t>کیفیّت جمع بین روایات</w:t>
            </w:r>
            <w:r>
              <w:rPr>
                <w:rStyle w:val="IndexLink"/>
                <w:rtl w:val="true"/>
              </w:rPr>
              <w:tab/>
            </w:r>
            <w:r>
              <w:rPr>
                <w:rStyle w:val="IndexLink"/>
              </w:rPr>
              <w:t>367</w:t>
            </w:r>
          </w:hyperlink>
        </w:p>
        <w:p>
          <w:pPr>
            <w:pStyle w:val="Contents3"/>
            <w:tabs>
              <w:tab w:val="clear" w:pos="8459"/>
              <w:tab w:val="right" w:pos="9026" w:leader="dot"/>
            </w:tabs>
            <w:rPr/>
          </w:pPr>
          <w:hyperlink w:anchor="__RefHeading___Toc162661_3244359995">
            <w:r>
              <w:rPr>
                <w:webHidden/>
                <w:rStyle w:val="IndexLink"/>
                <w:rtl w:val="true"/>
              </w:rPr>
              <w:t>تخییر حاکم به صورت مطلق در حدود اربعه</w:t>
            </w:r>
            <w:r>
              <w:rPr>
                <w:rStyle w:val="IndexLink"/>
                <w:rtl w:val="true"/>
              </w:rPr>
              <w:tab/>
            </w:r>
            <w:r>
              <w:rPr>
                <w:rStyle w:val="IndexLink"/>
              </w:rPr>
              <w:t>370</w:t>
            </w:r>
          </w:hyperlink>
        </w:p>
        <w:p>
          <w:pPr>
            <w:pStyle w:val="Contents4"/>
            <w:tabs>
              <w:tab w:val="clear" w:pos="8176"/>
              <w:tab w:val="right" w:pos="9026" w:leader="dot"/>
            </w:tabs>
            <w:rPr/>
          </w:pPr>
          <w:hyperlink w:anchor="__RefHeading___Toc162663_3244359995">
            <w:r>
              <w:rPr>
                <w:webHidden/>
                <w:rStyle w:val="IndexLink"/>
                <w:rtl w:val="true"/>
              </w:rPr>
              <w:t>اشاره</w:t>
            </w:r>
            <w:r>
              <w:rPr>
                <w:rStyle w:val="IndexLink"/>
                <w:rtl w:val="true"/>
              </w:rPr>
              <w:tab/>
            </w:r>
            <w:r>
              <w:rPr>
                <w:rStyle w:val="IndexLink"/>
              </w:rPr>
              <w:t>370</w:t>
            </w:r>
          </w:hyperlink>
        </w:p>
        <w:p>
          <w:pPr>
            <w:pStyle w:val="Contents4"/>
            <w:tabs>
              <w:tab w:val="clear" w:pos="8176"/>
              <w:tab w:val="right" w:pos="9026" w:leader="dot"/>
            </w:tabs>
            <w:rPr/>
          </w:pPr>
          <w:hyperlink w:anchor="__RefHeading___Toc162665_3244359995">
            <w:r>
              <w:rPr>
                <w:webHidden/>
                <w:rStyle w:val="IndexLink"/>
                <w:rtl w:val="true"/>
              </w:rPr>
              <w:t>تعیین محل نزاع</w:t>
            </w:r>
            <w:r>
              <w:rPr>
                <w:rStyle w:val="IndexLink"/>
                <w:rtl w:val="true"/>
              </w:rPr>
              <w:tab/>
            </w:r>
            <w:r>
              <w:rPr>
                <w:rStyle w:val="IndexLink"/>
              </w:rPr>
              <w:t>370</w:t>
            </w:r>
          </w:hyperlink>
        </w:p>
        <w:p>
          <w:pPr>
            <w:pStyle w:val="Contents4"/>
            <w:tabs>
              <w:tab w:val="clear" w:pos="8176"/>
              <w:tab w:val="right" w:pos="9026" w:leader="dot"/>
            </w:tabs>
            <w:rPr/>
          </w:pPr>
          <w:hyperlink w:anchor="__RefHeading___Toc162667_3244359995">
            <w:r>
              <w:rPr>
                <w:webHidden/>
                <w:rStyle w:val="IndexLink"/>
                <w:rtl w:val="true"/>
              </w:rPr>
              <w:t>اقوال فقها در مسأله</w:t>
            </w:r>
            <w:r>
              <w:rPr>
                <w:rStyle w:val="IndexLink"/>
                <w:rtl w:val="true"/>
              </w:rPr>
              <w:tab/>
            </w:r>
            <w:r>
              <w:rPr>
                <w:rStyle w:val="IndexLink"/>
              </w:rPr>
              <w:t>371</w:t>
            </w:r>
          </w:hyperlink>
        </w:p>
        <w:p>
          <w:pPr>
            <w:pStyle w:val="Contents5"/>
            <w:tabs>
              <w:tab w:val="clear" w:pos="7892"/>
              <w:tab w:val="right" w:pos="9026" w:leader="dot"/>
            </w:tabs>
            <w:rPr/>
          </w:pPr>
          <w:hyperlink w:anchor="__RefHeading___Toc162669_3244359995">
            <w:r>
              <w:rPr>
                <w:webHidden/>
                <w:rStyle w:val="IndexLink"/>
                <w:rtl w:val="true"/>
              </w:rPr>
              <w:t>اشاره</w:t>
            </w:r>
            <w:r>
              <w:rPr>
                <w:rStyle w:val="IndexLink"/>
                <w:rtl w:val="true"/>
              </w:rPr>
              <w:tab/>
            </w:r>
            <w:r>
              <w:rPr>
                <w:rStyle w:val="IndexLink"/>
              </w:rPr>
              <w:t>371</w:t>
            </w:r>
          </w:hyperlink>
        </w:p>
        <w:p>
          <w:pPr>
            <w:pStyle w:val="Contents5"/>
            <w:tabs>
              <w:tab w:val="clear" w:pos="7892"/>
              <w:tab w:val="right" w:pos="9026" w:leader="dot"/>
            </w:tabs>
            <w:rPr/>
          </w:pPr>
          <w:hyperlink w:anchor="__RefHeading___Toc162671_3244359995">
            <w:r>
              <w:rPr>
                <w:webHidden/>
                <w:rStyle w:val="IndexLink"/>
                <w:rtl w:val="true"/>
              </w:rPr>
              <w:t>نقد قول دوّم</w:t>
            </w:r>
            <w:r>
              <w:rPr>
                <w:rStyle w:val="IndexLink"/>
                <w:rtl w:val="true"/>
              </w:rPr>
              <w:tab/>
            </w:r>
            <w:r>
              <w:rPr>
                <w:rStyle w:val="IndexLink"/>
              </w:rPr>
              <w:t>372</w:t>
            </w:r>
          </w:hyperlink>
        </w:p>
        <w:p>
          <w:pPr>
            <w:pStyle w:val="Contents5"/>
            <w:tabs>
              <w:tab w:val="clear" w:pos="7892"/>
              <w:tab w:val="right" w:pos="9026" w:leader="dot"/>
            </w:tabs>
            <w:rPr/>
          </w:pPr>
          <w:hyperlink w:anchor="__RefHeading___Toc162673_3244359995">
            <w:r>
              <w:rPr>
                <w:webHidden/>
                <w:rStyle w:val="IndexLink"/>
                <w:rtl w:val="true"/>
              </w:rPr>
              <w:t>نقد قول سوّم</w:t>
            </w:r>
            <w:r>
              <w:rPr>
                <w:rStyle w:val="IndexLink"/>
                <w:rtl w:val="true"/>
              </w:rPr>
              <w:tab/>
            </w:r>
            <w:r>
              <w:rPr>
                <w:rStyle w:val="IndexLink"/>
              </w:rPr>
              <w:t>372</w:t>
            </w:r>
          </w:hyperlink>
        </w:p>
        <w:p>
          <w:pPr>
            <w:pStyle w:val="Contents4"/>
            <w:tabs>
              <w:tab w:val="clear" w:pos="8176"/>
              <w:tab w:val="right" w:pos="9026" w:leader="dot"/>
            </w:tabs>
            <w:rPr/>
          </w:pPr>
          <w:hyperlink w:anchor="__RefHeading___Toc162675_3244359995">
            <w:r>
              <w:rPr>
                <w:webHidden/>
                <w:rStyle w:val="IndexLink"/>
                <w:rtl w:val="true"/>
              </w:rPr>
              <w:t>نظر برگزیده</w:t>
            </w:r>
            <w:r>
              <w:rPr>
                <w:rStyle w:val="IndexLink"/>
                <w:rtl w:val="true"/>
              </w:rPr>
              <w:tab/>
            </w:r>
            <w:r>
              <w:rPr>
                <w:rStyle w:val="IndexLink"/>
              </w:rPr>
              <w:t>372</w:t>
            </w:r>
          </w:hyperlink>
        </w:p>
        <w:p>
          <w:pPr>
            <w:pStyle w:val="Contents3"/>
            <w:tabs>
              <w:tab w:val="clear" w:pos="8459"/>
              <w:tab w:val="right" w:pos="9026" w:leader="dot"/>
            </w:tabs>
            <w:rPr/>
          </w:pPr>
          <w:hyperlink w:anchor="__RefHeading___Toc162677_3244359995">
            <w:r>
              <w:rPr>
                <w:webHidden/>
                <w:rStyle w:val="IndexLink"/>
                <w:rtl w:val="true"/>
              </w:rPr>
              <w:t>حکم توبه‌ی محارب</w:t>
            </w:r>
            <w:r>
              <w:rPr>
                <w:rStyle w:val="IndexLink"/>
                <w:rtl w:val="true"/>
              </w:rPr>
              <w:tab/>
            </w:r>
            <w:r>
              <w:rPr>
                <w:rStyle w:val="IndexLink"/>
              </w:rPr>
              <w:t>374</w:t>
            </w:r>
          </w:hyperlink>
        </w:p>
        <w:p>
          <w:pPr>
            <w:pStyle w:val="Contents4"/>
            <w:tabs>
              <w:tab w:val="clear" w:pos="8176"/>
              <w:tab w:val="right" w:pos="9026" w:leader="dot"/>
            </w:tabs>
            <w:rPr/>
          </w:pPr>
          <w:hyperlink w:anchor="__RefHeading___Toc162679_3244359995">
            <w:r>
              <w:rPr>
                <w:webHidden/>
                <w:rStyle w:val="IndexLink"/>
                <w:rtl w:val="true"/>
              </w:rPr>
              <w:t>اشاره</w:t>
            </w:r>
            <w:r>
              <w:rPr>
                <w:rStyle w:val="IndexLink"/>
                <w:rtl w:val="true"/>
              </w:rPr>
              <w:tab/>
            </w:r>
            <w:r>
              <w:rPr>
                <w:rStyle w:val="IndexLink"/>
              </w:rPr>
              <w:t>374</w:t>
            </w:r>
          </w:hyperlink>
        </w:p>
        <w:p>
          <w:pPr>
            <w:pStyle w:val="Contents4"/>
            <w:tabs>
              <w:tab w:val="clear" w:pos="8176"/>
              <w:tab w:val="right" w:pos="9026" w:leader="dot"/>
            </w:tabs>
            <w:rPr/>
          </w:pPr>
          <w:hyperlink w:anchor="__RefHeading___Toc162681_3244359995">
            <w:r>
              <w:rPr>
                <w:webHidden/>
                <w:rStyle w:val="IndexLink"/>
                <w:rtl w:val="true"/>
              </w:rPr>
              <w:t>سقوط حدّ محاربه به وسیله‌ی توبه قبل از دستگیری</w:t>
            </w:r>
            <w:r>
              <w:rPr>
                <w:rStyle w:val="IndexLink"/>
                <w:rtl w:val="true"/>
              </w:rPr>
              <w:tab/>
            </w:r>
            <w:r>
              <w:rPr>
                <w:rStyle w:val="IndexLink"/>
              </w:rPr>
              <w:t>374</w:t>
            </w:r>
          </w:hyperlink>
        </w:p>
        <w:p>
          <w:pPr>
            <w:pStyle w:val="Contents4"/>
            <w:tabs>
              <w:tab w:val="clear" w:pos="8176"/>
              <w:tab w:val="right" w:pos="9026" w:leader="dot"/>
            </w:tabs>
            <w:rPr/>
          </w:pPr>
          <w:hyperlink w:anchor="__RefHeading___Toc162683_3244359995">
            <w:r>
              <w:rPr>
                <w:webHidden/>
                <w:rStyle w:val="IndexLink"/>
                <w:rtl w:val="true"/>
              </w:rPr>
              <w:t>حکم توبه‌ی محارب پس از دستگیری</w:t>
            </w:r>
            <w:r>
              <w:rPr>
                <w:rStyle w:val="IndexLink"/>
                <w:rtl w:val="true"/>
              </w:rPr>
              <w:tab/>
            </w:r>
            <w:r>
              <w:rPr>
                <w:rStyle w:val="IndexLink"/>
              </w:rPr>
              <w:t>375</w:t>
            </w:r>
          </w:hyperlink>
        </w:p>
        <w:p>
          <w:pPr>
            <w:pStyle w:val="Contents3"/>
            <w:tabs>
              <w:tab w:val="clear" w:pos="8459"/>
              <w:tab w:val="right" w:pos="9026" w:leader="dot"/>
            </w:tabs>
            <w:rPr/>
          </w:pPr>
          <w:hyperlink w:anchor="__RefHeading___Toc162685_3244359995">
            <w:r>
              <w:rPr>
                <w:webHidden/>
                <w:rStyle w:val="IndexLink"/>
                <w:rtl w:val="true"/>
              </w:rPr>
              <w:t>احکام لصّ</w:t>
            </w:r>
            <w:r>
              <w:rPr>
                <w:rStyle w:val="IndexLink"/>
                <w:rtl w:val="true"/>
              </w:rPr>
              <w:tab/>
            </w:r>
            <w:r>
              <w:rPr>
                <w:rStyle w:val="IndexLink"/>
              </w:rPr>
              <w:t>376</w:t>
            </w:r>
          </w:hyperlink>
        </w:p>
        <w:p>
          <w:pPr>
            <w:pStyle w:val="Contents4"/>
            <w:tabs>
              <w:tab w:val="clear" w:pos="8176"/>
              <w:tab w:val="right" w:pos="9026" w:leader="dot"/>
            </w:tabs>
            <w:rPr/>
          </w:pPr>
          <w:hyperlink w:anchor="__RefHeading___Toc162687_3244359995">
            <w:r>
              <w:rPr>
                <w:webHidden/>
                <w:rStyle w:val="IndexLink"/>
                <w:rtl w:val="true"/>
              </w:rPr>
              <w:t>اشاره</w:t>
            </w:r>
            <w:r>
              <w:rPr>
                <w:rStyle w:val="IndexLink"/>
                <w:rtl w:val="true"/>
              </w:rPr>
              <w:tab/>
            </w:r>
            <w:r>
              <w:rPr>
                <w:rStyle w:val="IndexLink"/>
              </w:rPr>
              <w:t>376</w:t>
            </w:r>
          </w:hyperlink>
        </w:p>
        <w:p>
          <w:pPr>
            <w:pStyle w:val="Contents4"/>
            <w:tabs>
              <w:tab w:val="clear" w:pos="8176"/>
              <w:tab w:val="right" w:pos="9026" w:leader="dot"/>
            </w:tabs>
            <w:rPr/>
          </w:pPr>
          <w:hyperlink w:anchor="__RefHeading___Toc162689_3244359995">
            <w:r>
              <w:rPr>
                <w:webHidden/>
                <w:rStyle w:val="IndexLink"/>
                <w:rtl w:val="true"/>
              </w:rPr>
              <w:t>بیان محل نزاع در کلمات فقها</w:t>
            </w:r>
            <w:r>
              <w:rPr>
                <w:rStyle w:val="IndexLink"/>
                <w:rtl w:val="true"/>
              </w:rPr>
              <w:tab/>
            </w:r>
            <w:r>
              <w:rPr>
                <w:rStyle w:val="IndexLink"/>
              </w:rPr>
              <w:t>376</w:t>
            </w:r>
          </w:hyperlink>
        </w:p>
        <w:p>
          <w:pPr>
            <w:pStyle w:val="Contents4"/>
            <w:tabs>
              <w:tab w:val="clear" w:pos="8176"/>
              <w:tab w:val="right" w:pos="9026" w:leader="dot"/>
            </w:tabs>
            <w:rPr/>
          </w:pPr>
          <w:hyperlink w:anchor="__RefHeading___Toc162691_3244359995">
            <w:r>
              <w:rPr>
                <w:webHidden/>
                <w:rStyle w:val="IndexLink"/>
                <w:rtl w:val="true"/>
              </w:rPr>
              <w:t>بررسی اقوال فقها</w:t>
            </w:r>
            <w:r>
              <w:rPr>
                <w:rStyle w:val="IndexLink"/>
                <w:rtl w:val="true"/>
              </w:rPr>
              <w:tab/>
            </w:r>
            <w:r>
              <w:rPr>
                <w:rStyle w:val="IndexLink"/>
              </w:rPr>
              <w:t>376</w:t>
            </w:r>
          </w:hyperlink>
        </w:p>
        <w:p>
          <w:pPr>
            <w:pStyle w:val="Contents4"/>
            <w:tabs>
              <w:tab w:val="clear" w:pos="8176"/>
              <w:tab w:val="right" w:pos="9026" w:leader="dot"/>
            </w:tabs>
            <w:rPr/>
          </w:pPr>
          <w:hyperlink w:anchor="__RefHeading___Toc162693_3244359995">
            <w:r>
              <w:rPr>
                <w:webHidden/>
                <w:rStyle w:val="IndexLink"/>
                <w:rtl w:val="true"/>
              </w:rPr>
              <w:t>بررسی معنای لُصّ</w:t>
            </w:r>
            <w:r>
              <w:rPr>
                <w:rStyle w:val="IndexLink"/>
                <w:rtl w:val="true"/>
              </w:rPr>
              <w:tab/>
            </w:r>
            <w:r>
              <w:rPr>
                <w:rStyle w:val="IndexLink"/>
              </w:rPr>
              <w:t>379</w:t>
            </w:r>
          </w:hyperlink>
        </w:p>
        <w:p>
          <w:pPr>
            <w:pStyle w:val="Contents4"/>
            <w:tabs>
              <w:tab w:val="clear" w:pos="8176"/>
              <w:tab w:val="right" w:pos="9026" w:leader="dot"/>
            </w:tabs>
            <w:rPr/>
          </w:pPr>
          <w:hyperlink w:anchor="__RefHeading___Toc162695_3244359995">
            <w:r>
              <w:rPr>
                <w:webHidden/>
                <w:rStyle w:val="IndexLink"/>
                <w:rtl w:val="true"/>
              </w:rPr>
              <w:t>طرح اشکال بر عبارت تحریرالوسیله</w:t>
            </w:r>
            <w:r>
              <w:rPr>
                <w:rStyle w:val="IndexLink"/>
                <w:rtl w:val="true"/>
              </w:rPr>
              <w:tab/>
            </w:r>
            <w:r>
              <w:rPr>
                <w:rStyle w:val="IndexLink"/>
              </w:rPr>
              <w:t>380</w:t>
            </w:r>
          </w:hyperlink>
        </w:p>
        <w:p>
          <w:pPr>
            <w:pStyle w:val="Contents5"/>
            <w:tabs>
              <w:tab w:val="clear" w:pos="7892"/>
              <w:tab w:val="right" w:pos="9026" w:leader="dot"/>
            </w:tabs>
            <w:rPr/>
          </w:pPr>
          <w:hyperlink w:anchor="__RefHeading___Toc162697_3244359995">
            <w:r>
              <w:rPr>
                <w:webHidden/>
                <w:rStyle w:val="IndexLink"/>
                <w:rtl w:val="true"/>
              </w:rPr>
              <w:t>اشاره</w:t>
            </w:r>
            <w:r>
              <w:rPr>
                <w:rStyle w:val="IndexLink"/>
                <w:rtl w:val="true"/>
              </w:rPr>
              <w:tab/>
            </w:r>
            <w:r>
              <w:rPr>
                <w:rStyle w:val="IndexLink"/>
              </w:rPr>
              <w:t>380</w:t>
            </w:r>
          </w:hyperlink>
        </w:p>
        <w:p>
          <w:pPr>
            <w:pStyle w:val="Contents5"/>
            <w:tabs>
              <w:tab w:val="clear" w:pos="7892"/>
              <w:tab w:val="right" w:pos="9026" w:leader="dot"/>
            </w:tabs>
            <w:rPr/>
          </w:pPr>
          <w:hyperlink w:anchor="__RefHeading___Toc162699_3244359995">
            <w:r>
              <w:rPr>
                <w:webHidden/>
                <w:rStyle w:val="IndexLink"/>
                <w:rtl w:val="true"/>
              </w:rPr>
              <w:t>توضیح مفاد روایات</w:t>
            </w:r>
            <w:r>
              <w:rPr>
                <w:rStyle w:val="IndexLink"/>
                <w:rtl w:val="true"/>
              </w:rPr>
              <w:tab/>
            </w:r>
            <w:r>
              <w:rPr>
                <w:rStyle w:val="IndexLink"/>
              </w:rPr>
              <w:t>381</w:t>
            </w:r>
          </w:hyperlink>
        </w:p>
        <w:p>
          <w:pPr>
            <w:pStyle w:val="Contents4"/>
            <w:tabs>
              <w:tab w:val="clear" w:pos="8176"/>
              <w:tab w:val="right" w:pos="9026" w:leader="dot"/>
            </w:tabs>
            <w:rPr/>
          </w:pPr>
          <w:hyperlink w:anchor="__RefHeading___Toc162701_3244359995">
            <w:r>
              <w:rPr>
                <w:webHidden/>
                <w:rStyle w:val="IndexLink"/>
                <w:rtl w:val="true"/>
              </w:rPr>
              <w:t xml:space="preserve">بررسی معنای عبارت </w:t>
            </w:r>
            <w:r>
              <w:rPr>
                <w:rStyle w:val="IndexLink"/>
                <w:rtl w:val="true"/>
              </w:rPr>
              <w:t>«</w:t>
            </w:r>
            <w:r>
              <w:rPr>
                <w:rStyle w:val="IndexLink"/>
                <w:rtl w:val="true"/>
              </w:rPr>
              <w:t>اللصّ محارب</w:t>
            </w:r>
            <w:r>
              <w:rPr>
                <w:rStyle w:val="IndexLink"/>
                <w:rtl w:val="true"/>
              </w:rPr>
              <w:t>»</w:t>
              <w:tab/>
            </w:r>
            <w:r>
              <w:rPr>
                <w:rStyle w:val="IndexLink"/>
              </w:rPr>
              <w:t>382</w:t>
            </w:r>
          </w:hyperlink>
        </w:p>
        <w:p>
          <w:pPr>
            <w:pStyle w:val="Contents5"/>
            <w:tabs>
              <w:tab w:val="clear" w:pos="7892"/>
              <w:tab w:val="right" w:pos="9026" w:leader="dot"/>
            </w:tabs>
            <w:rPr/>
          </w:pPr>
          <w:hyperlink w:anchor="__RefHeading___Toc162703_3244359995">
            <w:r>
              <w:rPr>
                <w:webHidden/>
                <w:rStyle w:val="IndexLink"/>
                <w:rtl w:val="true"/>
              </w:rPr>
              <w:t>اشاره</w:t>
            </w:r>
            <w:r>
              <w:rPr>
                <w:rStyle w:val="IndexLink"/>
                <w:rtl w:val="true"/>
              </w:rPr>
              <w:tab/>
            </w:r>
            <w:r>
              <w:rPr>
                <w:rStyle w:val="IndexLink"/>
              </w:rPr>
              <w:t>382</w:t>
            </w:r>
          </w:hyperlink>
        </w:p>
        <w:p>
          <w:pPr>
            <w:pStyle w:val="Contents5"/>
            <w:tabs>
              <w:tab w:val="clear" w:pos="7892"/>
              <w:tab w:val="right" w:pos="9026" w:leader="dot"/>
            </w:tabs>
            <w:rPr/>
          </w:pPr>
          <w:hyperlink w:anchor="__RefHeading___Toc162705_3244359995">
            <w:r>
              <w:rPr>
                <w:webHidden/>
                <w:rStyle w:val="IndexLink"/>
                <w:rtl w:val="true"/>
              </w:rPr>
              <w:t>دیدگاه مرحوم صاحب جواهر رحمه الله</w:t>
            </w:r>
            <w:r>
              <w:rPr>
                <w:rStyle w:val="IndexLink"/>
                <w:rtl w:val="true"/>
              </w:rPr>
              <w:tab/>
            </w:r>
            <w:r>
              <w:rPr>
                <w:rStyle w:val="IndexLink"/>
              </w:rPr>
              <w:t>388</w:t>
            </w:r>
          </w:hyperlink>
        </w:p>
        <w:p>
          <w:pPr>
            <w:pStyle w:val="Contents3"/>
            <w:tabs>
              <w:tab w:val="clear" w:pos="8459"/>
              <w:tab w:val="right" w:pos="9026" w:leader="dot"/>
            </w:tabs>
            <w:rPr/>
          </w:pPr>
          <w:hyperlink w:anchor="__RefHeading___Toc162707_3244359995">
            <w:r>
              <w:rPr>
                <w:webHidden/>
                <w:rStyle w:val="IndexLink"/>
                <w:rtl w:val="true"/>
              </w:rPr>
              <w:t>کیفیّت صلب محارب</w:t>
            </w:r>
            <w:r>
              <w:rPr>
                <w:rStyle w:val="IndexLink"/>
                <w:rtl w:val="true"/>
              </w:rPr>
              <w:tab/>
            </w:r>
            <w:r>
              <w:rPr>
                <w:rStyle w:val="IndexLink"/>
              </w:rPr>
              <w:t>390</w:t>
            </w:r>
          </w:hyperlink>
        </w:p>
        <w:p>
          <w:pPr>
            <w:pStyle w:val="Contents4"/>
            <w:tabs>
              <w:tab w:val="clear" w:pos="8176"/>
              <w:tab w:val="right" w:pos="9026" w:leader="dot"/>
            </w:tabs>
            <w:rPr/>
          </w:pPr>
          <w:hyperlink w:anchor="__RefHeading___Toc162709_3244359995">
            <w:r>
              <w:rPr>
                <w:webHidden/>
                <w:rStyle w:val="IndexLink"/>
                <w:rtl w:val="true"/>
              </w:rPr>
              <w:t>اشاره</w:t>
            </w:r>
            <w:r>
              <w:rPr>
                <w:rStyle w:val="IndexLink"/>
                <w:rtl w:val="true"/>
              </w:rPr>
              <w:tab/>
            </w:r>
            <w:r>
              <w:rPr>
                <w:rStyle w:val="IndexLink"/>
              </w:rPr>
              <w:t>390</w:t>
            </w:r>
          </w:hyperlink>
        </w:p>
        <w:p>
          <w:pPr>
            <w:pStyle w:val="Contents4"/>
            <w:tabs>
              <w:tab w:val="clear" w:pos="8176"/>
              <w:tab w:val="right" w:pos="9026" w:leader="dot"/>
            </w:tabs>
            <w:rPr/>
          </w:pPr>
          <w:hyperlink w:anchor="__RefHeading___Toc162711_3244359995">
            <w:r>
              <w:rPr>
                <w:webHidden/>
                <w:rStyle w:val="IndexLink"/>
                <w:rtl w:val="true"/>
              </w:rPr>
              <w:t>طرح محلّ نزاع</w:t>
            </w:r>
            <w:r>
              <w:rPr>
                <w:rStyle w:val="IndexLink"/>
                <w:rtl w:val="true"/>
              </w:rPr>
              <w:tab/>
            </w:r>
            <w:r>
              <w:rPr>
                <w:rStyle w:val="IndexLink"/>
              </w:rPr>
              <w:t>390</w:t>
            </w:r>
          </w:hyperlink>
        </w:p>
        <w:p>
          <w:pPr>
            <w:pStyle w:val="Contents4"/>
            <w:tabs>
              <w:tab w:val="clear" w:pos="8176"/>
              <w:tab w:val="right" w:pos="9026" w:leader="dot"/>
            </w:tabs>
            <w:rPr/>
          </w:pPr>
          <w:hyperlink w:anchor="__RefHeading___Toc162713_3244359995">
            <w:r>
              <w:rPr>
                <w:webHidden/>
                <w:rStyle w:val="IndexLink"/>
                <w:rtl w:val="true"/>
              </w:rPr>
              <w:t>عدم جواز ابقای مصلوب بر دار بیش از سه روز</w:t>
            </w:r>
            <w:r>
              <w:rPr>
                <w:rStyle w:val="IndexLink"/>
                <w:rtl w:val="true"/>
              </w:rPr>
              <w:tab/>
            </w:r>
            <w:r>
              <w:rPr>
                <w:rStyle w:val="IndexLink"/>
              </w:rPr>
              <w:t>391</w:t>
            </w:r>
          </w:hyperlink>
        </w:p>
        <w:p>
          <w:pPr>
            <w:pStyle w:val="Contents4"/>
            <w:tabs>
              <w:tab w:val="clear" w:pos="8176"/>
              <w:tab w:val="right" w:pos="9026" w:leader="dot"/>
            </w:tabs>
            <w:rPr/>
          </w:pPr>
          <w:hyperlink w:anchor="__RefHeading___Toc162715_3244359995">
            <w:r>
              <w:rPr>
                <w:webHidden/>
                <w:rStyle w:val="IndexLink"/>
                <w:rtl w:val="true"/>
              </w:rPr>
              <w:t xml:space="preserve">بیان مقصود از </w:t>
            </w:r>
            <w:r>
              <w:rPr>
                <w:rStyle w:val="IndexLink"/>
                <w:rtl w:val="true"/>
              </w:rPr>
              <w:t>«</w:t>
            </w:r>
            <w:r>
              <w:rPr>
                <w:rStyle w:val="IndexLink"/>
                <w:rtl w:val="true"/>
              </w:rPr>
              <w:t>ثلاثة أیّام</w:t>
            </w:r>
            <w:r>
              <w:rPr>
                <w:rStyle w:val="IndexLink"/>
                <w:rtl w:val="true"/>
              </w:rPr>
              <w:t>»</w:t>
              <w:tab/>
            </w:r>
            <w:r>
              <w:rPr>
                <w:rStyle w:val="IndexLink"/>
              </w:rPr>
              <w:t>394</w:t>
            </w:r>
          </w:hyperlink>
        </w:p>
        <w:p>
          <w:pPr>
            <w:pStyle w:val="Contents3"/>
            <w:tabs>
              <w:tab w:val="clear" w:pos="8459"/>
              <w:tab w:val="right" w:pos="9026" w:leader="dot"/>
            </w:tabs>
            <w:rPr/>
          </w:pPr>
          <w:hyperlink w:anchor="__RefHeading___Toc162717_3244359995">
            <w:r>
              <w:rPr>
                <w:webHidden/>
                <w:rStyle w:val="IndexLink"/>
                <w:rtl w:val="true"/>
              </w:rPr>
              <w:t>کیفیّت تبعید محارب</w:t>
            </w:r>
            <w:r>
              <w:rPr>
                <w:rStyle w:val="IndexLink"/>
                <w:rtl w:val="true"/>
              </w:rPr>
              <w:tab/>
            </w:r>
            <w:r>
              <w:rPr>
                <w:rStyle w:val="IndexLink"/>
              </w:rPr>
              <w:t>396</w:t>
            </w:r>
          </w:hyperlink>
        </w:p>
        <w:p>
          <w:pPr>
            <w:pStyle w:val="Contents4"/>
            <w:tabs>
              <w:tab w:val="clear" w:pos="8176"/>
              <w:tab w:val="right" w:pos="9026" w:leader="dot"/>
            </w:tabs>
            <w:rPr/>
          </w:pPr>
          <w:hyperlink w:anchor="__RefHeading___Toc162719_3244359995">
            <w:r>
              <w:rPr>
                <w:webHidden/>
                <w:rStyle w:val="IndexLink"/>
                <w:rtl w:val="true"/>
              </w:rPr>
              <w:t>اشاره</w:t>
            </w:r>
            <w:r>
              <w:rPr>
                <w:rStyle w:val="IndexLink"/>
                <w:rtl w:val="true"/>
              </w:rPr>
              <w:tab/>
            </w:r>
            <w:r>
              <w:rPr>
                <w:rStyle w:val="IndexLink"/>
              </w:rPr>
              <w:t>396</w:t>
            </w:r>
          </w:hyperlink>
        </w:p>
        <w:p>
          <w:pPr>
            <w:pStyle w:val="Contents4"/>
            <w:tabs>
              <w:tab w:val="clear" w:pos="8176"/>
              <w:tab w:val="right" w:pos="9026" w:leader="dot"/>
            </w:tabs>
            <w:rPr/>
          </w:pPr>
          <w:hyperlink w:anchor="__RefHeading___Toc162721_3244359995">
            <w:r>
              <w:rPr>
                <w:webHidden/>
                <w:rStyle w:val="IndexLink"/>
                <w:rtl w:val="true"/>
              </w:rPr>
              <w:t xml:space="preserve">بیان مقصود از </w:t>
            </w:r>
            <w:r>
              <w:rPr>
                <w:rStyle w:val="IndexLink"/>
                <w:rtl w:val="true"/>
              </w:rPr>
              <w:t>«</w:t>
            </w:r>
            <w:r>
              <w:rPr>
                <w:rStyle w:val="IndexLink"/>
                <w:rtl w:val="true"/>
              </w:rPr>
              <w:t>ینفوا من الأرض</w:t>
            </w:r>
            <w:r>
              <w:rPr>
                <w:rStyle w:val="IndexLink"/>
                <w:rtl w:val="true"/>
              </w:rPr>
              <w:t>»</w:t>
              <w:tab/>
            </w:r>
            <w:r>
              <w:rPr>
                <w:rStyle w:val="IndexLink"/>
              </w:rPr>
              <w:t>396</w:t>
            </w:r>
          </w:hyperlink>
        </w:p>
        <w:p>
          <w:pPr>
            <w:pStyle w:val="Contents4"/>
            <w:tabs>
              <w:tab w:val="clear" w:pos="8176"/>
              <w:tab w:val="right" w:pos="9026" w:leader="dot"/>
            </w:tabs>
            <w:rPr/>
          </w:pPr>
          <w:hyperlink w:anchor="__RefHeading___Toc162723_3244359995">
            <w:r>
              <w:rPr>
                <w:webHidden/>
                <w:rStyle w:val="IndexLink"/>
                <w:rtl w:val="true"/>
              </w:rPr>
              <w:t xml:space="preserve">بررسی معنای </w:t>
            </w:r>
            <w:r>
              <w:rPr>
                <w:rStyle w:val="IndexLink"/>
                <w:rtl w:val="true"/>
              </w:rPr>
              <w:t>«</w:t>
            </w:r>
            <w:r>
              <w:rPr>
                <w:rStyle w:val="IndexLink"/>
                <w:rtl w:val="true"/>
              </w:rPr>
              <w:t>نفی أرض</w:t>
            </w:r>
            <w:r>
              <w:rPr>
                <w:rStyle w:val="IndexLink"/>
                <w:rtl w:val="true"/>
              </w:rPr>
              <w:t>»</w:t>
              <w:tab/>
            </w:r>
            <w:r>
              <w:rPr>
                <w:rStyle w:val="IndexLink"/>
              </w:rPr>
              <w:t>398</w:t>
            </w:r>
          </w:hyperlink>
        </w:p>
        <w:p>
          <w:pPr>
            <w:pStyle w:val="Contents4"/>
            <w:tabs>
              <w:tab w:val="clear" w:pos="8176"/>
              <w:tab w:val="right" w:pos="9026" w:leader="dot"/>
            </w:tabs>
            <w:rPr/>
          </w:pPr>
          <w:hyperlink w:anchor="__RefHeading___Toc162725_3244359995">
            <w:r>
              <w:rPr>
                <w:webHidden/>
                <w:rStyle w:val="IndexLink"/>
                <w:rtl w:val="true"/>
              </w:rPr>
              <w:t>دلالت روایات بر نفی ارض</w:t>
            </w:r>
            <w:r>
              <w:rPr>
                <w:rStyle w:val="IndexLink"/>
                <w:rtl w:val="true"/>
              </w:rPr>
              <w:tab/>
            </w:r>
            <w:r>
              <w:rPr>
                <w:rStyle w:val="IndexLink"/>
              </w:rPr>
              <w:t>400</w:t>
            </w:r>
          </w:hyperlink>
        </w:p>
        <w:p>
          <w:pPr>
            <w:pStyle w:val="Contents5"/>
            <w:tabs>
              <w:tab w:val="clear" w:pos="7892"/>
              <w:tab w:val="right" w:pos="9026" w:leader="dot"/>
            </w:tabs>
            <w:rPr/>
          </w:pPr>
          <w:hyperlink w:anchor="__RefHeading___Toc162727_3244359995">
            <w:r>
              <w:rPr>
                <w:webHidden/>
                <w:rStyle w:val="IndexLink"/>
                <w:rtl w:val="true"/>
              </w:rPr>
              <w:t>اشاره</w:t>
            </w:r>
            <w:r>
              <w:rPr>
                <w:rStyle w:val="IndexLink"/>
                <w:rtl w:val="true"/>
              </w:rPr>
              <w:tab/>
            </w:r>
            <w:r>
              <w:rPr>
                <w:rStyle w:val="IndexLink"/>
              </w:rPr>
              <w:t>400</w:t>
            </w:r>
          </w:hyperlink>
        </w:p>
        <w:p>
          <w:pPr>
            <w:pStyle w:val="Contents5"/>
            <w:tabs>
              <w:tab w:val="clear" w:pos="7892"/>
              <w:tab w:val="right" w:pos="9026" w:leader="dot"/>
            </w:tabs>
            <w:rPr/>
          </w:pPr>
          <w:hyperlink w:anchor="__RefHeading___Toc162729_3244359995">
            <w:r>
              <w:rPr>
                <w:webHidden/>
                <w:rStyle w:val="IndexLink"/>
                <w:rtl w:val="true"/>
              </w:rPr>
              <w:t>جمع‌بندی روایات</w:t>
            </w:r>
            <w:r>
              <w:rPr>
                <w:rStyle w:val="IndexLink"/>
                <w:rtl w:val="true"/>
              </w:rPr>
              <w:tab/>
            </w:r>
            <w:r>
              <w:rPr>
                <w:rStyle w:val="IndexLink"/>
              </w:rPr>
              <w:t>406</w:t>
            </w:r>
          </w:hyperlink>
        </w:p>
        <w:p>
          <w:pPr>
            <w:pStyle w:val="Contents3"/>
            <w:tabs>
              <w:tab w:val="clear" w:pos="8459"/>
              <w:tab w:val="right" w:pos="9026" w:leader="dot"/>
            </w:tabs>
            <w:rPr/>
          </w:pPr>
          <w:hyperlink w:anchor="__RefHeading___Toc162731_3244359995">
            <w:r>
              <w:rPr>
                <w:webHidden/>
                <w:rStyle w:val="IndexLink"/>
                <w:rtl w:val="true"/>
              </w:rPr>
              <w:t>عدم اعتبار سرقت در حدّ محارب</w:t>
            </w:r>
            <w:r>
              <w:rPr>
                <w:rStyle w:val="IndexLink"/>
                <w:rtl w:val="true"/>
              </w:rPr>
              <w:tab/>
            </w:r>
            <w:r>
              <w:rPr>
                <w:rStyle w:val="IndexLink"/>
              </w:rPr>
              <w:t>411</w:t>
            </w:r>
          </w:hyperlink>
        </w:p>
        <w:p>
          <w:pPr>
            <w:pStyle w:val="Contents4"/>
            <w:tabs>
              <w:tab w:val="clear" w:pos="8176"/>
              <w:tab w:val="right" w:pos="9026" w:leader="dot"/>
            </w:tabs>
            <w:rPr/>
          </w:pPr>
          <w:hyperlink w:anchor="__RefHeading___Toc162733_3244359995">
            <w:r>
              <w:rPr>
                <w:webHidden/>
                <w:rStyle w:val="IndexLink"/>
                <w:rtl w:val="true"/>
              </w:rPr>
              <w:t>اشاره</w:t>
            </w:r>
            <w:r>
              <w:rPr>
                <w:rStyle w:val="IndexLink"/>
                <w:rtl w:val="true"/>
              </w:rPr>
              <w:tab/>
            </w:r>
            <w:r>
              <w:rPr>
                <w:rStyle w:val="IndexLink"/>
              </w:rPr>
              <w:t>411</w:t>
            </w:r>
          </w:hyperlink>
        </w:p>
        <w:p>
          <w:pPr>
            <w:pStyle w:val="Contents4"/>
            <w:tabs>
              <w:tab w:val="clear" w:pos="8176"/>
              <w:tab w:val="right" w:pos="9026" w:leader="dot"/>
            </w:tabs>
            <w:rPr/>
          </w:pPr>
          <w:hyperlink w:anchor="__RefHeading___Toc162735_3244359995">
            <w:r>
              <w:rPr>
                <w:webHidden/>
                <w:rStyle w:val="IndexLink"/>
                <w:rtl w:val="true"/>
              </w:rPr>
              <w:t>فرع اوّل</w:t>
            </w:r>
            <w:r>
              <w:rPr>
                <w:rStyle w:val="IndexLink"/>
                <w:rtl w:val="true"/>
              </w:rPr>
              <w:t xml:space="preserve">: </w:t>
            </w:r>
            <w:r>
              <w:rPr>
                <w:rStyle w:val="IndexLink"/>
                <w:rtl w:val="true"/>
              </w:rPr>
              <w:t>عدم اعتبار سرقت، نصاب و حرز در حدّ قطع</w:t>
            </w:r>
            <w:r>
              <w:rPr>
                <w:rStyle w:val="IndexLink"/>
                <w:rtl w:val="true"/>
              </w:rPr>
              <w:tab/>
            </w:r>
            <w:r>
              <w:rPr>
                <w:rStyle w:val="IndexLink"/>
              </w:rPr>
              <w:t>411</w:t>
            </w:r>
          </w:hyperlink>
        </w:p>
        <w:p>
          <w:pPr>
            <w:pStyle w:val="Contents5"/>
            <w:tabs>
              <w:tab w:val="clear" w:pos="7892"/>
              <w:tab w:val="right" w:pos="9026" w:leader="dot"/>
            </w:tabs>
            <w:rPr/>
          </w:pPr>
          <w:hyperlink w:anchor="__RefHeading___Toc162737_3244359995">
            <w:r>
              <w:rPr>
                <w:webHidden/>
                <w:rStyle w:val="IndexLink"/>
                <w:rtl w:val="true"/>
              </w:rPr>
              <w:t>اشاره</w:t>
            </w:r>
            <w:r>
              <w:rPr>
                <w:rStyle w:val="IndexLink"/>
                <w:rtl w:val="true"/>
              </w:rPr>
              <w:tab/>
            </w:r>
            <w:r>
              <w:rPr>
                <w:rStyle w:val="IndexLink"/>
              </w:rPr>
              <w:t>411</w:t>
            </w:r>
          </w:hyperlink>
        </w:p>
        <w:p>
          <w:pPr>
            <w:pStyle w:val="Contents5"/>
            <w:tabs>
              <w:tab w:val="clear" w:pos="7892"/>
              <w:tab w:val="right" w:pos="9026" w:leader="dot"/>
            </w:tabs>
            <w:rPr/>
          </w:pPr>
          <w:hyperlink w:anchor="__RefHeading___Toc162739_3244359995">
            <w:r>
              <w:rPr>
                <w:webHidden/>
                <w:rStyle w:val="IndexLink"/>
                <w:rtl w:val="true"/>
              </w:rPr>
              <w:t>طرح یک مسأله</w:t>
            </w:r>
            <w:r>
              <w:rPr>
                <w:rStyle w:val="IndexLink"/>
                <w:rtl w:val="true"/>
              </w:rPr>
              <w:tab/>
            </w:r>
            <w:r>
              <w:rPr>
                <w:rStyle w:val="IndexLink"/>
              </w:rPr>
              <w:t>413</w:t>
            </w:r>
          </w:hyperlink>
        </w:p>
        <w:p>
          <w:pPr>
            <w:pStyle w:val="Contents4"/>
            <w:tabs>
              <w:tab w:val="clear" w:pos="8176"/>
              <w:tab w:val="right" w:pos="9026" w:leader="dot"/>
            </w:tabs>
            <w:rPr/>
          </w:pPr>
          <w:hyperlink w:anchor="__RefHeading___Toc162741_3244359995">
            <w:r>
              <w:rPr>
                <w:webHidden/>
                <w:rStyle w:val="IndexLink"/>
                <w:rtl w:val="true"/>
              </w:rPr>
              <w:t>فرع دوّم</w:t>
            </w:r>
            <w:r>
              <w:rPr>
                <w:rStyle w:val="IndexLink"/>
                <w:rtl w:val="true"/>
              </w:rPr>
              <w:t xml:space="preserve">: </w:t>
            </w:r>
            <w:r>
              <w:rPr>
                <w:rStyle w:val="IndexLink"/>
                <w:rtl w:val="true"/>
              </w:rPr>
              <w:t>کیفیّت قطع دست و پا</w:t>
            </w:r>
            <w:r>
              <w:rPr>
                <w:rStyle w:val="IndexLink"/>
                <w:rtl w:val="true"/>
              </w:rPr>
              <w:tab/>
            </w:r>
            <w:r>
              <w:rPr>
                <w:rStyle w:val="IndexLink"/>
              </w:rPr>
              <w:t>413</w:t>
            </w:r>
          </w:hyperlink>
        </w:p>
        <w:p>
          <w:pPr>
            <w:pStyle w:val="Contents4"/>
            <w:tabs>
              <w:tab w:val="clear" w:pos="8176"/>
              <w:tab w:val="right" w:pos="9026" w:leader="dot"/>
            </w:tabs>
            <w:rPr/>
          </w:pPr>
          <w:hyperlink w:anchor="__RefHeading___Toc162743_3244359995">
            <w:r>
              <w:rPr>
                <w:webHidden/>
                <w:rStyle w:val="IndexLink"/>
                <w:rtl w:val="true"/>
              </w:rPr>
              <w:t>فرع سوّم</w:t>
            </w:r>
            <w:r>
              <w:rPr>
                <w:rStyle w:val="IndexLink"/>
                <w:rtl w:val="true"/>
              </w:rPr>
              <w:t xml:space="preserve">: </w:t>
            </w:r>
            <w:r>
              <w:rPr>
                <w:rStyle w:val="IndexLink"/>
                <w:rtl w:val="true"/>
              </w:rPr>
              <w:t>حکم فاقد دست راست و پای چپ</w:t>
            </w:r>
            <w:r>
              <w:rPr>
                <w:rStyle w:val="IndexLink"/>
                <w:rtl w:val="true"/>
              </w:rPr>
              <w:tab/>
            </w:r>
            <w:r>
              <w:rPr>
                <w:rStyle w:val="IndexLink"/>
              </w:rPr>
              <w:t>415</w:t>
            </w:r>
          </w:hyperlink>
        </w:p>
        <w:p>
          <w:pPr>
            <w:pStyle w:val="Contents4"/>
            <w:tabs>
              <w:tab w:val="clear" w:pos="8176"/>
              <w:tab w:val="right" w:pos="9026" w:leader="dot"/>
            </w:tabs>
            <w:rPr/>
          </w:pPr>
          <w:hyperlink w:anchor="__RefHeading___Toc162745_3244359995">
            <w:r>
              <w:rPr>
                <w:webHidden/>
                <w:rStyle w:val="IndexLink"/>
                <w:rtl w:val="true"/>
              </w:rPr>
              <w:t>حکم فاقد دست راست</w:t>
            </w:r>
            <w:r>
              <w:rPr>
                <w:rStyle w:val="IndexLink"/>
                <w:rtl w:val="true"/>
              </w:rPr>
              <w:tab/>
            </w:r>
            <w:r>
              <w:rPr>
                <w:rStyle w:val="IndexLink"/>
              </w:rPr>
              <w:t>416</w:t>
            </w:r>
          </w:hyperlink>
        </w:p>
        <w:p>
          <w:pPr>
            <w:pStyle w:val="Contents3"/>
            <w:tabs>
              <w:tab w:val="clear" w:pos="8459"/>
              <w:tab w:val="right" w:pos="9026" w:leader="dot"/>
            </w:tabs>
            <w:rPr/>
          </w:pPr>
          <w:hyperlink w:anchor="__RefHeading___Toc162747_3244359995">
            <w:r>
              <w:rPr>
                <w:webHidden/>
                <w:rStyle w:val="IndexLink"/>
                <w:rtl w:val="true"/>
              </w:rPr>
              <w:t>حکم گرفتن مال به غیر از محاربه</w:t>
            </w:r>
            <w:r>
              <w:rPr>
                <w:rStyle w:val="IndexLink"/>
                <w:rtl w:val="true"/>
              </w:rPr>
              <w:tab/>
            </w:r>
            <w:r>
              <w:rPr>
                <w:rStyle w:val="IndexLink"/>
              </w:rPr>
              <w:t>418</w:t>
            </w:r>
          </w:hyperlink>
        </w:p>
        <w:p>
          <w:pPr>
            <w:pStyle w:val="Contents4"/>
            <w:tabs>
              <w:tab w:val="clear" w:pos="8176"/>
              <w:tab w:val="right" w:pos="9026" w:leader="dot"/>
            </w:tabs>
            <w:rPr/>
          </w:pPr>
          <w:hyperlink w:anchor="__RefHeading___Toc162749_3244359995">
            <w:r>
              <w:rPr>
                <w:webHidden/>
                <w:rStyle w:val="IndexLink"/>
                <w:rtl w:val="true"/>
              </w:rPr>
              <w:t>اشاره</w:t>
            </w:r>
            <w:r>
              <w:rPr>
                <w:rStyle w:val="IndexLink"/>
                <w:rtl w:val="true"/>
              </w:rPr>
              <w:tab/>
            </w:r>
            <w:r>
              <w:rPr>
                <w:rStyle w:val="IndexLink"/>
              </w:rPr>
              <w:t>418</w:t>
            </w:r>
          </w:hyperlink>
        </w:p>
        <w:p>
          <w:pPr>
            <w:pStyle w:val="Contents4"/>
            <w:tabs>
              <w:tab w:val="clear" w:pos="8176"/>
              <w:tab w:val="right" w:pos="9026" w:leader="dot"/>
            </w:tabs>
            <w:rPr/>
          </w:pPr>
          <w:hyperlink w:anchor="__RefHeading___Toc162751_3244359995">
            <w:r>
              <w:rPr>
                <w:webHidden/>
                <w:rStyle w:val="IndexLink"/>
                <w:rtl w:val="true"/>
              </w:rPr>
              <w:t>وجوه اخذ عدوانی مال مردم</w:t>
            </w:r>
            <w:r>
              <w:rPr>
                <w:rStyle w:val="IndexLink"/>
                <w:rtl w:val="true"/>
              </w:rPr>
              <w:tab/>
            </w:r>
            <w:r>
              <w:rPr>
                <w:rStyle w:val="IndexLink"/>
              </w:rPr>
              <w:t>418</w:t>
            </w:r>
          </w:hyperlink>
        </w:p>
        <w:p>
          <w:pPr>
            <w:pStyle w:val="Contents4"/>
            <w:tabs>
              <w:tab w:val="clear" w:pos="8176"/>
              <w:tab w:val="right" w:pos="9026" w:leader="dot"/>
            </w:tabs>
            <w:rPr/>
          </w:pPr>
          <w:hyperlink w:anchor="__RefHeading___Toc162753_3244359995">
            <w:r>
              <w:rPr>
                <w:webHidden/>
                <w:rStyle w:val="IndexLink"/>
                <w:rtl w:val="true"/>
              </w:rPr>
              <w:t>حکم گیرنده‌ی مال به غیرسرقت و محاربه</w:t>
            </w:r>
            <w:r>
              <w:rPr>
                <w:rStyle w:val="IndexLink"/>
                <w:rtl w:val="true"/>
              </w:rPr>
              <w:tab/>
            </w:r>
            <w:r>
              <w:rPr>
                <w:rStyle w:val="IndexLink"/>
              </w:rPr>
              <w:t>419</w:t>
            </w:r>
          </w:hyperlink>
        </w:p>
        <w:p>
          <w:pPr>
            <w:pStyle w:val="Contents3"/>
            <w:tabs>
              <w:tab w:val="clear" w:pos="8459"/>
              <w:tab w:val="right" w:pos="9026" w:leader="dot"/>
            </w:tabs>
            <w:rPr/>
          </w:pPr>
          <w:hyperlink w:anchor="__RefHeading___Toc162755_3244359995">
            <w:r>
              <w:rPr>
                <w:webHidden/>
                <w:rStyle w:val="IndexLink"/>
                <w:rtl w:val="true"/>
              </w:rPr>
              <w:t>فصل یکم</w:t>
            </w:r>
            <w:r>
              <w:rPr>
                <w:rStyle w:val="IndexLink"/>
                <w:rtl w:val="true"/>
              </w:rPr>
              <w:t xml:space="preserve">: </w:t>
            </w:r>
            <w:r>
              <w:rPr>
                <w:rStyle w:val="IndexLink"/>
                <w:rtl w:val="true"/>
              </w:rPr>
              <w:t>حکم ارتداد، وطی میته و حیوان</w:t>
            </w:r>
            <w:r>
              <w:rPr>
                <w:rStyle w:val="IndexLink"/>
                <w:rtl w:val="true"/>
              </w:rPr>
              <w:tab/>
            </w:r>
            <w:r>
              <w:rPr>
                <w:rStyle w:val="IndexLink"/>
              </w:rPr>
              <w:t>425</w:t>
            </w:r>
          </w:hyperlink>
        </w:p>
        <w:p>
          <w:pPr>
            <w:pStyle w:val="Contents4"/>
            <w:tabs>
              <w:tab w:val="clear" w:pos="8176"/>
              <w:tab w:val="right" w:pos="9026" w:leader="dot"/>
            </w:tabs>
            <w:rPr/>
          </w:pPr>
          <w:hyperlink w:anchor="__RefHeading___Toc162757_3244359995">
            <w:r>
              <w:rPr>
                <w:webHidden/>
                <w:rStyle w:val="IndexLink"/>
                <w:rtl w:val="true"/>
              </w:rPr>
              <w:t>اشاره</w:t>
            </w:r>
            <w:r>
              <w:rPr>
                <w:rStyle w:val="IndexLink"/>
                <w:rtl w:val="true"/>
              </w:rPr>
              <w:tab/>
            </w:r>
            <w:r>
              <w:rPr>
                <w:rStyle w:val="IndexLink"/>
              </w:rPr>
              <w:t>425</w:t>
            </w:r>
          </w:hyperlink>
        </w:p>
        <w:p>
          <w:pPr>
            <w:pStyle w:val="Contents4"/>
            <w:tabs>
              <w:tab w:val="clear" w:pos="8176"/>
              <w:tab w:val="right" w:pos="9026" w:leader="dot"/>
            </w:tabs>
            <w:rPr/>
          </w:pPr>
          <w:hyperlink w:anchor="__RefHeading___Toc162759_3244359995">
            <w:r>
              <w:rPr>
                <w:webHidden/>
                <w:rStyle w:val="IndexLink"/>
                <w:rtl w:val="true"/>
              </w:rPr>
              <w:t>احکام مرتدّ ملّی و فطری</w:t>
            </w:r>
            <w:r>
              <w:rPr>
                <w:rStyle w:val="IndexLink"/>
                <w:rtl w:val="true"/>
              </w:rPr>
              <w:tab/>
            </w:r>
            <w:r>
              <w:rPr>
                <w:rStyle w:val="IndexLink"/>
              </w:rPr>
              <w:t>426</w:t>
            </w:r>
          </w:hyperlink>
        </w:p>
        <w:p>
          <w:pPr>
            <w:pStyle w:val="Contents5"/>
            <w:tabs>
              <w:tab w:val="clear" w:pos="7892"/>
              <w:tab w:val="right" w:pos="9026" w:leader="dot"/>
            </w:tabs>
            <w:rPr/>
          </w:pPr>
          <w:hyperlink w:anchor="__RefHeading___Toc162761_3244359995">
            <w:r>
              <w:rPr>
                <w:webHidden/>
                <w:rStyle w:val="IndexLink"/>
                <w:rtl w:val="true"/>
              </w:rPr>
              <w:t>اشاره</w:t>
            </w:r>
            <w:r>
              <w:rPr>
                <w:rStyle w:val="IndexLink"/>
                <w:rtl w:val="true"/>
              </w:rPr>
              <w:tab/>
            </w:r>
            <w:r>
              <w:rPr>
                <w:rStyle w:val="IndexLink"/>
              </w:rPr>
              <w:t>426</w:t>
            </w:r>
          </w:hyperlink>
        </w:p>
        <w:p>
          <w:pPr>
            <w:pStyle w:val="Contents5"/>
            <w:tabs>
              <w:tab w:val="clear" w:pos="7892"/>
              <w:tab w:val="right" w:pos="9026" w:leader="dot"/>
            </w:tabs>
            <w:rPr/>
          </w:pPr>
          <w:hyperlink w:anchor="__RefHeading___Toc162763_3244359995">
            <w:r>
              <w:rPr>
                <w:webHidden/>
                <w:rStyle w:val="IndexLink"/>
                <w:rtl w:val="true"/>
              </w:rPr>
              <w:t>ضابطه‌ی اسلام و کفر</w:t>
            </w:r>
            <w:r>
              <w:rPr>
                <w:rStyle w:val="IndexLink"/>
                <w:rtl w:val="true"/>
              </w:rPr>
              <w:tab/>
            </w:r>
            <w:r>
              <w:rPr>
                <w:rStyle w:val="IndexLink"/>
              </w:rPr>
              <w:t>426</w:t>
            </w:r>
          </w:hyperlink>
        </w:p>
        <w:p>
          <w:pPr>
            <w:pStyle w:val="Contents5"/>
            <w:tabs>
              <w:tab w:val="clear" w:pos="7892"/>
              <w:tab w:val="right" w:pos="9026" w:leader="dot"/>
            </w:tabs>
            <w:rPr/>
          </w:pPr>
          <w:hyperlink w:anchor="__RefHeading___Toc162765_3244359995">
            <w:r>
              <w:rPr>
                <w:webHidden/>
                <w:rStyle w:val="IndexLink"/>
                <w:rtl w:val="true"/>
              </w:rPr>
              <w:t>تقسیم مرتد به ملّی و فطری</w:t>
            </w:r>
            <w:r>
              <w:rPr>
                <w:rStyle w:val="IndexLink"/>
                <w:rtl w:val="true"/>
              </w:rPr>
              <w:tab/>
            </w:r>
            <w:r>
              <w:rPr>
                <w:rStyle w:val="IndexLink"/>
              </w:rPr>
              <w:t>427</w:t>
            </w:r>
          </w:hyperlink>
        </w:p>
        <w:p>
          <w:pPr>
            <w:pStyle w:val="Contents5"/>
            <w:tabs>
              <w:tab w:val="clear" w:pos="7892"/>
              <w:tab w:val="right" w:pos="9026" w:leader="dot"/>
            </w:tabs>
            <w:rPr/>
          </w:pPr>
          <w:hyperlink w:anchor="__RefHeading___Toc162767_3244359995">
            <w:r>
              <w:rPr>
                <w:webHidden/>
                <w:rStyle w:val="IndexLink"/>
                <w:rtl w:val="true"/>
              </w:rPr>
              <w:t>سه خصوصیّت در مرتدّ فطری</w:t>
            </w:r>
            <w:r>
              <w:rPr>
                <w:rStyle w:val="IndexLink"/>
                <w:rtl w:val="true"/>
              </w:rPr>
              <w:tab/>
            </w:r>
            <w:r>
              <w:rPr>
                <w:rStyle w:val="IndexLink"/>
              </w:rPr>
              <w:t>427</w:t>
            </w:r>
          </w:hyperlink>
        </w:p>
        <w:p>
          <w:pPr>
            <w:pStyle w:val="Contents6"/>
            <w:tabs>
              <w:tab w:val="clear" w:pos="7609"/>
              <w:tab w:val="right" w:pos="9026" w:leader="dot"/>
            </w:tabs>
            <w:rPr/>
          </w:pPr>
          <w:hyperlink w:anchor="__RefHeading___Toc162769_3244359995">
            <w:r>
              <w:rPr>
                <w:webHidden/>
                <w:rStyle w:val="IndexLink"/>
                <w:rtl w:val="true"/>
              </w:rPr>
              <w:t>اشاره</w:t>
            </w:r>
            <w:r>
              <w:rPr>
                <w:rStyle w:val="IndexLink"/>
                <w:rtl w:val="true"/>
              </w:rPr>
              <w:tab/>
            </w:r>
            <w:r>
              <w:rPr>
                <w:rStyle w:val="IndexLink"/>
              </w:rPr>
              <w:t>427</w:t>
            </w:r>
          </w:hyperlink>
        </w:p>
        <w:p>
          <w:pPr>
            <w:pStyle w:val="Contents6"/>
            <w:tabs>
              <w:tab w:val="clear" w:pos="7609"/>
              <w:tab w:val="right" w:pos="9026" w:leader="dot"/>
            </w:tabs>
            <w:rPr/>
          </w:pPr>
          <w:hyperlink w:anchor="__RefHeading___Toc162771_3244359995">
            <w:r>
              <w:rPr>
                <w:webHidden/>
                <w:rStyle w:val="IndexLink"/>
              </w:rPr>
              <w:t>1</w:t>
            </w:r>
            <w:r>
              <w:rPr>
                <w:rStyle w:val="IndexLink"/>
                <w:rtl w:val="true"/>
              </w:rPr>
              <w:t xml:space="preserve">- </w:t>
            </w:r>
            <w:r>
              <w:rPr>
                <w:rStyle w:val="IndexLink"/>
                <w:rtl w:val="true"/>
              </w:rPr>
              <w:t>مقتضای عنوان مرتدّ فطری</w:t>
            </w:r>
            <w:r>
              <w:rPr>
                <w:rStyle w:val="IndexLink"/>
                <w:rtl w:val="true"/>
              </w:rPr>
              <w:tab/>
            </w:r>
            <w:r>
              <w:rPr>
                <w:rStyle w:val="IndexLink"/>
              </w:rPr>
              <w:t>428</w:t>
            </w:r>
          </w:hyperlink>
        </w:p>
        <w:p>
          <w:pPr>
            <w:pStyle w:val="Contents6"/>
            <w:tabs>
              <w:tab w:val="clear" w:pos="7609"/>
              <w:tab w:val="right" w:pos="9026" w:leader="dot"/>
            </w:tabs>
            <w:rPr/>
          </w:pPr>
          <w:hyperlink w:anchor="__RefHeading___Toc162773_3244359995">
            <w:r>
              <w:rPr>
                <w:webHidden/>
                <w:rStyle w:val="IndexLink"/>
              </w:rPr>
              <w:t>2</w:t>
            </w:r>
            <w:r>
              <w:rPr>
                <w:rStyle w:val="IndexLink"/>
                <w:rtl w:val="true"/>
              </w:rPr>
              <w:t xml:space="preserve">- </w:t>
            </w:r>
            <w:r>
              <w:rPr>
                <w:rStyle w:val="IndexLink"/>
                <w:rtl w:val="true"/>
              </w:rPr>
              <w:t>روایات</w:t>
            </w:r>
            <w:r>
              <w:rPr>
                <w:rStyle w:val="IndexLink"/>
                <w:rtl w:val="true"/>
              </w:rPr>
              <w:tab/>
            </w:r>
            <w:r>
              <w:rPr>
                <w:rStyle w:val="IndexLink"/>
              </w:rPr>
              <w:t>428</w:t>
            </w:r>
          </w:hyperlink>
        </w:p>
        <w:p>
          <w:pPr>
            <w:pStyle w:val="Contents6"/>
            <w:tabs>
              <w:tab w:val="clear" w:pos="7609"/>
              <w:tab w:val="right" w:pos="9026" w:leader="dot"/>
            </w:tabs>
            <w:rPr/>
          </w:pPr>
          <w:hyperlink w:anchor="__RefHeading___Toc162775_3244359995">
            <w:r>
              <w:rPr>
                <w:webHidden/>
                <w:rStyle w:val="IndexLink"/>
                <w:rtl w:val="true"/>
              </w:rPr>
              <w:t>خصوصیّت دوّم</w:t>
            </w:r>
            <w:r>
              <w:rPr>
                <w:rStyle w:val="IndexLink"/>
                <w:rtl w:val="true"/>
              </w:rPr>
              <w:t xml:space="preserve">: </w:t>
            </w:r>
            <w:r>
              <w:rPr>
                <w:rStyle w:val="IndexLink"/>
                <w:rtl w:val="true"/>
              </w:rPr>
              <w:t>اسلام حکمی یا حقیقی؟</w:t>
            </w:r>
            <w:r>
              <w:rPr>
                <w:rStyle w:val="IndexLink"/>
                <w:rtl w:val="true"/>
              </w:rPr>
              <w:tab/>
            </w:r>
            <w:r>
              <w:rPr>
                <w:rStyle w:val="IndexLink"/>
              </w:rPr>
              <w:t>430</w:t>
            </w:r>
          </w:hyperlink>
        </w:p>
        <w:p>
          <w:pPr>
            <w:pStyle w:val="Contents6"/>
            <w:tabs>
              <w:tab w:val="clear" w:pos="7609"/>
              <w:tab w:val="right" w:pos="9026" w:leader="dot"/>
            </w:tabs>
            <w:rPr/>
          </w:pPr>
          <w:hyperlink w:anchor="__RefHeading___Toc162777_3244359995">
            <w:r>
              <w:rPr>
                <w:webHidden/>
                <w:rStyle w:val="IndexLink"/>
                <w:rtl w:val="true"/>
              </w:rPr>
              <w:t>خصوصیّت سوّم</w:t>
            </w:r>
            <w:r>
              <w:rPr>
                <w:rStyle w:val="IndexLink"/>
                <w:rtl w:val="true"/>
              </w:rPr>
              <w:t xml:space="preserve">: </w:t>
            </w:r>
            <w:r>
              <w:rPr>
                <w:rStyle w:val="IndexLink"/>
                <w:rtl w:val="true"/>
              </w:rPr>
              <w:t>اسلام أحد الوالدین</w:t>
            </w:r>
            <w:r>
              <w:rPr>
                <w:rStyle w:val="IndexLink"/>
                <w:rtl w:val="true"/>
              </w:rPr>
              <w:tab/>
            </w:r>
            <w:r>
              <w:rPr>
                <w:rStyle w:val="IndexLink"/>
              </w:rPr>
              <w:t>433</w:t>
            </w:r>
          </w:hyperlink>
        </w:p>
        <w:p>
          <w:pPr>
            <w:pStyle w:val="Contents5"/>
            <w:tabs>
              <w:tab w:val="clear" w:pos="7892"/>
              <w:tab w:val="right" w:pos="9026" w:leader="dot"/>
            </w:tabs>
            <w:rPr/>
          </w:pPr>
          <w:hyperlink w:anchor="__RefHeading___Toc162779_3244359995">
            <w:r>
              <w:rPr>
                <w:webHidden/>
                <w:rStyle w:val="IndexLink"/>
                <w:rtl w:val="true"/>
              </w:rPr>
              <w:t>خصوصیّت مرتدّ ملی</w:t>
            </w:r>
            <w:r>
              <w:rPr>
                <w:rStyle w:val="IndexLink"/>
                <w:rtl w:val="true"/>
              </w:rPr>
              <w:tab/>
            </w:r>
            <w:r>
              <w:rPr>
                <w:rStyle w:val="IndexLink"/>
              </w:rPr>
              <w:t>436</w:t>
            </w:r>
          </w:hyperlink>
        </w:p>
        <w:p>
          <w:pPr>
            <w:pStyle w:val="Contents5"/>
            <w:tabs>
              <w:tab w:val="clear" w:pos="7892"/>
              <w:tab w:val="right" w:pos="9026" w:leader="dot"/>
            </w:tabs>
            <w:rPr/>
          </w:pPr>
          <w:hyperlink w:anchor="__RefHeading___Toc162781_3244359995">
            <w:r>
              <w:rPr>
                <w:webHidden/>
                <w:rStyle w:val="IndexLink"/>
                <w:rtl w:val="true"/>
              </w:rPr>
              <w:t>احکام مرتدّ فطری</w:t>
            </w:r>
            <w:r>
              <w:rPr>
                <w:rStyle w:val="IndexLink"/>
                <w:rtl w:val="true"/>
              </w:rPr>
              <w:tab/>
            </w:r>
            <w:r>
              <w:rPr>
                <w:rStyle w:val="IndexLink"/>
              </w:rPr>
              <w:t>438</w:t>
            </w:r>
          </w:hyperlink>
        </w:p>
        <w:p>
          <w:pPr>
            <w:pStyle w:val="Contents5"/>
            <w:tabs>
              <w:tab w:val="clear" w:pos="7892"/>
              <w:tab w:val="right" w:pos="9026" w:leader="dot"/>
            </w:tabs>
            <w:rPr/>
          </w:pPr>
          <w:hyperlink w:anchor="__RefHeading___Toc162783_3244359995">
            <w:r>
              <w:rPr>
                <w:webHidden/>
                <w:rStyle w:val="IndexLink"/>
                <w:rtl w:val="true"/>
              </w:rPr>
              <w:t>توبه‌ی مرتدّ فطری</w:t>
            </w:r>
            <w:r>
              <w:rPr>
                <w:rStyle w:val="IndexLink"/>
                <w:rtl w:val="true"/>
              </w:rPr>
              <w:tab/>
            </w:r>
            <w:r>
              <w:rPr>
                <w:rStyle w:val="IndexLink"/>
              </w:rPr>
              <w:t>438</w:t>
            </w:r>
          </w:hyperlink>
        </w:p>
        <w:p>
          <w:pPr>
            <w:pStyle w:val="Contents5"/>
            <w:tabs>
              <w:tab w:val="clear" w:pos="7892"/>
              <w:tab w:val="right" w:pos="9026" w:leader="dot"/>
            </w:tabs>
            <w:rPr/>
          </w:pPr>
          <w:hyperlink w:anchor="__RefHeading___Toc162785_3244359995">
            <w:r>
              <w:rPr>
                <w:webHidden/>
                <w:rStyle w:val="IndexLink"/>
                <w:rtl w:val="true"/>
              </w:rPr>
              <w:t>مقصود از ظاهر و باطن</w:t>
            </w:r>
            <w:r>
              <w:rPr>
                <w:rStyle w:val="IndexLink"/>
                <w:rtl w:val="true"/>
              </w:rPr>
              <w:tab/>
            </w:r>
            <w:r>
              <w:rPr>
                <w:rStyle w:val="IndexLink"/>
              </w:rPr>
              <w:t>439</w:t>
            </w:r>
          </w:hyperlink>
        </w:p>
        <w:p>
          <w:pPr>
            <w:pStyle w:val="Contents5"/>
            <w:tabs>
              <w:tab w:val="clear" w:pos="7892"/>
              <w:tab w:val="right" w:pos="9026" w:leader="dot"/>
            </w:tabs>
            <w:rPr/>
          </w:pPr>
          <w:hyperlink w:anchor="__RefHeading___Toc162787_3244359995">
            <w:r>
              <w:rPr>
                <w:webHidden/>
                <w:rStyle w:val="IndexLink"/>
                <w:rtl w:val="true"/>
              </w:rPr>
              <w:t>تحقیقی در مفاد روایات</w:t>
            </w:r>
            <w:r>
              <w:rPr>
                <w:rStyle w:val="IndexLink"/>
                <w:rtl w:val="true"/>
              </w:rPr>
              <w:tab/>
            </w:r>
            <w:r>
              <w:rPr>
                <w:rStyle w:val="IndexLink"/>
              </w:rPr>
              <w:t>446</w:t>
            </w:r>
          </w:hyperlink>
        </w:p>
        <w:p>
          <w:pPr>
            <w:pStyle w:val="Contents4"/>
            <w:tabs>
              <w:tab w:val="clear" w:pos="8176"/>
              <w:tab w:val="right" w:pos="9026" w:leader="dot"/>
            </w:tabs>
            <w:rPr/>
          </w:pPr>
          <w:hyperlink w:anchor="__RefHeading___Toc162789_3244359995">
            <w:r>
              <w:rPr>
                <w:webHidden/>
                <w:rStyle w:val="IndexLink"/>
                <w:rtl w:val="true"/>
              </w:rPr>
              <w:t>تنافی در عبارت تحریرالوسیله</w:t>
            </w:r>
            <w:r>
              <w:rPr>
                <w:rStyle w:val="IndexLink"/>
                <w:rtl w:val="true"/>
              </w:rPr>
              <w:tab/>
            </w:r>
            <w:r>
              <w:rPr>
                <w:rStyle w:val="IndexLink"/>
              </w:rPr>
              <w:t>449</w:t>
            </w:r>
          </w:hyperlink>
        </w:p>
        <w:p>
          <w:pPr>
            <w:pStyle w:val="Contents4"/>
            <w:tabs>
              <w:tab w:val="clear" w:pos="8176"/>
              <w:tab w:val="right" w:pos="9026" w:leader="dot"/>
            </w:tabs>
            <w:rPr/>
          </w:pPr>
          <w:hyperlink w:anchor="__RefHeading___Toc162791_3244359995">
            <w:r>
              <w:rPr>
                <w:webHidden/>
                <w:rStyle w:val="IndexLink"/>
                <w:rtl w:val="true"/>
              </w:rPr>
              <w:t>توجیه تنافی</w:t>
            </w:r>
            <w:r>
              <w:rPr>
                <w:rStyle w:val="IndexLink"/>
                <w:rtl w:val="true"/>
              </w:rPr>
              <w:tab/>
            </w:r>
            <w:r>
              <w:rPr>
                <w:rStyle w:val="IndexLink"/>
              </w:rPr>
              <w:t>449</w:t>
            </w:r>
          </w:hyperlink>
        </w:p>
        <w:p>
          <w:pPr>
            <w:pStyle w:val="Contents4"/>
            <w:tabs>
              <w:tab w:val="clear" w:pos="8176"/>
              <w:tab w:val="right" w:pos="9026" w:leader="dot"/>
            </w:tabs>
            <w:rPr/>
          </w:pPr>
          <w:hyperlink w:anchor="__RefHeading___Toc162793_3244359995">
            <w:r>
              <w:rPr>
                <w:webHidden/>
                <w:rStyle w:val="IndexLink"/>
                <w:rtl w:val="true"/>
              </w:rPr>
              <w:t>احکام زن مرتدّ</w:t>
            </w:r>
            <w:r>
              <w:rPr>
                <w:rStyle w:val="IndexLink"/>
                <w:rtl w:val="true"/>
              </w:rPr>
              <w:tab/>
            </w:r>
            <w:r>
              <w:rPr>
                <w:rStyle w:val="IndexLink"/>
              </w:rPr>
              <w:t>450</w:t>
            </w:r>
          </w:hyperlink>
        </w:p>
        <w:p>
          <w:pPr>
            <w:pStyle w:val="Contents4"/>
            <w:tabs>
              <w:tab w:val="clear" w:pos="8176"/>
              <w:tab w:val="right" w:pos="9026" w:leader="dot"/>
            </w:tabs>
            <w:rPr/>
          </w:pPr>
          <w:hyperlink w:anchor="__RefHeading___Toc162795_3244359995">
            <w:r>
              <w:rPr>
                <w:webHidden/>
                <w:rStyle w:val="IndexLink"/>
                <w:rtl w:val="true"/>
              </w:rPr>
              <w:t>کیفیّت توبه‌ی زن مرتدّ</w:t>
            </w:r>
            <w:r>
              <w:rPr>
                <w:rStyle w:val="IndexLink"/>
                <w:rtl w:val="true"/>
              </w:rPr>
              <w:tab/>
            </w:r>
            <w:r>
              <w:rPr>
                <w:rStyle w:val="IndexLink"/>
              </w:rPr>
              <w:t>455</w:t>
            </w:r>
          </w:hyperlink>
        </w:p>
        <w:p>
          <w:pPr>
            <w:pStyle w:val="Contents5"/>
            <w:tabs>
              <w:tab w:val="clear" w:pos="7892"/>
              <w:tab w:val="right" w:pos="9026" w:leader="dot"/>
            </w:tabs>
            <w:rPr/>
          </w:pPr>
          <w:hyperlink w:anchor="__RefHeading___Toc162797_3244359995">
            <w:r>
              <w:rPr>
                <w:webHidden/>
                <w:rStyle w:val="IndexLink"/>
                <w:rtl w:val="true"/>
              </w:rPr>
              <w:t>اشاره</w:t>
            </w:r>
            <w:r>
              <w:rPr>
                <w:rStyle w:val="IndexLink"/>
                <w:rtl w:val="true"/>
              </w:rPr>
              <w:tab/>
            </w:r>
            <w:r>
              <w:rPr>
                <w:rStyle w:val="IndexLink"/>
              </w:rPr>
              <w:t>455</w:t>
            </w:r>
          </w:hyperlink>
        </w:p>
        <w:p>
          <w:pPr>
            <w:pStyle w:val="Contents5"/>
            <w:tabs>
              <w:tab w:val="clear" w:pos="7892"/>
              <w:tab w:val="right" w:pos="9026" w:leader="dot"/>
            </w:tabs>
            <w:rPr/>
          </w:pPr>
          <w:hyperlink w:anchor="__RefHeading___Toc162799_3244359995">
            <w:r>
              <w:rPr>
                <w:webHidden/>
                <w:rStyle w:val="IndexLink"/>
                <w:rtl w:val="true"/>
              </w:rPr>
              <w:t>طرح روایت منافی</w:t>
            </w:r>
            <w:r>
              <w:rPr>
                <w:rStyle w:val="IndexLink"/>
                <w:rtl w:val="true"/>
              </w:rPr>
              <w:tab/>
            </w:r>
            <w:r>
              <w:rPr>
                <w:rStyle w:val="IndexLink"/>
              </w:rPr>
              <w:t>456</w:t>
            </w:r>
          </w:hyperlink>
        </w:p>
        <w:p>
          <w:pPr>
            <w:pStyle w:val="Contents5"/>
            <w:tabs>
              <w:tab w:val="clear" w:pos="7892"/>
              <w:tab w:val="right" w:pos="9026" w:leader="dot"/>
            </w:tabs>
            <w:rPr/>
          </w:pPr>
          <w:hyperlink w:anchor="__RefHeading___Toc162801_3244359995">
            <w:r>
              <w:rPr>
                <w:webHidden/>
                <w:rStyle w:val="IndexLink"/>
                <w:rtl w:val="true"/>
              </w:rPr>
              <w:t>نقد توجیه شیخ طوسی رحمه الله</w:t>
            </w:r>
            <w:r>
              <w:rPr>
                <w:rStyle w:val="IndexLink"/>
                <w:rtl w:val="true"/>
              </w:rPr>
              <w:tab/>
            </w:r>
            <w:r>
              <w:rPr>
                <w:rStyle w:val="IndexLink"/>
              </w:rPr>
              <w:t>457</w:t>
            </w:r>
          </w:hyperlink>
        </w:p>
        <w:p>
          <w:pPr>
            <w:pStyle w:val="Contents4"/>
            <w:tabs>
              <w:tab w:val="clear" w:pos="8176"/>
              <w:tab w:val="right" w:pos="9026" w:leader="dot"/>
            </w:tabs>
            <w:rPr/>
          </w:pPr>
          <w:hyperlink w:anchor="__RefHeading___Toc162803_3244359995">
            <w:r>
              <w:rPr>
                <w:webHidden/>
                <w:rStyle w:val="IndexLink"/>
                <w:rtl w:val="true"/>
              </w:rPr>
              <w:t>احکام مرد مرتدّ ملّی</w:t>
            </w:r>
            <w:r>
              <w:rPr>
                <w:rStyle w:val="IndexLink"/>
                <w:rtl w:val="true"/>
              </w:rPr>
              <w:tab/>
            </w:r>
            <w:r>
              <w:rPr>
                <w:rStyle w:val="IndexLink"/>
              </w:rPr>
              <w:t>458</w:t>
            </w:r>
          </w:hyperlink>
        </w:p>
        <w:p>
          <w:pPr>
            <w:pStyle w:val="Contents5"/>
            <w:tabs>
              <w:tab w:val="clear" w:pos="7892"/>
              <w:tab w:val="right" w:pos="9026" w:leader="dot"/>
            </w:tabs>
            <w:rPr/>
          </w:pPr>
          <w:hyperlink w:anchor="__RefHeading___Toc162805_3244359995">
            <w:r>
              <w:rPr>
                <w:webHidden/>
                <w:rStyle w:val="IndexLink"/>
                <w:rtl w:val="true"/>
              </w:rPr>
              <w:t>اشاره</w:t>
            </w:r>
            <w:r>
              <w:rPr>
                <w:rStyle w:val="IndexLink"/>
                <w:rtl w:val="true"/>
              </w:rPr>
              <w:tab/>
            </w:r>
            <w:r>
              <w:rPr>
                <w:rStyle w:val="IndexLink"/>
              </w:rPr>
              <w:t>458</w:t>
            </w:r>
          </w:hyperlink>
        </w:p>
        <w:p>
          <w:pPr>
            <w:pStyle w:val="Contents5"/>
            <w:tabs>
              <w:tab w:val="clear" w:pos="7892"/>
              <w:tab w:val="right" w:pos="9026" w:leader="dot"/>
            </w:tabs>
            <w:rPr/>
          </w:pPr>
          <w:hyperlink w:anchor="__RefHeading___Toc162807_3244359995">
            <w:r>
              <w:rPr>
                <w:webHidden/>
                <w:rStyle w:val="IndexLink"/>
                <w:rtl w:val="true"/>
              </w:rPr>
              <w:t>مفاد روایات</w:t>
            </w:r>
            <w:r>
              <w:rPr>
                <w:rStyle w:val="IndexLink"/>
                <w:rtl w:val="true"/>
              </w:rPr>
              <w:tab/>
            </w:r>
            <w:r>
              <w:rPr>
                <w:rStyle w:val="IndexLink"/>
              </w:rPr>
              <w:t>458</w:t>
            </w:r>
          </w:hyperlink>
        </w:p>
        <w:p>
          <w:pPr>
            <w:pStyle w:val="Contents5"/>
            <w:tabs>
              <w:tab w:val="clear" w:pos="7892"/>
              <w:tab w:val="right" w:pos="9026" w:leader="dot"/>
            </w:tabs>
            <w:rPr/>
          </w:pPr>
          <w:hyperlink w:anchor="__RefHeading___Toc162809_3244359995">
            <w:r>
              <w:rPr>
                <w:webHidden/>
                <w:rStyle w:val="IndexLink"/>
                <w:rtl w:val="true"/>
              </w:rPr>
              <w:t>طایفه‌ی اوّل</w:t>
            </w:r>
            <w:r>
              <w:rPr>
                <w:rStyle w:val="IndexLink"/>
                <w:rtl w:val="true"/>
              </w:rPr>
              <w:tab/>
            </w:r>
            <w:r>
              <w:rPr>
                <w:rStyle w:val="IndexLink"/>
              </w:rPr>
              <w:t>458</w:t>
            </w:r>
          </w:hyperlink>
        </w:p>
        <w:p>
          <w:pPr>
            <w:pStyle w:val="Contents5"/>
            <w:tabs>
              <w:tab w:val="clear" w:pos="7892"/>
              <w:tab w:val="right" w:pos="9026" w:leader="dot"/>
            </w:tabs>
            <w:rPr/>
          </w:pPr>
          <w:hyperlink w:anchor="__RefHeading___Toc162811_3244359995">
            <w:r>
              <w:rPr>
                <w:webHidden/>
                <w:rStyle w:val="IndexLink"/>
                <w:rtl w:val="true"/>
              </w:rPr>
              <w:t>طایفه‌ی دوّم</w:t>
            </w:r>
            <w:r>
              <w:rPr>
                <w:rStyle w:val="IndexLink"/>
                <w:rtl w:val="true"/>
              </w:rPr>
              <w:tab/>
            </w:r>
            <w:r>
              <w:rPr>
                <w:rStyle w:val="IndexLink"/>
              </w:rPr>
              <w:t>459</w:t>
            </w:r>
          </w:hyperlink>
        </w:p>
        <w:p>
          <w:pPr>
            <w:pStyle w:val="Contents5"/>
            <w:tabs>
              <w:tab w:val="clear" w:pos="7892"/>
              <w:tab w:val="right" w:pos="9026" w:leader="dot"/>
            </w:tabs>
            <w:rPr/>
          </w:pPr>
          <w:hyperlink w:anchor="__RefHeading___Toc162813_3244359995">
            <w:r>
              <w:rPr>
                <w:webHidden/>
                <w:rStyle w:val="IndexLink"/>
                <w:rtl w:val="true"/>
              </w:rPr>
              <w:t>طایفه‌ی سوّم</w:t>
            </w:r>
            <w:r>
              <w:rPr>
                <w:rStyle w:val="IndexLink"/>
                <w:rtl w:val="true"/>
              </w:rPr>
              <w:tab/>
            </w:r>
            <w:r>
              <w:rPr>
                <w:rStyle w:val="IndexLink"/>
              </w:rPr>
              <w:t>460</w:t>
            </w:r>
          </w:hyperlink>
        </w:p>
        <w:p>
          <w:pPr>
            <w:pStyle w:val="Contents4"/>
            <w:tabs>
              <w:tab w:val="clear" w:pos="8176"/>
              <w:tab w:val="right" w:pos="9026" w:leader="dot"/>
            </w:tabs>
            <w:rPr/>
          </w:pPr>
          <w:hyperlink w:anchor="__RefHeading___Toc162815_3244359995">
            <w:r>
              <w:rPr>
                <w:webHidden/>
                <w:rStyle w:val="IndexLink"/>
                <w:rtl w:val="true"/>
              </w:rPr>
              <w:t>استتابه‌ی مرتدّ</w:t>
            </w:r>
            <w:r>
              <w:rPr>
                <w:rStyle w:val="IndexLink"/>
                <w:rtl w:val="true"/>
              </w:rPr>
              <w:tab/>
            </w:r>
            <w:r>
              <w:rPr>
                <w:rStyle w:val="IndexLink"/>
              </w:rPr>
              <w:t>461</w:t>
            </w:r>
          </w:hyperlink>
        </w:p>
        <w:p>
          <w:pPr>
            <w:pStyle w:val="Contents4"/>
            <w:tabs>
              <w:tab w:val="clear" w:pos="8176"/>
              <w:tab w:val="right" w:pos="9026" w:leader="dot"/>
            </w:tabs>
            <w:rPr/>
          </w:pPr>
          <w:hyperlink w:anchor="__RefHeading___Toc162817_3244359995">
            <w:r>
              <w:rPr>
                <w:webHidden/>
                <w:rStyle w:val="IndexLink"/>
                <w:rtl w:val="true"/>
              </w:rPr>
              <w:t>تقاضای حلّ شبهه توسط مرتدّ</w:t>
            </w:r>
            <w:r>
              <w:rPr>
                <w:rStyle w:val="IndexLink"/>
                <w:rtl w:val="true"/>
              </w:rPr>
              <w:tab/>
            </w:r>
            <w:r>
              <w:rPr>
                <w:rStyle w:val="IndexLink"/>
              </w:rPr>
              <w:t>463</w:t>
            </w:r>
          </w:hyperlink>
        </w:p>
        <w:p>
          <w:pPr>
            <w:pStyle w:val="Contents4"/>
            <w:tabs>
              <w:tab w:val="clear" w:pos="8176"/>
              <w:tab w:val="right" w:pos="9026" w:leader="dot"/>
            </w:tabs>
            <w:rPr/>
          </w:pPr>
          <w:hyperlink w:anchor="__RefHeading___Toc162819_3244359995">
            <w:r>
              <w:rPr>
                <w:webHidden/>
                <w:rStyle w:val="IndexLink"/>
                <w:rtl w:val="true"/>
              </w:rPr>
              <w:t>شرایط تحقّق ارتداد</w:t>
            </w:r>
            <w:r>
              <w:rPr>
                <w:rStyle w:val="IndexLink"/>
                <w:rtl w:val="true"/>
              </w:rPr>
              <w:tab/>
            </w:r>
            <w:r>
              <w:rPr>
                <w:rStyle w:val="IndexLink"/>
              </w:rPr>
              <w:t>467</w:t>
            </w:r>
          </w:hyperlink>
        </w:p>
        <w:p>
          <w:pPr>
            <w:pStyle w:val="Contents5"/>
            <w:tabs>
              <w:tab w:val="clear" w:pos="7892"/>
              <w:tab w:val="right" w:pos="9026" w:leader="dot"/>
            </w:tabs>
            <w:rPr/>
          </w:pPr>
          <w:hyperlink w:anchor="__RefHeading___Toc162821_3244359995">
            <w:r>
              <w:rPr>
                <w:webHidden/>
                <w:rStyle w:val="IndexLink"/>
                <w:rtl w:val="true"/>
              </w:rPr>
              <w:t>اشاره</w:t>
            </w:r>
            <w:r>
              <w:rPr>
                <w:rStyle w:val="IndexLink"/>
                <w:rtl w:val="true"/>
              </w:rPr>
              <w:tab/>
            </w:r>
            <w:r>
              <w:rPr>
                <w:rStyle w:val="IndexLink"/>
              </w:rPr>
              <w:t>467</w:t>
            </w:r>
          </w:hyperlink>
        </w:p>
        <w:p>
          <w:pPr>
            <w:pStyle w:val="Contents5"/>
            <w:tabs>
              <w:tab w:val="clear" w:pos="7892"/>
              <w:tab w:val="right" w:pos="9026" w:leader="dot"/>
            </w:tabs>
            <w:rPr/>
          </w:pPr>
          <w:hyperlink w:anchor="__RefHeading___Toc162823_3244359995">
            <w:r>
              <w:rPr>
                <w:webHidden/>
                <w:rStyle w:val="IndexLink"/>
                <w:rtl w:val="true"/>
              </w:rPr>
              <w:t>بلوغ</w:t>
            </w:r>
            <w:r>
              <w:rPr>
                <w:rStyle w:val="IndexLink"/>
                <w:rtl w:val="true"/>
              </w:rPr>
              <w:tab/>
            </w:r>
            <w:r>
              <w:rPr>
                <w:rStyle w:val="IndexLink"/>
              </w:rPr>
              <w:t>467</w:t>
            </w:r>
          </w:hyperlink>
        </w:p>
        <w:p>
          <w:pPr>
            <w:pStyle w:val="Contents6"/>
            <w:tabs>
              <w:tab w:val="clear" w:pos="7609"/>
              <w:tab w:val="right" w:pos="9026" w:leader="dot"/>
            </w:tabs>
            <w:rPr/>
          </w:pPr>
          <w:hyperlink w:anchor="__RefHeading___Toc162825_3244359995">
            <w:r>
              <w:rPr>
                <w:webHidden/>
                <w:rStyle w:val="IndexLink"/>
                <w:rtl w:val="true"/>
              </w:rPr>
              <w:t>اشاره</w:t>
            </w:r>
            <w:r>
              <w:rPr>
                <w:rStyle w:val="IndexLink"/>
                <w:rtl w:val="true"/>
              </w:rPr>
              <w:tab/>
            </w:r>
            <w:r>
              <w:rPr>
                <w:rStyle w:val="IndexLink"/>
              </w:rPr>
              <w:t>467</w:t>
            </w:r>
          </w:hyperlink>
        </w:p>
        <w:p>
          <w:pPr>
            <w:pStyle w:val="Contents6"/>
            <w:tabs>
              <w:tab w:val="clear" w:pos="7609"/>
              <w:tab w:val="right" w:pos="9026" w:leader="dot"/>
            </w:tabs>
            <w:rPr/>
          </w:pPr>
          <w:hyperlink w:anchor="__RefHeading___Toc162827_3244359995">
            <w:r>
              <w:rPr>
                <w:webHidden/>
                <w:rStyle w:val="IndexLink"/>
                <w:rtl w:val="true"/>
              </w:rPr>
              <w:t>بیان روایت معارض</w:t>
            </w:r>
            <w:r>
              <w:rPr>
                <w:rStyle w:val="IndexLink"/>
                <w:rtl w:val="true"/>
              </w:rPr>
              <w:tab/>
            </w:r>
            <w:r>
              <w:rPr>
                <w:rStyle w:val="IndexLink"/>
              </w:rPr>
              <w:t>468</w:t>
            </w:r>
          </w:hyperlink>
        </w:p>
        <w:p>
          <w:pPr>
            <w:pStyle w:val="Contents5"/>
            <w:tabs>
              <w:tab w:val="clear" w:pos="7892"/>
              <w:tab w:val="right" w:pos="9026" w:leader="dot"/>
            </w:tabs>
            <w:rPr/>
          </w:pPr>
          <w:hyperlink w:anchor="__RefHeading___Toc162829_3244359995">
            <w:r>
              <w:rPr>
                <w:webHidden/>
                <w:rStyle w:val="IndexLink"/>
                <w:rtl w:val="true"/>
              </w:rPr>
              <w:t>عقل</w:t>
            </w:r>
            <w:r>
              <w:rPr>
                <w:rStyle w:val="IndexLink"/>
                <w:rtl w:val="true"/>
              </w:rPr>
              <w:tab/>
            </w:r>
            <w:r>
              <w:rPr>
                <w:rStyle w:val="IndexLink"/>
              </w:rPr>
              <w:t>468</w:t>
            </w:r>
          </w:hyperlink>
        </w:p>
        <w:p>
          <w:pPr>
            <w:pStyle w:val="Contents5"/>
            <w:tabs>
              <w:tab w:val="clear" w:pos="7892"/>
              <w:tab w:val="right" w:pos="9026" w:leader="dot"/>
            </w:tabs>
            <w:rPr/>
          </w:pPr>
          <w:hyperlink w:anchor="__RefHeading___Toc162831_3244359995">
            <w:r>
              <w:rPr>
                <w:webHidden/>
                <w:rStyle w:val="IndexLink"/>
                <w:rtl w:val="true"/>
              </w:rPr>
              <w:t>اختیار</w:t>
            </w:r>
            <w:r>
              <w:rPr>
                <w:rStyle w:val="IndexLink"/>
                <w:rtl w:val="true"/>
              </w:rPr>
              <w:tab/>
            </w:r>
            <w:r>
              <w:rPr>
                <w:rStyle w:val="IndexLink"/>
              </w:rPr>
              <w:t>469</w:t>
            </w:r>
          </w:hyperlink>
        </w:p>
        <w:p>
          <w:pPr>
            <w:pStyle w:val="Contents5"/>
            <w:tabs>
              <w:tab w:val="clear" w:pos="7892"/>
              <w:tab w:val="right" w:pos="9026" w:leader="dot"/>
            </w:tabs>
            <w:rPr/>
          </w:pPr>
          <w:hyperlink w:anchor="__RefHeading___Toc162833_3244359995">
            <w:r>
              <w:rPr>
                <w:webHidden/>
                <w:rStyle w:val="IndexLink"/>
                <w:rtl w:val="true"/>
              </w:rPr>
              <w:t>قصد</w:t>
            </w:r>
            <w:r>
              <w:rPr>
                <w:rStyle w:val="IndexLink"/>
                <w:rtl w:val="true"/>
              </w:rPr>
              <w:tab/>
            </w:r>
            <w:r>
              <w:rPr>
                <w:rStyle w:val="IndexLink"/>
              </w:rPr>
              <w:t>470</w:t>
            </w:r>
          </w:hyperlink>
        </w:p>
        <w:p>
          <w:pPr>
            <w:pStyle w:val="Contents5"/>
            <w:tabs>
              <w:tab w:val="clear" w:pos="7892"/>
              <w:tab w:val="right" w:pos="9026" w:leader="dot"/>
            </w:tabs>
            <w:rPr/>
          </w:pPr>
          <w:hyperlink w:anchor="__RefHeading___Toc162835_3244359995">
            <w:r>
              <w:rPr>
                <w:webHidden/>
                <w:rStyle w:val="IndexLink"/>
                <w:rtl w:val="true"/>
              </w:rPr>
              <w:t>صدور ارتداد از روی غضب</w:t>
            </w:r>
            <w:r>
              <w:rPr>
                <w:rStyle w:val="IndexLink"/>
                <w:rtl w:val="true"/>
              </w:rPr>
              <w:tab/>
            </w:r>
            <w:r>
              <w:rPr>
                <w:rStyle w:val="IndexLink"/>
              </w:rPr>
              <w:t>470</w:t>
            </w:r>
          </w:hyperlink>
        </w:p>
        <w:p>
          <w:pPr>
            <w:pStyle w:val="Contents4"/>
            <w:tabs>
              <w:tab w:val="clear" w:pos="8176"/>
              <w:tab w:val="right" w:pos="9026" w:leader="dot"/>
            </w:tabs>
            <w:rPr/>
          </w:pPr>
          <w:hyperlink w:anchor="__RefHeading___Toc162837_3244359995">
            <w:r>
              <w:rPr>
                <w:webHidden/>
                <w:rStyle w:val="IndexLink"/>
                <w:rtl w:val="true"/>
              </w:rPr>
              <w:t>ادعای امری معارض با ارتداد</w:t>
            </w:r>
            <w:r>
              <w:rPr>
                <w:rStyle w:val="IndexLink"/>
                <w:rtl w:val="true"/>
              </w:rPr>
              <w:tab/>
            </w:r>
            <w:r>
              <w:rPr>
                <w:rStyle w:val="IndexLink"/>
              </w:rPr>
              <w:t>473</w:t>
            </w:r>
          </w:hyperlink>
        </w:p>
        <w:p>
          <w:pPr>
            <w:pStyle w:val="Contents5"/>
            <w:tabs>
              <w:tab w:val="clear" w:pos="7892"/>
              <w:tab w:val="right" w:pos="9026" w:leader="dot"/>
            </w:tabs>
            <w:rPr/>
          </w:pPr>
          <w:hyperlink w:anchor="__RefHeading___Toc162839_3244359995">
            <w:r>
              <w:rPr>
                <w:webHidden/>
                <w:rStyle w:val="IndexLink"/>
                <w:rtl w:val="true"/>
              </w:rPr>
              <w:t>اشاره</w:t>
            </w:r>
            <w:r>
              <w:rPr>
                <w:rStyle w:val="IndexLink"/>
                <w:rtl w:val="true"/>
              </w:rPr>
              <w:tab/>
            </w:r>
            <w:r>
              <w:rPr>
                <w:rStyle w:val="IndexLink"/>
              </w:rPr>
              <w:t>473</w:t>
            </w:r>
          </w:hyperlink>
        </w:p>
        <w:p>
          <w:pPr>
            <w:pStyle w:val="Contents5"/>
            <w:tabs>
              <w:tab w:val="clear" w:pos="7892"/>
              <w:tab w:val="right" w:pos="9026" w:leader="dot"/>
            </w:tabs>
            <w:rPr/>
          </w:pPr>
          <w:hyperlink w:anchor="__RefHeading___Toc162841_3244359995">
            <w:r>
              <w:rPr>
                <w:webHidden/>
                <w:rStyle w:val="IndexLink"/>
                <w:rtl w:val="true"/>
              </w:rPr>
              <w:t>قیام بیّنه بر موجب ارتداد</w:t>
            </w:r>
            <w:r>
              <w:rPr>
                <w:rStyle w:val="IndexLink"/>
                <w:rtl w:val="true"/>
              </w:rPr>
              <w:tab/>
            </w:r>
            <w:r>
              <w:rPr>
                <w:rStyle w:val="IndexLink"/>
              </w:rPr>
              <w:t>475</w:t>
            </w:r>
          </w:hyperlink>
        </w:p>
        <w:p>
          <w:pPr>
            <w:pStyle w:val="Contents5"/>
            <w:tabs>
              <w:tab w:val="clear" w:pos="7892"/>
              <w:tab w:val="right" w:pos="9026" w:leader="dot"/>
            </w:tabs>
            <w:rPr/>
          </w:pPr>
          <w:hyperlink w:anchor="__RefHeading___Toc162843_3244359995">
            <w:r>
              <w:rPr>
                <w:webHidden/>
                <w:rStyle w:val="IndexLink"/>
                <w:rtl w:val="true"/>
              </w:rPr>
              <w:t>نقدی بر عبارت تحریرالوسیله</w:t>
            </w:r>
            <w:r>
              <w:rPr>
                <w:rStyle w:val="IndexLink"/>
                <w:rtl w:val="true"/>
              </w:rPr>
              <w:tab/>
            </w:r>
            <w:r>
              <w:rPr>
                <w:rStyle w:val="IndexLink"/>
              </w:rPr>
              <w:t>476</w:t>
            </w:r>
          </w:hyperlink>
        </w:p>
        <w:p>
          <w:pPr>
            <w:pStyle w:val="Contents4"/>
            <w:tabs>
              <w:tab w:val="clear" w:pos="8176"/>
              <w:tab w:val="right" w:pos="9026" w:leader="dot"/>
            </w:tabs>
            <w:rPr/>
          </w:pPr>
          <w:hyperlink w:anchor="__RefHeading___Toc162845_3244359995">
            <w:r>
              <w:rPr>
                <w:webHidden/>
                <w:rStyle w:val="IndexLink"/>
                <w:rtl w:val="true"/>
              </w:rPr>
              <w:t>حکم فرزندان مرتدّ</w:t>
            </w:r>
            <w:r>
              <w:rPr>
                <w:rStyle w:val="IndexLink"/>
                <w:rtl w:val="true"/>
              </w:rPr>
              <w:tab/>
            </w:r>
            <w:r>
              <w:rPr>
                <w:rStyle w:val="IndexLink"/>
              </w:rPr>
              <w:t>477</w:t>
            </w:r>
          </w:hyperlink>
        </w:p>
        <w:p>
          <w:pPr>
            <w:pStyle w:val="Contents5"/>
            <w:tabs>
              <w:tab w:val="clear" w:pos="7892"/>
              <w:tab w:val="right" w:pos="9026" w:leader="dot"/>
            </w:tabs>
            <w:rPr/>
          </w:pPr>
          <w:hyperlink w:anchor="__RefHeading___Toc162847_3244359995">
            <w:r>
              <w:rPr>
                <w:webHidden/>
                <w:rStyle w:val="IndexLink"/>
                <w:rtl w:val="true"/>
              </w:rPr>
              <w:t>اشاره</w:t>
            </w:r>
            <w:r>
              <w:rPr>
                <w:rStyle w:val="IndexLink"/>
                <w:rtl w:val="true"/>
              </w:rPr>
              <w:tab/>
            </w:r>
            <w:r>
              <w:rPr>
                <w:rStyle w:val="IndexLink"/>
              </w:rPr>
              <w:t>477</w:t>
            </w:r>
          </w:hyperlink>
        </w:p>
        <w:p>
          <w:pPr>
            <w:pStyle w:val="Contents5"/>
            <w:tabs>
              <w:tab w:val="clear" w:pos="7892"/>
              <w:tab w:val="right" w:pos="9026" w:leader="dot"/>
            </w:tabs>
            <w:rPr/>
          </w:pPr>
          <w:hyperlink w:anchor="__RefHeading___Toc162849_3244359995">
            <w:r>
              <w:rPr>
                <w:webHidden/>
                <w:rStyle w:val="IndexLink"/>
                <w:rtl w:val="true"/>
              </w:rPr>
              <w:t>حکم اختیار کفر به مجرّد بلوغ</w:t>
            </w:r>
            <w:r>
              <w:rPr>
                <w:rStyle w:val="IndexLink"/>
                <w:rtl w:val="true"/>
              </w:rPr>
              <w:tab/>
            </w:r>
            <w:r>
              <w:rPr>
                <w:rStyle w:val="IndexLink"/>
              </w:rPr>
              <w:t>477</w:t>
            </w:r>
          </w:hyperlink>
        </w:p>
        <w:p>
          <w:pPr>
            <w:pStyle w:val="Contents4"/>
            <w:tabs>
              <w:tab w:val="clear" w:pos="8176"/>
              <w:tab w:val="right" w:pos="9026" w:leader="dot"/>
            </w:tabs>
            <w:rPr/>
          </w:pPr>
          <w:hyperlink w:anchor="__RefHeading___Toc162851_3244359995">
            <w:r>
              <w:rPr>
                <w:webHidden/>
                <w:rStyle w:val="IndexLink"/>
                <w:rtl w:val="true"/>
              </w:rPr>
              <w:t>حکم تکرار ارتداد</w:t>
            </w:r>
            <w:r>
              <w:rPr>
                <w:rStyle w:val="IndexLink"/>
                <w:rtl w:val="true"/>
              </w:rPr>
              <w:tab/>
            </w:r>
            <w:r>
              <w:rPr>
                <w:rStyle w:val="IndexLink"/>
              </w:rPr>
              <w:t>481</w:t>
            </w:r>
          </w:hyperlink>
        </w:p>
        <w:p>
          <w:pPr>
            <w:pStyle w:val="Contents5"/>
            <w:tabs>
              <w:tab w:val="clear" w:pos="7892"/>
              <w:tab w:val="right" w:pos="9026" w:leader="dot"/>
            </w:tabs>
            <w:rPr/>
          </w:pPr>
          <w:hyperlink w:anchor="__RefHeading___Toc162853_3244359995">
            <w:r>
              <w:rPr>
                <w:webHidden/>
                <w:rStyle w:val="IndexLink"/>
                <w:rtl w:val="true"/>
              </w:rPr>
              <w:t>اشاره</w:t>
            </w:r>
            <w:r>
              <w:rPr>
                <w:rStyle w:val="IndexLink"/>
                <w:rtl w:val="true"/>
              </w:rPr>
              <w:tab/>
            </w:r>
            <w:r>
              <w:rPr>
                <w:rStyle w:val="IndexLink"/>
              </w:rPr>
              <w:t>481</w:t>
            </w:r>
          </w:hyperlink>
        </w:p>
        <w:p>
          <w:pPr>
            <w:pStyle w:val="Contents5"/>
            <w:tabs>
              <w:tab w:val="clear" w:pos="7892"/>
              <w:tab w:val="right" w:pos="9026" w:leader="dot"/>
            </w:tabs>
            <w:rPr/>
          </w:pPr>
          <w:hyperlink w:anchor="__RefHeading___Toc162855_3244359995">
            <w:r>
              <w:rPr>
                <w:webHidden/>
                <w:rStyle w:val="IndexLink"/>
                <w:rtl w:val="true"/>
              </w:rPr>
              <w:t>دلیل قتل مرتدّ در مرتبه‌ی سوّم</w:t>
            </w:r>
            <w:r>
              <w:rPr>
                <w:rStyle w:val="IndexLink"/>
                <w:rtl w:val="true"/>
              </w:rPr>
              <w:tab/>
            </w:r>
            <w:r>
              <w:rPr>
                <w:rStyle w:val="IndexLink"/>
              </w:rPr>
              <w:t>481</w:t>
            </w:r>
          </w:hyperlink>
        </w:p>
        <w:p>
          <w:pPr>
            <w:pStyle w:val="Contents5"/>
            <w:tabs>
              <w:tab w:val="clear" w:pos="7892"/>
              <w:tab w:val="right" w:pos="9026" w:leader="dot"/>
            </w:tabs>
            <w:rPr/>
          </w:pPr>
          <w:hyperlink w:anchor="__RefHeading___Toc162857_3244359995">
            <w:r>
              <w:rPr>
                <w:webHidden/>
                <w:rStyle w:val="IndexLink"/>
                <w:rtl w:val="true"/>
              </w:rPr>
              <w:t>دلیل قتل مرتدّ در مرتبه‌ی چهارم</w:t>
            </w:r>
            <w:r>
              <w:rPr>
                <w:rStyle w:val="IndexLink"/>
                <w:rtl w:val="true"/>
              </w:rPr>
              <w:tab/>
            </w:r>
            <w:r>
              <w:rPr>
                <w:rStyle w:val="IndexLink"/>
              </w:rPr>
              <w:t>484</w:t>
            </w:r>
          </w:hyperlink>
        </w:p>
        <w:p>
          <w:pPr>
            <w:pStyle w:val="Contents5"/>
            <w:tabs>
              <w:tab w:val="clear" w:pos="7892"/>
              <w:tab w:val="right" w:pos="9026" w:leader="dot"/>
            </w:tabs>
            <w:rPr/>
          </w:pPr>
          <w:hyperlink w:anchor="__RefHeading___Toc162859_3244359995">
            <w:r>
              <w:rPr>
                <w:webHidden/>
                <w:rStyle w:val="IndexLink"/>
                <w:rtl w:val="true"/>
              </w:rPr>
              <w:t>روایت معارض با هر دو قول</w:t>
            </w:r>
            <w:r>
              <w:rPr>
                <w:rStyle w:val="IndexLink"/>
                <w:rtl w:val="true"/>
              </w:rPr>
              <w:tab/>
            </w:r>
            <w:r>
              <w:rPr>
                <w:rStyle w:val="IndexLink"/>
              </w:rPr>
              <w:t>484</w:t>
            </w:r>
          </w:hyperlink>
        </w:p>
        <w:p>
          <w:pPr>
            <w:pStyle w:val="Contents4"/>
            <w:tabs>
              <w:tab w:val="clear" w:pos="8176"/>
              <w:tab w:val="right" w:pos="9026" w:leader="dot"/>
            </w:tabs>
            <w:rPr/>
          </w:pPr>
          <w:hyperlink w:anchor="__RefHeading___Toc162861_3244359995">
            <w:r>
              <w:rPr>
                <w:webHidden/>
                <w:rStyle w:val="IndexLink"/>
                <w:rtl w:val="true"/>
              </w:rPr>
              <w:t>عروض جنون پس از ارتداد</w:t>
            </w:r>
            <w:r>
              <w:rPr>
                <w:rStyle w:val="IndexLink"/>
                <w:rtl w:val="true"/>
              </w:rPr>
              <w:tab/>
            </w:r>
            <w:r>
              <w:rPr>
                <w:rStyle w:val="IndexLink"/>
              </w:rPr>
              <w:t>486</w:t>
            </w:r>
          </w:hyperlink>
        </w:p>
        <w:p>
          <w:pPr>
            <w:pStyle w:val="Contents4"/>
            <w:tabs>
              <w:tab w:val="clear" w:pos="8176"/>
              <w:tab w:val="right" w:pos="9026" w:leader="dot"/>
            </w:tabs>
            <w:rPr/>
          </w:pPr>
          <w:hyperlink w:anchor="__RefHeading___Toc162863_3244359995">
            <w:r>
              <w:rPr>
                <w:webHidden/>
                <w:rStyle w:val="IndexLink"/>
                <w:rtl w:val="true"/>
              </w:rPr>
              <w:t>حکم قتل مرتدّ ملّی پس از توبه</w:t>
            </w:r>
            <w:r>
              <w:rPr>
                <w:rStyle w:val="IndexLink"/>
                <w:rtl w:val="true"/>
              </w:rPr>
              <w:tab/>
            </w:r>
            <w:r>
              <w:rPr>
                <w:rStyle w:val="IndexLink"/>
              </w:rPr>
              <w:t>487</w:t>
            </w:r>
          </w:hyperlink>
        </w:p>
        <w:p>
          <w:pPr>
            <w:pStyle w:val="Contents5"/>
            <w:tabs>
              <w:tab w:val="clear" w:pos="7892"/>
              <w:tab w:val="right" w:pos="9026" w:leader="dot"/>
            </w:tabs>
            <w:rPr/>
          </w:pPr>
          <w:hyperlink w:anchor="__RefHeading___Toc162865_3244359995">
            <w:r>
              <w:rPr>
                <w:webHidden/>
                <w:rStyle w:val="IndexLink"/>
                <w:rtl w:val="true"/>
              </w:rPr>
              <w:t>اشاره</w:t>
            </w:r>
            <w:r>
              <w:rPr>
                <w:rStyle w:val="IndexLink"/>
                <w:rtl w:val="true"/>
              </w:rPr>
              <w:tab/>
            </w:r>
            <w:r>
              <w:rPr>
                <w:rStyle w:val="IndexLink"/>
              </w:rPr>
              <w:t>487</w:t>
            </w:r>
          </w:hyperlink>
        </w:p>
        <w:p>
          <w:pPr>
            <w:pStyle w:val="Contents5"/>
            <w:tabs>
              <w:tab w:val="clear" w:pos="7892"/>
              <w:tab w:val="right" w:pos="9026" w:leader="dot"/>
            </w:tabs>
            <w:rPr/>
          </w:pPr>
          <w:hyperlink w:anchor="__RefHeading___Toc162867_3244359995">
            <w:r>
              <w:rPr>
                <w:webHidden/>
                <w:rStyle w:val="IndexLink"/>
                <w:rtl w:val="true"/>
              </w:rPr>
              <w:t>دلیل قائل به قصاص</w:t>
            </w:r>
            <w:r>
              <w:rPr>
                <w:rStyle w:val="IndexLink"/>
                <w:rtl w:val="true"/>
              </w:rPr>
              <w:tab/>
            </w:r>
            <w:r>
              <w:rPr>
                <w:rStyle w:val="IndexLink"/>
              </w:rPr>
              <w:t>487</w:t>
            </w:r>
          </w:hyperlink>
        </w:p>
        <w:p>
          <w:pPr>
            <w:pStyle w:val="Contents5"/>
            <w:tabs>
              <w:tab w:val="clear" w:pos="7892"/>
              <w:tab w:val="right" w:pos="9026" w:leader="dot"/>
            </w:tabs>
            <w:rPr/>
          </w:pPr>
          <w:hyperlink w:anchor="__RefHeading___Toc162869_3244359995">
            <w:r>
              <w:rPr>
                <w:webHidden/>
                <w:rStyle w:val="IndexLink"/>
                <w:rtl w:val="true"/>
              </w:rPr>
              <w:t>دلیل قائل به عدم قصاص</w:t>
            </w:r>
            <w:r>
              <w:rPr>
                <w:rStyle w:val="IndexLink"/>
                <w:rtl w:val="true"/>
              </w:rPr>
              <w:tab/>
            </w:r>
            <w:r>
              <w:rPr>
                <w:rStyle w:val="IndexLink"/>
              </w:rPr>
              <w:t>487</w:t>
            </w:r>
          </w:hyperlink>
        </w:p>
        <w:p>
          <w:pPr>
            <w:pStyle w:val="Contents4"/>
            <w:tabs>
              <w:tab w:val="clear" w:pos="8176"/>
              <w:tab w:val="right" w:pos="9026" w:leader="dot"/>
            </w:tabs>
            <w:rPr/>
          </w:pPr>
          <w:hyperlink w:anchor="__RefHeading___Toc162871_3244359995">
            <w:r>
              <w:rPr>
                <w:webHidden/>
                <w:rStyle w:val="IndexLink"/>
                <w:rtl w:val="true"/>
              </w:rPr>
              <w:t>حکم مرتدّ قاتل</w:t>
            </w:r>
            <w:r>
              <w:rPr>
                <w:rStyle w:val="IndexLink"/>
                <w:rtl w:val="true"/>
              </w:rPr>
              <w:tab/>
            </w:r>
            <w:r>
              <w:rPr>
                <w:rStyle w:val="IndexLink"/>
              </w:rPr>
              <w:t>490</w:t>
            </w:r>
          </w:hyperlink>
        </w:p>
        <w:p>
          <w:pPr>
            <w:pStyle w:val="Contents5"/>
            <w:tabs>
              <w:tab w:val="clear" w:pos="7892"/>
              <w:tab w:val="right" w:pos="9026" w:leader="dot"/>
            </w:tabs>
            <w:rPr/>
          </w:pPr>
          <w:hyperlink w:anchor="__RefHeading___Toc162873_3244359995">
            <w:r>
              <w:rPr>
                <w:webHidden/>
                <w:rStyle w:val="IndexLink"/>
                <w:rtl w:val="true"/>
              </w:rPr>
              <w:t>اشاره</w:t>
            </w:r>
            <w:r>
              <w:rPr>
                <w:rStyle w:val="IndexLink"/>
                <w:rtl w:val="true"/>
              </w:rPr>
              <w:tab/>
            </w:r>
            <w:r>
              <w:rPr>
                <w:rStyle w:val="IndexLink"/>
              </w:rPr>
              <w:t>490</w:t>
            </w:r>
          </w:hyperlink>
        </w:p>
        <w:p>
          <w:pPr>
            <w:pStyle w:val="Contents5"/>
            <w:tabs>
              <w:tab w:val="clear" w:pos="7892"/>
              <w:tab w:val="right" w:pos="9026" w:leader="dot"/>
            </w:tabs>
            <w:rPr/>
          </w:pPr>
          <w:hyperlink w:anchor="__RefHeading___Toc162875_3244359995">
            <w:r>
              <w:rPr>
                <w:webHidden/>
                <w:rStyle w:val="IndexLink"/>
                <w:rtl w:val="true"/>
              </w:rPr>
              <w:t>حکم قتل عمدی</w:t>
            </w:r>
            <w:r>
              <w:rPr>
                <w:rStyle w:val="IndexLink"/>
                <w:rtl w:val="true"/>
              </w:rPr>
              <w:tab/>
            </w:r>
            <w:r>
              <w:rPr>
                <w:rStyle w:val="IndexLink"/>
              </w:rPr>
              <w:t>490</w:t>
            </w:r>
          </w:hyperlink>
        </w:p>
        <w:p>
          <w:pPr>
            <w:pStyle w:val="Contents5"/>
            <w:tabs>
              <w:tab w:val="clear" w:pos="7892"/>
              <w:tab w:val="right" w:pos="9026" w:leader="dot"/>
            </w:tabs>
            <w:rPr/>
          </w:pPr>
          <w:hyperlink w:anchor="__RefHeading___Toc162877_3244359995">
            <w:r>
              <w:rPr>
                <w:webHidden/>
                <w:rStyle w:val="IndexLink"/>
                <w:rtl w:val="true"/>
              </w:rPr>
              <w:t>حکم قتل خطایی</w:t>
            </w:r>
            <w:r>
              <w:rPr>
                <w:rStyle w:val="IndexLink"/>
                <w:rtl w:val="true"/>
              </w:rPr>
              <w:tab/>
            </w:r>
            <w:r>
              <w:rPr>
                <w:rStyle w:val="IndexLink"/>
              </w:rPr>
              <w:t>490</w:t>
            </w:r>
          </w:hyperlink>
        </w:p>
        <w:p>
          <w:pPr>
            <w:pStyle w:val="Contents4"/>
            <w:tabs>
              <w:tab w:val="clear" w:pos="8176"/>
              <w:tab w:val="right" w:pos="9026" w:leader="dot"/>
            </w:tabs>
            <w:rPr/>
          </w:pPr>
          <w:hyperlink w:anchor="__RefHeading___Toc162879_3244359995">
            <w:r>
              <w:rPr>
                <w:webHidden/>
                <w:rStyle w:val="IndexLink"/>
                <w:rtl w:val="true"/>
              </w:rPr>
              <w:t>راه اثبات ارتداد</w:t>
            </w:r>
            <w:r>
              <w:rPr>
                <w:rStyle w:val="IndexLink"/>
                <w:rtl w:val="true"/>
              </w:rPr>
              <w:tab/>
            </w:r>
            <w:r>
              <w:rPr>
                <w:rStyle w:val="IndexLink"/>
              </w:rPr>
              <w:t>492</w:t>
            </w:r>
          </w:hyperlink>
        </w:p>
        <w:p>
          <w:pPr>
            <w:pStyle w:val="Contents3"/>
            <w:tabs>
              <w:tab w:val="clear" w:pos="8459"/>
              <w:tab w:val="right" w:pos="9026" w:leader="dot"/>
            </w:tabs>
            <w:rPr/>
          </w:pPr>
          <w:hyperlink w:anchor="__RefHeading___Toc162881_3244359995">
            <w:r>
              <w:rPr>
                <w:webHidden/>
                <w:rStyle w:val="IndexLink"/>
                <w:rtl w:val="true"/>
              </w:rPr>
              <w:t>فصل دوم</w:t>
            </w:r>
            <w:r>
              <w:rPr>
                <w:rStyle w:val="IndexLink"/>
                <w:rtl w:val="true"/>
              </w:rPr>
              <w:t xml:space="preserve">: </w:t>
            </w:r>
            <w:r>
              <w:rPr>
                <w:rStyle w:val="IndexLink"/>
                <w:rtl w:val="true"/>
              </w:rPr>
              <w:t>نزدیکی با چهارپایان‌و نزدیکی با مُرده</w:t>
            </w:r>
            <w:r>
              <w:rPr>
                <w:rStyle w:val="IndexLink"/>
                <w:rtl w:val="true"/>
              </w:rPr>
              <w:tab/>
            </w:r>
            <w:r>
              <w:rPr>
                <w:rStyle w:val="IndexLink"/>
              </w:rPr>
              <w:t>494</w:t>
            </w:r>
          </w:hyperlink>
        </w:p>
        <w:p>
          <w:pPr>
            <w:pStyle w:val="Contents4"/>
            <w:tabs>
              <w:tab w:val="clear" w:pos="8176"/>
              <w:tab w:val="right" w:pos="9026" w:leader="dot"/>
            </w:tabs>
            <w:rPr/>
          </w:pPr>
          <w:hyperlink w:anchor="__RefHeading___Toc162883_3244359995">
            <w:r>
              <w:rPr>
                <w:webHidden/>
                <w:rStyle w:val="IndexLink"/>
                <w:rtl w:val="true"/>
              </w:rPr>
              <w:t>اشاره</w:t>
            </w:r>
            <w:r>
              <w:rPr>
                <w:rStyle w:val="IndexLink"/>
                <w:rtl w:val="true"/>
              </w:rPr>
              <w:tab/>
            </w:r>
            <w:r>
              <w:rPr>
                <w:rStyle w:val="IndexLink"/>
              </w:rPr>
              <w:t>494</w:t>
            </w:r>
          </w:hyperlink>
        </w:p>
        <w:p>
          <w:pPr>
            <w:pStyle w:val="Contents4"/>
            <w:tabs>
              <w:tab w:val="clear" w:pos="8176"/>
              <w:tab w:val="right" w:pos="9026" w:leader="dot"/>
            </w:tabs>
            <w:rPr/>
          </w:pPr>
          <w:hyperlink w:anchor="__RefHeading___Toc162885_3244359995">
            <w:r>
              <w:rPr>
                <w:webHidden/>
                <w:rStyle w:val="IndexLink"/>
                <w:rtl w:val="true"/>
              </w:rPr>
              <w:t>عقوبت وطی بهیمه</w:t>
            </w:r>
            <w:r>
              <w:rPr>
                <w:rStyle w:val="IndexLink"/>
                <w:rtl w:val="true"/>
              </w:rPr>
              <w:tab/>
            </w:r>
            <w:r>
              <w:rPr>
                <w:rStyle w:val="IndexLink"/>
              </w:rPr>
              <w:t>495</w:t>
            </w:r>
          </w:hyperlink>
        </w:p>
        <w:p>
          <w:pPr>
            <w:pStyle w:val="Contents5"/>
            <w:tabs>
              <w:tab w:val="clear" w:pos="7892"/>
              <w:tab w:val="right" w:pos="9026" w:leader="dot"/>
            </w:tabs>
            <w:rPr/>
          </w:pPr>
          <w:hyperlink w:anchor="__RefHeading___Toc162887_3244359995">
            <w:r>
              <w:rPr>
                <w:webHidden/>
                <w:rStyle w:val="IndexLink"/>
                <w:rtl w:val="true"/>
              </w:rPr>
              <w:t>اشاره</w:t>
            </w:r>
            <w:r>
              <w:rPr>
                <w:rStyle w:val="IndexLink"/>
                <w:rtl w:val="true"/>
              </w:rPr>
              <w:tab/>
            </w:r>
            <w:r>
              <w:rPr>
                <w:rStyle w:val="IndexLink"/>
              </w:rPr>
              <w:t>495</w:t>
            </w:r>
          </w:hyperlink>
        </w:p>
        <w:p>
          <w:pPr>
            <w:pStyle w:val="Contents5"/>
            <w:tabs>
              <w:tab w:val="clear" w:pos="7892"/>
              <w:tab w:val="right" w:pos="9026" w:leader="dot"/>
            </w:tabs>
            <w:rPr/>
          </w:pPr>
          <w:hyperlink w:anchor="__RefHeading___Toc162889_3244359995">
            <w:r>
              <w:rPr>
                <w:webHidden/>
                <w:rStyle w:val="IndexLink"/>
                <w:rtl w:val="true"/>
              </w:rPr>
              <w:t>ثبوت تعزیر و نفی حدّ</w:t>
            </w:r>
            <w:r>
              <w:rPr>
                <w:rStyle w:val="IndexLink"/>
                <w:rtl w:val="true"/>
              </w:rPr>
              <w:tab/>
            </w:r>
            <w:r>
              <w:rPr>
                <w:rStyle w:val="IndexLink"/>
              </w:rPr>
              <w:t>495</w:t>
            </w:r>
          </w:hyperlink>
        </w:p>
        <w:p>
          <w:pPr>
            <w:pStyle w:val="Contents6"/>
            <w:tabs>
              <w:tab w:val="clear" w:pos="7609"/>
              <w:tab w:val="right" w:pos="9026" w:leader="dot"/>
            </w:tabs>
            <w:rPr/>
          </w:pPr>
          <w:hyperlink w:anchor="__RefHeading___Toc162891_3244359995">
            <w:r>
              <w:rPr>
                <w:webHidden/>
                <w:rStyle w:val="IndexLink"/>
                <w:rtl w:val="true"/>
              </w:rPr>
              <w:t>اشاره</w:t>
            </w:r>
            <w:r>
              <w:rPr>
                <w:rStyle w:val="IndexLink"/>
                <w:rtl w:val="true"/>
              </w:rPr>
              <w:tab/>
            </w:r>
            <w:r>
              <w:rPr>
                <w:rStyle w:val="IndexLink"/>
              </w:rPr>
              <w:t>495</w:t>
            </w:r>
          </w:hyperlink>
        </w:p>
        <w:p>
          <w:pPr>
            <w:pStyle w:val="Contents6"/>
            <w:tabs>
              <w:tab w:val="clear" w:pos="7609"/>
              <w:tab w:val="right" w:pos="9026" w:leader="dot"/>
            </w:tabs>
            <w:rPr/>
          </w:pPr>
          <w:hyperlink w:anchor="__RefHeading___Toc162893_3244359995">
            <w:r>
              <w:rPr>
                <w:webHidden/>
                <w:rStyle w:val="IndexLink"/>
                <w:rtl w:val="true"/>
              </w:rPr>
              <w:t>طایفه‌ی اوّل</w:t>
            </w:r>
            <w:r>
              <w:rPr>
                <w:rStyle w:val="IndexLink"/>
                <w:rtl w:val="true"/>
              </w:rPr>
              <w:t xml:space="preserve">: </w:t>
            </w:r>
            <w:r>
              <w:rPr>
                <w:rStyle w:val="IndexLink"/>
                <w:rtl w:val="true"/>
              </w:rPr>
              <w:t>روایات تعزیر</w:t>
            </w:r>
            <w:r>
              <w:rPr>
                <w:rStyle w:val="IndexLink"/>
                <w:rtl w:val="true"/>
              </w:rPr>
              <w:tab/>
            </w:r>
            <w:r>
              <w:rPr>
                <w:rStyle w:val="IndexLink"/>
              </w:rPr>
              <w:t>495</w:t>
            </w:r>
          </w:hyperlink>
        </w:p>
        <w:p>
          <w:pPr>
            <w:pStyle w:val="Contents6"/>
            <w:tabs>
              <w:tab w:val="clear" w:pos="7609"/>
              <w:tab w:val="right" w:pos="9026" w:leader="dot"/>
            </w:tabs>
            <w:rPr/>
          </w:pPr>
          <w:hyperlink w:anchor="__RefHeading___Toc162895_3244359995">
            <w:r>
              <w:rPr>
                <w:webHidden/>
                <w:rStyle w:val="IndexLink"/>
                <w:rtl w:val="true"/>
              </w:rPr>
              <w:t>طایفه‌ی دوّم</w:t>
            </w:r>
            <w:r>
              <w:rPr>
                <w:rStyle w:val="IndexLink"/>
                <w:rtl w:val="true"/>
              </w:rPr>
              <w:t xml:space="preserve">: </w:t>
            </w:r>
            <w:r>
              <w:rPr>
                <w:rStyle w:val="IndexLink"/>
                <w:rtl w:val="true"/>
              </w:rPr>
              <w:t>دون الحدّ</w:t>
            </w:r>
            <w:r>
              <w:rPr>
                <w:rStyle w:val="IndexLink"/>
                <w:rtl w:val="true"/>
              </w:rPr>
              <w:tab/>
            </w:r>
            <w:r>
              <w:rPr>
                <w:rStyle w:val="IndexLink"/>
              </w:rPr>
              <w:t>497</w:t>
            </w:r>
          </w:hyperlink>
        </w:p>
        <w:p>
          <w:pPr>
            <w:pStyle w:val="Contents6"/>
            <w:tabs>
              <w:tab w:val="clear" w:pos="7609"/>
              <w:tab w:val="right" w:pos="9026" w:leader="dot"/>
            </w:tabs>
            <w:rPr/>
          </w:pPr>
          <w:hyperlink w:anchor="__RefHeading___Toc162897_3244359995">
            <w:r>
              <w:rPr>
                <w:webHidden/>
                <w:rStyle w:val="IndexLink"/>
                <w:rtl w:val="true"/>
              </w:rPr>
              <w:t>طایفه‌ی سوّم</w:t>
            </w:r>
            <w:r>
              <w:rPr>
                <w:rStyle w:val="IndexLink"/>
                <w:rtl w:val="true"/>
              </w:rPr>
              <w:t xml:space="preserve">: </w:t>
            </w:r>
            <w:r>
              <w:rPr>
                <w:rStyle w:val="IndexLink"/>
                <w:rtl w:val="true"/>
              </w:rPr>
              <w:t>ربع حدّ زانی</w:t>
            </w:r>
            <w:r>
              <w:rPr>
                <w:rStyle w:val="IndexLink"/>
                <w:rtl w:val="true"/>
              </w:rPr>
              <w:tab/>
            </w:r>
            <w:r>
              <w:rPr>
                <w:rStyle w:val="IndexLink"/>
              </w:rPr>
              <w:t>498</w:t>
            </w:r>
          </w:hyperlink>
        </w:p>
        <w:p>
          <w:pPr>
            <w:pStyle w:val="Contents6"/>
            <w:tabs>
              <w:tab w:val="clear" w:pos="7609"/>
              <w:tab w:val="right" w:pos="9026" w:leader="dot"/>
            </w:tabs>
            <w:rPr/>
          </w:pPr>
          <w:hyperlink w:anchor="__RefHeading___Toc162899_3244359995">
            <w:r>
              <w:rPr>
                <w:webHidden/>
                <w:rStyle w:val="IndexLink"/>
                <w:rtl w:val="true"/>
              </w:rPr>
              <w:t>طایفه‌ی چهارم</w:t>
            </w:r>
            <w:r>
              <w:rPr>
                <w:rStyle w:val="IndexLink"/>
                <w:rtl w:val="true"/>
              </w:rPr>
              <w:t xml:space="preserve">: </w:t>
            </w:r>
            <w:r>
              <w:rPr>
                <w:rStyle w:val="IndexLink"/>
                <w:rtl w:val="true"/>
              </w:rPr>
              <w:t>حدّ</w:t>
            </w:r>
            <w:r>
              <w:rPr>
                <w:rStyle w:val="IndexLink"/>
                <w:rtl w:val="true"/>
              </w:rPr>
              <w:tab/>
            </w:r>
            <w:r>
              <w:rPr>
                <w:rStyle w:val="IndexLink"/>
              </w:rPr>
              <w:t>499</w:t>
            </w:r>
          </w:hyperlink>
        </w:p>
        <w:p>
          <w:pPr>
            <w:pStyle w:val="Contents6"/>
            <w:tabs>
              <w:tab w:val="clear" w:pos="7609"/>
              <w:tab w:val="right" w:pos="9026" w:leader="dot"/>
            </w:tabs>
            <w:rPr/>
          </w:pPr>
          <w:hyperlink w:anchor="__RefHeading___Toc162901_3244359995">
            <w:r>
              <w:rPr>
                <w:webHidden/>
                <w:rStyle w:val="IndexLink"/>
                <w:rtl w:val="true"/>
              </w:rPr>
              <w:t>طایفه‌ی پنجم</w:t>
            </w:r>
            <w:r>
              <w:rPr>
                <w:rStyle w:val="IndexLink"/>
                <w:rtl w:val="true"/>
              </w:rPr>
              <w:t xml:space="preserve">: </w:t>
            </w:r>
            <w:r>
              <w:rPr>
                <w:rStyle w:val="IndexLink"/>
                <w:rtl w:val="true"/>
              </w:rPr>
              <w:t>قتل</w:t>
            </w:r>
            <w:r>
              <w:rPr>
                <w:rStyle w:val="IndexLink"/>
                <w:rtl w:val="true"/>
              </w:rPr>
              <w:tab/>
            </w:r>
            <w:r>
              <w:rPr>
                <w:rStyle w:val="IndexLink"/>
              </w:rPr>
              <w:t>501</w:t>
            </w:r>
          </w:hyperlink>
        </w:p>
        <w:p>
          <w:pPr>
            <w:pStyle w:val="Contents5"/>
            <w:tabs>
              <w:tab w:val="clear" w:pos="7892"/>
              <w:tab w:val="right" w:pos="9026" w:leader="dot"/>
            </w:tabs>
            <w:rPr/>
          </w:pPr>
          <w:hyperlink w:anchor="__RefHeading___Toc162903_3244359995">
            <w:r>
              <w:rPr>
                <w:webHidden/>
                <w:rStyle w:val="IndexLink"/>
                <w:rtl w:val="true"/>
              </w:rPr>
              <w:t>کیفیّت جمع بین این روایات</w:t>
            </w:r>
            <w:r>
              <w:rPr>
                <w:rStyle w:val="IndexLink"/>
                <w:rtl w:val="true"/>
              </w:rPr>
              <w:tab/>
            </w:r>
            <w:r>
              <w:rPr>
                <w:rStyle w:val="IndexLink"/>
              </w:rPr>
              <w:t>502</w:t>
            </w:r>
          </w:hyperlink>
        </w:p>
        <w:p>
          <w:pPr>
            <w:pStyle w:val="Contents4"/>
            <w:tabs>
              <w:tab w:val="clear" w:pos="8176"/>
              <w:tab w:val="right" w:pos="9026" w:leader="dot"/>
            </w:tabs>
            <w:rPr/>
          </w:pPr>
          <w:hyperlink w:anchor="__RefHeading___Toc162905_3244359995">
            <w:r>
              <w:rPr>
                <w:webHidden/>
                <w:rStyle w:val="IndexLink"/>
                <w:rtl w:val="true"/>
              </w:rPr>
              <w:t>راه اثبات وطی بهیمه</w:t>
            </w:r>
            <w:r>
              <w:rPr>
                <w:rStyle w:val="IndexLink"/>
                <w:rtl w:val="true"/>
              </w:rPr>
              <w:tab/>
            </w:r>
            <w:r>
              <w:rPr>
                <w:rStyle w:val="IndexLink"/>
              </w:rPr>
              <w:t>505</w:t>
            </w:r>
          </w:hyperlink>
        </w:p>
        <w:p>
          <w:pPr>
            <w:pStyle w:val="Contents5"/>
            <w:tabs>
              <w:tab w:val="clear" w:pos="7892"/>
              <w:tab w:val="right" w:pos="9026" w:leader="dot"/>
            </w:tabs>
            <w:rPr/>
          </w:pPr>
          <w:hyperlink w:anchor="__RefHeading___Toc162907_3244359995">
            <w:r>
              <w:rPr>
                <w:webHidden/>
                <w:rStyle w:val="IndexLink"/>
                <w:rtl w:val="true"/>
              </w:rPr>
              <w:t>اشاره</w:t>
            </w:r>
            <w:r>
              <w:rPr>
                <w:rStyle w:val="IndexLink"/>
                <w:rtl w:val="true"/>
              </w:rPr>
              <w:tab/>
            </w:r>
            <w:r>
              <w:rPr>
                <w:rStyle w:val="IndexLink"/>
              </w:rPr>
              <w:t>505</w:t>
            </w:r>
          </w:hyperlink>
        </w:p>
        <w:p>
          <w:pPr>
            <w:pStyle w:val="Contents5"/>
            <w:tabs>
              <w:tab w:val="clear" w:pos="7892"/>
              <w:tab w:val="right" w:pos="9026" w:leader="dot"/>
            </w:tabs>
            <w:rPr/>
          </w:pPr>
          <w:hyperlink w:anchor="__RefHeading___Toc162909_3244359995">
            <w:r>
              <w:rPr>
                <w:webHidden/>
                <w:rStyle w:val="IndexLink"/>
                <w:rtl w:val="true"/>
              </w:rPr>
              <w:t>بیّنه</w:t>
            </w:r>
            <w:r>
              <w:rPr>
                <w:rStyle w:val="IndexLink"/>
                <w:rtl w:val="true"/>
              </w:rPr>
              <w:tab/>
            </w:r>
            <w:r>
              <w:rPr>
                <w:rStyle w:val="IndexLink"/>
              </w:rPr>
              <w:t>505</w:t>
            </w:r>
          </w:hyperlink>
        </w:p>
        <w:p>
          <w:pPr>
            <w:pStyle w:val="Contents5"/>
            <w:tabs>
              <w:tab w:val="clear" w:pos="7892"/>
              <w:tab w:val="right" w:pos="9026" w:leader="dot"/>
            </w:tabs>
            <w:rPr/>
          </w:pPr>
          <w:hyperlink w:anchor="__RefHeading___Toc162911_3244359995">
            <w:r>
              <w:rPr>
                <w:webHidden/>
                <w:rStyle w:val="IndexLink"/>
                <w:rtl w:val="true"/>
              </w:rPr>
              <w:t>اقرار</w:t>
            </w:r>
            <w:r>
              <w:rPr>
                <w:rStyle w:val="IndexLink"/>
                <w:rtl w:val="true"/>
              </w:rPr>
              <w:tab/>
            </w:r>
            <w:r>
              <w:rPr>
                <w:rStyle w:val="IndexLink"/>
              </w:rPr>
              <w:t>507</w:t>
            </w:r>
          </w:hyperlink>
        </w:p>
        <w:p>
          <w:pPr>
            <w:pStyle w:val="Contents4"/>
            <w:tabs>
              <w:tab w:val="clear" w:pos="8176"/>
              <w:tab w:val="right" w:pos="9026" w:leader="dot"/>
            </w:tabs>
            <w:rPr/>
          </w:pPr>
          <w:hyperlink w:anchor="__RefHeading___Toc162913_3244359995">
            <w:r>
              <w:rPr>
                <w:webHidden/>
                <w:rStyle w:val="IndexLink"/>
                <w:rtl w:val="true"/>
              </w:rPr>
              <w:t>حکم تکرار وطی بهیمه</w:t>
            </w:r>
            <w:r>
              <w:rPr>
                <w:rStyle w:val="IndexLink"/>
                <w:rtl w:val="true"/>
              </w:rPr>
              <w:tab/>
            </w:r>
            <w:r>
              <w:rPr>
                <w:rStyle w:val="IndexLink"/>
              </w:rPr>
              <w:t>508</w:t>
            </w:r>
          </w:hyperlink>
        </w:p>
        <w:p>
          <w:pPr>
            <w:pStyle w:val="Contents5"/>
            <w:tabs>
              <w:tab w:val="clear" w:pos="7892"/>
              <w:tab w:val="right" w:pos="9026" w:leader="dot"/>
            </w:tabs>
            <w:rPr/>
          </w:pPr>
          <w:hyperlink w:anchor="__RefHeading___Toc162915_3244359995">
            <w:r>
              <w:rPr>
                <w:webHidden/>
                <w:rStyle w:val="IndexLink"/>
                <w:rtl w:val="true"/>
              </w:rPr>
              <w:t>اشاره</w:t>
            </w:r>
            <w:r>
              <w:rPr>
                <w:rStyle w:val="IndexLink"/>
                <w:rtl w:val="true"/>
              </w:rPr>
              <w:tab/>
            </w:r>
            <w:r>
              <w:rPr>
                <w:rStyle w:val="IndexLink"/>
              </w:rPr>
              <w:t>508</w:t>
            </w:r>
          </w:hyperlink>
        </w:p>
        <w:p>
          <w:pPr>
            <w:pStyle w:val="Contents5"/>
            <w:tabs>
              <w:tab w:val="clear" w:pos="7892"/>
              <w:tab w:val="right" w:pos="9026" w:leader="dot"/>
            </w:tabs>
            <w:rPr/>
          </w:pPr>
          <w:hyperlink w:anchor="__RefHeading___Toc162917_3244359995">
            <w:r>
              <w:rPr>
                <w:webHidden/>
                <w:rStyle w:val="IndexLink"/>
                <w:rtl w:val="true"/>
              </w:rPr>
              <w:t>دلیل وجوب قتل در مرتبه‌ی سوّم یا چهارم</w:t>
            </w:r>
            <w:r>
              <w:rPr>
                <w:rStyle w:val="IndexLink"/>
                <w:rtl w:val="true"/>
              </w:rPr>
              <w:tab/>
            </w:r>
            <w:r>
              <w:rPr>
                <w:rStyle w:val="IndexLink"/>
              </w:rPr>
              <w:t>508</w:t>
            </w:r>
          </w:hyperlink>
        </w:p>
        <w:p>
          <w:pPr>
            <w:pStyle w:val="Contents4"/>
            <w:tabs>
              <w:tab w:val="clear" w:pos="8176"/>
              <w:tab w:val="right" w:pos="9026" w:leader="dot"/>
            </w:tabs>
            <w:rPr/>
          </w:pPr>
          <w:hyperlink w:anchor="__RefHeading___Toc162919_3244359995">
            <w:r>
              <w:rPr>
                <w:webHidden/>
                <w:rStyle w:val="IndexLink"/>
                <w:rtl w:val="true"/>
              </w:rPr>
              <w:t>حدّ زنای با میّت</w:t>
            </w:r>
            <w:r>
              <w:rPr>
                <w:rStyle w:val="IndexLink"/>
                <w:rtl w:val="true"/>
              </w:rPr>
              <w:tab/>
            </w:r>
            <w:r>
              <w:rPr>
                <w:rStyle w:val="IndexLink"/>
              </w:rPr>
              <w:t>510</w:t>
            </w:r>
          </w:hyperlink>
        </w:p>
        <w:p>
          <w:pPr>
            <w:pStyle w:val="Contents5"/>
            <w:tabs>
              <w:tab w:val="clear" w:pos="7892"/>
              <w:tab w:val="right" w:pos="9026" w:leader="dot"/>
            </w:tabs>
            <w:rPr/>
          </w:pPr>
          <w:hyperlink w:anchor="__RefHeading___Toc162921_3244359995">
            <w:r>
              <w:rPr>
                <w:webHidden/>
                <w:rStyle w:val="IndexLink"/>
                <w:rtl w:val="true"/>
              </w:rPr>
              <w:t>اشاره</w:t>
            </w:r>
            <w:r>
              <w:rPr>
                <w:rStyle w:val="IndexLink"/>
                <w:rtl w:val="true"/>
              </w:rPr>
              <w:tab/>
            </w:r>
            <w:r>
              <w:rPr>
                <w:rStyle w:val="IndexLink"/>
              </w:rPr>
              <w:t>510</w:t>
            </w:r>
          </w:hyperlink>
        </w:p>
        <w:p>
          <w:pPr>
            <w:pStyle w:val="Contents5"/>
            <w:tabs>
              <w:tab w:val="clear" w:pos="7892"/>
              <w:tab w:val="right" w:pos="9026" w:leader="dot"/>
            </w:tabs>
            <w:rPr/>
          </w:pPr>
          <w:hyperlink w:anchor="__RefHeading___Toc162923_3244359995">
            <w:r>
              <w:rPr>
                <w:webHidden/>
                <w:rStyle w:val="IndexLink"/>
                <w:rtl w:val="true"/>
              </w:rPr>
              <w:t>فرع اوّل</w:t>
            </w:r>
            <w:r>
              <w:rPr>
                <w:rStyle w:val="IndexLink"/>
                <w:rtl w:val="true"/>
              </w:rPr>
              <w:t xml:space="preserve">: </w:t>
            </w:r>
            <w:r>
              <w:rPr>
                <w:rStyle w:val="IndexLink"/>
                <w:rtl w:val="true"/>
              </w:rPr>
              <w:t>وطی با زن مرده</w:t>
            </w:r>
            <w:r>
              <w:rPr>
                <w:rStyle w:val="IndexLink"/>
                <w:rtl w:val="true"/>
              </w:rPr>
              <w:tab/>
            </w:r>
            <w:r>
              <w:rPr>
                <w:rStyle w:val="IndexLink"/>
              </w:rPr>
              <w:t>510</w:t>
            </w:r>
          </w:hyperlink>
        </w:p>
        <w:p>
          <w:pPr>
            <w:pStyle w:val="Contents6"/>
            <w:tabs>
              <w:tab w:val="clear" w:pos="7609"/>
              <w:tab w:val="right" w:pos="9026" w:leader="dot"/>
            </w:tabs>
            <w:rPr/>
          </w:pPr>
          <w:hyperlink w:anchor="__RefHeading___Toc162925_3244359995">
            <w:r>
              <w:rPr>
                <w:webHidden/>
                <w:rStyle w:val="IndexLink"/>
                <w:rtl w:val="true"/>
              </w:rPr>
              <w:t>اشاره</w:t>
            </w:r>
            <w:r>
              <w:rPr>
                <w:rStyle w:val="IndexLink"/>
                <w:rtl w:val="true"/>
              </w:rPr>
              <w:tab/>
            </w:r>
            <w:r>
              <w:rPr>
                <w:rStyle w:val="IndexLink"/>
              </w:rPr>
              <w:t>510</w:t>
            </w:r>
          </w:hyperlink>
        </w:p>
        <w:p>
          <w:pPr>
            <w:pStyle w:val="Contents6"/>
            <w:tabs>
              <w:tab w:val="clear" w:pos="7609"/>
              <w:tab w:val="right" w:pos="9026" w:leader="dot"/>
            </w:tabs>
            <w:rPr/>
          </w:pPr>
          <w:hyperlink w:anchor="__RefHeading___Toc162927_3244359995">
            <w:r>
              <w:rPr>
                <w:webHidden/>
                <w:rStyle w:val="IndexLink"/>
                <w:rtl w:val="true"/>
              </w:rPr>
              <w:t>مطلب اوّل</w:t>
            </w:r>
            <w:r>
              <w:rPr>
                <w:rStyle w:val="IndexLink"/>
                <w:rtl w:val="true"/>
              </w:rPr>
              <w:t xml:space="preserve">: </w:t>
            </w:r>
            <w:r>
              <w:rPr>
                <w:rStyle w:val="IndexLink"/>
                <w:rtl w:val="true"/>
              </w:rPr>
              <w:t>ثبوت حدّ زنا بر وطی با میّت</w:t>
            </w:r>
            <w:r>
              <w:rPr>
                <w:rStyle w:val="IndexLink"/>
                <w:rtl w:val="true"/>
              </w:rPr>
              <w:tab/>
            </w:r>
            <w:r>
              <w:rPr>
                <w:rStyle w:val="IndexLink"/>
              </w:rPr>
              <w:t>511</w:t>
            </w:r>
          </w:hyperlink>
        </w:p>
        <w:p>
          <w:pPr>
            <w:pStyle w:val="Contents6"/>
            <w:tabs>
              <w:tab w:val="clear" w:pos="7609"/>
              <w:tab w:val="right" w:pos="9026" w:leader="dot"/>
            </w:tabs>
            <w:rPr/>
          </w:pPr>
          <w:hyperlink w:anchor="__RefHeading___Toc162929_3244359995">
            <w:r>
              <w:rPr>
                <w:webHidden/>
                <w:rStyle w:val="IndexLink"/>
                <w:rtl w:val="true"/>
              </w:rPr>
              <w:t>اشاره</w:t>
            </w:r>
            <w:r>
              <w:rPr>
                <w:rStyle w:val="IndexLink"/>
                <w:rtl w:val="true"/>
              </w:rPr>
              <w:tab/>
            </w:r>
            <w:r>
              <w:rPr>
                <w:rStyle w:val="IndexLink"/>
              </w:rPr>
              <w:t>511</w:t>
            </w:r>
          </w:hyperlink>
        </w:p>
        <w:p>
          <w:pPr>
            <w:pStyle w:val="Contents6"/>
            <w:tabs>
              <w:tab w:val="clear" w:pos="7609"/>
              <w:tab w:val="right" w:pos="9026" w:leader="dot"/>
            </w:tabs>
            <w:rPr/>
          </w:pPr>
          <w:hyperlink w:anchor="__RefHeading___Toc162931_3244359995">
            <w:r>
              <w:rPr>
                <w:webHidden/>
                <w:rStyle w:val="IndexLink"/>
                <w:rtl w:val="true"/>
              </w:rPr>
              <w:t>حلّ تنافی دو دسته از روایات</w:t>
            </w:r>
            <w:r>
              <w:rPr>
                <w:rStyle w:val="IndexLink"/>
                <w:rtl w:val="true"/>
              </w:rPr>
              <w:tab/>
            </w:r>
            <w:r>
              <w:rPr>
                <w:rStyle w:val="IndexLink"/>
              </w:rPr>
              <w:t>513</w:t>
            </w:r>
          </w:hyperlink>
        </w:p>
        <w:p>
          <w:pPr>
            <w:pStyle w:val="Contents6"/>
            <w:tabs>
              <w:tab w:val="clear" w:pos="7609"/>
              <w:tab w:val="right" w:pos="9026" w:leader="dot"/>
            </w:tabs>
            <w:rPr/>
          </w:pPr>
          <w:hyperlink w:anchor="__RefHeading___Toc162933_3244359995">
            <w:r>
              <w:rPr>
                <w:webHidden/>
                <w:rStyle w:val="IndexLink"/>
                <w:rtl w:val="true"/>
              </w:rPr>
              <w:t>مطلب دوّم</w:t>
            </w:r>
            <w:r>
              <w:rPr>
                <w:rStyle w:val="IndexLink"/>
                <w:rtl w:val="true"/>
              </w:rPr>
              <w:t xml:space="preserve">: </w:t>
            </w:r>
            <w:r>
              <w:rPr>
                <w:rStyle w:val="IndexLink"/>
                <w:rtl w:val="true"/>
              </w:rPr>
              <w:t>دلیل تعزیر اضافی</w:t>
            </w:r>
            <w:r>
              <w:rPr>
                <w:rStyle w:val="IndexLink"/>
                <w:rtl w:val="true"/>
              </w:rPr>
              <w:tab/>
            </w:r>
            <w:r>
              <w:rPr>
                <w:rStyle w:val="IndexLink"/>
              </w:rPr>
              <w:t>514</w:t>
            </w:r>
          </w:hyperlink>
        </w:p>
        <w:p>
          <w:pPr>
            <w:pStyle w:val="Contents5"/>
            <w:tabs>
              <w:tab w:val="clear" w:pos="7892"/>
              <w:tab w:val="right" w:pos="9026" w:leader="dot"/>
            </w:tabs>
            <w:rPr/>
          </w:pPr>
          <w:hyperlink w:anchor="__RefHeading___Toc162935_3244359995">
            <w:r>
              <w:rPr>
                <w:webHidden/>
                <w:rStyle w:val="IndexLink"/>
                <w:rtl w:val="true"/>
              </w:rPr>
              <w:t>فرع دوّم</w:t>
            </w:r>
            <w:r>
              <w:rPr>
                <w:rStyle w:val="IndexLink"/>
                <w:rtl w:val="true"/>
              </w:rPr>
              <w:t xml:space="preserve">: </w:t>
            </w:r>
            <w:r>
              <w:rPr>
                <w:rStyle w:val="IndexLink"/>
                <w:rtl w:val="true"/>
              </w:rPr>
              <w:t>حکم وطی با زوجه‌ی فوت‌شده</w:t>
            </w:r>
            <w:r>
              <w:rPr>
                <w:rStyle w:val="IndexLink"/>
                <w:rtl w:val="true"/>
              </w:rPr>
              <w:tab/>
            </w:r>
            <w:r>
              <w:rPr>
                <w:rStyle w:val="IndexLink"/>
              </w:rPr>
              <w:t>516</w:t>
            </w:r>
          </w:hyperlink>
        </w:p>
        <w:p>
          <w:pPr>
            <w:pStyle w:val="Contents5"/>
            <w:tabs>
              <w:tab w:val="clear" w:pos="7892"/>
              <w:tab w:val="right" w:pos="9026" w:leader="dot"/>
            </w:tabs>
            <w:rPr/>
          </w:pPr>
          <w:hyperlink w:anchor="__RefHeading___Toc162937_3244359995">
            <w:r>
              <w:rPr>
                <w:webHidden/>
                <w:rStyle w:val="IndexLink"/>
                <w:rtl w:val="true"/>
              </w:rPr>
              <w:t>فرع سوّم</w:t>
            </w:r>
            <w:r>
              <w:rPr>
                <w:rStyle w:val="IndexLink"/>
                <w:rtl w:val="true"/>
              </w:rPr>
              <w:t xml:space="preserve">: </w:t>
            </w:r>
            <w:r>
              <w:rPr>
                <w:rStyle w:val="IndexLink"/>
                <w:rtl w:val="true"/>
              </w:rPr>
              <w:t>لواط با میّت</w:t>
            </w:r>
            <w:r>
              <w:rPr>
                <w:rStyle w:val="IndexLink"/>
                <w:rtl w:val="true"/>
              </w:rPr>
              <w:tab/>
            </w:r>
            <w:r>
              <w:rPr>
                <w:rStyle w:val="IndexLink"/>
              </w:rPr>
              <w:t>517</w:t>
            </w:r>
          </w:hyperlink>
        </w:p>
        <w:p>
          <w:pPr>
            <w:pStyle w:val="Contents4"/>
            <w:tabs>
              <w:tab w:val="clear" w:pos="8176"/>
              <w:tab w:val="right" w:pos="9026" w:leader="dot"/>
            </w:tabs>
            <w:rPr/>
          </w:pPr>
          <w:hyperlink w:anchor="__RefHeading___Toc162939_3244359995">
            <w:r>
              <w:rPr>
                <w:webHidden/>
                <w:rStyle w:val="IndexLink"/>
                <w:rtl w:val="true"/>
              </w:rPr>
              <w:t>شرایط ثبوت حدّ وطی با اموات</w:t>
            </w:r>
            <w:r>
              <w:rPr>
                <w:rStyle w:val="IndexLink"/>
                <w:rtl w:val="true"/>
              </w:rPr>
              <w:tab/>
            </w:r>
            <w:r>
              <w:rPr>
                <w:rStyle w:val="IndexLink"/>
              </w:rPr>
              <w:t>519</w:t>
            </w:r>
          </w:hyperlink>
        </w:p>
        <w:p>
          <w:pPr>
            <w:pStyle w:val="Contents4"/>
            <w:tabs>
              <w:tab w:val="clear" w:pos="8176"/>
              <w:tab w:val="right" w:pos="9026" w:leader="dot"/>
            </w:tabs>
            <w:rPr/>
          </w:pPr>
          <w:hyperlink w:anchor="__RefHeading___Toc162941_3244359995">
            <w:r>
              <w:rPr>
                <w:webHidden/>
                <w:rStyle w:val="IndexLink"/>
                <w:rtl w:val="true"/>
              </w:rPr>
              <w:t>طرق اثبات وطی با اموات</w:t>
            </w:r>
            <w:r>
              <w:rPr>
                <w:rStyle w:val="IndexLink"/>
                <w:rtl w:val="true"/>
              </w:rPr>
              <w:tab/>
            </w:r>
            <w:r>
              <w:rPr>
                <w:rStyle w:val="IndexLink"/>
              </w:rPr>
              <w:t>520</w:t>
            </w:r>
          </w:hyperlink>
        </w:p>
        <w:p>
          <w:pPr>
            <w:pStyle w:val="Contents5"/>
            <w:tabs>
              <w:tab w:val="clear" w:pos="7892"/>
              <w:tab w:val="right" w:pos="9026" w:leader="dot"/>
            </w:tabs>
            <w:rPr/>
          </w:pPr>
          <w:hyperlink w:anchor="__RefHeading___Toc162943_3244359995">
            <w:r>
              <w:rPr>
                <w:webHidden/>
                <w:rStyle w:val="IndexLink"/>
                <w:rtl w:val="true"/>
              </w:rPr>
              <w:t>اشاره</w:t>
            </w:r>
            <w:r>
              <w:rPr>
                <w:rStyle w:val="IndexLink"/>
                <w:rtl w:val="true"/>
              </w:rPr>
              <w:tab/>
            </w:r>
            <w:r>
              <w:rPr>
                <w:rStyle w:val="IndexLink"/>
              </w:rPr>
              <w:t>520</w:t>
            </w:r>
          </w:hyperlink>
        </w:p>
        <w:p>
          <w:pPr>
            <w:pStyle w:val="Contents5"/>
            <w:tabs>
              <w:tab w:val="clear" w:pos="7892"/>
              <w:tab w:val="right" w:pos="9026" w:leader="dot"/>
            </w:tabs>
            <w:rPr/>
          </w:pPr>
          <w:hyperlink w:anchor="__RefHeading___Toc162945_3244359995">
            <w:r>
              <w:rPr>
                <w:webHidden/>
                <w:rStyle w:val="IndexLink"/>
                <w:rtl w:val="true"/>
              </w:rPr>
              <w:t>فرع اوّل</w:t>
            </w:r>
            <w:r>
              <w:rPr>
                <w:rStyle w:val="IndexLink"/>
                <w:rtl w:val="true"/>
              </w:rPr>
              <w:t xml:space="preserve">: </w:t>
            </w:r>
            <w:r>
              <w:rPr>
                <w:rStyle w:val="IndexLink"/>
                <w:rtl w:val="true"/>
              </w:rPr>
              <w:t>ثبوت وطی به میّت با شهادت چهار مرد عادل</w:t>
            </w:r>
            <w:r>
              <w:rPr>
                <w:rStyle w:val="IndexLink"/>
                <w:rtl w:val="true"/>
              </w:rPr>
              <w:tab/>
            </w:r>
            <w:r>
              <w:rPr>
                <w:rStyle w:val="IndexLink"/>
              </w:rPr>
              <w:t>520</w:t>
            </w:r>
          </w:hyperlink>
        </w:p>
        <w:p>
          <w:pPr>
            <w:pStyle w:val="Contents6"/>
            <w:tabs>
              <w:tab w:val="clear" w:pos="7609"/>
              <w:tab w:val="right" w:pos="9026" w:leader="dot"/>
            </w:tabs>
            <w:rPr/>
          </w:pPr>
          <w:hyperlink w:anchor="__RefHeading___Toc162947_3244359995">
            <w:r>
              <w:rPr>
                <w:webHidden/>
                <w:rStyle w:val="IndexLink"/>
                <w:rtl w:val="true"/>
              </w:rPr>
              <w:t>اشاره</w:t>
            </w:r>
            <w:r>
              <w:rPr>
                <w:rStyle w:val="IndexLink"/>
                <w:rtl w:val="true"/>
              </w:rPr>
              <w:tab/>
            </w:r>
            <w:r>
              <w:rPr>
                <w:rStyle w:val="IndexLink"/>
              </w:rPr>
              <w:t>520</w:t>
            </w:r>
          </w:hyperlink>
        </w:p>
        <w:p>
          <w:pPr>
            <w:pStyle w:val="Contents6"/>
            <w:tabs>
              <w:tab w:val="clear" w:pos="7609"/>
              <w:tab w:val="right" w:pos="9026" w:leader="dot"/>
            </w:tabs>
            <w:rPr/>
          </w:pPr>
          <w:hyperlink w:anchor="__RefHeading___Toc162949_3244359995">
            <w:r>
              <w:rPr>
                <w:webHidden/>
                <w:rStyle w:val="IndexLink"/>
                <w:rtl w:val="true"/>
              </w:rPr>
              <w:t>راه ثبوت وطی به زوجه‌ی میّت</w:t>
            </w:r>
            <w:r>
              <w:rPr>
                <w:rStyle w:val="IndexLink"/>
                <w:rtl w:val="true"/>
              </w:rPr>
              <w:tab/>
            </w:r>
            <w:r>
              <w:rPr>
                <w:rStyle w:val="IndexLink"/>
              </w:rPr>
              <w:t>525</w:t>
            </w:r>
          </w:hyperlink>
        </w:p>
        <w:p>
          <w:pPr>
            <w:pStyle w:val="Contents5"/>
            <w:tabs>
              <w:tab w:val="clear" w:pos="7892"/>
              <w:tab w:val="right" w:pos="9026" w:leader="dot"/>
            </w:tabs>
            <w:rPr/>
          </w:pPr>
          <w:hyperlink w:anchor="__RefHeading___Toc162951_3244359995">
            <w:r>
              <w:rPr>
                <w:webHidden/>
                <w:rStyle w:val="IndexLink"/>
                <w:rtl w:val="true"/>
              </w:rPr>
              <w:t>فرع دوّم</w:t>
            </w:r>
            <w:r>
              <w:rPr>
                <w:rStyle w:val="IndexLink"/>
                <w:rtl w:val="true"/>
              </w:rPr>
              <w:t xml:space="preserve">: </w:t>
            </w:r>
            <w:r>
              <w:rPr>
                <w:rStyle w:val="IndexLink"/>
                <w:rtl w:val="true"/>
              </w:rPr>
              <w:t>حکم شهادت زنان</w:t>
            </w:r>
            <w:r>
              <w:rPr>
                <w:rStyle w:val="IndexLink"/>
                <w:rtl w:val="true"/>
              </w:rPr>
              <w:tab/>
            </w:r>
            <w:r>
              <w:rPr>
                <w:rStyle w:val="IndexLink"/>
              </w:rPr>
              <w:t>525</w:t>
            </w:r>
          </w:hyperlink>
        </w:p>
        <w:p>
          <w:pPr>
            <w:pStyle w:val="Contents6"/>
            <w:tabs>
              <w:tab w:val="clear" w:pos="7609"/>
              <w:tab w:val="right" w:pos="9026" w:leader="dot"/>
            </w:tabs>
            <w:rPr/>
          </w:pPr>
          <w:hyperlink w:anchor="__RefHeading___Toc162953_3244359995">
            <w:r>
              <w:rPr>
                <w:webHidden/>
                <w:rStyle w:val="IndexLink"/>
                <w:rtl w:val="true"/>
              </w:rPr>
              <w:t>اشاره</w:t>
            </w:r>
            <w:r>
              <w:rPr>
                <w:rStyle w:val="IndexLink"/>
                <w:rtl w:val="true"/>
              </w:rPr>
              <w:tab/>
            </w:r>
            <w:r>
              <w:rPr>
                <w:rStyle w:val="IndexLink"/>
              </w:rPr>
              <w:t>525</w:t>
            </w:r>
          </w:hyperlink>
        </w:p>
        <w:p>
          <w:pPr>
            <w:pStyle w:val="Contents6"/>
            <w:tabs>
              <w:tab w:val="clear" w:pos="7609"/>
              <w:tab w:val="right" w:pos="9026" w:leader="dot"/>
            </w:tabs>
            <w:rPr/>
          </w:pPr>
          <w:hyperlink w:anchor="__RefHeading___Toc162955_3244359995">
            <w:r>
              <w:rPr>
                <w:webHidden/>
                <w:rStyle w:val="IndexLink"/>
                <w:rtl w:val="true"/>
              </w:rPr>
              <w:t>اشکالی بر عبارت تحریرالوسیله</w:t>
            </w:r>
            <w:r>
              <w:rPr>
                <w:rStyle w:val="IndexLink"/>
                <w:rtl w:val="true"/>
              </w:rPr>
              <w:tab/>
            </w:r>
            <w:r>
              <w:rPr>
                <w:rStyle w:val="IndexLink"/>
              </w:rPr>
              <w:t>526</w:t>
            </w:r>
          </w:hyperlink>
        </w:p>
        <w:p>
          <w:pPr>
            <w:pStyle w:val="Contents5"/>
            <w:tabs>
              <w:tab w:val="clear" w:pos="7892"/>
              <w:tab w:val="right" w:pos="9026" w:leader="dot"/>
            </w:tabs>
            <w:rPr/>
          </w:pPr>
          <w:hyperlink w:anchor="__RefHeading___Toc162957_3244359995">
            <w:r>
              <w:rPr>
                <w:webHidden/>
                <w:rStyle w:val="IndexLink"/>
                <w:rtl w:val="true"/>
              </w:rPr>
              <w:t>راه اثبات لواط با میّت</w:t>
            </w:r>
            <w:r>
              <w:rPr>
                <w:rStyle w:val="IndexLink"/>
                <w:rtl w:val="true"/>
              </w:rPr>
              <w:tab/>
            </w:r>
            <w:r>
              <w:rPr>
                <w:rStyle w:val="IndexLink"/>
              </w:rPr>
              <w:t>526</w:t>
            </w:r>
          </w:hyperlink>
        </w:p>
        <w:p>
          <w:pPr>
            <w:pStyle w:val="Contents5"/>
            <w:tabs>
              <w:tab w:val="clear" w:pos="7892"/>
              <w:tab w:val="right" w:pos="9026" w:leader="dot"/>
            </w:tabs>
            <w:rPr/>
          </w:pPr>
          <w:hyperlink w:anchor="__RefHeading___Toc162959_3244359995">
            <w:r>
              <w:rPr>
                <w:webHidden/>
                <w:rStyle w:val="IndexLink"/>
                <w:rtl w:val="true"/>
              </w:rPr>
              <w:t>فرع سوّم</w:t>
            </w:r>
            <w:r>
              <w:rPr>
                <w:rStyle w:val="IndexLink"/>
                <w:rtl w:val="true"/>
              </w:rPr>
              <w:t xml:space="preserve">: </w:t>
            </w:r>
            <w:r>
              <w:rPr>
                <w:rStyle w:val="IndexLink"/>
                <w:rtl w:val="true"/>
              </w:rPr>
              <w:t>ثبوت وطی میّت به‌وسیله‌ی اقرار</w:t>
            </w:r>
            <w:r>
              <w:rPr>
                <w:rStyle w:val="IndexLink"/>
                <w:rtl w:val="true"/>
              </w:rPr>
              <w:tab/>
            </w:r>
            <w:r>
              <w:rPr>
                <w:rStyle w:val="IndexLink"/>
              </w:rPr>
              <w:t>527</w:t>
            </w:r>
          </w:hyperlink>
        </w:p>
        <w:p>
          <w:pPr>
            <w:pStyle w:val="Contents4"/>
            <w:tabs>
              <w:tab w:val="clear" w:pos="8176"/>
              <w:tab w:val="right" w:pos="9026" w:leader="dot"/>
            </w:tabs>
            <w:rPr/>
          </w:pPr>
          <w:hyperlink w:anchor="__RefHeading___Toc162961_3244359995">
            <w:r>
              <w:rPr>
                <w:webHidden/>
                <w:rStyle w:val="IndexLink"/>
                <w:rtl w:val="true"/>
              </w:rPr>
              <w:t>عقوبت استمنا</w:t>
            </w:r>
            <w:r>
              <w:rPr>
                <w:rStyle w:val="IndexLink"/>
                <w:rtl w:val="true"/>
              </w:rPr>
              <w:tab/>
            </w:r>
            <w:r>
              <w:rPr>
                <w:rStyle w:val="IndexLink"/>
              </w:rPr>
              <w:t>528</w:t>
            </w:r>
          </w:hyperlink>
        </w:p>
        <w:p>
          <w:pPr>
            <w:pStyle w:val="Contents5"/>
            <w:tabs>
              <w:tab w:val="clear" w:pos="7892"/>
              <w:tab w:val="right" w:pos="9026" w:leader="dot"/>
            </w:tabs>
            <w:rPr/>
          </w:pPr>
          <w:hyperlink w:anchor="__RefHeading___Toc162963_3244359995">
            <w:r>
              <w:rPr>
                <w:webHidden/>
                <w:rStyle w:val="IndexLink"/>
                <w:rtl w:val="true"/>
              </w:rPr>
              <w:t>اشاره</w:t>
            </w:r>
            <w:r>
              <w:rPr>
                <w:rStyle w:val="IndexLink"/>
                <w:rtl w:val="true"/>
              </w:rPr>
              <w:tab/>
            </w:r>
            <w:r>
              <w:rPr>
                <w:rStyle w:val="IndexLink"/>
              </w:rPr>
              <w:t>528</w:t>
            </w:r>
          </w:hyperlink>
        </w:p>
        <w:p>
          <w:pPr>
            <w:pStyle w:val="Contents5"/>
            <w:tabs>
              <w:tab w:val="clear" w:pos="7892"/>
              <w:tab w:val="right" w:pos="9026" w:leader="dot"/>
            </w:tabs>
            <w:rPr/>
          </w:pPr>
          <w:hyperlink w:anchor="__RefHeading___Toc162965_3244359995">
            <w:r>
              <w:rPr>
                <w:webHidden/>
                <w:rStyle w:val="IndexLink"/>
                <w:rtl w:val="true"/>
              </w:rPr>
              <w:t>دلیل حرمت استمنا</w:t>
            </w:r>
            <w:r>
              <w:rPr>
                <w:rStyle w:val="IndexLink"/>
                <w:rtl w:val="true"/>
              </w:rPr>
              <w:tab/>
            </w:r>
            <w:r>
              <w:rPr>
                <w:rStyle w:val="IndexLink"/>
              </w:rPr>
              <w:t>528</w:t>
            </w:r>
          </w:hyperlink>
        </w:p>
        <w:p>
          <w:pPr>
            <w:pStyle w:val="Contents5"/>
            <w:tabs>
              <w:tab w:val="clear" w:pos="7892"/>
              <w:tab w:val="right" w:pos="9026" w:leader="dot"/>
            </w:tabs>
            <w:rPr/>
          </w:pPr>
          <w:hyperlink w:anchor="__RefHeading___Toc162967_3244359995">
            <w:r>
              <w:rPr>
                <w:webHidden/>
                <w:rStyle w:val="IndexLink"/>
                <w:rtl w:val="true"/>
              </w:rPr>
              <w:t>راه ثبوت استمنا</w:t>
            </w:r>
            <w:r>
              <w:rPr>
                <w:rStyle w:val="IndexLink"/>
                <w:rtl w:val="true"/>
              </w:rPr>
              <w:tab/>
            </w:r>
            <w:r>
              <w:rPr>
                <w:rStyle w:val="IndexLink"/>
              </w:rPr>
              <w:t>534</w:t>
            </w:r>
          </w:hyperlink>
        </w:p>
        <w:p>
          <w:pPr>
            <w:pStyle w:val="Contents2"/>
            <w:tabs>
              <w:tab w:val="clear" w:pos="8743"/>
              <w:tab w:val="right" w:pos="9026" w:leader="dot"/>
            </w:tabs>
            <w:rPr/>
          </w:pPr>
          <w:hyperlink w:anchor="__RefHeading___Toc162969_3244359995">
            <w:r>
              <w:rPr>
                <w:webHidden/>
                <w:rStyle w:val="IndexLink"/>
                <w:rtl w:val="true"/>
              </w:rPr>
              <w:t>فهرست منابع</w:t>
            </w:r>
            <w:r>
              <w:rPr>
                <w:rStyle w:val="IndexLink"/>
                <w:rtl w:val="true"/>
              </w:rPr>
              <w:tab/>
            </w:r>
            <w:r>
              <w:rPr>
                <w:rStyle w:val="IndexLink"/>
              </w:rPr>
              <w:t>536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923_220046"/>
      <w:bookmarkStart w:id="1" w:name="pg16923_220046"/>
      <w:bookmarkEnd w:id="1"/>
    </w:p>
    <w:p>
      <w:pPr>
        <w:pStyle w:val="Heading2"/>
        <w:numPr>
          <w:ilvl w:val="1"/>
          <w:numId w:val="1"/>
        </w:numPr>
        <w:rPr/>
      </w:pPr>
      <w:bookmarkStart w:id="2" w:name="pg16923_220046"/>
      <w:bookmarkStart w:id="3" w:name="__RefHeading___Toc162069_324435999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کیفری اسلام</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کیفری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اکبر ترابی شهرضایی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فقهی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91072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حدود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و مقررات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HV</w:t>
      </w:r>
      <w:r>
        <w:rPr>
          <w:rFonts w:ascii="IRNazanin" w:hAnsi="IRNazanin" w:eastAsia="IRNazanin"/>
          <w:color w:val="111111"/>
          <w:sz w:val="28"/>
          <w:sz w:val="28"/>
          <w:szCs w:val="28"/>
          <w:lang w:bidi="fa-IR"/>
        </w:rPr>
        <w:t>۶۰۲۶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2071_3244359995"/>
      <w:bookmarkStart w:id="6" w:name="_Toc2"/>
      <w:bookmarkEnd w:id="5"/>
      <w:r>
        <w:rPr>
          <w:rtl w:val="true"/>
        </w:rPr>
        <w:t>اشاره</w:t>
      </w:r>
      <w:bookmarkStart w:id="7" w:name="pg16923_220055"/>
      <w:bookmarkEnd w:id="6"/>
    </w:p>
    <w:p>
      <w:pPr>
        <w:pStyle w:val="Heading2"/>
        <w:numPr>
          <w:ilvl w:val="1"/>
          <w:numId w:val="1"/>
        </w:numPr>
        <w:rPr/>
      </w:pPr>
      <w:bookmarkStart w:id="8" w:name="__RefHeading___Toc162073_3244359995"/>
      <w:bookmarkStart w:id="9" w:name="_Toc3"/>
      <w:bookmarkEnd w:id="7"/>
      <w:bookmarkEnd w:id="8"/>
      <w:r>
        <w:rPr>
          <w:rtl w:val="true"/>
        </w:rPr>
        <w:t>بخش چهارم</w:t>
      </w:r>
      <w:r>
        <w:rPr>
          <w:rtl w:val="true"/>
        </w:rPr>
        <w:t xml:space="preserve">: </w:t>
      </w:r>
      <w:r>
        <w:rPr>
          <w:rtl w:val="true"/>
        </w:rPr>
        <w:t>حدّ سرقت</w:t>
      </w:r>
      <w:bookmarkEnd w:id="9"/>
    </w:p>
    <w:p>
      <w:pPr>
        <w:pStyle w:val="Heading3"/>
        <w:numPr>
          <w:ilvl w:val="2"/>
          <w:numId w:val="1"/>
        </w:numPr>
        <w:rPr/>
      </w:pPr>
      <w:bookmarkStart w:id="10" w:name="__RefHeading___Toc162075_3244359995"/>
      <w:bookmarkStart w:id="11" w:name="_Toc4"/>
      <w:bookmarkEnd w:id="10"/>
      <w:r>
        <w:rPr>
          <w:rtl w:val="true"/>
        </w:rPr>
        <w:t>فصل اوّل</w:t>
      </w:r>
      <w:r>
        <w:rPr>
          <w:rtl w:val="true"/>
        </w:rPr>
        <w:t xml:space="preserve">: </w:t>
      </w:r>
      <w:r>
        <w:rPr>
          <w:rtl w:val="true"/>
        </w:rPr>
        <w:t>خصوصیّات سارق</w:t>
      </w:r>
      <w:bookmarkEnd w:id="11"/>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 w:name="__RefHeading___Toc162077_3244359995"/>
      <w:bookmarkStart w:id="13" w:name="_Toc5"/>
      <w:bookmarkEnd w:id="12"/>
      <w:r>
        <w:rPr>
          <w:rtl w:val="true"/>
        </w:rPr>
        <w:t>اشاره</w:t>
      </w:r>
      <w:bookmarkStart w:id="14" w:name="pg16923_220056"/>
      <w:bookmarkEnd w:id="13"/>
    </w:p>
    <w:p>
      <w:pPr>
        <w:pStyle w:val="BookText"/>
        <w:rPr/>
      </w:pPr>
      <w:bookmarkEnd w:id="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الأوّل فی حدّ السرقة البلوغ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وجوب الحدّ علیه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فلو سرق الطفل لم یحدّ ویؤدّب بما یراه الحاکم، ولو تکرّرت السرقة منه إلی الخامسة فما فوق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یعفی عنه أوّلًا، فإن عاد ادّب، فإن عاد حکّت أنامله حتّی تدمی، فإن عاد قطعت أنامله، فإن عاد قطع کما یقطع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سرقته روایات، وفیها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یصنعه إلّارسول اللَّه صلی الله علیه و آله وأنا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فالأشبه ما ذکرنا</w:t>
      </w:r>
      <w:r>
        <w:rPr>
          <w:rFonts w:eastAsia="IRNazanin" w:cs="IRNazanin"/>
          <w:color w:val="111111"/>
          <w:sz w:val="28"/>
          <w:szCs w:val="28"/>
          <w:rtl w:val="true"/>
          <w:lang w:bidi="fa-IR"/>
        </w:rPr>
        <w:t>.]</w:t>
      </w:r>
    </w:p>
    <w:p>
      <w:pPr>
        <w:pStyle w:val="Heading4"/>
        <w:numPr>
          <w:ilvl w:val="3"/>
          <w:numId w:val="1"/>
        </w:numPr>
        <w:rPr/>
      </w:pPr>
      <w:bookmarkStart w:id="15" w:name="__RefHeading___Toc162079_3244359995"/>
      <w:bookmarkStart w:id="16" w:name="_Toc6"/>
      <w:bookmarkEnd w:id="15"/>
      <w:r>
        <w:rPr>
          <w:rtl w:val="true"/>
        </w:rPr>
        <w:t>شرایط سارق</w:t>
      </w:r>
      <w:bookmarkEnd w:id="16"/>
    </w:p>
    <w:p>
      <w:pPr>
        <w:pStyle w:val="Heading5"/>
        <w:numPr>
          <w:ilvl w:val="4"/>
          <w:numId w:val="1"/>
        </w:numPr>
        <w:rPr/>
      </w:pPr>
      <w:bookmarkStart w:id="17" w:name="__RefHeading___Toc162081_3244359995"/>
      <w:bookmarkStart w:id="18" w:name="_Toc7"/>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وجوب جریان حدّ بر سارق هشت شرط دارد</w:t>
      </w:r>
      <w:r>
        <w:rPr>
          <w:rFonts w:eastAsia="IRNazanin" w:cs="IRNazanin"/>
          <w:color w:val="111111"/>
          <w:sz w:val="28"/>
          <w:szCs w:val="28"/>
          <w:rtl w:val="true"/>
          <w:lang w:bidi="fa-IR"/>
        </w:rPr>
        <w:t>:</w:t>
      </w:r>
    </w:p>
    <w:p>
      <w:pPr>
        <w:pStyle w:val="Heading5"/>
        <w:numPr>
          <w:ilvl w:val="4"/>
          <w:numId w:val="1"/>
        </w:numPr>
        <w:rPr/>
      </w:pPr>
      <w:bookmarkStart w:id="19" w:name="__RefHeading___Toc162083_3244359995"/>
      <w:bookmarkStart w:id="20" w:name="_Toc8"/>
      <w:bookmarkEnd w:id="19"/>
      <w:r>
        <w:rPr>
          <w:rtl w:val="true"/>
        </w:rPr>
        <w:t>شرط اوّل</w:t>
      </w:r>
      <w:r>
        <w:rPr>
          <w:rtl w:val="true"/>
        </w:rPr>
        <w:t xml:space="preserve">: </w:t>
      </w:r>
      <w:r>
        <w:rPr>
          <w:rtl w:val="true"/>
        </w:rPr>
        <w:t>بلوغ</w:t>
      </w:r>
      <w:bookmarkEnd w:id="20"/>
    </w:p>
    <w:p>
      <w:pPr>
        <w:pStyle w:val="Heading6"/>
        <w:numPr>
          <w:ilvl w:val="5"/>
          <w:numId w:val="1"/>
        </w:numPr>
        <w:rPr/>
      </w:pPr>
      <w:bookmarkStart w:id="21" w:name="__RefHeading___Toc162085_3244359995"/>
      <w:bookmarkStart w:id="22" w:name="_Toc9"/>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اگر کودکی دزدی کند، حدّ بر او اقامه نمی‌شود؛ بلکه به هر صورتی که حاکم صلاح بداند، تأدیب و تعزیر می‌گردد؛ حتّی اگر سرقتش از مرز پنج‌بار دزدی نیز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 در مورد طفل سارق، حدّی وجود ندارد؛ بلکه حاکم هرچه را که مانع دزدی کودک باشد، اجرا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طرح این مسأله، مخالفت شیخ طوسی رحمه الله در کتاب نهایه</w:t>
      </w:r>
      <w:r>
        <w:rPr>
          <w:rStyle w:val="FootnoteAnchor"/>
          <w:rtl w:val="true"/>
        </w:rPr>
        <w:footnoteReference w:id="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سرقت، بچّه را تعزیر نمی‌کنند؛ بلکه عفو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دزدی دوّم او را تعزیر می‌کنند؛ و در مرتبه‌ی سوّم سر انگشتانش را چنان بمالند که خون جاری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مرتبه‌ی چهارم سر انگشتانش را می‌بُرند؛ و اگر اثر نکرد، در دفعه‌ی پنجم دستش را مانند دست افراد بالغ قطع کنند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داشته باشید هریک از این عقوبت‌های پنج‌گانه در صورتی اجرا می‌گردد که</w:t>
      </w:r>
      <w:bookmarkStart w:id="23" w:name="pg16923_220057"/>
    </w:p>
    <w:p>
      <w:pPr>
        <w:pStyle w:val="BookText"/>
        <w:rPr/>
      </w:pPr>
      <w:bookmarkEnd w:id="23"/>
      <w:r>
        <w:rPr>
          <w:rFonts w:ascii="IRNazanin" w:hAnsi="IRNazanin" w:eastAsia="IRNazanin"/>
          <w:color w:val="111111"/>
          <w:sz w:val="28"/>
          <w:sz w:val="28"/>
          <w:szCs w:val="28"/>
          <w:rtl w:val="true"/>
          <w:lang w:bidi="fa-IR"/>
        </w:rPr>
        <w:t>عقوبت قبل از آن اجرا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بچّه‌ای پنج‌بار دزدی کرده و برای اوّلین‌بار گرفتار شده است، او را عفو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راحل پس از طرح فتوای شیخ طوسی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سرقت کودک روایاتی رسیده است و در پاره‌ای از آن‌ها این عبارت دیده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یصنعه إلّارسول اللَّه صلی الله علیه و آله وأنا</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یعنی اجرای این‌گونه کیفرها مختصّ به رسول خدا و علی مرتضی علیهما السلام است و غیر معصوم حقّ اقامه‌ی چنین کیفری را ندارد؛ بلکه اشبه به قواعد، همان است که بیان شد</w:t>
      </w:r>
      <w:r>
        <w:rPr>
          <w:rFonts w:eastAsia="IRNazanin" w:cs="IRNazanin"/>
          <w:color w:val="111111"/>
          <w:sz w:val="28"/>
          <w:szCs w:val="28"/>
          <w:rtl w:val="true"/>
          <w:lang w:bidi="fa-IR"/>
        </w:rPr>
        <w:t>.</w:t>
      </w:r>
    </w:p>
    <w:p>
      <w:pPr>
        <w:pStyle w:val="Heading6"/>
        <w:numPr>
          <w:ilvl w:val="5"/>
          <w:numId w:val="1"/>
        </w:numPr>
        <w:rPr/>
      </w:pPr>
      <w:bookmarkStart w:id="24" w:name="__RefHeading___Toc162087_3244359995"/>
      <w:bookmarkStart w:id="25" w:name="_Toc10"/>
      <w:bookmarkEnd w:id="24"/>
      <w:r>
        <w:rPr>
          <w:rtl w:val="true"/>
        </w:rPr>
        <w:t>نقد مرحوم صاحب جواهر بر نظر شیخ طوسی رحمه الله</w:t>
      </w:r>
      <w:bookmarkEnd w:id="25"/>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مشتمل بر ترتیبی که شیخ طوسی رحمه الله در نهایه به آن فتوا داده است، نداریم؛ هرچند روایات زیادی از صحیحه و حسنه و موثّقه در این مورد رسیده است</w:t>
      </w:r>
      <w:r>
        <w:rPr>
          <w:rFonts w:eastAsia="IRNazanin" w:cs="IRNazanin"/>
          <w:color w:val="111111"/>
          <w:sz w:val="28"/>
          <w:szCs w:val="28"/>
          <w:rtl w:val="true"/>
          <w:lang w:bidi="fa-IR"/>
        </w:rPr>
        <w:t>.</w:t>
      </w:r>
      <w:r>
        <w:rPr>
          <w:rStyle w:val="FootnoteAnchor"/>
          <w:rtl w:val="true"/>
        </w:rPr>
        <w:footnoteReference w:id="4"/>
      </w:r>
    </w:p>
    <w:p>
      <w:pPr>
        <w:pStyle w:val="Heading6"/>
        <w:numPr>
          <w:ilvl w:val="5"/>
          <w:numId w:val="1"/>
        </w:numPr>
        <w:rPr/>
      </w:pPr>
      <w:bookmarkStart w:id="26" w:name="__RefHeading___Toc162089_3244359995"/>
      <w:bookmarkStart w:id="27" w:name="_Toc11"/>
      <w:bookmarkEnd w:id="26"/>
      <w:r>
        <w:rPr>
          <w:rtl w:val="true"/>
        </w:rPr>
        <w:t>بررسی روایات سرقت کودک</w:t>
      </w:r>
      <w:bookmarkEnd w:id="27"/>
    </w:p>
    <w:p>
      <w:pPr>
        <w:pStyle w:val="BookText"/>
        <w:rPr/>
      </w:pPr>
      <w:r>
        <w:rPr>
          <w:rFonts w:ascii="IRNazanin" w:hAnsi="IRNazanin" w:eastAsia="IRNazanin"/>
          <w:color w:val="111111"/>
          <w:sz w:val="28"/>
          <w:sz w:val="28"/>
          <w:szCs w:val="28"/>
          <w:rtl w:val="true"/>
          <w:lang w:bidi="fa-IR"/>
        </w:rPr>
        <w:t>مشهور فقها در مورد سرقت کودک همان مطلبی را که در بقیّه‌ی حدود به آن معتقدند، قائل‌اند؛ یعنی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کودک را به آن‌چه مصلحت می‌بیند، تعزیر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مشهور، شیخ طوسی رحمه الله و عدّه‌ای مراتب پنج‌گانه را مطرح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روایات زیادی که در این مورد رسیده است، می‌توان راهی برای حلّ این مشکل پیدا کرد؛ زیرا، این روایات مستفیض، بلکه متواتر به تواتر اجمالی هستند؛ به‌گونه‌ای که انسان به صدور برخی از آن‌ها یقین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مشهور روایات صحیحه را کنار گذاشته و به تعزیر در تمام مراتب دزدی کودک فتوا می‌دهند، کشف از وجود خللی در روایات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کشف این خلل باید به بررسی آن‌ها بپردازیم</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علیّ بن إبراهیم، عن محمّد بن عیسی بن عبید، عن یونس، 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الصبیّ</w:t>
      </w:r>
    </w:p>
    <w:p>
      <w:pPr>
        <w:pStyle w:val="BookText"/>
        <w:rPr/>
      </w:pPr>
      <w:r>
        <w:rPr>
          <w:rFonts w:ascii="IRNazanin" w:hAnsi="IRNazanin" w:eastAsia="IRNazanin"/>
          <w:color w:val="111111"/>
          <w:sz w:val="28"/>
          <w:sz w:val="28"/>
          <w:szCs w:val="28"/>
          <w:rtl w:val="true"/>
          <w:lang w:bidi="fa-IR"/>
        </w:rPr>
        <w:t>یسرق،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یعفی عنه مرّة ومرّتین ویعزّر فی الثّالثة فإن عاد قطعت أطراف أصابعه، فإن عاد قطع أسفل من ذلک</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صحیحه، عبداللَّه بن سنان از امام صادق علیه السلام در مورد کودکی که دزدی کرده است،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مرتبه‌ی اوّل و دوّم عفو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یعفی عنه مرّة أو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تعبیر خوبی نیست؛ زیرا، معلوم نیست آیا حاکم یک‌بار و دوبار را می‌تواند عفو کند، یا عفو کردن بر او واجب است؟ این عبارت موهم تخییر است؛ زیرا، اگر عفو واجب باشد،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دنباله‌ی روایت و نقل صاحب جواهر رحمه الله استفاده‌ی تخییر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تخییر در عفو یا تعیین عفو در مرتبه‌ی دوّم با روایات دیگر تنافی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مرتبه‌ی سوّم تعزیر می‌شود؛ در مرتبه‌ی چهارم سر انگشتانش قطع، و در مرتبه‌ی پنجم از قسمت پایین‌ترش 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تعبیر با قطع از بند دوّم و یا از ریشه‌ی انگشتان ملایمت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ظهوری در قطع از ریشه‌ی انگشتان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بر فتوای مرحوم شیخ در نهایه دلالت ندارد؛ زیرا، وی عفو را در مرتبه‌ی اوّل، و تعزیر را در مرتبه‌ی دوّم می‌گوید؛ در حالی که روایت، در مرتبه‌ی اوّل و دوّم بر عفو دلالت دارد و تعزیر را به مرتبه‌ی سوّم اختصاص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رحمه الله در این مرتبه حکّ انامل را می‌گوید؛ و روایت، در مرتبه‌ی پنجم بر قطع پایین‌تر از سر انگشتان دلالت دارد، در حالی که مرحوم شیخ رحمه الله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کما یقطع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قطعی که در شخص بالغ پیاده می‌شود، در مورد کودک نیز جاری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عن أبیه، عن ابن أبی عمیر، عن حمّاد بن عثمان، عن الحلبی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سرق الصّبی عفی عنه، فإن عاد عزّر، فإن عاد قطع أطراف الأصابع، فإن عاد قطع أسفل من ذلک</w:t>
      </w:r>
      <w:r>
        <w:rPr>
          <w:rFonts w:eastAsia="IRNazanin" w:cs="IRNazanin"/>
          <w:color w:val="111111"/>
          <w:sz w:val="28"/>
          <w:szCs w:val="28"/>
          <w:rtl w:val="true"/>
          <w:lang w:bidi="fa-IR"/>
        </w:rPr>
        <w:t>.</w:t>
      </w:r>
      <w:r>
        <w:rPr>
          <w:rStyle w:val="FootnoteAnchor"/>
          <w:rtl w:val="true"/>
        </w:rPr>
        <w:footnoteReference w:id="6"/>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صحیحه،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کودکی دزدی کرد، بخشیده</w:t>
      </w:r>
    </w:p>
    <w:p>
      <w:pPr>
        <w:pStyle w:val="BookText"/>
        <w:rPr/>
      </w:pPr>
      <w:r>
        <w:rPr>
          <w:rFonts w:ascii="IRNazanin" w:hAnsi="IRNazanin" w:eastAsia="IRNazanin"/>
          <w:color w:val="111111"/>
          <w:sz w:val="28"/>
          <w:sz w:val="28"/>
          <w:szCs w:val="28"/>
          <w:rtl w:val="true"/>
          <w:lang w:bidi="fa-IR"/>
        </w:rPr>
        <w:t>می‌شود؛ در مرتبه‌ی دوّم تعزیر می‌گردد؛ برای بار سوّم سر انگشتانش قطع می‌گردد؛ و در مرتبه‌ی چهارم از پایین‌تر از سر انگشتان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با روایت قبل منافات دارد؛ زیرا، در صحیحه‌ی ابن‌سنان به تعزیر در مرتبه‌ی سوّم تصریح شده بود، و صحیحه‌ی حلبی به تعزیر در مرتبه‌ی دوّم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ابن‌سنان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أسفل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مرتبه‌ی پنجم می‌گفت، ولی این روایت، در مرتبه‌ی چهارم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صحیحه‌ی حلبی بر فتوای شیخ رحمه الله نیز دلالت ندارد؛ زیرا، مرحوم شیخ در مرتبه‌ی سوّم حکّ انامل را می‌گفت و این روایت قطع انامل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رحمه الله در مرتبه‌ی چهارم به قطع سر انگشتان فتوا داد و روایت، به قطع پایین‌تر از آن که ظهور در بند دوّم دارد، دلالت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وبالإسناد عن صفوان،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إبراهیم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الصبیان إذا اتی بهم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قطع أناملهم من أین قطع؟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المفصل، مفصل الأنامل</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معتبر، اسحاق بن عمّار به امام کاظم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دزد را که نزد امیر مؤمنان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متن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نسخه‌ی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که از نظر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می‌آوردند، آن حضرت انگشتانشان را قطع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قطع انگشتان را مسلّم گرفته است، و این سؤال را 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قسمت آن‌ها قطع می‌کرد؟ امام علیه 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مفصل انامل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است که امام علیه السلام به سر انگشت اکتفا نمی‌کرد؛ بلکه از بندش قطع می‌کرد؛ لیکن روایت دلالت ندارد بریدن انگشتان در چه مرتبه‌ای بوده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عدّة من أصحابنا، عن سهل بن زیاد، وعن محمّد بن یحیی، عن أحمد بن محمّد جمیعاً، عن ابن محبوب، عن عبداللَّه بن سنان، عن</w:t>
      </w:r>
    </w:p>
    <w:p>
      <w:pPr>
        <w:pStyle w:val="BookText"/>
        <w:rPr/>
      </w:pPr>
      <w:r>
        <w:rPr>
          <w:rFonts w:ascii="IRNazanin" w:hAnsi="IRNazanin" w:eastAsia="IRNazanin"/>
          <w:color w:val="111111"/>
          <w:sz w:val="28"/>
          <w:sz w:val="28"/>
          <w:szCs w:val="28"/>
          <w:rtl w:val="true"/>
          <w:lang w:bidi="fa-IR"/>
        </w:rPr>
        <w:t>أبی عبداللَّه علیه السلام فی الصبّی یسرق،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یعفی عنه مرّة، فإن عاد قطعت أنامله أو حکّت حتّی تدمی، فإن عاد قطعت أصابعه، فإن عاد قطع أسفل من ذلک</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روایت سهل بن زیاد واقع شده که مورد بحث و اختلاف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امام صادق علیه السلام در مورد کودک دزد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مرتبه‌ی اوّل او را می‌بخشند؛ اگر بار دیگر دزدی کرد، سر انگشتانش را قطع کرده و یا به‌گونه‌ای می‌مالند که خون درآید؛ در مرتبه‌ی سوّم انگشتانش را می‌برند؛ و در بار چهارم، از پایین‌تر از آن قطع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سه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أنامل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مرتبه‌ی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أصابع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مرتبه‌ی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أسفل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مرتبه‌ی چهارم دیده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قطعت أنامله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قرینه‌ی روایات دیگر یعنی از مفصل و بند اوّل قطع می‌شود؛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قطعت أصابعه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قطع از مفصل دوّم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أسفل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قطع از ریشه‌ی انگشتان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تخییری که در این روایت بین قطع انامل و حکّ آن بود، در روایات دیگر نداریم؛ این تخییر قابل هضم نیست؛ زیرا، یک طرفش سبک و یک طرفش خیلی سنگین است؛ قطع کردن و بریدن بند انگشت با مالیدن آن بر روی زمین تا خون درآید قابل مقایسه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تخییر بین یک مطلب شدید و یک مطلب خیلی معمولی و عادی چگونه معقول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حمید بن زیاد، عن ابن سماعة، عن غیر واحد من أصحابه، عن أبان بن عثمان،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علیّ علیه السلام بغلام قد سرق، فطرّف أصابعه،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عدت لُاقطّعنّها،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ما عمله إلّارسول اللَّه وأنا</w:t>
      </w:r>
      <w:r>
        <w:rPr>
          <w:rFonts w:eastAsia="IRNazanin" w:cs="IRNazanin"/>
          <w:color w:val="111111"/>
          <w:sz w:val="28"/>
          <w:szCs w:val="28"/>
          <w:rtl w:val="true"/>
          <w:lang w:bidi="fa-IR"/>
        </w:rPr>
        <w:t>.</w:t>
      </w:r>
      <w:r>
        <w:rPr>
          <w:rStyle w:val="FootnoteAnchor"/>
          <w:rtl w:val="true"/>
        </w:rPr>
        <w:footnoteReference w:id="10"/>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مرسله،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را نزد امیر مؤمنان علیه السلام</w:t>
      </w:r>
    </w:p>
    <w:p>
      <w:pPr>
        <w:pStyle w:val="BookText"/>
        <w:rPr/>
      </w:pPr>
      <w:r>
        <w:rPr>
          <w:rFonts w:ascii="IRNazanin" w:hAnsi="IRNazanin" w:eastAsia="IRNazanin"/>
          <w:color w:val="111111"/>
          <w:sz w:val="28"/>
          <w:sz w:val="28"/>
          <w:szCs w:val="28"/>
          <w:rtl w:val="true"/>
          <w:lang w:bidi="fa-IR"/>
        </w:rPr>
        <w:t>آوردند در حالی که سرقت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انگشتانش را خونین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تطریف اصابع مانند حکّ انامل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بار دوّم دزدی کنی، انگشتانت را قطع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این کار را فقط رسول خدا صلی الله علیه و آله و من انجام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مضمون این روایت با روایات گذشته و فتوای شیخ طوسی رحمه الله روشن است؛ زیرا، رنگین کردن انگشتان به خون در دفعه‌ی 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عفو و تخییری استفاده نمی‌شود؛ در مرتبه‌ی اوّل تطریف و در مرتبه‌ی دوّم بریدن انگشتان است که هم بر قطع بند اوّل و هم بر قطع تمام انگشت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عبارتی که امام راحل رحمه الله در تحریرالوسیله آورده‌اند، از این روایت و روایت بعد مأخوذ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ایشان هرچند ظهور ندارد، ولی دلالت و اشعاری در آن هست که بریدن انگشتان دست کودک اگر واقعیّت هم داشته باشد، از شئون معصوم علیه السلام است؛ فقط او می‌تواند چنین کاری را انجام دهد، دیگران حقّ چنین امری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بتوانیم نظر صحیح را ابراز کنیم، باید روایت دوّم را ملاحظه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حمید، عن ابن سماعة، عن غیر واحد، عن أبان، عن عبدالرّحمن بن أبی عبداللَّه،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سرق الصّبی ولم یحتلم قطعت أطراف أصابعه،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یصنعه إلّارسول اللَّه صلی الله علیه و آله وأنا</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نیز مانند روایت قبل مرسل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کودکی که به سنّ احتلام نرسیده است دزدی کند، سر انگشتانش را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کسی غیر از رسول خدا صلی الله علیه و آله و من انجام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در این روایت عمل امیر مؤمنان علیه السلام را حکایت نمی‌کند؛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یصنعه إلّارسول اللَّه صلی الله علیه و آله وأنا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امام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حضرت تحت سلطه‌ی خلفای عبّاسی بودند و موردی را سراغ نداریم که حدّی از حدود توسّط ایشان اقامه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حدود و احکامش توسّط آن حضرت فراوان است؛ لیکن اجرای حدود آن هم در مورد کودک و به صورت قطع دست در سرقت، مسأله‌ای</w:t>
      </w:r>
    </w:p>
    <w:p>
      <w:pPr>
        <w:pStyle w:val="BookText"/>
        <w:rPr/>
      </w:pPr>
      <w:r>
        <w:rPr>
          <w:rFonts w:ascii="IRNazanin" w:hAnsi="IRNazanin" w:eastAsia="IRNazanin"/>
          <w:color w:val="111111"/>
          <w:sz w:val="28"/>
          <w:sz w:val="28"/>
          <w:szCs w:val="28"/>
          <w:rtl w:val="true"/>
          <w:lang w:bidi="fa-IR"/>
        </w:rPr>
        <w:t>جنجال‌آفرین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فهم روایت را مشکل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خبر البصری عن 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سرق الصبیّ ولم یحتلم قطعت أطراف أصابعه، وقال علیّ علیه السلام لم یصنعه إلّارسول اللَّه صلی الله علیه و آله وأنا</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به نظر می‌رسد این نقل صاحب جواهر صحیح باشد و در وسائل روایت به اشتباه نقل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نقل صاحب جواهر رحمه الله مشکل حل می‌شود؛ لیکن روایت برخلاف آن‌چه که تحریرالوسیله به آن اشعار دارد،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گذشته جریانی از امیر مؤمنان علیه السلام نقل می‌شود؛ ولی در این روایت، امام صادق علیه السلام دو مطلب را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سرق الصبیّ ولم یحتلم قطعت أطراف أصابعه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حکم کلّی است؛ ظاهرش قطع اطراف اصابع کودکی است که سرقت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یصنعه إلّارسول اللَّه صلی الله علیه و آله وأنا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این مطلب به دنبال مطلب اوّل، دلالت و اشعار بر اختصاص داشتن حکم اوّل به معصوم علیه السلام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روایت در مقام بیان حکم کلّی در مورد سرقت کودک است؛ و به دنبالش، از یک جریان خارجی خبر می‌دهد که از نظر اجرا فقط رسول خدا صلی الله علیه و آله و امیر مؤمنان علیه السلام موفّق به اجرای این حدّ شدند؛ خلفای دیگر چنین توفیقی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مقام بیان حکم اختصاصی معصوم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روایت قبل چنین اشعاری داشته باشد، لیکن با این روایت، شبهه‌ی آن رفع می‌شود؛ لذا، هیچ دلالتی بر اختصاص حکم به معصوم علیه السلام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این روایت نیز بر خلاف روایات گذشته و مطلوب شیخ طوسی رحمه الله است؛ زیرا، ظاهرش این است که حدّ قطع اطراف اصابع در سرقت کودک غیر محتلم برای دفعه‌ی اوّل است؛ و عفو، تخییر، تأدیب و تعزیر ندارد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محمّد بن یحیی، عن محمّد بن الحسین، عن بعض أصحابه، عن العلاء بن رزین،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الصّبی یسرق،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له تسع سنین قطعت یده، ولا یضیّع حدّ من</w:t>
      </w:r>
    </w:p>
    <w:p>
      <w:pPr>
        <w:pStyle w:val="BookText"/>
        <w:rPr/>
      </w:pPr>
      <w:r>
        <w:rPr>
          <w:rFonts w:ascii="Amiri" w:hAnsi="Amiri" w:eastAsia="Amiri" w:cs="Amiri"/>
          <w:color w:val="111111"/>
          <w:sz w:val="28"/>
          <w:sz w:val="28"/>
          <w:szCs w:val="28"/>
          <w:rtl w:val="true"/>
          <w:lang w:bidi="ar-SA"/>
        </w:rPr>
        <w:t>حدود اللَّه تعالی</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علیه السلام حکم سرقت کودک را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ساله باشد، دستش را قطع می‌کنند و حدّی از حدود خداوند را ضایع نمی‌کنند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روایت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قطعت 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اشاره به آیه‌ی شریفه‌ی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فَاقْطَعُواْ أَیْدِیَهُمَا</w:t>
      </w:r>
      <w:r>
        <w:rPr>
          <w:rStyle w:val="FootnoteAnchor"/>
          <w:rtl w:val="true"/>
        </w:rPr>
        <w:footnoteReference w:id="14"/>
      </w:r>
      <w:r>
        <w:rPr>
          <w:rFonts w:ascii="IRNazanin" w:hAnsi="IRNazanin" w:eastAsia="IRNazanin"/>
          <w:color w:val="111111"/>
          <w:sz w:val="28"/>
          <w:sz w:val="28"/>
          <w:szCs w:val="28"/>
          <w:rtl w:val="true"/>
          <w:lang w:bidi="fa-IR"/>
        </w:rPr>
        <w:t>دارد؛ احتمال این که قطع سر انگشتان اراده شده باشد، جا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عن القاسم بن محمّد، عن عبدالصّمد بن بشیر، عن إسحاق بن عمّار،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الصبیّ یسرق؟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یعفی عنه مرّتین، فإن عاد الثّالثة قطعت أنامله فإن عاد قطع المفصل الثّانی، فإن عاد قطع المفصل الثّالث وترکت راحته وإبهامه</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اسحاق بن عمّار از امام هفتم علیه السلام درباره‌ی حکم سرقت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 مرتبه او را عفو می‌کنند؛ در مرتبه‌ی سوّم انگشتانش را از بند اوّل قطع می‌کنند؛ در مرتبه‌ی چهارم بند دوّم بریده می‌شود؛ و در مرتبه‌ی پنجم، بند سوّم را می‌برند و انگشت شصت و کف دستش را به حال خود رها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در مرتبه‌ی پنجم، مانند سارق بالغ از ریشه‌ی انگشتان می‌برند و کف دست و انگشت ابهام باقی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وبإسناده عن الحسین بن سعید، عن عثمان بن عیسی، عن سماعة، قال</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سرق الصبیّ ولم یبلغ الحلم قطعت أنامله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أمیر المؤمنین علیه السلام بغلام قد سرق ولم یبلغ الحلم فقطع من لحم أطراف أصابعه،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عدت قطعت یدک</w:t>
      </w:r>
      <w:r>
        <w:rPr>
          <w:rFonts w:eastAsia="IRNazanin" w:cs="IRNazanin"/>
          <w:color w:val="111111"/>
          <w:sz w:val="28"/>
          <w:szCs w:val="28"/>
          <w:rtl w:val="true"/>
          <w:lang w:bidi="fa-IR"/>
        </w:rPr>
        <w:t>.</w:t>
      </w:r>
      <w:r>
        <w:rPr>
          <w:rStyle w:val="FootnoteAnchor"/>
          <w:rtl w:val="true"/>
        </w:rPr>
        <w:footnoteReference w:id="16"/>
      </w:r>
      <w:bookmarkStart w:id="28" w:name="pg16923_220064"/>
    </w:p>
    <w:p>
      <w:pPr>
        <w:pStyle w:val="BookText"/>
        <w:rPr/>
      </w:pPr>
      <w:bookmarkEnd w:id="28"/>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موثّقه سماعه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کودکی دزدی کند، انگشتانش قطع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روایت، بریدن انگشتان در مرتبه‌ی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دزدی را نزد امیر مؤمنان علیه السلام آوردند، آن حضرت مقداری از گوشت سر انگشتش رابرید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 دیگر دزدی کنی، دستت را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بر بریدن مقداری از گوشت سر انگشتان دلالت دارد نه بر قطع گوشت و استخوان؛ و در مرتبه‌ی دوّم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قطعت یدک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 ظهور یا اطلاق بر همان قطع دستی که در مورد سارق مطرح است، دلالت دارد</w:t>
      </w:r>
      <w:r>
        <w:rPr>
          <w:rFonts w:eastAsia="IRNazanin" w:cs="IRNazanin"/>
          <w:color w:val="111111"/>
          <w:sz w:val="28"/>
          <w:szCs w:val="28"/>
          <w:rtl w:val="true"/>
          <w:lang w:bidi="fa-IR"/>
        </w:rPr>
        <w:t>.</w:t>
      </w:r>
    </w:p>
    <w:p>
      <w:pPr>
        <w:pStyle w:val="Heading6"/>
        <w:numPr>
          <w:ilvl w:val="5"/>
          <w:numId w:val="1"/>
        </w:numPr>
        <w:rPr/>
      </w:pPr>
      <w:bookmarkStart w:id="29" w:name="__RefHeading___Toc162091_3244359995"/>
      <w:bookmarkStart w:id="30" w:name="_Toc12"/>
      <w:bookmarkEnd w:id="29"/>
      <w:r>
        <w:rPr>
          <w:rtl w:val="true"/>
        </w:rPr>
        <w:t>کیفیّت جمع بین روایات</w:t>
      </w:r>
      <w:bookmarkEnd w:id="30"/>
    </w:p>
    <w:p>
      <w:pPr>
        <w:pStyle w:val="BookText"/>
        <w:rPr/>
      </w:pPr>
      <w:r>
        <w:rPr>
          <w:rFonts w:ascii="IRNazanin" w:hAnsi="IRNazanin" w:eastAsia="IRNazanin"/>
          <w:color w:val="111111"/>
          <w:sz w:val="28"/>
          <w:sz w:val="28"/>
          <w:szCs w:val="28"/>
          <w:rtl w:val="true"/>
          <w:lang w:bidi="fa-IR"/>
        </w:rPr>
        <w:t>برخی از فقها خواسته‌اند اختلاف بین این روایت‌ها را با مسأله‌ی اطلاق وتقیید یا تعارض به عموم و خصوص من وجه، و رجوع در مادّه‌ی اجتماع به عامّ فوق حلّ کنند؛ لیکن ما مبنای آن را قبول نداریم؛ لذا، از این وجه جمع، اعراض می‌کنیم؛ زیرا، چگونه امکان دارد بین روایتی که صریح در عفو در مرتبه‌ی اوّل است با روایتی که صریح در عفو در مرتبه‌ی اوّل و دوّم است، جمع به اطلاق و تقیید کرد؟</w:t>
      </w:r>
    </w:p>
    <w:p>
      <w:pPr>
        <w:pStyle w:val="BookText"/>
        <w:rPr/>
      </w:pPr>
      <w:r>
        <w:rPr>
          <w:rFonts w:ascii="IRNazanin" w:hAnsi="IRNazanin" w:eastAsia="IRNazanin"/>
          <w:color w:val="111111"/>
          <w:sz w:val="28"/>
          <w:sz w:val="28"/>
          <w:szCs w:val="28"/>
          <w:rtl w:val="true"/>
          <w:lang w:bidi="fa-IR"/>
        </w:rPr>
        <w:t>در روایت صحیحه‌ی حلبی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سرق الصبیّ عفی عنه فإن عاد عزّر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در روایت هفتم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یعفی عنه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
      </w:r>
      <w:r>
        <w:rPr>
          <w:rFonts w:ascii="Amiri" w:hAnsi="Amiri" w:eastAsia="Amiri" w:cs="Amiri"/>
          <w:color w:val="111111"/>
          <w:sz w:val="28"/>
          <w:sz w:val="28"/>
          <w:szCs w:val="28"/>
          <w:rtl w:val="true"/>
          <w:lang w:bidi="ar-SA"/>
        </w:rPr>
        <w:t>و در روایت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یعفی عنه مرّة ومرّتین</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یعفی عنه مرّة فإن 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دارد؛ آن را به قرینه‌ی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یعفی عنه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کرده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مرتبه‌ی دوّم عود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اطلاق و تقیید یک امر رایج است و مانعی ندارد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این وجه جمع صحیح نیست؛ زیرا، عود بعد از مرتبه‌ی اوّل، مرتبه‌ی دوّم</w:t>
      </w:r>
      <w:bookmarkStart w:id="31" w:name="pg16923_220065"/>
    </w:p>
    <w:p>
      <w:pPr>
        <w:pStyle w:val="BookText"/>
        <w:rPr/>
      </w:pPr>
      <w:bookmarkEnd w:id="31"/>
      <w:r>
        <w:rPr>
          <w:rFonts w:ascii="IRNazanin" w:hAnsi="IRNazanin" w:eastAsia="IRNazanin"/>
          <w:color w:val="111111"/>
          <w:sz w:val="28"/>
          <w:sz w:val="28"/>
          <w:szCs w:val="28"/>
          <w:rtl w:val="true"/>
          <w:lang w:bidi="fa-IR"/>
        </w:rPr>
        <w:t xml:space="preserve">است و اطلاق ندارد؛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یعفی عنه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روایت بنا بر این جمع،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یعفی عنه مرّة فإن عاد بعد المرّة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روایت نسبت به مرتبه‌ی دوّم سکوت کرده و دلالتی ندارد؟ این، چگونه جمع به اطلاق و تقیید است؟ اصولًا از نظر عقلا بین مطلق و مقیّد تعارضی نیست؛ و مطلق و مقیّد از موضوع دو خبر متعارض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منکر اصل اطلاق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عاد بعد المرّة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بین روایات در این که عفو فقط در مرتبه‌ی اوّل است، یا در مرتبه‌ی اوّل یا دوّم، اختلافِ غیر قابل حلّ است؛ و با اطلاق و تقیید نمی‌توان مشکل را از بین برد</w:t>
      </w:r>
      <w:r>
        <w:rPr>
          <w:rFonts w:eastAsia="IRNazanin" w:cs="IRNazanin"/>
          <w:color w:val="111111"/>
          <w:sz w:val="28"/>
          <w:szCs w:val="28"/>
          <w:rtl w:val="true"/>
          <w:lang w:bidi="fa-IR"/>
        </w:rPr>
        <w:t>.</w:t>
      </w:r>
    </w:p>
    <w:p>
      <w:pPr>
        <w:pStyle w:val="Heading6"/>
        <w:numPr>
          <w:ilvl w:val="5"/>
          <w:numId w:val="1"/>
        </w:numPr>
        <w:rPr/>
      </w:pPr>
      <w:bookmarkStart w:id="32" w:name="__RefHeading___Toc162093_3244359995"/>
      <w:bookmarkStart w:id="33" w:name="_Toc13"/>
      <w:bookmarkEnd w:id="32"/>
      <w:r>
        <w:rPr>
          <w:rtl w:val="true"/>
        </w:rPr>
        <w:t>نظر برگزیده</w:t>
      </w:r>
      <w:bookmarkEnd w:id="33"/>
    </w:p>
    <w:p>
      <w:pPr>
        <w:pStyle w:val="BookText"/>
        <w:rPr/>
      </w:pPr>
      <w:r>
        <w:rPr>
          <w:rFonts w:ascii="IRNazanin" w:hAnsi="IRNazanin" w:eastAsia="IRNazanin"/>
          <w:color w:val="111111"/>
          <w:sz w:val="28"/>
          <w:sz w:val="28"/>
          <w:szCs w:val="28"/>
          <w:rtl w:val="true"/>
          <w:lang w:bidi="fa-IR"/>
        </w:rPr>
        <w:t>هرچند این روایات متعدّد و متکثّر هستند؛ امّا به یک صورت نیستند که بتوانیم به آن‌ها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در نکت النهایة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اخبار به‌گونه‌ای نیست که بتوان به آن‌ها عمل کرد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با وجود اختلاف شدید بین روایات و عدم امکان جمع بین آن‌ها، می‌بینیم مشهور از آن‌ها اعراض کرده‌اند با آن که دلالتش روشن و سند پاره‌ای از آن‌ها معتبر است؛ این اعراض، کاشف از وجود خللی در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بی‌اعتنایی مشهور کشف می‌کند که آنان واقعیّت را در طرف دیگر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 بوده‌اند این روایات برای بیان حکم اللَّه واقعی صادر نشده است؛ لذا، به آن‌ها ترتیب اثر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مبنا، می‌توانیم روایات را طرح کرده و در مورد کودک به همان نظر مشهور اکتفا کنیم؛ لیکن، اگر بخواهیم جانب احتیاط را ملاحظه کرده باشیم، می‌گوییم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حاکم شرع اختیار دارد هرچه را صلاح می‌داند در مورد کودک پیاده کند، حتّی به زندان یا جریمه‌ی مالی و مانند آن؛ زیرا، در مباحث گذشته این مطلب را ثابت کردیم که تعزیر به تازیانه اختصاص ندارد؛ و شواهدی نیز بر این مطلب از مسالک</w:t>
      </w:r>
      <w:r>
        <w:rPr>
          <w:rStyle w:val="FootnoteAnchor"/>
          <w:rtl w:val="true"/>
        </w:rPr>
        <w:footnoteReference w:id="21"/>
      </w:r>
      <w:r>
        <w:rPr>
          <w:rFonts w:ascii="IRNazanin" w:hAnsi="IRNazanin" w:eastAsia="IRNazanin"/>
          <w:color w:val="111111"/>
          <w:sz w:val="28"/>
          <w:sz w:val="28"/>
          <w:szCs w:val="28"/>
          <w:rtl w:val="true"/>
          <w:lang w:bidi="fa-IR"/>
        </w:rPr>
        <w:t>و ریاض</w:t>
      </w:r>
      <w:r>
        <w:rPr>
          <w:rStyle w:val="FootnoteAnchor"/>
          <w:rtl w:val="true"/>
        </w:rPr>
        <w:footnoteReference w:id="22"/>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روایات وارد شده است را مصداق تعزیر قرار می‌دهیم؛ لیکن در دفعه‌ی پنجم به مشکل برخورده‌اند؛ زیرا، تعزیر نباید به مرحله‌ی حدّ</w:t>
      </w:r>
    </w:p>
    <w:p>
      <w:pPr>
        <w:pStyle w:val="BookText"/>
        <w:rPr/>
      </w:pP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نظر مرحوم شیخ و روایات، در دفعه‌ی پنجم باید انگشتان کودک را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که تعزیر کودک با حکّ انامل به شدّت بر زمین محقّق گردد؛ به‌گونه‌ای که خون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مقداری از گوشت سر انگشتش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مقدار باید اکتفا کرد، امّا قطع انگشت از مفصل اوّل و دوّم و یا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است؛ و فقیه جرأت نمی‌کند به آن فتوا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مبنای ما، مشکل حل می‌شود؛ فتوای مشهور را با مراعات احتیاط در انتخاب حکّ انامل یا بریدن مقداری از گوشت سر انگشت به عنوان تعزیر، اختیار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کسی که اعراض مشهور را قبول ندارد، چگونه می‌تواند مشکل را نسبت به کودکی که دوبار عفو شده و برای بار سوّم دست به دزدی زده، حل کند؟ یک روایت بر حکّ انامل دلالت دارد؛ و روایت دیگر بر قطع از بند اوّل؛ آیا می‌شود بین حکم سبک و سنگین به تخییر فتوا داد؟ آیا بین این دو حکم تناسبی وجود دارد که در مرتبه‌ی اوّل و دوّم، عفو؛ و در مرتبه‌ی سوّم، تخییر بین حکّ انامل و قطع سر انگشت باشد؟ حدّی که برای مصلحت اجتماع جعل شده، و به عنوان ردع از ارتکاب محارم و محرّمات مطرح است، در یک مرحله تخییرش به این سبک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نمی‌تواند چنین تخییری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مبنا مخدوش بوده و مختار مشهور به قواعد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با توجّه به این که در تمام حدودی که در گذشته مطرح شد و یا در آینده از آن‌ها بحث می‌کنیم، هیچ حدّی در مورد غیر بالغ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زنا با آن عظمت، در لواط، سحق، قیادت، شرب مسکر و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الصبیّ حتّی یحتلم</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حدّ را از غیر بالغ برمی‌دارد</w:t>
      </w:r>
      <w:r>
        <w:rPr>
          <w:rFonts w:eastAsia="IRNazanin" w:cs="IRNazanin"/>
          <w:color w:val="111111"/>
          <w:sz w:val="28"/>
          <w:szCs w:val="28"/>
          <w:rtl w:val="true"/>
          <w:lang w:bidi="fa-IR"/>
        </w:rPr>
        <w:t>.</w:t>
      </w:r>
      <w:bookmarkStart w:id="34" w:name="pg16923_220067"/>
    </w:p>
    <w:p>
      <w:pPr>
        <w:pStyle w:val="BookText"/>
        <w:rPr/>
      </w:pPr>
      <w:bookmarkEnd w:id="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فلا یقطع المجنون ولو أدواراً إذا سرق حال إدواره، وإن تکرّرت منه، ویؤدّب إذا استشعر بالتأدیب وأمکن التأثیر فیه</w:t>
      </w:r>
      <w:r>
        <w:rPr>
          <w:rFonts w:eastAsia="IRNazanin" w:cs="IRNazanin"/>
          <w:color w:val="111111"/>
          <w:sz w:val="28"/>
          <w:szCs w:val="28"/>
          <w:rtl w:val="true"/>
          <w:lang w:bidi="fa-IR"/>
        </w:rPr>
        <w:t>.]</w:t>
      </w:r>
    </w:p>
    <w:p>
      <w:pPr>
        <w:pStyle w:val="Heading5"/>
        <w:numPr>
          <w:ilvl w:val="4"/>
          <w:numId w:val="1"/>
        </w:numPr>
        <w:rPr/>
      </w:pPr>
      <w:bookmarkStart w:id="35" w:name="__RefHeading___Toc162095_3244359995"/>
      <w:bookmarkStart w:id="36" w:name="_Toc14"/>
      <w:bookmarkEnd w:id="35"/>
      <w:r>
        <w:rPr>
          <w:rtl w:val="true"/>
        </w:rPr>
        <w:t>شرط دوّم</w:t>
      </w:r>
      <w:r>
        <w:rPr>
          <w:rtl w:val="true"/>
        </w:rPr>
        <w:t xml:space="preserve">: </w:t>
      </w:r>
      <w:r>
        <w:rPr>
          <w:rtl w:val="true"/>
        </w:rPr>
        <w:t>عقل</w:t>
      </w:r>
      <w:bookmarkEnd w:id="36"/>
    </w:p>
    <w:p>
      <w:pPr>
        <w:pStyle w:val="BookText"/>
        <w:rPr/>
      </w:pPr>
      <w:r>
        <w:rPr>
          <w:rFonts w:ascii="IRNazanin" w:hAnsi="IRNazanin" w:eastAsia="IRNazanin"/>
          <w:color w:val="111111"/>
          <w:sz w:val="28"/>
          <w:sz w:val="28"/>
          <w:szCs w:val="28"/>
          <w:rtl w:val="true"/>
          <w:lang w:bidi="fa-IR"/>
        </w:rPr>
        <w:t>شرط دوّم از شرایطی که در حدّ سارق معتبر است،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سارق مجنون باشد؛ خواه جنون اطباقی یا ادواری، به فرض تحقّق سرقت در حال جنون، حدّی بر او جاری نمی‌گردد؛ همان‌گونه که حدود دیگر نیز بر وی اقامه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در مورد کودک به فتوای شیخ طوسی رحمه الله در نهایه ملتزم شویم، وجهی برای تعدّی از آن و سرایتش به مجنون نیست؛ زیرا، آن روایات بر حکمی خلاف قاعده دلالت داشتند؛ بنابراین، باید بر همان مورد توقّف کنیم؛ و حقّ سرایت به موارد مشابه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قاعده‌ی اوّلی در مورد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الصبیّ حتّی یحتلم</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است، که از این قاعده به سبب برخی روایات، دست برداشتیم؛ و در مرتبه‌ی اوّل و دوّم به عفو، و در مرحله‌ی سوّم به تعزیر یا اشباه آن، در مرحله‌ی چهارم به قطع انگشتان، و در مرحله‌ی پنجم به قطع دست همانند شخص بالغ فتوا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مطلب تعبّدی صرف و بر خلاف قاعده است که باید بر موردش وقوف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مجنونی دارای ادراک و شعور است، به‌گونه‌ای که تعزیر در وی اثر گذاشته و مانع تکرار عمل می‌گردد، باید قاعده‌ی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تعزیر به آن‌چه حاکم شرع مصلحت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وی اجرا گردد؛ امّا مراحل پنجگانه‌ای که در مورد کودک مطرح بود، نسبت به مجنون وجهی ندارد؛ علاوه بر این که کسی در بین فقها به آن قائل نشده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اگر شخص به صورتی دیوانه باشد که یا از تازیانه و تعزیر متأثّر نمی‌شود، و یا بر فرض تأثیر، به آن اندازه شعور ندارد که بفهمد برای چه تازیانه می‌خورد، از آن‌جا که تعزیر در رادعیّت و مانعیّت از تکرار عمل نقشی ندارد، اجرا نمی‌شود</w:t>
      </w:r>
      <w:r>
        <w:rPr>
          <w:rFonts w:eastAsia="IRNazanin" w:cs="IRNazanin"/>
          <w:color w:val="111111"/>
          <w:sz w:val="28"/>
          <w:szCs w:val="28"/>
          <w:rtl w:val="true"/>
          <w:lang w:bidi="fa-IR"/>
        </w:rPr>
        <w:t>.</w:t>
      </w:r>
      <w:bookmarkStart w:id="37" w:name="pg16923_220068"/>
    </w:p>
    <w:p>
      <w:pPr>
        <w:pStyle w:val="BookText"/>
        <w:rPr/>
      </w:pPr>
      <w:bookmarkEnd w:id="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الثالث 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الاختیار وعدم الاضطرار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الاختیار، فلا یقطع المکره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الاضطرار، فلا یقطع المضطرّ إذا سرق لدفع اضطراره</w:t>
      </w:r>
      <w:r>
        <w:rPr>
          <w:rFonts w:eastAsia="IRNazanin" w:cs="IRNazanin"/>
          <w:color w:val="111111"/>
          <w:sz w:val="28"/>
          <w:szCs w:val="28"/>
          <w:rtl w:val="true"/>
          <w:lang w:bidi="fa-IR"/>
        </w:rPr>
        <w:t>.]</w:t>
      </w:r>
    </w:p>
    <w:p>
      <w:pPr>
        <w:pStyle w:val="Heading5"/>
        <w:numPr>
          <w:ilvl w:val="4"/>
          <w:numId w:val="1"/>
        </w:numPr>
        <w:rPr/>
      </w:pPr>
      <w:bookmarkStart w:id="38" w:name="__RefHeading___Toc162097_3244359995"/>
      <w:bookmarkStart w:id="39" w:name="_Toc15"/>
      <w:bookmarkEnd w:id="38"/>
      <w:r>
        <w:rPr>
          <w:rtl w:val="true"/>
        </w:rPr>
        <w:t>شرط سوّم و چهارم</w:t>
      </w:r>
      <w:r>
        <w:rPr>
          <w:rtl w:val="true"/>
        </w:rPr>
        <w:t xml:space="preserve">: </w:t>
      </w:r>
      <w:r>
        <w:rPr>
          <w:rtl w:val="true"/>
        </w:rPr>
        <w:t>اختیار و عدم اضطرار</w:t>
      </w:r>
      <w:bookmarkEnd w:id="39"/>
    </w:p>
    <w:p>
      <w:pPr>
        <w:pStyle w:val="BookText"/>
        <w:rPr/>
      </w:pPr>
      <w:r>
        <w:rPr>
          <w:rFonts w:ascii="IRNazanin" w:hAnsi="IRNazanin" w:eastAsia="IRNazanin"/>
          <w:color w:val="111111"/>
          <w:sz w:val="28"/>
          <w:sz w:val="28"/>
          <w:szCs w:val="28"/>
          <w:rtl w:val="true"/>
          <w:lang w:bidi="fa-IR"/>
        </w:rPr>
        <w:t xml:space="preserve">اگر کسی از روی اکراه دزدی کند، به‌گونه‌ای که هیچ اختیاری در ارتکاب سرقت نداشته باشد،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استکره علیه</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حدّ را از این فرد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اگر به سرقت اضطرار پیدا کند، مانند این که جانش در مخاطره است به گونه‌ای که اگر دزدی نکند، هلاک می‌شود؛ فرض کنید غذایی در اندرون خانه‌ای است و درب آن خانه قفل باشد، این شخص برای رفع گرسنگی شدیدی که اگر رفع نشود به مرگ منتهی می‌شود، دست به سرقت غذا از آن خانه می‌زند؛ این اضطرار، موجب می‌شود حدّ قطع مترتّب نگردد؛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إلیه</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xml:space="preserve">نیز در ردیف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استکرهوا علیه</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دزدی به حدّی که اضطرار رفع گردد، حدّ ندارد؛ امّا بر مازاد آن، اگر به حدّ نصاب برسد، حدّ سرقت مترتّب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تحریرالوسیله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دزدی برای رفع اضطرار باشد، دست مضطرّ قطع نمی‌گردد</w:t>
      </w:r>
      <w:r>
        <w:rPr>
          <w:rFonts w:eastAsia="IRNazanin" w:cs="IRNazanin"/>
          <w:color w:val="111111"/>
          <w:sz w:val="28"/>
          <w:szCs w:val="28"/>
          <w:rtl w:val="true"/>
          <w:lang w:bidi="fa-IR"/>
        </w:rPr>
        <w:t>.</w:t>
      </w:r>
      <w:bookmarkStart w:id="40" w:name="pg16923_220069"/>
    </w:p>
    <w:p>
      <w:pPr>
        <w:pStyle w:val="BookText"/>
        <w:rPr/>
      </w:pPr>
      <w:bookmarkEnd w:id="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هتک الحرز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السارق هاتکاً للحرز منفرداً أو مشارکاً، فلو هتک غیر السارق وسرق هو من غیر حرز لا یقطع واحد منهما وإن جاءا معاً للسرقة والتعاون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ویضمن الهاتک ما أتلفه والسارق ما سرقه</w:t>
      </w:r>
      <w:r>
        <w:rPr>
          <w:rFonts w:eastAsia="IRNazanin" w:cs="IRNazanin"/>
          <w:color w:val="111111"/>
          <w:sz w:val="28"/>
          <w:szCs w:val="28"/>
          <w:rtl w:val="true"/>
          <w:lang w:bidi="fa-IR"/>
        </w:rPr>
        <w:t>.]</w:t>
      </w:r>
    </w:p>
    <w:p>
      <w:pPr>
        <w:pStyle w:val="Heading5"/>
        <w:numPr>
          <w:ilvl w:val="4"/>
          <w:numId w:val="1"/>
        </w:numPr>
        <w:rPr/>
      </w:pPr>
      <w:bookmarkStart w:id="41" w:name="__RefHeading___Toc162099_3244359995"/>
      <w:bookmarkStart w:id="42" w:name="_Toc16"/>
      <w:bookmarkEnd w:id="41"/>
      <w:r>
        <w:rPr>
          <w:rtl w:val="true"/>
        </w:rPr>
        <w:t>شرط پنجم</w:t>
      </w:r>
      <w:r>
        <w:rPr>
          <w:rtl w:val="true"/>
        </w:rPr>
        <w:t xml:space="preserve">: </w:t>
      </w:r>
      <w:r>
        <w:rPr>
          <w:rtl w:val="true"/>
        </w:rPr>
        <w:t>هتک حرز</w:t>
      </w:r>
      <w:bookmarkEnd w:id="42"/>
    </w:p>
    <w:p>
      <w:pPr>
        <w:pStyle w:val="BookText"/>
        <w:rPr/>
      </w:pPr>
      <w:r>
        <w:rPr>
          <w:rFonts w:ascii="IRNazanin" w:hAnsi="IRNazanin" w:eastAsia="IRNazanin"/>
          <w:color w:val="111111"/>
          <w:sz w:val="28"/>
          <w:sz w:val="28"/>
          <w:szCs w:val="28"/>
          <w:rtl w:val="true"/>
          <w:lang w:bidi="fa-IR"/>
        </w:rPr>
        <w:t>پنجمین شرطی که در ترتّب حدّ سرقت مطرح است، دزدی از حرز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مال در حفاظت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صورت عادی امکان دسترسی به آن نباشد؛ مثل این که مال را در دکّانی گذاشته، و درب آن را قفل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سارق هاتک حرز بود و آن را از بین برد، حدّ سرقت بر وی اقامه می‌گردد؛ امّا اگر دو نفر با هم قرار گذاشتند یکی حرز را بردارد و دیگری مال را بیرون آورد و به تعبیر دیگر، هاتک حرز یک فرد و بیرون آورنده‌ی مال فرد دیگر باشد، حدّ سرقت بر هیچ کدام اجرا نمی‌گردد؛ زیرا، کسی که درب را گشوده و حرز را از بین برده، مالی نبرده است، و آن که مال را برده، حرزی را نشکسته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شرط، در موارد زیر حدّ سرقت پیاده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 دکّان یا خانه‌ای باز باشد و شخصی بدون این که صاحب مال متوجّه گردد مال او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 از مراکز عمومی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کاروانسرا، مدرسه و مانند آن که اموال در حرز قرار نگرفته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درب خانه‌ای را باز کرد و رفت، دیگری نیز از فرصت استفاده کند و از این خانه مالی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با هم قرار دزدی بگذارند و یکی متعهّد باز کردن حرز گردد و دیگری متعهّد بردن مال؛ در این صورت، هاتک حرز ضامن قفل و آن‌چه تلف کرده، هست؛ و سارق مال، ضامن اموال مسروقه است؛ ولی قطع دست در حقّ هیچ کدام جاری نیست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یکی هاتک بوده و سارق نبوده و دیگری برعکس وی، سارق است و هاتک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دو نفر به کمک یکدیگر حرز را بردارند و یکی از آنان مال را ببرد، دست او را می‌بُرند؛ زیرا، هاتک و سارق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دست فرد دیگر را که فقط هاتک است، قطع نمی‌کنند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شرط از شروط مسلّم در باب حدّ سرقت است که روایاتش در آینده بررسی خواهد شد</w:t>
      </w:r>
      <w:r>
        <w:rPr>
          <w:rFonts w:eastAsia="IRNazanin" w:cs="IRNazanin"/>
          <w:color w:val="111111"/>
          <w:sz w:val="28"/>
          <w:szCs w:val="28"/>
          <w:rtl w:val="true"/>
          <w:lang w:bidi="fa-IR"/>
        </w:rPr>
        <w:t>.</w:t>
      </w:r>
      <w:bookmarkStart w:id="43" w:name="pg16923_220071"/>
    </w:p>
    <w:p>
      <w:pPr>
        <w:pStyle w:val="BookText"/>
        <w:rPr/>
      </w:pPr>
      <w:bookmarkEnd w:id="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إخراج السارق المتاع من الحرز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یخرج المتاع من الحرز بنفسه أو بمشارکة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ویتحقّق الإخراج بالمباشرة کما لو جعله علی عاتقه وأخرجه، وبالتسبیب کما لو شدّه بحبل ثمّ یجد به من خارج الحرز أو یضعه علی دابّة من الحرز یخرجها، أو علی جناح طائر من شأنه العود إلیه، أو أمر مجنوناً أو صبیّاً غیر ممیّز بالإخراج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إن کان ممیّزاً ففی القطع إشکال بل منع</w:t>
      </w:r>
      <w:r>
        <w:rPr>
          <w:rFonts w:eastAsia="IRNazanin" w:cs="IRNazanin"/>
          <w:color w:val="111111"/>
          <w:sz w:val="28"/>
          <w:szCs w:val="28"/>
          <w:rtl w:val="true"/>
          <w:lang w:bidi="fa-IR"/>
        </w:rPr>
        <w:t>.]</w:t>
      </w:r>
    </w:p>
    <w:p>
      <w:pPr>
        <w:pStyle w:val="Heading5"/>
        <w:numPr>
          <w:ilvl w:val="4"/>
          <w:numId w:val="1"/>
        </w:numPr>
        <w:rPr/>
      </w:pPr>
      <w:bookmarkStart w:id="44" w:name="__RefHeading___Toc162101_3244359995"/>
      <w:bookmarkStart w:id="45" w:name="_Toc17"/>
      <w:bookmarkEnd w:id="44"/>
      <w:r>
        <w:rPr>
          <w:rtl w:val="true"/>
        </w:rPr>
        <w:t>شرط ششم</w:t>
      </w:r>
      <w:r>
        <w:rPr>
          <w:rtl w:val="true"/>
        </w:rPr>
        <w:t xml:space="preserve">: </w:t>
      </w:r>
      <w:r>
        <w:rPr>
          <w:rtl w:val="true"/>
        </w:rPr>
        <w:t>خارج ساختن کالا از حرز</w:t>
      </w:r>
      <w:bookmarkEnd w:id="45"/>
    </w:p>
    <w:p>
      <w:pPr>
        <w:pStyle w:val="BookText"/>
        <w:rPr/>
      </w:pPr>
      <w:r>
        <w:rPr>
          <w:rFonts w:ascii="IRNazanin" w:hAnsi="IRNazanin" w:eastAsia="IRNazanin"/>
          <w:color w:val="111111"/>
          <w:sz w:val="28"/>
          <w:sz w:val="28"/>
          <w:szCs w:val="28"/>
          <w:rtl w:val="true"/>
          <w:lang w:bidi="fa-IR"/>
        </w:rPr>
        <w:t>دو چیز در تحقّق سرقت موجب حدّ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بیرون بردن مال از خانه یا دکّان، دیگری مستند بودن اخراج به سارق؛ لذا، اگر مال را از نقطه‌ای از حرز بردارد و در نقطه‌ی دیگر بگذارد، دستش را نمی‌بُرند؛ مانند این که دزدی اموال را از اتاق جمع کرد ولی هنگامی که آن‌ها را در حیاط گذاشت، صاحب‌خانه بیدار شده، او را 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حدّ سرقت پیاده نمی‌شود؛ زیرا، اخراج از حرز محقّق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آن‌که اخراج باید به سارق مستند گردد؛ مانند این که ریسمانی به آن مال ببندد و خودش در خارج حرز بایستد ریسمان را بالا بکشد و مال را بیرون آورد؛ یا اموال مسروقه را بر حیوانی بار کند و افسار و دهنه‌ی حیوان را بگیرد و یا از پشت سر آن حیون را به خروج تحریک کند و یا حیوان خودبه‌خود بیرون بیاید، یا مالی را که از نظر کیفیّت با ارزش است بر بال کبوتری که به سوی سارق باز می‌گردد، ببندد و آن کبوتر را از داخل حرز به هوا رها کند؛ در تمام این صورت‌ها، اخراج مستند به سارق است و حدّ اجرا می‌گردد و قابل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در موردی است که به بچّه‌ای یا مجنونی دستور بدهد آن اموال را بیرون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حالت، دو صورت مطرح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و مجنون هیچ حالت تمیز و شعوری نداشته باشند و معنای سرقت و دزدی را نفهمند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اخراج مستند به سارق است و آن مجنون یا کودک آلت دست او</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حکم حیوانی را دارند که مال مسروقه را بر پشتش بار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 و مجنون ممیّز باشند و معنای سرقت را بفهمند، در صورتی که سارق دست به مال مسروقه نزده و کودک یا دیوانه به فرمان او آن را بیرون آورده باشند، امام راحل رحمه الله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ترتّب قطع دست محل اشکال، بلکه محل منع است؛ زیرا، با وجود شعور و تمیز در کودک و مجنون، سرقت مستند به آنان است و نه سارق</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گاه کودک هرچند ممیّز است و تشخیص می‌دهد، لیکن مسخّر و تحت قدرت پدر و اوامرش است؛ به‌گونه‌ای که حکم آلت دست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بعید نیست به قطع دست حکم کنیم؛ امّا اگر استیلا به این صورت نباشد، قطع دست محل اشکال و منع است</w:t>
      </w:r>
      <w:r>
        <w:rPr>
          <w:rFonts w:eastAsia="IRNazanin" w:cs="IRNazanin"/>
          <w:color w:val="111111"/>
          <w:sz w:val="28"/>
          <w:szCs w:val="28"/>
          <w:rtl w:val="true"/>
          <w:lang w:bidi="fa-IR"/>
        </w:rPr>
        <w:t>.</w:t>
      </w:r>
      <w:bookmarkStart w:id="46" w:name="pg16923_220073"/>
    </w:p>
    <w:p>
      <w:pPr>
        <w:pStyle w:val="BookText"/>
        <w:rPr/>
      </w:pPr>
      <w:bookmarkEnd w:id="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کون السارق والداً للمسروق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السارق والد المسروق منه، فلا یقطع الوالد لمال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ویقطع الولد إن سرق من والده، والامّ إن سرقت من ولدها، والأقرباء إن سرق بعضهم من بعض</w:t>
      </w:r>
      <w:r>
        <w:rPr>
          <w:rFonts w:eastAsia="IRNazanin" w:cs="IRNazanin"/>
          <w:color w:val="111111"/>
          <w:sz w:val="28"/>
          <w:szCs w:val="28"/>
          <w:rtl w:val="true"/>
          <w:lang w:bidi="fa-IR"/>
        </w:rPr>
        <w:t>.]</w:t>
      </w:r>
    </w:p>
    <w:p>
      <w:pPr>
        <w:pStyle w:val="Heading5"/>
        <w:numPr>
          <w:ilvl w:val="4"/>
          <w:numId w:val="1"/>
        </w:numPr>
        <w:rPr/>
      </w:pPr>
      <w:bookmarkStart w:id="47" w:name="__RefHeading___Toc162103_3244359995"/>
      <w:bookmarkStart w:id="48" w:name="_Toc18"/>
      <w:bookmarkEnd w:id="47"/>
      <w:r>
        <w:rPr>
          <w:rtl w:val="true"/>
        </w:rPr>
        <w:t>شرط هفتم</w:t>
      </w:r>
      <w:r>
        <w:rPr>
          <w:rtl w:val="true"/>
        </w:rPr>
        <w:t xml:space="preserve">: </w:t>
      </w:r>
      <w:r>
        <w:rPr>
          <w:rtl w:val="true"/>
        </w:rPr>
        <w:t>سارق پدر مسروق منه نباشد</w:t>
      </w:r>
      <w:bookmarkEnd w:id="48"/>
    </w:p>
    <w:p>
      <w:pPr>
        <w:pStyle w:val="Heading6"/>
        <w:numPr>
          <w:ilvl w:val="5"/>
          <w:numId w:val="1"/>
        </w:numPr>
        <w:rPr/>
      </w:pPr>
      <w:bookmarkStart w:id="49" w:name="__RefHeading___Toc162105_3244359995"/>
      <w:bookmarkStart w:id="50" w:name="_Toc19"/>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شرط هفتم اجرای حدّ سرقت این است که سارق پدر مسروق منه نباشد؛ بنابراین، اگر پدری از مال فرزندش بدون رضایت او و با تحقّق تمام شرایطی که در اقامه‌ی حدّ سرقت معتبر است، سرقت کند، دست پدر را نمی‌برند؛ امّا دیگر خویشان با بقیه‌ی مردم یکسانند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اگر پسری از پدر، یا مادری از فرزند، یا خویشاوندی از خویشاوندش دزدی کند و شرایط حدّ سرقت موجود باشد، دستش قطع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شرط دو جنبه دارد؛ یکی جنبه‌ی منفی، و دیگر جنبه‌ی اثبات</w:t>
      </w:r>
      <w:r>
        <w:rPr>
          <w:rFonts w:eastAsia="IRNazanin" w:cs="IRNazanin"/>
          <w:color w:val="111111"/>
          <w:sz w:val="28"/>
          <w:szCs w:val="28"/>
          <w:rtl w:val="true"/>
          <w:lang w:bidi="fa-IR"/>
        </w:rPr>
        <w:t>.</w:t>
      </w:r>
    </w:p>
    <w:p>
      <w:pPr>
        <w:pStyle w:val="Heading6"/>
        <w:numPr>
          <w:ilvl w:val="5"/>
          <w:numId w:val="1"/>
        </w:numPr>
        <w:rPr/>
      </w:pPr>
      <w:bookmarkStart w:id="51" w:name="__RefHeading___Toc162107_3244359995"/>
      <w:bookmarkStart w:id="52" w:name="_Toc20"/>
      <w:bookmarkEnd w:id="51"/>
      <w:r>
        <w:rPr>
          <w:rtl w:val="true"/>
        </w:rPr>
        <w:t>بحثی در جنبه‌ی نفی</w:t>
      </w:r>
      <w:bookmarkEnd w:id="52"/>
    </w:p>
    <w:p>
      <w:pPr>
        <w:pStyle w:val="BookText"/>
        <w:rPr/>
      </w:pPr>
      <w:r>
        <w:rPr>
          <w:rFonts w:ascii="Amiri" w:hAnsi="Amiri" w:eastAsia="Amiri" w:cs="Amiri"/>
          <w:color w:val="111111"/>
          <w:sz w:val="28"/>
          <w:sz w:val="28"/>
          <w:szCs w:val="28"/>
          <w:rtl w:val="true"/>
          <w:lang w:bidi="ar-SA"/>
        </w:rPr>
        <w:t>آیه‌ی شریفه‌ی وَالسَّارِقُ وَ السَّارِقَةُ فَاقْطَعُواْ أَیْدِیَهُمَا</w:t>
      </w:r>
      <w:r>
        <w:rPr>
          <w:rStyle w:val="FootnoteAnchor"/>
          <w:rtl w:val="true"/>
        </w:rPr>
        <w:footnoteReference w:id="28"/>
      </w:r>
      <w:r>
        <w:rPr>
          <w:rFonts w:ascii="IRNazanin" w:hAnsi="IRNazanin" w:eastAsia="IRNazanin"/>
          <w:color w:val="111111"/>
          <w:sz w:val="28"/>
          <w:sz w:val="28"/>
          <w:szCs w:val="28"/>
          <w:rtl w:val="true"/>
          <w:lang w:bidi="fa-IR"/>
        </w:rPr>
        <w:t>به اطلاقش شامل پدر نیز می‌گردد؛ لذا، باید دلیلی بر تقیید آیه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محصّل و منقول بر استثنای پدر قائم است</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از هیچ یک از فقها مخالفتی دیده نشده است؛ علاوه بر آن، روایات زیر نیز دلالت بر این مطلب دارد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عن أبی حمزة الثمالی، عن أبی جعفر علیه السلام إنّ رسول اللَّه صلی الله علیه و آله قال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ومالک لأبیک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یأخذ من مال ابنه إلّاما احتاج إلیه ممّا لابدّ منه، إنّ اللَّه لا یحبّ الفساد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مالت از آن پدرت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نمی‌دارم پدری از مال فرزندش زیادتر از مقدار نیازش بردارد، خداوند فساد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ملکیّت نیست؛ زیرا، طرف خطاب پیامبر اکرم صلی الله علیه و آله حرّ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و ضوابط اقتضا دارد اموال حرّ در ملک خودش باشد و نه در مِلک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ملکیّت منحصر به فرزند است؛ نه این که دو ملکیّت طولی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برای پدر و دیگری برای پسر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مستفاد از روایت این است که تو و مالت در اختیار پدرت هستید؛ و او می‌تواند در مال تو تصرّفاتی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نتوانستیم این معنا را از روایت استفاده کنیم، قدر متیقّنش این است که اگر پدری مال فرزندش را به سرقت برد، مانند سرقت از دیگران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مسروقه یک نحوه اضافه‌ای به سارق دارد، لذا، حدّ سرقت در این مورد اجرا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که باید دست پدری که از مال فرزندش سرقت کرده است، بریده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لازمه‌ی بریدن دست پدر، بی‌نقش و اثر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علیّ بن إبراهیم، عن أبیه، عن ابن محبوب، عن العلاء بن رزین،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رجل قذف ابنه بالزّنا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قتله ماقتل به وإن قذفه لم یجلد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پسرش را به زنا قذف کند، حکمش چیست؟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مقام استدلال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پدری فرزندش را به عمد بکشد، قصاص نمی‌شود؛ آن وقت شما انتظار دارید که به سبب قذف فرزند، حدّ بر پدر جاری گردد</w:t>
      </w:r>
      <w:r>
        <w:rPr>
          <w:rFonts w:eastAsia="IRNazanin" w:cs="IRNazanin"/>
          <w:color w:val="111111"/>
          <w:sz w:val="28"/>
          <w:szCs w:val="28"/>
          <w:rtl w:val="true"/>
          <w:lang w:bidi="fa-IR"/>
        </w:rPr>
        <w:t>!</w:t>
      </w:r>
      <w:bookmarkStart w:id="53" w:name="pg16923_220075"/>
    </w:p>
    <w:p>
      <w:pPr>
        <w:pStyle w:val="BookText"/>
        <w:rPr/>
      </w:pPr>
      <w:bookmarkEnd w:id="53"/>
      <w:r>
        <w:rPr>
          <w:rFonts w:ascii="IRNazanin" w:hAnsi="IRNazanin" w:eastAsia="IRNazanin"/>
          <w:color w:val="111111"/>
          <w:sz w:val="28"/>
          <w:sz w:val="28"/>
          <w:szCs w:val="28"/>
          <w:rtl w:val="true"/>
          <w:lang w:bidi="fa-IR"/>
        </w:rPr>
        <w:t>تقریب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در مورد قتل فرزندش قصاص نمی‌شود و یکی از شرایط قصاص، عدم ابوّت قاتل نسبت به مقتول است، به طریق اولی در مورد سرقت نیز حدّ قطع درباره‌ی پدر اجرا نمی‌گردد؛ به خصوص با توجّه به این که حدّ قذف مجازاتی سبک‌تر از قطع دست است و در این روایت نفی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طریق اولی مسأله‌ی قطع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حدّ قطع به سبب این که روایت حدّ قذف را نفی کرده، قیاس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امام علیه السلام در مورد سرقت نیز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راه نفی قصاص، حدّ قذف را نفی می‌کند؛ ما نیز از راه نفی قصاص، نفی قطع در مورد پدر می‌کنیم؛ به خصوص با توجّه به سنگین‌تر بودن حدّ قطع نسبت به حدّ 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حدّ قذف تازیانه‌ای بیش نیست؛ ولی قطع دست مجازاتی است که برای همیشه گریبان‌گیر سارق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فتوا هیچ اشکالی نیست</w:t>
      </w:r>
      <w:r>
        <w:rPr>
          <w:rFonts w:eastAsia="IRNazanin" w:cs="IRNazanin"/>
          <w:color w:val="111111"/>
          <w:sz w:val="28"/>
          <w:szCs w:val="28"/>
          <w:rtl w:val="true"/>
          <w:lang w:bidi="fa-IR"/>
        </w:rPr>
        <w:t>.</w:t>
      </w:r>
    </w:p>
    <w:p>
      <w:pPr>
        <w:pStyle w:val="Heading6"/>
        <w:numPr>
          <w:ilvl w:val="5"/>
          <w:numId w:val="1"/>
        </w:numPr>
        <w:rPr/>
      </w:pPr>
      <w:bookmarkStart w:id="54" w:name="__RefHeading___Toc162109_3244359995"/>
      <w:bookmarkStart w:id="55" w:name="_Toc21"/>
      <w:bookmarkEnd w:id="54"/>
      <w:r>
        <w:rPr>
          <w:rtl w:val="true"/>
        </w:rPr>
        <w:t>تعمیم عدم قطع نسبت به جدّ</w:t>
      </w:r>
      <w:bookmarkEnd w:id="55"/>
    </w:p>
    <w:p>
      <w:pPr>
        <w:pStyle w:val="BookText"/>
        <w:rPr/>
      </w:pPr>
      <w:r>
        <w:rPr>
          <w:rFonts w:ascii="IRNazanin" w:hAnsi="IRNazanin" w:eastAsia="IRNazanin"/>
          <w:color w:val="111111"/>
          <w:sz w:val="28"/>
          <w:sz w:val="28"/>
          <w:szCs w:val="28"/>
          <w:rtl w:val="true"/>
          <w:lang w:bidi="fa-IR"/>
        </w:rPr>
        <w:t>صاحب مسالک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عدم قطع اختصاص به پدر ندارد، بلکه در جدّ پدری نیز جریان دارد؛ همان‌گونه که در باب قصاص نیز اختصاص به پدر بدون واسطه نداشت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بیان ایشان تمام است و ادلّه همین مطلب را اقتضا دارد</w:t>
      </w:r>
      <w:r>
        <w:rPr>
          <w:rFonts w:eastAsia="IRNazanin" w:cs="IRNazanin"/>
          <w:color w:val="111111"/>
          <w:sz w:val="28"/>
          <w:szCs w:val="28"/>
          <w:rtl w:val="true"/>
          <w:lang w:bidi="fa-IR"/>
        </w:rPr>
        <w:t>.</w:t>
      </w:r>
    </w:p>
    <w:p>
      <w:pPr>
        <w:pStyle w:val="Heading6"/>
        <w:numPr>
          <w:ilvl w:val="5"/>
          <w:numId w:val="1"/>
        </w:numPr>
        <w:rPr/>
      </w:pPr>
      <w:bookmarkStart w:id="56" w:name="__RefHeading___Toc162111_3244359995"/>
      <w:bookmarkStart w:id="57" w:name="_Toc22"/>
      <w:bookmarkEnd w:id="56"/>
      <w:r>
        <w:rPr>
          <w:rtl w:val="true"/>
        </w:rPr>
        <w:t>بحثی در جنبه‌ی اثبات</w:t>
      </w:r>
      <w:bookmarkEnd w:id="57"/>
    </w:p>
    <w:p>
      <w:pPr>
        <w:pStyle w:val="BookText"/>
        <w:rPr/>
      </w:pPr>
      <w:r>
        <w:rPr>
          <w:rFonts w:ascii="IRNazanin" w:hAnsi="IRNazanin" w:eastAsia="IRNazanin"/>
          <w:color w:val="111111"/>
          <w:sz w:val="28"/>
          <w:sz w:val="28"/>
          <w:szCs w:val="28"/>
          <w:rtl w:val="true"/>
          <w:lang w:bidi="fa-IR"/>
        </w:rPr>
        <w:t>اگر مادر از فرزند، یا اقربا از یکدیگر سرقت کنند، اطلاق آیه‌ی شریفه‌ی وَالسَّارِقُ وَ السَّارِقَةُ فَاقْطَعُواْ أَیْدِیَهُمَا</w:t>
      </w:r>
      <w:r>
        <w:rPr>
          <w:rStyle w:val="FootnoteAnchor"/>
          <w:rtl w:val="true"/>
        </w:rPr>
        <w:footnoteReference w:id="33"/>
      </w:r>
      <w:r>
        <w:rPr>
          <w:rFonts w:ascii="IRNazanin" w:hAnsi="IRNazanin" w:eastAsia="IRNazanin"/>
          <w:color w:val="111111"/>
          <w:sz w:val="28"/>
          <w:sz w:val="28"/>
          <w:szCs w:val="28"/>
          <w:rtl w:val="true"/>
          <w:lang w:bidi="fa-IR"/>
        </w:rPr>
        <w:t>محکم است و آنان را شامل می‌گردد؛ و دلیلی نیز بر خروجشان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فقها همانند ابوالصلاح حلبی رحمه الله</w:t>
      </w:r>
      <w:r>
        <w:rPr>
          <w:rStyle w:val="FootnoteAnchor"/>
          <w:rtl w:val="true"/>
        </w:rPr>
        <w:footnoteReference w:id="34"/>
      </w:r>
      <w:r>
        <w:rPr>
          <w:rFonts w:ascii="IRNazanin" w:hAnsi="IRNazanin" w:eastAsia="IRNazanin"/>
          <w:color w:val="111111"/>
          <w:sz w:val="28"/>
          <w:sz w:val="28"/>
          <w:szCs w:val="28"/>
          <w:rtl w:val="true"/>
          <w:lang w:bidi="fa-IR"/>
        </w:rPr>
        <w:t>مادر را به پدر ملحق کرده، و مرحوم علّامه‌ی حلّی</w:t>
      </w:r>
      <w:r>
        <w:rPr>
          <w:rStyle w:val="FootnoteAnchor"/>
          <w:rtl w:val="true"/>
        </w:rPr>
        <w:footnoteReference w:id="35"/>
      </w:r>
      <w:r>
        <w:rPr>
          <w:rFonts w:ascii="IRNazanin" w:hAnsi="IRNazanin" w:eastAsia="IRNazanin"/>
          <w:color w:val="111111"/>
          <w:sz w:val="28"/>
          <w:sz w:val="28"/>
          <w:szCs w:val="28"/>
          <w:rtl w:val="true"/>
          <w:lang w:bidi="fa-IR"/>
        </w:rPr>
        <w:t>نیز به این الحاق تمایل نشان داده است؛ لیکن ادلّه‌ی آنان وافی به اثبات مطلب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آن‌ها اشاره می‌کنیم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أحد الابوین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این دلیل،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مادر است؛ زیرا، در</w:t>
      </w:r>
      <w:bookmarkStart w:id="58" w:name="pg16923_220076"/>
    </w:p>
    <w:p>
      <w:pPr>
        <w:pStyle w:val="BookText"/>
        <w:rPr/>
      </w:pPr>
      <w:bookmarkEnd w:id="58"/>
      <w:r>
        <w:rPr>
          <w:rFonts w:ascii="IRNazanin" w:hAnsi="IRNazanin" w:eastAsia="IRNazanin"/>
          <w:color w:val="111111"/>
          <w:sz w:val="28"/>
          <w:sz w:val="28"/>
          <w:szCs w:val="28"/>
          <w:rtl w:val="true"/>
          <w:lang w:bidi="fa-IR"/>
        </w:rPr>
        <w:t xml:space="preserve">مقام تثنیه‌ی مادر و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لذا،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نیز مترتّب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دلیل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تغلیب است؛ همان‌طور که به شمس و قمر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آن که معنای تثنیه، مترتّب کردن تمام آثار فرد قوی بر فرد ضعیف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پاره‌ای روایات استفاده می‌شود لزوم احترام مادر از پدر شدیدتر و مؤکّدتر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این دلیل نیز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مسأله‌ی لزوم احترام به جای خود محفوظ است؛ ولی در مسأله‌ی حدّ، جنبه‌ی عمومی و اجتماعی و حفظ نظام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فردی از مادرش به رسول خدا صلی الله علیه و آله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حبس کن تا با دیگران تماس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مسأله‌ی احترام، مسأله‌ای است و جنبه‌های اجتماعی و عمومی مسأله‌ی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احترام به مادر ملازمه‌ای با عدم اجرای حدّ سرقت بر فرض سرقت مادر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حدّ سرقت در مورد مادر تخصیص نخورده باشد و اطلاق آیه آن را شامل شود، نسبت به اقوام و خویشان دیگر،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برادر از خواهر و برادر، یا عموزاده از عموزاده و غیر آنان، به طریق اولی حدّ جاری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عدم اجرای حدّ در مورد اقوام را از طریق استحسان حلّ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اقربا به یکدیگر نیاز دارند و می‌خواهند از همدیگر کمک بگیرند، به همین دلیل حدّ سرقت نباید در مورد آنان اجرا گردد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لیکن اصل مبنا و استحسانشان باطل است</w:t>
      </w:r>
      <w:r>
        <w:rPr>
          <w:rFonts w:eastAsia="IRNazanin" w:cs="IRNazanin"/>
          <w:color w:val="111111"/>
          <w:sz w:val="28"/>
          <w:szCs w:val="28"/>
          <w:rtl w:val="true"/>
          <w:lang w:bidi="fa-IR"/>
        </w:rPr>
        <w:t>.</w:t>
      </w:r>
    </w:p>
    <w:p>
      <w:pPr>
        <w:pStyle w:val="Heading6"/>
        <w:numPr>
          <w:ilvl w:val="5"/>
          <w:numId w:val="1"/>
        </w:numPr>
        <w:rPr/>
      </w:pPr>
      <w:bookmarkStart w:id="59" w:name="__RefHeading___Toc162113_3244359995"/>
      <w:bookmarkStart w:id="60" w:name="_Toc23"/>
      <w:bookmarkEnd w:id="59"/>
      <w:r>
        <w:rPr>
          <w:rtl w:val="true"/>
        </w:rPr>
        <w:t>استدلال به کتاب برای تخصیص آیه‌ی سرقت</w:t>
      </w:r>
      <w:bookmarkEnd w:id="6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لَّیْسَ عَلَی الْأَعْمَی حَرَجٌ وَلَا عَلَی الْأَعْرَجِ حَرَجٌ وَ لَاعَلَی الْمَرِیضِ حَرَجٌ وَ لَاعَلَی أَنفُسِکُمْ أَن تَأْکُلُواْ مِن‌م بُیُوتِکُمْ أَوْ بُیُوتِ ءَابَآلِکُمْ أَوْ بُیُوتِ أُمَّهتِکُمْ أَوْ بُیُوتِ إِخْوَ نِکُمْ أَوْ بُیُوتِ أَخَوَ تِکُمْ أَوْ بُیُوتِ أَعْممِکُمْ أَوْ بُیُوتِ عَمتِکُمْ أَوْ بُیُوتِ أَخْوَ لِکُمْ أَوْ بُیُوتِ</w:t>
      </w:r>
    </w:p>
    <w:p>
      <w:pPr>
        <w:pStyle w:val="BookText"/>
        <w:rPr/>
      </w:pPr>
      <w:r>
        <w:rPr>
          <w:rFonts w:ascii="Amiri" w:hAnsi="Amiri" w:eastAsia="Amiri" w:cs="Amiri"/>
          <w:color w:val="111111"/>
          <w:sz w:val="28"/>
          <w:sz w:val="28"/>
          <w:szCs w:val="28"/>
          <w:rtl w:val="true"/>
          <w:lang w:bidi="ar-SA"/>
        </w:rPr>
        <w:t>خلتِکُمْ أَوْ مَا مَلَکْتُم مَّفَاتِحَهُ‌و أَوْ صَدِیقِکُمْ لَیْسَ عَلَیْکُمْ جُنَاحٌ أَن تَأْکُلُواْ جَمِیعًا أَوْ أَشْتَاتًا</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خلاصه‌ی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اشکالی نیست از خانه‌ی پدر، برادر، عمه، خاله، دایی و دوستانتان بخورید، یعنی انسان می‌تواند وارد خانه‌ی افراد مذکور شده، از میوه، شیرینی و غذاهای دیگر موجود در آن‌جا استفاده کند، حتّی اگر صاحب خانه حاضر نباشد، و بر ورود او هم اطّلاع و آگاهی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فتوا در صورتی جایز است که به عدم رضایت علم نداشته باشیم، والّا با علم به عدم رضایت جایز نیست در اموال مذکور تصرّف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 مقام بیان فرق بین افراد مذکور با افراد اجنبی است، نسبت به افراد اجنبی تا احراز رضایت نشود حقّ تصرّف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لأحد أن یتصرّف فی مال غیره إلّابإذنه</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امّا در افراد مذکور احراز رضایت لازم نیست؛ همین مقدار که به عدم رضایت علم نداشته باشد، آیه اجازه‌ی تصرّف می‌دهد؛ لذا، اگر به خانه‌ی عمو وارد شد و شک داشت آیا راضی است از غذاهای او بخورد می‌تواند تناول کند؛ امّا اگر وارد خانه‌ی همسایه شد، باید رضایت او را احراز نماید؛ هرچند این احراز به شهادت حال باشد؛ و اذن صریح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نمی‌توانیم استفاده کنیم در صورتی که یکی از خویشاوندان هتک حرز کند و مال یکی از افراد مذکور را به سرقت ببرد، حدّ سرقت اقامه نمی‌گردد؛ زیرا، بین این دو مطلب تلازمی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آیه سوره‌ی نور با موضوع سرقت کاملًا فرق دارد؛ چرا که در مورد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مأکولات و خوردنی‌ها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حرزی وجود ندارد؛ بر خلاف این که صندوقی را باز کند و از درونش چیزی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روایت به خصوص داریم که بیانگر این است که بر دزدی از حرز، دست قطع می‌گردد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عن علیّ بن إبراهیم، عن أبیه، عن ابن محبوب، عن</w:t>
      </w:r>
    </w:p>
    <w:p>
      <w:pPr>
        <w:pStyle w:val="BookText"/>
        <w:rPr/>
      </w:pPr>
      <w:r>
        <w:rPr>
          <w:rFonts w:ascii="IRNazanin" w:hAnsi="IRNazanin" w:eastAsia="IRNazanin"/>
          <w:color w:val="111111"/>
          <w:sz w:val="28"/>
          <w:sz w:val="28"/>
          <w:szCs w:val="28"/>
          <w:rtl w:val="true"/>
          <w:lang w:bidi="fa-IR"/>
        </w:rPr>
        <w:t>أبی أیّوب،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قوم اصطحبوا فی سفر رفقاء فسرق بعضهم متاع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خائن لایقطع ولکن یتبع بسرقته وخیانته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سرق من أبیه؟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یُقطع لأنّ ابن الرجل لا یحجب عن الدخول إلی منزل أبیه، هذا خائن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إن أخذ من منزل أخیه أو اخته إن کان یدخل علیهم لا یحجبانه عن الدّخول</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معتبره، ابوبصیر از امام باقر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رفقا با یکدیگر به سفر رفتند، بعضی از آنان کالای دیگری را دزدید، حکمش چیست؟</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سارق بر این فرد منطبق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خائن است و دست خائن قطع نمی‌گردد؛ لیکن او را تعزیر می‌کنند، و مال مسروقه را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عدم قطع، عدم حرز است؛ زیرا، رفقایی که با یکدیگر به مسافرت می‌روند، اموالشان با هم مخلوط است و عنوان حرز صادق نیست، تا سرقت تحقّق یابد؛ بلکه در این‌جا، رضایت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فرزندی از پدرش دزدی کند، حکمش چیست؟</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نمی‌برند؛ زیرا فرزند در خانه‌ی پدر رفت و آمد دارد؛ و خانه‌ی پدر برایش حرز نیست؛ مانع آمد و شد او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متاعی را از خانه‌ی پدرش محرمانه بیرون برد، دستش را قطع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تعلیل روایت بر آن طرف قصّه نیز دلالت دارد؛ یعنی اگر مال مسروقه به‌گونه‌ای بود که در مورد فرزند هم حجاب وجود داشت، مانند پولی که در صندوق گذاشته و آن را قفل می‌کند؛ در این حالت، با تحقّق حرز و هتک آن، حدّ سرقت جاری می‌شود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روایت شریفه با تعلیلش، ملاک را به ما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مفهوم نیست که حجّیتش مورد نزاع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عدم قطع، عدم تحقّق حرز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دنباله‌ی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منزل برادر یا خواهرش مالی را سرقت کند، در مورد او نیز قطع نخواهد بود؛ به شرط این که ورودش به منزل آنان آزاد باشد و مانع رفت و آمد او نشوند؛ و او را از دخول به منزل منع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برادر با هم رابطه‌ای ندارند و منزل هرکدام نسبت به دیگری عنوان حرز دارد، در صورت سرقت، حدّ اقامه می‌گردد و دست سارق را می‌بُرند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نتیجه‌ای که از روایت می‌گیریم، این است که هرجا عنوان حرز صادق بود، اطلاق آیه‌ی وَالسَّارِقُ وَ السَّارِقَةُ فَاقْطَعُواْ أَیْدِیَهُمَا</w:t>
      </w:r>
      <w:r>
        <w:rPr>
          <w:rStyle w:val="FootnoteAnchor"/>
          <w:rtl w:val="true"/>
        </w:rPr>
        <w:footnoteReference w:id="41"/>
      </w:r>
      <w:r>
        <w:rPr>
          <w:rFonts w:ascii="IRNazanin" w:hAnsi="IRNazanin" w:eastAsia="IRNazanin"/>
          <w:color w:val="111111"/>
          <w:sz w:val="28"/>
          <w:sz w:val="28"/>
          <w:szCs w:val="28"/>
          <w:rtl w:val="true"/>
          <w:lang w:bidi="fa-IR"/>
        </w:rPr>
        <w:t>محکم است و آن را می‌گیرد؛ خواه سارق با مسروق منه نسبت خویشاوندی داشته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 یک مورد، یعنی سرقت پدر از فرزند، دلیل بر تقیید آیه داریم</w:t>
      </w:r>
      <w:r>
        <w:rPr>
          <w:rFonts w:eastAsia="IRNazanin" w:cs="IRNazanin"/>
          <w:color w:val="111111"/>
          <w:sz w:val="28"/>
          <w:szCs w:val="28"/>
          <w:rtl w:val="true"/>
          <w:lang w:bidi="fa-IR"/>
        </w:rPr>
        <w:t>.</w:t>
      </w:r>
      <w:bookmarkStart w:id="61" w:name="pg16923_220080"/>
    </w:p>
    <w:p>
      <w:pPr>
        <w:pStyle w:val="BookText"/>
        <w:rPr/>
      </w:pPr>
      <w:bookmarkEnd w:id="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المتاع من الحرز سرّاً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یأخذ سرّاً، فلو هتک الحرز قهراً ظاهراً وأخذ لا یقطع، بل لو هتک سرّاً وأخذ ظاهراً قهراً فکذلک</w:t>
      </w:r>
      <w:r>
        <w:rPr>
          <w:rFonts w:eastAsia="IRNazanin" w:cs="IRNazanin"/>
          <w:color w:val="111111"/>
          <w:sz w:val="28"/>
          <w:szCs w:val="28"/>
          <w:rtl w:val="true"/>
          <w:lang w:bidi="fa-IR"/>
        </w:rPr>
        <w:t>.]</w:t>
      </w:r>
    </w:p>
    <w:p>
      <w:pPr>
        <w:pStyle w:val="Heading5"/>
        <w:numPr>
          <w:ilvl w:val="4"/>
          <w:numId w:val="1"/>
        </w:numPr>
        <w:rPr/>
      </w:pPr>
      <w:bookmarkStart w:id="62" w:name="__RefHeading___Toc162115_3244359995"/>
      <w:bookmarkStart w:id="63" w:name="_Toc24"/>
      <w:bookmarkEnd w:id="62"/>
      <w:r>
        <w:rPr>
          <w:rtl w:val="true"/>
        </w:rPr>
        <w:t>شرط هشتم</w:t>
      </w:r>
      <w:r>
        <w:rPr>
          <w:rtl w:val="true"/>
        </w:rPr>
        <w:t xml:space="preserve">: </w:t>
      </w:r>
      <w:r>
        <w:rPr>
          <w:rtl w:val="true"/>
        </w:rPr>
        <w:t>اخذ پنهانی</w:t>
      </w:r>
      <w:bookmarkEnd w:id="63"/>
    </w:p>
    <w:p>
      <w:pPr>
        <w:pStyle w:val="BookText"/>
        <w:rPr/>
      </w:pPr>
      <w:r>
        <w:rPr>
          <w:rFonts w:ascii="IRNazanin" w:hAnsi="IRNazanin" w:eastAsia="IRNazanin"/>
          <w:color w:val="111111"/>
          <w:sz w:val="28"/>
          <w:sz w:val="28"/>
          <w:szCs w:val="28"/>
          <w:rtl w:val="true"/>
          <w:lang w:bidi="fa-IR"/>
        </w:rPr>
        <w:t>شرط هشتم اقامه‌ی حدّ قطع در مورد سارق، اخذ مال مسروقه در خفا و پنهانی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در روز روشن در مقابل چشم مردم حرزی را شکست و مال آن را برداشت، یا مخفیانه حرز را از بین برد، ولی آشکارا مال را بُرد، حدّ قطع در موردش اجرا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سارق عنوان خاصّ و مصداق ویژه‌ای از مصادیق غاصب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 استیلای خاصّ و با کیفیّت مخصوص بر مال غیر است؛ از این‌رو، در برخی احکام با مطلق غصب شراکت دارد؛ مثلًا از نظر حرمت تصرّف و ضامن بودن مال مسروقه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اقامه‌ی حدّ قطع در مورد این 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به شرایطی است که پاره‌ای از آن‌ها گذشت و شرط هشتم آن، دزدیِ از حرز به صورت مخفیانه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این شرط وجود نداشت، از نظر عرفی و شرعی سرقت صادق نیست و حدّش نیز اجرا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عرف، فرق است بین کسی که با قهر و غلبه در حضور مردم مال شخصی را بگیرد و ببَرد و بین فردی که مخفیانه هتک حرز کند و مال مردم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اوّلی سرقت صادق نیست، به خلاف دوّمی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 که در عبارت تحریرالوسیله نیامده،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هتک حرز علنی بود لیکن بُردن مال مخفیانه باشد، مثلًا در روز روشن حرز را برداشت، قفل را شکست و شب اموال را برد، در این حالت عنوان سرقت صادق است؛ زیرا، در تحقّق سرقت دو مطلب لازم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هتک حرز،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مال به‌طور سرّی؛ و سرّی بودن فقط در اخذ دخیل است، نه در هتک حرز</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مطالب گذشته معلوم است که به اقامه‌ی دلیل بر این شرط نیاز نداریم؛ زیرا، سارق یک معنای عرفی دارد و در صدق آن سرّی بودن اخذ از نظر عرف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به کسی که با قهر و غلبه به‌طور آشکار مال مردم را ببَرد، سارق نمی‌گوید؛ بلکه او را غاصب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ظالمانه، غاصبانه مال مردم را به یغما برد</w:t>
      </w:r>
      <w:r>
        <w:rPr>
          <w:rFonts w:eastAsia="IRNazanin" w:cs="IRNazanin"/>
          <w:color w:val="111111"/>
          <w:sz w:val="28"/>
          <w:szCs w:val="28"/>
          <w:rtl w:val="true"/>
          <w:lang w:bidi="fa-IR"/>
        </w:rPr>
        <w:t>.</w:t>
      </w:r>
      <w:bookmarkStart w:id="64" w:name="pg16923_220081"/>
    </w:p>
    <w:p>
      <w:pPr>
        <w:pStyle w:val="BookText"/>
        <w:rPr/>
      </w:pPr>
      <w:bookmarkEnd w:id="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الاشتراک فی الهتک والإنفراد فی السرقة والعکس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لواشترکا فی الهتک وانفرد أحدهما بالسرقة یقطع السارق دون الهاتک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انفرد أحدهما بالهتک واشترکا فی السرقة قطع الهاتک السارق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اشترکا فیهما قطعا مع تحقّق سائر الشرائط</w:t>
      </w:r>
      <w:r>
        <w:rPr>
          <w:rFonts w:eastAsia="IRNazanin" w:cs="IRNazanin"/>
          <w:color w:val="111111"/>
          <w:sz w:val="28"/>
          <w:szCs w:val="28"/>
          <w:rtl w:val="true"/>
          <w:lang w:bidi="fa-IR"/>
        </w:rPr>
        <w:t>.]</w:t>
      </w:r>
    </w:p>
    <w:p>
      <w:pPr>
        <w:pStyle w:val="Heading4"/>
        <w:numPr>
          <w:ilvl w:val="3"/>
          <w:numId w:val="1"/>
        </w:numPr>
        <w:rPr/>
      </w:pPr>
      <w:bookmarkStart w:id="65" w:name="__RefHeading___Toc162117_3244359995"/>
      <w:bookmarkStart w:id="66" w:name="_Toc25"/>
      <w:bookmarkEnd w:id="65"/>
      <w:r>
        <w:rPr>
          <w:rtl w:val="true"/>
        </w:rPr>
        <w:t>حکم اشتراک در هتک حرز و انفراد در سرقت</w:t>
      </w:r>
      <w:bookmarkEnd w:id="66"/>
    </w:p>
    <w:p>
      <w:pPr>
        <w:pStyle w:val="BookText"/>
        <w:rPr/>
      </w:pPr>
      <w:r>
        <w:rPr>
          <w:rFonts w:ascii="IRNazanin" w:hAnsi="IRNazanin" w:eastAsia="IRNazanin"/>
          <w:color w:val="111111"/>
          <w:sz w:val="28"/>
          <w:sz w:val="28"/>
          <w:szCs w:val="28"/>
          <w:rtl w:val="true"/>
          <w:lang w:bidi="fa-IR"/>
        </w:rPr>
        <w:t>مرحوم امام این مسأله را در مباحث گذشته متعرّض شدند؛ فقط مطلبی اضافه دارد که اگر در شرط ششم آن را گفته بودند، تکرار لازم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شرط ششم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سارق باید هتک حرز کند؛ خواه به طور مستقلّ یا با کمک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یکی هتک کرد و دیگری مال را بُرد، بر هیچ کدام حدّ سرقت پیاده نمی‌گردد؛ زیرا، کسی که هاتک بوده مالی نبرده، و کسی که مال را گرفته، هتکی نکرده است؛ هرچند با یکدیگر شریک باشند، و تقسیم کار سبب شده باشد یکی دست به هتک حرز بزند و دیگری مال را بیرون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مطالبی که آن‌جا گفتیم، آن‌چه که مرحوم امام در این فرع فرمود، تکراری است؛ زیرا،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در هتک حرز شریک بودند ولی یکی مال را بُرد، دست سارق هاتک را می‌برند نه دست هاتک تنها را و اگر یکی هتک کرد و هردو مال را بُردند، باز دست هاتک سارق را می‌بُرند نه سارق غیر هاتک را؛ و اگر هردو در هتک و سرقت شراکت داشتند، در صورت تحقّق سایر شرایط، دستشان را قطع می‌کنند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سایر شرایط در آینده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یکی از شرایط مال مسروقه این است که به حدّ نصاب برسد؛ حال باید در محلّ خودش این مطلب را تحقیق کنیم که آیا سهم هریک از دو سارق شریک باید به حدّ نصاب برسد تا حدّ جاری گردد، یا اگر مجموع سرقت به حدّ نصاب باشد، برای قطع دست کافی است؟</w:t>
      </w:r>
      <w:bookmarkStart w:id="67" w:name="pg16923_220082"/>
    </w:p>
    <w:p>
      <w:pPr>
        <w:pStyle w:val="BookText"/>
        <w:rPr/>
      </w:pPr>
      <w:bookmarkEnd w:id="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عدم الشبهة الموضوعیّة والحکمیّة فی ثبوت حدّ السرقة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السرقة وغیرهما ممّا فیه حدّ، إرتفاع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 وموضوعاً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فلوأخذ الشریک المال المشترک بظنّ جواز ذلک بدون إذن الشریک لا قطع فیه، ولو زاد ما أخذ علی نصیبه بما یبلغ نصاب القطع، وکذا لوأخذ مع علمه بالحرمة لکن لا للسرقة بل للتقسیم والإذن بعده لم یقطع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أخذ بقصد السرقة مع علمه بالحکم یقطع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لایقطع لو أخذ مال الغیر بتوهّم ماله، فإنّه لایکون سرقة، ولو سرق من المال المشترک بمقدار نصیبه لم یقطع وإن زاد علیه بمقدار النصاب یقطع</w:t>
      </w:r>
      <w:r>
        <w:rPr>
          <w:rFonts w:eastAsia="IRNazanin" w:cs="IRNazanin"/>
          <w:color w:val="111111"/>
          <w:sz w:val="28"/>
          <w:szCs w:val="28"/>
          <w:rtl w:val="true"/>
          <w:lang w:bidi="fa-IR"/>
        </w:rPr>
        <w:t>.]</w:t>
      </w:r>
    </w:p>
    <w:p>
      <w:pPr>
        <w:pStyle w:val="Heading4"/>
        <w:numPr>
          <w:ilvl w:val="3"/>
          <w:numId w:val="1"/>
        </w:numPr>
        <w:rPr/>
      </w:pPr>
      <w:bookmarkStart w:id="68" w:name="__RefHeading___Toc162119_3244359995"/>
      <w:bookmarkStart w:id="69" w:name="_Toc26"/>
      <w:bookmarkEnd w:id="68"/>
      <w:r>
        <w:rPr>
          <w:rtl w:val="true"/>
        </w:rPr>
        <w:t>ارتفاع شبهه‌ی موضوعی و حکمی</w:t>
      </w:r>
      <w:bookmarkEnd w:id="69"/>
    </w:p>
    <w:p>
      <w:pPr>
        <w:pStyle w:val="Heading5"/>
        <w:numPr>
          <w:ilvl w:val="4"/>
          <w:numId w:val="1"/>
        </w:numPr>
        <w:rPr/>
      </w:pPr>
      <w:bookmarkStart w:id="70" w:name="__RefHeading___Toc162121_3244359995"/>
      <w:bookmarkStart w:id="71" w:name="_Toc27"/>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در این فرع به یک حکم کلّی که در جریان تمام حدود دخالت دارد، اشاره می‌کنند؛ و به ذکر مصادیقی در رابطه‌ی با آن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اقامه‌ی تمام حدود مشروط است به این که شبهه‌ی موضوعی و حکمی وجود نداشته باشد؛ با وجود شبهه، قاعده‌ی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 تدرأ بالشبهات</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پیاده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تطبیق شبهه مثال‌هایی در تحریر الوسیله آورده‌اند</w:t>
      </w:r>
      <w:r>
        <w:rPr>
          <w:rFonts w:eastAsia="IRNazanin" w:cs="IRNazanin"/>
          <w:color w:val="111111"/>
          <w:sz w:val="28"/>
          <w:szCs w:val="28"/>
          <w:rtl w:val="true"/>
          <w:lang w:bidi="fa-IR"/>
        </w:rPr>
        <w:t>:</w:t>
      </w:r>
    </w:p>
    <w:p>
      <w:pPr>
        <w:pStyle w:val="Heading5"/>
        <w:numPr>
          <w:ilvl w:val="4"/>
          <w:numId w:val="1"/>
        </w:numPr>
        <w:rPr/>
      </w:pPr>
      <w:bookmarkStart w:id="72" w:name="__RefHeading___Toc162123_3244359995"/>
      <w:bookmarkStart w:id="73" w:name="_Toc28"/>
      <w:bookmarkEnd w:id="72"/>
      <w:r>
        <w:rPr>
          <w:rtl w:val="true"/>
        </w:rPr>
        <w:t>مثال شبهه‌ی حکمی</w:t>
      </w:r>
      <w:bookmarkEnd w:id="73"/>
    </w:p>
    <w:p>
      <w:pPr>
        <w:pStyle w:val="BookText"/>
        <w:rPr/>
      </w:pPr>
      <w:r>
        <w:rPr>
          <w:rFonts w:ascii="IRNazanin" w:hAnsi="IRNazanin" w:eastAsia="IRNazanin"/>
          <w:color w:val="111111"/>
          <w:sz w:val="28"/>
          <w:sz w:val="28"/>
          <w:szCs w:val="28"/>
          <w:rtl w:val="true"/>
          <w:lang w:bidi="fa-IR"/>
        </w:rPr>
        <w:t>اگر شریکی مال مشترک را برداشت به ظنّ و اعتقاد این که می‌تواند بدون گرفتن اجازه از شریکش در آن مال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ظنّ در این‌جا اعتقاد است؛ یعنی معتقد بود شریک می‌تواند در مال مشترک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انبار بیرون آورده به خانه‌اش ببرد، در این صورت، عنوان سرقت صادق نیست؛ هرچند بیشتر از سهم خودش نیز باشد و از حدّ نصاب نیز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شبهه حکمیه است؛ لذا، قطعی نخواهد بود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فرد در اصل حکم اشتباه کرده، و اعتقادی بر خلاف حکم شارع پیدا کرده است</w:t>
      </w:r>
      <w:r>
        <w:rPr>
          <w:rFonts w:eastAsia="IRNazanin" w:cs="IRNazanin"/>
          <w:color w:val="111111"/>
          <w:sz w:val="28"/>
          <w:szCs w:val="28"/>
          <w:rtl w:val="true"/>
          <w:lang w:bidi="fa-IR"/>
        </w:rPr>
        <w:t>.</w:t>
      </w:r>
      <w:bookmarkStart w:id="74" w:name="pg16923_220083"/>
    </w:p>
    <w:p>
      <w:pPr>
        <w:pStyle w:val="BookText"/>
        <w:rPr/>
      </w:pPr>
      <w:bookmarkEnd w:id="74"/>
      <w:r>
        <w:rPr>
          <w:rFonts w:ascii="IRNazanin" w:hAnsi="IRNazanin" w:eastAsia="IRNazanin"/>
          <w:color w:val="111111"/>
          <w:sz w:val="28"/>
          <w:sz w:val="28"/>
          <w:szCs w:val="28"/>
          <w:rtl w:val="true"/>
          <w:lang w:bidi="fa-IR"/>
        </w:rPr>
        <w:t>شارع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مال مشترک تقسیم شود یا با اجازه‌ی شریک در آن تصرّف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تقسیم و اذن شریک، تصرّف در مال مشترک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خیال کرده با تحقّق شراکت نیازی به اذن و اجازه نیست، و شریک می‌تواند در مال مشترک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چنین اعتقادی، هرچند سایر شرایط اقامه‌ی حدّ سرقت هم موجود باشد، حدّ اجرا نمی‌گردد؛ مثلًا اگر مالی در درون انبار است، قفل را شکست و آن را بیرون آورد، در این‌جا عنوان سرقت محرّم، محقّق نیست تا حدّ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بالاتر از این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شریک بداند تصرّف در مال مشترک بدون اجازه‌ی شریک حرام است، لیکن این حرمت را در رابطه‌ی با سرقت نمی‌داند؛ شاید در ذهن بسیاری از متشرّعه این مطلب باشد که بیرون آوردن مال مشترک از انبار بدون اجازه‌ی شریک حرام است، امّا این کار را سرقت نمی‌دانند، در این صورت نیز حدّی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تحریر الوسیله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وکذا لو أخذ مع علمه بالحرمة لکن لا للسرقة بل للتقسیم والإذن بعده لم یقطع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عبارت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للتقسیم بدون 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حرمت کار را می‌داند، امّا آن را مستند به سرقت نمی‌داند؛ بلکه، به خاطر این که تقسیم نکرده‌اند و اذن نگرفته است؛ زیرا می‌خواهد مستند حرمت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صورت تصرّف در مال مشترک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مال مشترک، اذن شریک با عدم تقسیم، و در غیر این دو صورت،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أخذ بقصد السرقه، مع علمه بالحکم یقطع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اگر به قصد سرقت با علم به حکم، مال مشترک را ببرد دستش قطع می‌شود؟ به چه مقدار؟ آیا باید مال مسروقه به حدّ نصاب برسد تا دستش را ببُرند، خواه مازاد بر نصیبش باشد یا نه؟</w:t>
      </w:r>
    </w:p>
    <w:p>
      <w:pPr>
        <w:pStyle w:val="BookText"/>
        <w:rPr/>
      </w:pPr>
      <w:r>
        <w:rPr>
          <w:rFonts w:ascii="IRNazanin" w:hAnsi="IRNazanin" w:eastAsia="IRNazanin"/>
          <w:color w:val="111111"/>
          <w:sz w:val="28"/>
          <w:sz w:val="28"/>
          <w:szCs w:val="28"/>
          <w:rtl w:val="true"/>
          <w:lang w:bidi="fa-IR"/>
        </w:rPr>
        <w:t>یا مازاد بر نصیب باید به حدّ نصاب باشد؟</w:t>
      </w:r>
    </w:p>
    <w:p>
      <w:pPr>
        <w:pStyle w:val="Heading5"/>
        <w:numPr>
          <w:ilvl w:val="4"/>
          <w:numId w:val="1"/>
        </w:numPr>
        <w:rPr/>
      </w:pPr>
      <w:bookmarkStart w:id="75" w:name="__RefHeading___Toc162125_3244359995"/>
      <w:bookmarkStart w:id="76" w:name="_Toc29"/>
      <w:bookmarkEnd w:id="75"/>
      <w:r>
        <w:rPr>
          <w:rtl w:val="true"/>
        </w:rPr>
        <w:t>مثال شبهه‌ی موضوعی</w:t>
      </w:r>
      <w:bookmarkEnd w:id="76"/>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در موضوع اشتباه کرد، یعنی مال دیگری را به اعتقاد این که مال خودش هست، بُرد، مثلًا در خانه‌ی زید فرشی را دید به خیال این که فرش خودش است، قفل را شکست و</w:t>
      </w:r>
    </w:p>
    <w:p>
      <w:pPr>
        <w:pStyle w:val="BookText"/>
        <w:rPr/>
      </w:pPr>
      <w:r>
        <w:rPr>
          <w:rFonts w:ascii="IRNazanin" w:hAnsi="IRNazanin" w:eastAsia="IRNazanin"/>
          <w:color w:val="111111"/>
          <w:sz w:val="28"/>
          <w:sz w:val="28"/>
          <w:szCs w:val="28"/>
          <w:rtl w:val="true"/>
          <w:lang w:bidi="fa-IR"/>
        </w:rPr>
        <w:t>آن را برد، بعد معلوم شد اشتباه کرده و باورش درست نبوده است؛ در این صورت، حدّ قطع جا ندارد؛ زیرا، این کار سرقت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راحل رحمه الله بعد از بیان مثال شبهه‌ی موضوعی، دوباره به بحث قبل یعنی مال مشترک برمی‌گردند و عبارت قبلی را تفسیر می‌کنند،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مال مشترک به اندازه‌ی سهم خودش بردارد، هرچند عالم به حکم باشد و تمام خصوصیّات نیز موجود باشد، دستش را نمی‌بُرند؛ هرچند نصیبش بیش از حدّ نصاب باشد؛ ولی اگر بیش از نصیب خود بردارد و به مقدار نصاب برسد، دستش قطع می‌گردد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بودن این عبارت برای عبارت قبلی، مخالف نوشتن متن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این‌جا خلطی رُخ داده باشد؛ که در مسأله‌ی چهارم به آن اشاره می‌کنیم</w:t>
      </w:r>
      <w:r>
        <w:rPr>
          <w:rFonts w:eastAsia="IRNazanin" w:cs="IRNazanin"/>
          <w:color w:val="111111"/>
          <w:sz w:val="28"/>
          <w:szCs w:val="28"/>
          <w:rtl w:val="true"/>
          <w:lang w:bidi="fa-IR"/>
        </w:rPr>
        <w:t>.</w:t>
      </w:r>
      <w:bookmarkStart w:id="77" w:name="pg16923_220085"/>
    </w:p>
    <w:p>
      <w:pPr>
        <w:pStyle w:val="BookText"/>
        <w:rPr/>
      </w:pPr>
      <w:bookmarkEnd w:id="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السارق من المغنم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السرقة من المغنم روایتان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لایقطع والاخری یقطع إن زاد ما سرقه علی نصیبه بقدر نصاب القطع</w:t>
      </w:r>
      <w:r>
        <w:rPr>
          <w:rFonts w:eastAsia="IRNazanin" w:cs="IRNazanin"/>
          <w:color w:val="111111"/>
          <w:sz w:val="28"/>
          <w:szCs w:val="28"/>
          <w:rtl w:val="true"/>
          <w:lang w:bidi="fa-IR"/>
        </w:rPr>
        <w:t>.]</w:t>
      </w:r>
    </w:p>
    <w:p>
      <w:pPr>
        <w:pStyle w:val="Heading4"/>
        <w:numPr>
          <w:ilvl w:val="3"/>
          <w:numId w:val="1"/>
        </w:numPr>
        <w:rPr/>
      </w:pPr>
      <w:bookmarkStart w:id="78" w:name="__RefHeading___Toc162127_3244359995"/>
      <w:bookmarkStart w:id="79" w:name="_Toc30"/>
      <w:bookmarkEnd w:id="78"/>
      <w:r>
        <w:rPr>
          <w:rtl w:val="true"/>
        </w:rPr>
        <w:t>حکم سارق غنیمت</w:t>
      </w:r>
      <w:bookmarkEnd w:id="79"/>
    </w:p>
    <w:p>
      <w:pPr>
        <w:pStyle w:val="Heading5"/>
        <w:numPr>
          <w:ilvl w:val="4"/>
          <w:numId w:val="1"/>
        </w:numPr>
        <w:rPr/>
      </w:pPr>
      <w:bookmarkStart w:id="80" w:name="__RefHeading___Toc162129_3244359995"/>
      <w:bookmarkStart w:id="81" w:name="_Toc31"/>
      <w:bookmarkEnd w:id="80"/>
      <w:r>
        <w:rPr>
          <w:rtl w:val="true"/>
        </w:rPr>
        <w:t>اشاره</w:t>
      </w:r>
      <w:bookmarkEnd w:id="81"/>
    </w:p>
    <w:p>
      <w:pPr>
        <w:pStyle w:val="BookText"/>
        <w:rPr/>
      </w:pPr>
      <w:r>
        <w:rPr>
          <w:rFonts w:ascii="IRNazanin" w:hAnsi="IRNazanin" w:eastAsia="IRNazanin"/>
          <w:color w:val="111111"/>
          <w:sz w:val="28"/>
          <w:sz w:val="28"/>
          <w:szCs w:val="28"/>
          <w:rtl w:val="true"/>
          <w:lang w:bidi="fa-IR"/>
        </w:rPr>
        <w:t xml:space="preserve">به دنبال مسأله‌ی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درباره‌ی دزدی از مال مشترک بود، این مسأله را عنوان می‌کنند که با آن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سرقت از مال غنیمت که مربوط به مجاهدان است و این فرد نیز در آن شریک و سهیم است، دو روایت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مضمون یکی دست سارق قطع نمی‌شود؛ ولی بنا بر روایت دوّم، اگر مال مسروقه زیادتر از سهمش باشد و این مازاد به اندازه‌ی نصاب باشد، حدّ قطع جاری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عبارت تحریرالوسیله معلوم می‌شود امام راحل رحمه الله در این مسأله مردّد بوده و نتوانسته‌اند هیچ کدام را بر دیگری ترجیح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اشکال در این‌جا مطرح است؛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که می‌گوید در سرقت از مغنم قطعی نیست، اطلاق دارد؛ و روایت دوّم که در مورد خاصی، قطع را واجب می‌داند، مقیّد است؛ بنا بر قاعده‌ی حمل مطلق بر مقیّد باید دست از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ایشان در این دو روایت، مسأله اطلاق و تقیید را پیاده نمی‌کنند؟ آیا این کار را به عهده‌ی مقلّد گذاشته‌اند؟ یا در مسأله مردّد باقی مانده‌اند؟ ظاهر مطلب این است که ایشان مسأله را به حال تردید رها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 در این‌جا قابل تذکّر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مسأله‌ی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مستقلّی نداریم؛ بلکه از روایاتی که درباره‌ی سرقت از غنیمت رسیده، مطالبی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مسأله‌ی گذشته را به صورت دو شرط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ارتفاع شبهه، و این که شبهه‌ای در کار نباشد؛ دیگری ارتفاع شرکت؛ و این‌که سارق شریک در مال نباشد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رحمه الله در شرایع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الشبهة، فلو توهّم الملک فبان غیر مالک لم یقطع وکذا لو کان الملک مشترکاً فأخذ ما یظن أنّه قدر نصیبه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الشرکة، فلو سرق من مال الغنیمة ففیه روایتان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لایقطع والاخری إن زاد ما سرقه عن نصیبه بقدر النصاب یقطع والتفصیل حسن، ولو سرق من المال المشترک قدر نصبیه لم یقطع، ولو زاد بقدر النصاب قطع</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از عبارت ایشان به خوبی استفاده می‌شود ارتفاع شبهه، شرط مستقلّی در برابر ارتفاع شرکت است؛ لیکن در مسأله‌ی چهارم ارتفاع شرکت را از روایات غنیمت استفاده می‌کند؛ به دلیل این که شرکت ضعیفی در غنیمت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چیزی را از غنیمت می‌برد خودش نیز سهمی و اعتباری در آن 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محقّق مسأله‌ی ارتفاع شبهه را بر طبق قواعد و مسأله‌ی ارتفاع شرکت را بر طبق روایات سرقت از غنیمت تمام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راحل رحمه الله مسأله‌ی ارتفاع شرکت و شبهه را تحت عنوان ارتفاع شبهه حکماً و موضوعاً قرار داده و مثال‌هایی در این رابطه آورده‌اند؛ از این رو، به ایشان اشکال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اخذ بقصد السرقة مع علمه بالحکم یقطع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می‌کنید؟ در این صورت شبهه‌ای نیست تا از مسائل ارتفاع شبهه باشد و حکم را بنا بر قاعده تمام کرده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کسی از مال مشترک بردارد، با علم به حرمت تصرّف بدون اذن شریک و تقسیم مال، باید دستش قطع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 او برای چه مقدار مال قطع می‌شود؟ اگر بخواهید بر طبق قاعده قید بزنید، باید به کلام دقیق صاحب جواهر رحمه الله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شرکت اشاعه است؛ لذا، هر چیزی از این مال بین سارق و شریکش به نحو اشاعه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سارق باید مال غیر را به اندازه‌ی نصاب ببرد تا حدّ سرقت پیاده گردد، یعنی باید دو شرط مالِ غیر بودن و به حدّ نصاب رسیدن را داشته باشد تا دستش را ببُرند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مالی را که شریک به سرقت برده به اندازه‌ی نصف دینار باشد، باید دستش قطع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نصف دینار به نحو مشاع بین او و شریکش هست؛ لذا، مال</w:t>
      </w:r>
      <w:bookmarkStart w:id="82" w:name="pg16923_220087"/>
    </w:p>
    <w:p>
      <w:pPr>
        <w:pStyle w:val="BookText"/>
        <w:rPr/>
      </w:pPr>
      <w:bookmarkEnd w:id="82"/>
      <w:r>
        <w:rPr>
          <w:rFonts w:ascii="IRNazanin" w:hAnsi="IRNazanin" w:eastAsia="IRNazanin"/>
          <w:color w:val="111111"/>
          <w:sz w:val="28"/>
          <w:sz w:val="28"/>
          <w:szCs w:val="28"/>
          <w:rtl w:val="true"/>
          <w:lang w:bidi="fa-IR"/>
        </w:rPr>
        <w:t>غیر را که دزدیده، به حدّ نصاب رسیده است؛ هرچند سهم سارق از این مال به مراتب بیش از نصف دینار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یک دهم سهمش را برداشته باشد؛ لیکن در این حصّه‌ی مشاع، اگر سهم شریکش به اندازه یا بیشتر از ربع دینار باشد، بنا بر قاعده باید حکم قطع اجرا گردد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اگر امام رحمه الله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أخذ بقصد السرقه مع علمه بالحکم یقطع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دیگر را نیز در نظر داشته‌اند، چرا در آخر مسأله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سرق من المال المشترک بمقدار نصیبه لم یقطع وإن زاد علیه بمقدار النصاب یقطع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قطع را در صورتی می‌داند که مازاد بر نصیب به اندازه‌ی نصاب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را از کجا آورده‌اند؟</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آن را اقتضا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قاعده همان بیان صاحب جواهر رحمه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دهم نصیب این فرد نیز نصاب قطع محقّق باشد، با بیانی که گذشت، باید دستش را قطع کنند؛ زیرا، شبهه‌ای نیست و تمام مسائل برای سارق روشن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مغنم این مطلب را افاده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روایات مغنم بر تردید باقی ماندید؛ و یک طرف را ترجیح ندادید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عبارتتان، تمام کردن مطلب بر طبق قاعده است نه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تردید در روایات غنیمت، و فتوای جزمی به عدم قطع دست شریک دزد در صورتی که مال مسروقه به اندازه‌ی سهم خودش باشد، و قطع دست در صورتی که مازاد بر نصیب، به حدّ نصاب باشد، تهافتی غیر قابل تصحیح و جواب است؛ و نمی‌توان کلامشان را انسجام بخشید</w:t>
      </w:r>
      <w:r>
        <w:rPr>
          <w:rFonts w:eastAsia="IRNazanin" w:cs="IRNazanin"/>
          <w:color w:val="111111"/>
          <w:sz w:val="28"/>
          <w:szCs w:val="28"/>
          <w:rtl w:val="true"/>
          <w:lang w:bidi="fa-IR"/>
        </w:rPr>
        <w:t>.</w:t>
      </w:r>
    </w:p>
    <w:p>
      <w:pPr>
        <w:pStyle w:val="Heading5"/>
        <w:numPr>
          <w:ilvl w:val="4"/>
          <w:numId w:val="1"/>
        </w:numPr>
        <w:rPr/>
      </w:pPr>
      <w:bookmarkStart w:id="83" w:name="__RefHeading___Toc162131_3244359995"/>
      <w:bookmarkStart w:id="84" w:name="_Toc32"/>
      <w:bookmarkEnd w:id="83"/>
      <w:r>
        <w:rPr>
          <w:rtl w:val="true"/>
        </w:rPr>
        <w:t>نظر برگزیده در تحقیق مطلب</w:t>
      </w:r>
      <w:bookmarkEnd w:id="8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روایت مغنم به لحاظ تعلیل و پاره‌ای از خصوصیّات، به باب غنیمت اختصاص نداشته نباشد، و بلکه حکم را بر مغنم از آن جهت که مال مشترک است مترتّب کرده باشد، در این صورت، تمام موارد شرکت را می‌توانیم زیر پرچم روایات مغنم ببریم؛ خواه حکمش بر طبق قاعده باشد یا خلاف قاعده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روایات مغنم، خصوصیّتی برای غنیمت استفاده شد، در این صورت باید مسأله شرکت را بر طبق قاعده تمام کنیم؛ و قاعده در صورت علم سارق به حرمت اخذ و صدق سرقت بر بردن مال شراکت، این است که نصیب شریک در مال مسروقه به اندازه‌ی نصاب هست یا نه، هرچند مال مسروقه به اندازه‌ی سهم سارق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سهم شریک در مال مسروقه به حدّ نصاب برسد، دست سارق را باید قطع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باید در دو مقام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دلالت روایات باب 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دوگونه روایت در این باب رسیده است؛ یک دسته مطلقاً بر عدم قطع دلالت دارد و یک دسته بر قطع در صورتی که مازاد بر نصیبش به حدّ نصاب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 این دو روایت را از مصادیق باب اطلاق و تقیید دانسته و حمل مطلق بر مقیّد کرده‌اند، امّا امام راحل رحمه الله در این مسأله مردّد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روایات به باب غنیمت اختصاص دارد؟</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روایات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عدّة من أصحابنا، عن سهل بن زیاد وعن علیّ بن إبراهیم، عن أبیه جمیعاً عن ابن أبی نجران، عن عاصم بن حمید، عن محمّد بن قیس،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علّیاً علیه السلام قال فی رجل أخذ بیضة من المقسم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سرق أقطعه،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أقطع أحداً له فیما أخذ شرک</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دو طریق نقل شده که یکی از آن‌ها به‌طور یقین صحیح است؛ که عبارت باشد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از علی بن ابراهیم از پدرش از ابن‌ابی نجران از عاصم بن حمید از محمّد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طریق دیگر مشتمل بر سهل بن زیاد است که در وثاقت او اختلاف و بحث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امیر مؤمنان علیه السلام مردی را که کلاه خودی از مغنم</w:t>
      </w:r>
    </w:p>
    <w:p>
      <w:pPr>
        <w:pStyle w:val="BookText"/>
        <w:rPr/>
      </w:pPr>
      <w:r>
        <w:rPr>
          <w:rFonts w:ascii="IRNazanin" w:hAnsi="IRNazanin" w:eastAsia="IRNazanin"/>
          <w:color w:val="111111"/>
          <w:sz w:val="28"/>
          <w:sz w:val="28"/>
          <w:szCs w:val="28"/>
          <w:rtl w:val="true"/>
          <w:lang w:bidi="fa-IR"/>
        </w:rPr>
        <w:t>دزدیده بود، نزد آن حضرت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کرده، دستش را قطع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قطع نمی‌کنم دست کسی را که مالی سرقت کرده باشد که در آن شریک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عن أبیه، عن النّوفلی، عن السّکونی،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لا قطع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المختلس، والغلول، ومن سرق من الغنیمة، وسرقة الأجیر فإنّها خیانة</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طایفه از موضوع قطع دست خارج‌اند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مختلس؛ اختلاس، در عرف، در موردی صادق است که اموال مشترکی در اختیار فردی باشد و او مقداری از آن‌ها را به‌نفع خودش ضبط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خائن است نه سارق؛ لذا، احکام خیانت در حقّش مترتّب می‌گردد و نه احکام سرقت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بافتحه‌ی غین یا ضمّه‌ی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با نقشه و حقّه یا غلّ و غشّ، و در حقیقت، با کلاهبرداری مال دیگری را ببرد؛ مانند این که فلزی را به عنوان طلا جا بزند و پول طلا را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غنیمت دزدی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اجیر و کارگر نیز چیزی را به سرقت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حرزی در کار نبوده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سرقت صادق نیست؛ بلکه خیانت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چهار صورت، قطع دست به عنوان حدّ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روایت به اطلاقشان بر عدم حدّ قطع در مورد سرقت از غنیمت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روایت مفصِّل و مقیّد را نیز بررسی کرد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وبإسناده عن یونس بن عبدالرّحمن، عن عبداللَّه بن سنان،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سرق من المغنم أیش الّذی یجب علیه؟</w:t>
      </w:r>
    </w:p>
    <w:p>
      <w:pPr>
        <w:pStyle w:val="BookText"/>
        <w:rPr/>
      </w:pPr>
      <w:r>
        <w:rPr>
          <w:rFonts w:ascii="IRNazanin" w:hAnsi="IRNazanin" w:eastAsia="IRNazanin"/>
          <w:color w:val="111111"/>
          <w:sz w:val="28"/>
          <w:sz w:val="28"/>
          <w:szCs w:val="28"/>
          <w:rtl w:val="true"/>
          <w:lang w:bidi="fa-IR"/>
        </w:rPr>
        <w:t xml:space="preserve">أیقطع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الّذی یجب علی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کم نصیبه، فإن کان الّذی أخذ أقلّ من نصیبه عزّر ودفع إلیه تمام ماله، وإن کان أخذ مثل الّذی له فلا شی‌ء علیه، وإن کان أخذ فضلًا بقدر ثمن مجنّ وهو ربع دینار قطع</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صحیحه، ابن‌سنان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غنیمت سرقت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علیه او واجب است؟</w:t>
      </w:r>
    </w:p>
    <w:p>
      <w:pPr>
        <w:pStyle w:val="BookText"/>
        <w:rPr/>
      </w:pPr>
      <w:r>
        <w:rPr>
          <w:rFonts w:ascii="IRNazanin" w:hAnsi="IRNazanin" w:eastAsia="IRNazanin"/>
          <w:color w:val="111111"/>
          <w:sz w:val="28"/>
          <w:sz w:val="28"/>
          <w:szCs w:val="28"/>
          <w:rtl w:val="true"/>
          <w:lang w:bidi="fa-IR"/>
        </w:rPr>
        <w:t>آیا دستش قطع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نسخه‌ی بدل،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الّذی یجب علیه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سارق را از غنیمت محاسبه می‌کنند؛ اگر مال مسروقه کمتر از آن است، او را تعزیر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بدون اجازه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بقیه‌ی نصیبش را به وی می‌دهند؛ و اگر مال مسروقه به اندازه‌ی سهمش باشد، چیزی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روایت عدم تعزیر در این صورت است؛ لذا، این معنا برای ما مبهم است که چرا اگر کمتر از نصیب برداشته، تعزیر می‌گردد؛ و اگر به اندازه‌ی نصیب بردارد، تعزیری وجود ندارد؟ این مطلب سبب وهن روایت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مقدار مأخوذ بیشتر از نصیبش و به اندازه‌ی قیمت یک سپر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ربع دینار باشد، در این صورت دستش را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جمع بین دو طایفه از روایات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به اطلاق و 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محمّد بن قیس و سکونی مطلق است و اطلاقشان شامل موردی می‌شود که مازاد بر نصیب به اندازه‌ی ربع دینار برسد یا نه، و روایت ابن سنان قطع را در صورت رسیدن مال به حدّ نصاب می‌داند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طریق جمع به دو جهت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اوّل که چندان اهمیّتی ندارد،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مطلق دو عدد و روایات مفصِّل یکی است، چگونه می‌تواند در برابر آن‌ها مقاومت کند؟</w:t>
      </w:r>
      <w:bookmarkStart w:id="85" w:name="pg16923_220091"/>
    </w:p>
    <w:p>
      <w:pPr>
        <w:pStyle w:val="BookText"/>
        <w:rPr/>
      </w:pPr>
      <w:bookmarkEnd w:id="85"/>
      <w:r>
        <w:rPr>
          <w:rFonts w:ascii="IRNazanin" w:hAnsi="IRNazanin" w:eastAsia="IRNazanin"/>
          <w:color w:val="111111"/>
          <w:sz w:val="28"/>
          <w:sz w:val="28"/>
          <w:szCs w:val="28"/>
          <w:rtl w:val="true"/>
          <w:lang w:bidi="fa-IR"/>
        </w:rPr>
        <w:t>جهت دوّم، روایت محمّد بن قیس، علاوه بر دلالتش بر عدم قطع، مشتمل بر تعلیل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لم أقطع أحداً له فیما أخذ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فقط بیان حکم نیست، بلکه حکم و علّت آن را بیان می‌کند؛ یعنی شرکت نمی‌گذارد عنوان سرقتِ موجب حدّ صادق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دلیل مطلق مشتمل بر تعلیل حکم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علّتی که در تمام مصادیق موضوع حکم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مقیّد و مفصِلی برسد، نمی‌توان بلافاصله حمل مطلق بر مقیّد کرد؛ بلکه باید ملاحظه کنیم آیا ظهور دلیل مقیّد اقوا است یا ظهور تعلیل در شمول حکم نسبت به تمامی افراد؟</w:t>
      </w:r>
    </w:p>
    <w:p>
      <w:pPr>
        <w:pStyle w:val="BookText"/>
        <w:rPr/>
      </w:pPr>
      <w:r>
        <w:rPr>
          <w:rFonts w:ascii="IRNazanin" w:hAnsi="IRNazanin" w:eastAsia="IRNazanin"/>
          <w:color w:val="111111"/>
          <w:sz w:val="28"/>
          <w:sz w:val="28"/>
          <w:szCs w:val="28"/>
          <w:rtl w:val="true"/>
          <w:lang w:bidi="fa-IR"/>
        </w:rPr>
        <w:t>به نظر می‌رسد تعارض این دو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تعلیل با ظهور دلیل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تردید امام راحل رحمه الله شده است و ایشان نتوانسته یکی از دو ظهور را بر دیگری ترجیح دهد</w:t>
      </w:r>
      <w:r>
        <w:rPr>
          <w:rFonts w:eastAsia="IRNazanin" w:cs="IRNazanin"/>
          <w:color w:val="111111"/>
          <w:sz w:val="28"/>
          <w:szCs w:val="28"/>
          <w:rtl w:val="true"/>
          <w:lang w:bidi="fa-IR"/>
        </w:rPr>
        <w:t>.</w:t>
      </w:r>
    </w:p>
    <w:p>
      <w:pPr>
        <w:pStyle w:val="Heading5"/>
        <w:numPr>
          <w:ilvl w:val="4"/>
          <w:numId w:val="1"/>
        </w:numPr>
        <w:rPr/>
      </w:pPr>
      <w:bookmarkStart w:id="86" w:name="__RefHeading___Toc162133_3244359995"/>
      <w:bookmarkStart w:id="87" w:name="_Toc33"/>
      <w:bookmarkEnd w:id="86"/>
      <w:r>
        <w:rPr>
          <w:rtl w:val="true"/>
        </w:rPr>
        <w:t>نظر برگزیده</w:t>
      </w:r>
      <w:bookmarkEnd w:id="87"/>
    </w:p>
    <w:p>
      <w:pPr>
        <w:pStyle w:val="BookText"/>
        <w:rPr/>
      </w:pPr>
      <w:r>
        <w:rPr>
          <w:rFonts w:ascii="IRNazanin" w:hAnsi="IRNazanin" w:eastAsia="IRNazanin"/>
          <w:color w:val="111111"/>
          <w:sz w:val="28"/>
          <w:sz w:val="28"/>
          <w:szCs w:val="28"/>
          <w:rtl w:val="true"/>
          <w:lang w:bidi="fa-IR"/>
        </w:rPr>
        <w:t>به نظر ما این وجه به دلایلی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دو روایت را به عرف عرضه کنیم و بیینیم در مقام جمع، آیا ظهور روایت مقیّد را بر ظهور تعلیل مقدّم می‌کند؟ به نظر می‌رسد عرف ظهور دلیل مقیّد را در مدخلیّت قید، قوی‌تر از ظهور تعلیل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لم أقطع أحداً فیما له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در تعلیل نیست؛ بلکه ظهور در این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 الرّمان لأنّه حامض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لام تعلیل، می‌فهمیم تنها علّت بر عدم جواز اکل انار، ترشی آن است؛ ولی در عبارت حدیث، چنین صراحتی در تعلیل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می‌دهیم این جمله برای بیان تعلیل نباشد؛ بلکه بیان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القطع فی المال المشترک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به صورت یک حکم کلّی و قابل تقیید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مطالب گذشته نتیجه می‌گیریم ظهور روایت عبداللَّه بن سنان در تقیید قوی‌تر از ظهور روایت محمّد بن قیس و سکونی است، و به عنوان اظهریّت باید مقدّم گردد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دیگر در این باب وجود دارد که در مقام جمع، یا باید طرح گردد و یا بر</w:t>
      </w:r>
    </w:p>
    <w:p>
      <w:pPr>
        <w:pStyle w:val="BookText"/>
        <w:rPr/>
      </w:pPr>
      <w:r>
        <w:rPr>
          <w:rFonts w:ascii="IRNazanin" w:hAnsi="IRNazanin" w:eastAsia="IRNazanin"/>
          <w:color w:val="111111"/>
          <w:sz w:val="28"/>
          <w:sz w:val="28"/>
          <w:szCs w:val="28"/>
          <w:rtl w:val="true"/>
          <w:lang w:bidi="fa-IR"/>
        </w:rPr>
        <w:t>روایت ابن‌سنان حمل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بإسناده، عن الحسین بن سعید، عن فضالة، عن أبان، عن عبدالرّحمن بن أبی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البیضة الّتی قطع فیها أمیر 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بیضة حدید سرقها رجل من المغنم فقطعه</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صحیحه، عبدالرّحمان بن ابی‌عبداللَّه از امام صادق علیه السلام راجع به کلاهخودی پرسید که امیر مؤمنان علیه السلام دست سارق را در رابطه‌ی با سرقتش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کلاهخود آهنینی بود که مردی از غنایم دزدید، پس دستش را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بر موردی حمل می‌شود که کلاهخود از سهم سارق به اندازه‌ی حدّ نصاب بیشتر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وبإسناده، عن محمّد بن الحسن الصفّار، عن محمّد بن الحسن، عن محمّد بن إسماعیل بن بزیع، عن صالح بن عقبة، عن یزید بن عبدالملک، عن أبی جعفر و أبی عبداللَّه و أبی الحسن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المفضّل بن صالح،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سرق السّارق من البیدر من إمام جائر فلا قطع علیه، إنّما أخذ حقّه، فإذا کان من إمام عادل علیه القتل</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بیت المال دزدی کند، در صورتی که حکومت به دست امام ظالم باشد، دستش را قطع نمی‌کنند؛ زیرا، حقّش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امام عادل باشد، او را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قید عجیبی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کنار گذاشته شود؛ زیرا، هیچ یک از فقها در مورد سرقت، به قتل سارق فتوا نداده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کنار گذاشتن این دو روایت و یا حمل روایت اوّل بر موردی که روایت ابن‌سنان بر آن</w:t>
      </w:r>
    </w:p>
    <w:p>
      <w:pPr>
        <w:pStyle w:val="BookText"/>
        <w:rPr/>
      </w:pPr>
      <w:r>
        <w:rPr>
          <w:rFonts w:ascii="IRNazanin" w:hAnsi="IRNazanin" w:eastAsia="IRNazanin"/>
          <w:color w:val="111111"/>
          <w:sz w:val="28"/>
          <w:sz w:val="28"/>
          <w:szCs w:val="28"/>
          <w:rtl w:val="true"/>
          <w:lang w:bidi="fa-IR"/>
        </w:rPr>
        <w:t>دلالت دارد، نتیجه‌ی مختار، همان تفصیل روایت ابن‌سنان می‌گردد که صاحب مسالک رحمه الله</w:t>
      </w:r>
      <w:r>
        <w:rPr>
          <w:rStyle w:val="FootnoteAnchor"/>
          <w:rtl w:val="true"/>
        </w:rPr>
        <w:footnoteReference w:id="50"/>
      </w:r>
      <w:r>
        <w:rPr>
          <w:rFonts w:ascii="IRNazanin" w:hAnsi="IRNazanin" w:eastAsia="IRNazanin"/>
          <w:color w:val="111111"/>
          <w:sz w:val="28"/>
          <w:sz w:val="28"/>
          <w:szCs w:val="28"/>
          <w:rtl w:val="true"/>
          <w:lang w:bidi="fa-IR"/>
        </w:rPr>
        <w:t>آن را به اکثر فقها نسبت داده و مرحوم صاحب شرایع</w:t>
      </w:r>
      <w:r>
        <w:rPr>
          <w:rStyle w:val="FootnoteAnchor"/>
          <w:rtl w:val="true"/>
        </w:rPr>
        <w:footnoteReference w:id="51"/>
      </w:r>
      <w:r>
        <w:rPr>
          <w:rFonts w:ascii="IRNazanin" w:hAnsi="IRNazanin" w:eastAsia="IRNazanin"/>
          <w:color w:val="111111"/>
          <w:sz w:val="28"/>
          <w:sz w:val="28"/>
          <w:szCs w:val="28"/>
          <w:rtl w:val="true"/>
          <w:lang w:bidi="fa-IR"/>
        </w:rPr>
        <w:t>نیز آن را حسن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روایت بر تعمیم</w:t>
      </w:r>
    </w:p>
    <w:p>
      <w:pPr>
        <w:pStyle w:val="BookText"/>
        <w:rPr/>
      </w:pPr>
      <w:r>
        <w:rPr>
          <w:rFonts w:ascii="IRNazanin" w:hAnsi="IRNazanin" w:eastAsia="IRNazanin"/>
          <w:color w:val="111111"/>
          <w:sz w:val="28"/>
          <w:sz w:val="28"/>
          <w:szCs w:val="28"/>
          <w:rtl w:val="true"/>
          <w:lang w:bidi="fa-IR"/>
        </w:rPr>
        <w:t>آیا از روایاتی که در خصوص سرقت غنیمت رسیده است، می‌توان حکم مال مشترک را به دست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اموال مشترک، اگر کسی مازاد بر سهمش را سرقت کرد، به‌گونه‌ای که بالغ بر حدّ نصاب باشد، دستش قطع می‌گردد؟</w:t>
      </w:r>
    </w:p>
    <w:p>
      <w:pPr>
        <w:pStyle w:val="BookText"/>
        <w:rPr/>
      </w:pPr>
      <w:r>
        <w:rPr>
          <w:rFonts w:ascii="IRNazanin" w:hAnsi="IRNazanin" w:eastAsia="IRNazanin"/>
          <w:color w:val="111111"/>
          <w:sz w:val="28"/>
          <w:sz w:val="28"/>
          <w:szCs w:val="28"/>
          <w:rtl w:val="true"/>
          <w:lang w:bidi="fa-IR"/>
        </w:rPr>
        <w:t>صاحب مسالک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طریق اولی، روایات غنیمت بر سرقت مال مشترک دلالت دارد؛ زیرا، در مسأله غنیمت کسی که مالی را به سرقت می‌برد، نسبت به مال مسروقه ملکیّت به نحو اشاعه ندارد، بلکه فقط حقّی در این غنیمت دارد؛ و این حقّ به صورت اضافه‌ی ملکیّت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سرقت چنین مالی قطع دست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طریق اولی در مواردی که مال مشترک که ملکیّت مشاع به معنای واقعی دارد، به سرقت رود، دست سارقش را باید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اگر قطع دست در مواردی که عنوان مالکیّت ندارد جاری گردد، به طریق اولی در جایی که این عنوان صادق است باید اجرا گردد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صاحب جواهر رحمه الله این اولویّت را منع کرده، ولی دلیل روشنی برای آن نیاورده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ممکن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صاحب مسالک رحمه الله آورده، اقتضای عدم اولویّت دارد؛ زیرا، در باب غنیمت به گفته‌ی ایشان ملکیّتی نیست، و فقط نسبت به غنایم حقّی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سبب عدم ملکیّت، دست سارق را می‌بُرند؛ ولی در باب مال مشترک، ملکیّت به صورت اشاعه‌ای موجود است؛ لذا، اگر در مورد عدم ملکیّت، حکم سارق، قطع دست بود، معنایش این نیست که باید این حکم در مورد ملکیّت به طریق اولی پیاده 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این راه نمی‌توان مطلب را تمام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نورانی امیرالمؤمنین علیه السلام در روایت محمّد بن قیس می‌توان مطلب را ثابت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لم أقطع أحداً له فیما أخذ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بیان کلّی است، هرچند در سؤال از سرقت غنیمت گفته شده، لیکن امام علیه السلام مسأله‌ی غنیمت را عنوان نمی‌کند؛ بلکه مسأله‌ی شرکت را مطرح کرده و موضوعیّت را برای آن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 می‌فهمیم مسأله‌ی غنیمت موضوعیّتی ندارد و شرکت، تمامْ موضوع برای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دایره‌ی شرکت وسیع است؛ و حتّی مواردی که ملکیّت هم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غنایم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ابن‌سنان، بحثی از شرکت نیست و حکم را بر سرقت از غنیمت مترتّب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ابن‌سنان مقیّد روایت محمّد بن قیس است و از مجموع این دو روایت استفاده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لایجوز قطع ید الآخذ من المال المشترک إلّاإذا أخذ زایداً علی نصیبه بمقدار النصاب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جمع بین دو روایت چنین مستثنی منه و مستثنایی فهمیده می‌شود؛ در نتیجه، می‌توانیم حکم تمام اموال مشترک را از این روایت استنباط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اگر کسی از بیت المال سرقت کند یا فقیری از زکات، سیّدی از خمس و سهم سادات، یا اهل علمی از سهم امام مالی را بدزدند، بر طبق همین روایت حکمش را معیّن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رحمه الله در کتاب قواعد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مثال‌های مذکور سهم این افراد معیّن نیست تا زاید بر نصیبش مشخّص گردد و بر فرض وصول به حدّ نصاب دستش قطع شود، از کجا بدانیم سهم یک فقیر از زکات چه مقدار است؟ همین‌طور سهم یک سیّد فقیر از سهم سادات؟</w:t>
      </w:r>
      <w:r>
        <w:rPr>
          <w:rStyle w:val="FootnoteAnchor"/>
          <w:rtl w:val="true"/>
        </w:rPr>
        <w:footnoteReference w:id="54"/>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قابل جواب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مشخّص این افراد مقداری است که حاکم برایشان معیّن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فقیر سیّد و غیر آن می‌توان سهم و نصیبش را مؤونه و مخارج یک سال او فرض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مازاد بر آن به حدّ نصاب برسد، می‌توان دستش را برید</w:t>
      </w:r>
      <w:r>
        <w:rPr>
          <w:rFonts w:eastAsia="IRNazanin" w:cs="IRNazanin"/>
          <w:color w:val="111111"/>
          <w:sz w:val="28"/>
          <w:szCs w:val="28"/>
          <w:rtl w:val="true"/>
          <w:lang w:bidi="fa-IR"/>
        </w:rPr>
        <w:t>.</w:t>
      </w:r>
      <w:bookmarkStart w:id="88" w:name="pg16923_220095"/>
    </w:p>
    <w:p>
      <w:pPr>
        <w:pStyle w:val="Heading4"/>
        <w:numPr>
          <w:ilvl w:val="3"/>
          <w:numId w:val="1"/>
        </w:numPr>
        <w:rPr/>
      </w:pPr>
      <w:bookmarkStart w:id="89" w:name="__RefHeading___Toc162135_3244359995"/>
      <w:bookmarkStart w:id="90" w:name="_Toc34"/>
      <w:bookmarkEnd w:id="88"/>
      <w:bookmarkEnd w:id="89"/>
      <w:r>
        <w:rPr>
          <w:rtl w:val="true"/>
        </w:rPr>
        <w:t>حکم سرقت از بیت المال</w:t>
      </w:r>
      <w:bookmarkEnd w:id="90"/>
    </w:p>
    <w:p>
      <w:pPr>
        <w:pStyle w:val="BookText"/>
        <w:rPr/>
      </w:pPr>
      <w:r>
        <w:rPr>
          <w:rFonts w:ascii="IRNazanin" w:hAnsi="IRNazanin" w:eastAsia="IRNazanin"/>
          <w:color w:val="111111"/>
          <w:sz w:val="28"/>
          <w:sz w:val="28"/>
          <w:szCs w:val="28"/>
          <w:rtl w:val="true"/>
          <w:lang w:bidi="fa-IR"/>
        </w:rPr>
        <w:t>روایت ابن‌سنان و محمّد بن قیس بر حکم سرقت اموال مشترک دلالت دارد؛ لیکن در خصوص سرقت از بیت المال روایاتی داریم که با یکدیگر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مفاد آن‌ها را مورد بررسی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وعنهم، عن سهل، عن محمّد بن الحسن، عن عبداللَّه بن عبدالرّحمن الأصم، عن مسمع بن عبدالملک، عن 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علیه السلام اتی برجل سرق من بیت المال،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یقطع، فإنّ له فیه نصیباً</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که از بیت المال دزدی کرده بود نزد امیر مؤمنان علیه السلام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قطع نمی‌شود؛ زیرا، در بیت المال نصیب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همانند روایت محمّد بن قیس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أقطع أحداً له فیما أخذ شرک</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محمّد بن الحسن بإسناده عن علیّ، عن أبیه، عن الوشّاء، عن عاصم بن حمید، عن محمّد بن قیس،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 المؤمنین علیه السلام فی رجلین قد سرقا من مال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عبد مال اللَّه والآخر من عرض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فمن مال اللَّه لیس علیه شی‌ء، مال اللَّه أکل بعضه بعضاً، وأمّا الآخر فقدّمه وقطع یده، ثمّ أمر أن یطعم اللّحم والسّمن حتّی برئت یده</w:t>
      </w:r>
      <w:r>
        <w:rPr>
          <w:rFonts w:eastAsia="Amiri" w:cs="Amiri" w:ascii="Amiri" w:hAnsi="Amiri"/>
          <w:color w:val="111111"/>
          <w:sz w:val="28"/>
          <w:szCs w:val="28"/>
          <w:rtl w:val="true"/>
          <w:lang w:bidi="ar-SA"/>
        </w:rPr>
        <w:t>.</w:t>
      </w:r>
      <w:r>
        <w:rPr>
          <w:rStyle w:val="FootnoteAnchor"/>
          <w:rtl w:val="true"/>
        </w:rPr>
        <w:footnoteReference w:id="57"/>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صحیحه از محمّد بن قیس است، هرچند صاحب جواهر رحمه الله</w:t>
      </w:r>
      <w:r>
        <w:rPr>
          <w:rStyle w:val="FootnoteAnchor"/>
          <w:rtl w:val="true"/>
        </w:rPr>
        <w:footnoteReference w:id="58"/>
      </w:r>
      <w:r>
        <w:rPr>
          <w:rFonts w:ascii="IRNazanin" w:hAnsi="IRNazanin" w:eastAsia="IRNazanin"/>
          <w:color w:val="111111"/>
          <w:sz w:val="28"/>
          <w:sz w:val="28"/>
          <w:szCs w:val="28"/>
          <w:rtl w:val="true"/>
          <w:lang w:bidi="fa-IR"/>
        </w:rPr>
        <w:t>به اشتباه آن را به سکونی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درباره‌ی دو عبدی که از بیت المال دزدی کرده بودند که یکی متعلّق به بیت‌المال بود و دیگری مملوک مردم، چنین قضاوت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عبدی که خودش مال اللَّه محسوب می‌شود و از مال خدا سرقت کرده است، حدّی ندارد؛ زیرا، مال اللَّه را بُرده و صرف مال اللَّه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از بیت‌المال خرج نگاهداری بیت‌المال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 عبد مردم را قطع نمود و فرمان داد به او گوشت و روغن بخورانند تا بهبودی حاصل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جمع بین روایات</w:t>
      </w:r>
    </w:p>
    <w:p>
      <w:pPr>
        <w:pStyle w:val="BookText"/>
        <w:rPr/>
      </w:pPr>
      <w:r>
        <w:rPr>
          <w:rFonts w:ascii="IRNazanin" w:hAnsi="IRNazanin" w:eastAsia="IRNazanin"/>
          <w:color w:val="111111"/>
          <w:sz w:val="28"/>
          <w:sz w:val="28"/>
          <w:szCs w:val="28"/>
          <w:rtl w:val="true"/>
          <w:lang w:bidi="fa-IR"/>
        </w:rPr>
        <w:t>روایت مسمع بر عدم قطع و روایت محمّد بن قیس بر قطع دست دلالت دارد؛ بین این دو روایت با توجّه به روایات غنیمت جمع کرده و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است که کمتر از نصیب یا نصاب سرقت کرده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است که به اندازه‌ی نصاب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علیّ بن إبراهیم، عن الحجّال، عن صالح بن السندی، عن الحسن بن محبوب، عن عبداللَّه بن غالب، عن أبیه، عن سعید بن المسیّب، عن علیّ بن أبی 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علی بیت مال علیّ بن أبی طالب علیه السلام وکاتبه، وکان فی بیت ماله عقد لؤلؤ کان أصابه یوم 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فأرسلت إلیّ بنت أمیر المؤمنین علیه السلام فقالت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 فی بیت مال أمیر المؤمنین علیه السلام عقد لؤلؤ وهو فی یدک وأنا احبّ أن تعیرنیه أتجمّل به فی أیّام عید الأضحی، فأرسلت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عاریة مضمونة مردودة؟ یا بنت أمیر المؤمنین؟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عاریة مضمونة مردودة بعد ثلاثة أیّام، فدفعته إلیها وأنّ أمیر المؤمنین علیه السلام رآه علیها فعرفه،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صار إلیک هذا العقد؟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استعرته من علیّ بن أبی رافع خازن بیت مال أمیر المؤمنین علیه السلام لأتزیّن به فی العید ثمّ أردّه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إلیّ أمیر المؤمنین علیه السلام فجئته،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أتخون المسلمین یا ابن</w:t>
      </w:r>
    </w:p>
    <w:p>
      <w:pPr>
        <w:pStyle w:val="BookText"/>
        <w:rPr/>
      </w:pPr>
      <w:r>
        <w:rPr>
          <w:rFonts w:ascii="IRNazanin" w:hAnsi="IRNazanin" w:eastAsia="IRNazanin"/>
          <w:color w:val="111111"/>
          <w:sz w:val="28"/>
          <w:sz w:val="28"/>
          <w:szCs w:val="28"/>
          <w:rtl w:val="true"/>
          <w:lang w:bidi="fa-IR"/>
        </w:rPr>
        <w:t>أبی رافع؟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معاذاللَّه أن أخون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أعرت بنت أمیر المؤمنین العقد الّذی فی بیت مال المسلمین بغیر إذنی و رضاهم؟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إنّها ابنتک وسألتنی أن اعیرها إیّاه تتزیّن به فأعرتها إیّاه عاریة مضمونة مردودة، فضمنته فی مالی وعلیّ أن أردّه سلیماً إلی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فردّه من یومک وإیّاک أن تعود لمثل هذا فتنالک عقوبتی، ثمّ اولی لإبنتی لو کانت أخذ العقد علی غیر عاریة مضمونة مردودة، لکانت إذا أوّل هاشمیّة قطعت یدها فی سرقة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 فقبضته منها و رددته إلی موضعه</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بالای منبرها می‌خوانند در حالی که سندش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رافع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بیت‌المال علی علیه السلام و منشی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گردنبندی در جنگ جمل به دست امیر المؤمنین علیه السلام رسید و در بیت‌المال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آن حضرت کسی را نزدم فرستاد و پیام داد این گردنبند را به من عاریه بده تا در ایّام عید قربان، خود را به آن زینت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پیام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صورت عاریه‌ی مضمونه‌ی مردوده؟ یعنی اگر بدون تعدّی و تفریط نیز تلف شد ضامن باشید؟ پاسخ داد، آری تا سه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گردنبند را برایش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 مؤمنان علیه السلام گردنبند را نزد دخترش دید و شناخت،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آوردی؟ دخترش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رافع خازن بیت‌المال برای ایّام عید قربان عاریه گرفتم تا خودم را به آن زینت کنم و آن‌گاه برگردانم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رافع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دنبالم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مسلمانان خیانت می‌کنی؟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دخترم گردنبند را بدون اجازه‌ی من و رضایت مسلمانان عاریه دادی؟</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 توست؛ و آن را به عنوان عاریه‌ی مضمونه‌ی مردوده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ضامن آن هستم تا سالم به بیت المال برگردانم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الآن باید برگردانی نه سه روز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 دیگر تکرار کردی، گرفتار عقوبتم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دخترم این گردنبند را به صورتی غیر از عاریه‌ی مضمونه از تو گرفته بود، اوّل زن هاشمی بود که در اسلام به جرم سرقت دستش بریده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ما پیرامون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سند، مشتمل بر حجّال و صالح بن سندی و غیر این دو می‌باشد؛ هرچند اوّلی ثقه و دوّمی از رجال کامل الزیارات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به‌واسطه‌ی راویان دیگر سندش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گردنبند رابه صورت غیر عاریه‌ی مضمونه گرفته بود، ملاک اقامه‌ی حدّ سرقت در آن نبود؛ مگر از حرز برداشته بود؟، در این‌جا امینی در بیت‌المال خیانت کرد و مالی را در اختیار دیگری گذاشت، عنوان سارق بر او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سرقت معمولی، اگر کسی مخفیانه از حرزی مالی را به سرقت برد و آن را به شخص دیگری به عنوان بیع یا هبه یا امانت واگذار کند و این فرد بداند مال دزدی را به او می‌دهد، در حقّ او ملاکی برای قطع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این روایت جایی است که دختر امیر مؤمنان علیه السلام کسی را نزد خازن بیت‌المال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علی بن رافع خیانت کرده و حقّی برای این کار نداشت، چگونه عنوان سارق بر دختر امیر مؤمنان علیه السلام صدق می‌کرد تا دستش را قطع کنند؟</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عاریه‌ی مضمونه و غیر آن چه دخلی در تحقّق عنوان سرقت و عدمش دارد؟ آیا عاریه‌ی مضمونه عنوان سرقت را از بین می‌برد، ولی با عاریه‌ی غیر مضمونه این عنوان باقی است؟</w:t>
      </w:r>
    </w:p>
    <w:p>
      <w:pPr>
        <w:pStyle w:val="BookText"/>
        <w:rPr/>
      </w:pPr>
      <w:r>
        <w:rPr>
          <w:rFonts w:ascii="IRNazanin" w:hAnsi="IRNazanin" w:eastAsia="IRNazanin"/>
          <w:color w:val="111111"/>
          <w:sz w:val="28"/>
          <w:sz w:val="28"/>
          <w:szCs w:val="28"/>
          <w:rtl w:val="true"/>
          <w:lang w:bidi="fa-IR"/>
        </w:rPr>
        <w:t>اگر علی بن رافع در تحویل گردنبند به دختر امیر مؤمنان علیه السلام مجاز بوده است، فرقی بین عاریه‌ی مضمونه و غیر آن نیست؛ و اگر مجاز نبود، باز هم فرقی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با وجود مطالبی در این روایت که بر خلاف موازین و قواعد است، امکان تطبیق متن آن بر قواعد باب سرقت وجود ندارد؛ و لذا، این روایت ارزش فقهی ندارد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سرقت از غنیمت، مسأله را به‌طور کلّی ثابت می‌کند و در تمام موارد شرکت و بیت‌المال و امثال آن، تفصیل روایت ابن‌سنان جریان دارد</w:t>
      </w:r>
      <w:r>
        <w:rPr>
          <w:rFonts w:eastAsia="IRNazanin" w:cs="IRNazanin"/>
          <w:color w:val="111111"/>
          <w:sz w:val="28"/>
          <w:szCs w:val="28"/>
          <w:rtl w:val="true"/>
          <w:lang w:bidi="fa-IR"/>
        </w:rPr>
        <w:t>.</w:t>
      </w:r>
      <w:bookmarkStart w:id="91" w:name="pg16923_220099"/>
    </w:p>
    <w:p>
      <w:pPr>
        <w:pStyle w:val="BookText"/>
        <w:rPr/>
      </w:pPr>
      <w:bookmarkEnd w:id="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عدم‌الفرق بین الذکر والأنثی والمسلم وغیره فی حدّ السرقة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الذکر والانثی، فتقطع الانثی فیما یقطع الذکر، وکذا المسلم والذمّی فیقطع المسلم وإن سرق من الذمّی، والذمّی کذلک، سرق من المسلم أو الذمّی</w:t>
      </w:r>
      <w:r>
        <w:rPr>
          <w:rFonts w:eastAsia="IRNazanin" w:cs="IRNazanin"/>
          <w:color w:val="111111"/>
          <w:sz w:val="28"/>
          <w:szCs w:val="28"/>
          <w:rtl w:val="true"/>
          <w:lang w:bidi="fa-IR"/>
        </w:rPr>
        <w:t>.]</w:t>
      </w:r>
    </w:p>
    <w:p>
      <w:pPr>
        <w:pStyle w:val="Heading4"/>
        <w:numPr>
          <w:ilvl w:val="3"/>
          <w:numId w:val="1"/>
        </w:numPr>
        <w:rPr/>
      </w:pPr>
      <w:bookmarkStart w:id="92" w:name="__RefHeading___Toc162137_3244359995"/>
      <w:bookmarkStart w:id="93" w:name="_Toc35"/>
      <w:bookmarkEnd w:id="92"/>
      <w:r>
        <w:rPr>
          <w:rtl w:val="true"/>
        </w:rPr>
        <w:t>تساوی مرد و زن، مسلمان و غیر مسلمان در حدّ سرقت</w:t>
      </w:r>
      <w:bookmarkEnd w:id="93"/>
    </w:p>
    <w:p>
      <w:pPr>
        <w:pStyle w:val="Heading5"/>
        <w:numPr>
          <w:ilvl w:val="4"/>
          <w:numId w:val="1"/>
        </w:numPr>
        <w:rPr/>
      </w:pPr>
      <w:bookmarkStart w:id="94" w:name="__RefHeading___Toc162139_3244359995"/>
      <w:bookmarkStart w:id="95" w:name="_Toc36"/>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مرحوم امام در این مسأله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مرد و زن، مسلمان و غیر مسلمان در اقامه‌ی حدّ سرقت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دست زن را می‌برند در همان موردی که دست مرد بریده می‌شود؛ دست مسلمان را می‌برند هرچند از ذمّی سرقت کرده باشد؛ و دست ذمّی را قطع می‌کنند خواه از مسلمان سرقت کرده باشد یا از ذمّی</w:t>
      </w:r>
      <w:r>
        <w:rPr>
          <w:rFonts w:eastAsia="IRNazanin" w:cs="IRNazanin"/>
          <w:color w:val="111111"/>
          <w:sz w:val="28"/>
          <w:szCs w:val="28"/>
          <w:rtl w:val="true"/>
          <w:lang w:bidi="fa-IR"/>
        </w:rPr>
        <w:t>.</w:t>
      </w:r>
    </w:p>
    <w:p>
      <w:pPr>
        <w:pStyle w:val="Heading5"/>
        <w:numPr>
          <w:ilvl w:val="4"/>
          <w:numId w:val="1"/>
        </w:numPr>
        <w:rPr/>
      </w:pPr>
      <w:bookmarkStart w:id="96" w:name="__RefHeading___Toc162141_3244359995"/>
      <w:bookmarkStart w:id="97" w:name="_Toc37"/>
      <w:bookmarkEnd w:id="96"/>
      <w:r>
        <w:rPr>
          <w:rtl w:val="true"/>
        </w:rPr>
        <w:t>دلیل مسأله</w:t>
      </w:r>
      <w:bookmarkEnd w:id="97"/>
    </w:p>
    <w:p>
      <w:pPr>
        <w:pStyle w:val="BookText"/>
        <w:rPr/>
      </w:pPr>
      <w:r>
        <w:rPr>
          <w:rFonts w:ascii="Amiri" w:hAnsi="Amiri" w:eastAsia="Amiri" w:cs="Amiri"/>
          <w:color w:val="111111"/>
          <w:sz w:val="28"/>
          <w:sz w:val="28"/>
          <w:szCs w:val="28"/>
          <w:rtl w:val="true"/>
          <w:lang w:bidi="ar-SA"/>
        </w:rPr>
        <w:t>در آیه‌ی شریفه وَالسَّارِقُ وَ السَّارِقَةُ فَاقْطَعُواْ أَیْدِیَهُمَا</w:t>
      </w:r>
      <w:r>
        <w:rPr>
          <w:rStyle w:val="FootnoteAnchor"/>
          <w:rtl w:val="true"/>
        </w:rPr>
        <w:footnoteReference w:id="60"/>
      </w:r>
      <w:r>
        <w:rPr>
          <w:rFonts w:ascii="IRNazanin" w:hAnsi="IRNazanin" w:eastAsia="IRNazanin"/>
          <w:color w:val="111111"/>
          <w:sz w:val="28"/>
          <w:sz w:val="28"/>
          <w:szCs w:val="28"/>
          <w:rtl w:val="true"/>
          <w:lang w:bidi="fa-IR"/>
        </w:rPr>
        <w:t>به صراحت حکم زن و مرد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آیه به دلیل دیگری نیاز نداریم؛ همان‌گونه که در باب زنا نیز به حکم هردو تصریح</w:t>
      </w:r>
      <w:r>
        <w:rPr>
          <w:rStyle w:val="FootnoteAnchor"/>
          <w:rtl w:val="true"/>
        </w:rPr>
        <w:footnoteReference w:id="61"/>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مسلمانی از مسلمان سرقت کند و شرایط اجرای حدّ موجود باشد، دست سارق را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مسلمانی از ذمّی مالی را به سرقت برد، باز حدّ قطع دست جاری است؛ زیرا، کافر ذمّی که به شرایط ذمّه عمل می‌کند، جان و مالش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حرمت مال، مترتّب شدن احکام مال مسلمان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 سرقت مال ذمّی، حکم مال مسلمان بر آن مترتّب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سرقت با باب قصاص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 قصاص تساوی در دین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اگر مسلمانی کافر ذمّی را بکشد، قصاص وجود ندارد؛ مگر در صورتی که به کشتن کفّار معتاد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عدم تساوی در باب قصاص، لازمه‌ای با عدم تساوی در باب سرقت</w:t>
      </w:r>
    </w:p>
    <w:p>
      <w:pPr>
        <w:pStyle w:val="BookText"/>
        <w:rPr/>
      </w:pPr>
      <w:r>
        <w:rPr>
          <w:rFonts w:ascii="IRNazanin" w:hAnsi="IRNazanin" w:eastAsia="IRNazanin"/>
          <w:color w:val="111111"/>
          <w:sz w:val="28"/>
          <w:sz w:val="28"/>
          <w:szCs w:val="28"/>
          <w:rtl w:val="true"/>
          <w:lang w:bidi="fa-IR"/>
        </w:rPr>
        <w:t>ندارد؛ یعنی اگر مسلمانی کافری را کشت او را قصاص نمی‌کنند؛ و این سبب نمی‌شود که اگر مال کافر ذمّی را سرقت کرد، دستش را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باب ملازمه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رحمه الله</w:t>
      </w:r>
      <w:r>
        <w:rPr>
          <w:rStyle w:val="FootnoteAnchor"/>
          <w:rtl w:val="true"/>
        </w:rPr>
        <w:footnoteReference w:id="62"/>
      </w:r>
      <w:r>
        <w:rPr>
          <w:rFonts w:ascii="IRNazanin" w:hAnsi="IRNazanin" w:eastAsia="IRNazanin"/>
          <w:color w:val="111111"/>
          <w:sz w:val="28"/>
          <w:sz w:val="28"/>
          <w:szCs w:val="28"/>
          <w:rtl w:val="true"/>
          <w:lang w:bidi="fa-IR"/>
        </w:rPr>
        <w:t>به نکته‌ای اشاره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دست از حقوق خداوند است و ربطی به مسروقٌ منه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سرقت با شرایطش نزد حاکم ثابت شود، هرچند مسروقٌ منه سارق را عفو کند، تأثیری در اقامه‌ی حدّ ندارد؛ اما مسأله قصاص حقّ‌الناس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ورثه‌ی مقتول می‌توانند قصاص کنند یا به جای قصاص دیه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وجود تفاوت روشن بین این دو باب، اگر در باب قصاص تساوی در دین شرط بود،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سرقت نیز شرط است؛ بلکه ارتباطی بین این دو مطلب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سرقت ذمّی نمی‌توان او را به حکّام خودشان ارجاع داد؛ زیرا، زمانی که ذمّی پذیرفت در ذمّه‌ی اسلام زندگی کند، اگر بر خلاف مسائل مربوط به اجتماع و نظام عمل کند، احکام اسلام در حقّ او پیاده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آیه‌ی سرقت مقیّد به اسلام نیست؛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السارق المسلم والسارقة المسلمة فاقطعوا أیدیهما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حکم را روی مطلق سارق و سارقه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ذمّی از مسلمانی یا ذمّی دیگر سرقت کند، دستش را قطع می‌کنیم؛ زیرا، این مسأله به حفظ نظام و جنبه‌ی اجتماعی و مصلحت آن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حفظ نظام باید به این معنا ملتزم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بیان سوّم، ادلّه‌ی حدود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باب زنا، لواط، سرقت و مانند آن مسلمان نیست؛ بلکه هر فردی که این عنوان‌ها بر او صادق باشد، موضوع ادلّه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حاکم شرع باید حکم اسلام را در مورد مُجرم پیاده کند؛ خواه مسلمان باشد یا غیر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مورد زنا در پاره‌ای از موارد حاکم حقّ داشت زانی کافر را به قاضیان هم کیش او ارجاع بدهد؛ لذا، به همان اندازه‌ای که دلیل داریم، عمل می‌کنیم</w:t>
      </w:r>
      <w:r>
        <w:rPr>
          <w:rFonts w:eastAsia="IRNazanin" w:cs="IRNazanin"/>
          <w:color w:val="111111"/>
          <w:sz w:val="28"/>
          <w:szCs w:val="28"/>
          <w:rtl w:val="true"/>
          <w:lang w:bidi="fa-IR"/>
        </w:rPr>
        <w:t>.</w:t>
      </w:r>
      <w:bookmarkStart w:id="98" w:name="pg16923_220101"/>
    </w:p>
    <w:p>
      <w:pPr>
        <w:pStyle w:val="BookText"/>
        <w:rPr/>
      </w:pPr>
      <w:bookmarkEnd w:id="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ما لو خان الأمین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خان الأمین لم یقطع ولم یکن سارقاً، ولو سرق الراهن لم یقطع، وکذا لو سرق الموجر عین المستأجرة</w:t>
      </w:r>
      <w:r>
        <w:rPr>
          <w:rFonts w:eastAsia="IRNazanin" w:cs="IRNazanin"/>
          <w:color w:val="111111"/>
          <w:sz w:val="28"/>
          <w:szCs w:val="28"/>
          <w:rtl w:val="true"/>
          <w:lang w:bidi="fa-IR"/>
        </w:rPr>
        <w:t>.]</w:t>
      </w:r>
    </w:p>
    <w:p>
      <w:pPr>
        <w:pStyle w:val="Heading4"/>
        <w:numPr>
          <w:ilvl w:val="3"/>
          <w:numId w:val="1"/>
        </w:numPr>
        <w:rPr/>
      </w:pPr>
      <w:bookmarkStart w:id="99" w:name="__RefHeading___Toc162143_3244359995"/>
      <w:bookmarkStart w:id="100" w:name="_Toc38"/>
      <w:bookmarkEnd w:id="99"/>
      <w:r>
        <w:rPr>
          <w:rtl w:val="true"/>
        </w:rPr>
        <w:t>حکم خیانت امین، سرقت راهن و موجر</w:t>
      </w:r>
      <w:bookmarkEnd w:id="100"/>
    </w:p>
    <w:p>
      <w:pPr>
        <w:pStyle w:val="BookText"/>
        <w:rPr/>
      </w:pPr>
      <w:r>
        <w:rPr>
          <w:rFonts w:ascii="IRNazanin" w:hAnsi="IRNazanin" w:eastAsia="IRNazanin"/>
          <w:color w:val="111111"/>
          <w:sz w:val="28"/>
          <w:sz w:val="28"/>
          <w:szCs w:val="28"/>
          <w:rtl w:val="true"/>
          <w:lang w:bidi="fa-IR"/>
        </w:rPr>
        <w:t>اگر امین خیانت کرد، عنوان سارق بر او منطبق نیست؛ به همین دلیل دستش را نمی‌برند؛ و اگر راهن از عین مرهونه یا موجر از عین مستأجره دزدی کنند، حدّ قطع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ذکر شده در نسخه‌ی تحریرالوسیله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المستأجرة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است؛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 المستأجرة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مالی به عنوان امانت به کسی سپرده شود و او در آن مال خیانت کرد، عنوان خائن بر او منطبق می‌گردد؛ ولی عنوان سارق بر او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شرط اقامه‌ی حدّ سرقت، یعنی سرقت از حرز پس از هتک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به عنوان امانت در دست اوست، حرز ندارد تا هتک حرز و سرقت صدق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سرقت یکی از مصادیق غصب و ضمان است و فرد خائن نیز ضامن می‌باشد، ولی مجرّد اشتراک در ضمان سبب اشتراک در تمام احکام نیست، تا عنوان سرقت صادق نباشد، قطع دست در اینجا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مالک، عبایی را به فردی اجاره داد و مستأجر آن را به خانه برد و در حرز گذاشت، مالک نیز نیمه‌ی شب حرز را هتک کرده، و عبا را به سرقت برد، در این صورت نیز حدّ سرقت در مورد سارق پیاده نمی‌گردد؛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عرف در این‌جا سرقت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مال خودش را برداشته است؛ هرچند کار بی‌جایی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عمل نابجا ملازم با انطباق عنوان سرقت نیست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روایاتی که حدّ نصاب را معیّن می‌کند، این است که مال مسروقه باید به ربع دینار برسد؛ و این قیمت در رابطه با مال مسروقه و همان چیزی است که به سرقت رفته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این روایات عدم تحقّق سرقت در موردی است که مال مسروقه مِلک سارق باشد؛ بلکه باید مال مسروقه مِلک مسروقٌ منه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مسأله، عین مسروقه در ملک سارق است و مسروقٌ منه فقط منفعتی را مالک است که وجود مشخّص خارجی ندارد، بلکه یک امر اعتباری تدریجی است و در آن واحد تحقّقی ندارد؛ بلکه به تدریج وجود گرفته، منعدم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ادلّه شامل سرقت منفعت نمی‌گردد؛ زیرا، ظهورش در این است که قیمت مال مسروقه باید به اندازه‌ی ربع دینار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مالک، عین مستأجره را سرقت کرد، سرقت شرعی موجب حدّ، بر آن منطبق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رهن، مالک عین مرهونه را در مقابل دینی نزد مرتهن گرو می‌گذارد؛ و به سبب رهن، مرتهن حقّی نسبت به عین پیدا می‌کند، به‌گونه‌ای که راهن بدون اجازه‌ی او نمی‌تواند آن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عین مرهونه در قبض مرتهن بود و مالک هتک حرز کرده، آن را به سرقت برد، حدّ قطع جا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راهن مالک عین مرهونه است و مرتهن فقط حقّی بر آن دارد به این معنا که اگر راهن دین خود را پرداخت، مرتهن عین مرهونه را به او باز می‌گرداند؛ وگرنه می‌تواند با فروش عین مرهونه طلبش را وصول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چنین حقّی سبب تحقّق عنوان سارق نسبت به مالک عین مرهونه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مطلب، دلیلی که در باب اجاره گفتیم در این‌جا نیز دلالت دارد؛ زیرا، ظاهر روایات این است که ربع دینار در رابطه با قیمت عین مسروقه است؛ یعنی اگر به اندازه‌ی ربع دیناری از مال مسروق منه در اختیار سارق قرار گیرد و شرایط دیگر را نیز دارا باشد، دستش را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مسأله‌ی مورد بحث، اگر راهن آن‌چه را که دزدیده به صد دینار هم برسد، هیچ ارتباطی به مرتهن ندارد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عرف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مال خودش را به ناحق برده است، امّا او را سارق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عرفی، سرقت در جایی است که مال مسروق منه را ببرد؛ نه مال خودش را</w:t>
      </w:r>
      <w:r>
        <w:rPr>
          <w:rFonts w:eastAsia="IRNazanin" w:cs="IRNazanin"/>
          <w:color w:val="111111"/>
          <w:sz w:val="28"/>
          <w:szCs w:val="28"/>
          <w:rtl w:val="true"/>
          <w:lang w:bidi="fa-IR"/>
        </w:rPr>
        <w:t>.</w:t>
      </w:r>
      <w:bookmarkStart w:id="101" w:name="pg16923_220103"/>
    </w:p>
    <w:p>
      <w:pPr>
        <w:pStyle w:val="BookText"/>
        <w:rPr/>
      </w:pPr>
      <w:bookmarkEnd w:id="1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سرقة الأجیر والزوج أو الزوجة من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سرق الأجیر من مال المستأجر فإن استأمنه علیه فلا قطع، وإن أحرز المال من دونه فهتک الحرز وسرق یقطع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یقطع کلّ من الزوج والزوجة بسرقة مال الآخر إذا أحرز عنه، ومع عدم الإحراز فلا، نعم إذا أخذ الزوجة من مال الرجل سرقة عوضاً من النفقة الواجبة الّتی منعها عنها فلا قطع علیها، إذا لم یزد علی النفقة بمقدار النصاب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الضیف یقطع إن أحرز المال عنه والّا لایقطع</w:t>
      </w:r>
      <w:r>
        <w:rPr>
          <w:rFonts w:eastAsia="IRNazanin" w:cs="IRNazanin"/>
          <w:color w:val="111111"/>
          <w:sz w:val="28"/>
          <w:szCs w:val="28"/>
          <w:rtl w:val="true"/>
          <w:lang w:bidi="fa-IR"/>
        </w:rPr>
        <w:t>.]</w:t>
      </w:r>
    </w:p>
    <w:p>
      <w:pPr>
        <w:pStyle w:val="Heading4"/>
        <w:numPr>
          <w:ilvl w:val="3"/>
          <w:numId w:val="1"/>
        </w:numPr>
        <w:rPr/>
      </w:pPr>
      <w:bookmarkStart w:id="102" w:name="__RefHeading___Toc162145_3244359995"/>
      <w:bookmarkStart w:id="103" w:name="_Toc39"/>
      <w:bookmarkEnd w:id="102"/>
      <w:r>
        <w:rPr>
          <w:rtl w:val="true"/>
        </w:rPr>
        <w:t>سرقت اجیر، زوج و زوجه از یکدیگر</w:t>
      </w:r>
      <w:bookmarkEnd w:id="103"/>
    </w:p>
    <w:p>
      <w:pPr>
        <w:pStyle w:val="Heading5"/>
        <w:numPr>
          <w:ilvl w:val="4"/>
          <w:numId w:val="1"/>
        </w:numPr>
        <w:rPr/>
      </w:pPr>
      <w:bookmarkStart w:id="104" w:name="__RefHeading___Toc162147_3244359995"/>
      <w:bookmarkStart w:id="105" w:name="_Toc40"/>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این مسأله چهار فرع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کارگری از مال صاحب کار سرقت کند، در صورتی که به او اعتماد کرده و وی را امین دانسته است، فقط خیانت در امانت به شمار می‌آید؛ بنابراین، دستش را قطع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وی اطمینان نکرده، مال را در حرز گذاشته است، امّا کارگر حرز را هتک و مال را به سرقت برده است، دستش را قطع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هریک از زن و شوهر را اگر از مال دیگری سرقت کند، می‌بُرند؛ در صورتی که مال را در حرز نگهداری می‌کرده است؛ و اگر حرزی وجود نداشته باشد، حدّ قطع هم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که نفقه‌ی او بر شوهرش واجب است و از پرداخت نفقه امتناع می‌کند از مال شوهرش در عوض نفقه سرقت کند، در صورتی که مال مسروقه مازاد بر حقّش به قدر نصاب نرسد، دست قطع نمی‌گردد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مهمان از مال احراز شده سرقت کند، دستش قطع می‌گردد؛ ولی در غیر حرز دستش قطع نمی‌گردد</w:t>
      </w:r>
      <w:r>
        <w:rPr>
          <w:rFonts w:eastAsia="IRNazanin" w:cs="IRNazanin"/>
          <w:color w:val="111111"/>
          <w:sz w:val="28"/>
          <w:szCs w:val="28"/>
          <w:rtl w:val="true"/>
          <w:lang w:bidi="fa-IR"/>
        </w:rPr>
        <w:t>.</w:t>
      </w:r>
    </w:p>
    <w:p>
      <w:pPr>
        <w:pStyle w:val="Heading5"/>
        <w:numPr>
          <w:ilvl w:val="4"/>
          <w:numId w:val="1"/>
        </w:numPr>
        <w:rPr/>
      </w:pPr>
      <w:bookmarkStart w:id="106" w:name="__RefHeading___Toc162149_3244359995"/>
      <w:bookmarkStart w:id="107" w:name="_Toc41"/>
      <w:bookmarkEnd w:id="106"/>
      <w:r>
        <w:rPr>
          <w:rtl w:val="true"/>
        </w:rPr>
        <w:t>فرع اوّل</w:t>
      </w:r>
      <w:r>
        <w:rPr>
          <w:rtl w:val="true"/>
        </w:rPr>
        <w:t xml:space="preserve">: </w:t>
      </w:r>
      <w:r>
        <w:rPr>
          <w:rtl w:val="true"/>
        </w:rPr>
        <w:t>سرقت اجیر</w:t>
      </w:r>
      <w:bookmarkEnd w:id="107"/>
    </w:p>
    <w:p>
      <w:pPr>
        <w:pStyle w:val="Heading6"/>
        <w:numPr>
          <w:ilvl w:val="5"/>
          <w:numId w:val="1"/>
        </w:numPr>
        <w:rPr/>
      </w:pPr>
      <w:bookmarkStart w:id="108" w:name="__RefHeading___Toc162151_3244359995"/>
      <w:bookmarkStart w:id="109" w:name="_Toc42"/>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اگر کارگری را اجیر کردیم و او به سرقت اموال خانه دست زد، از دو حال خارج نیست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اموالی که در مرأی و منظرش قرار داشته، سرقت کرده است؛ یعنی صاحب‌خانه</w:t>
      </w:r>
      <w:bookmarkStart w:id="110" w:name="pg16923_220104"/>
    </w:p>
    <w:p>
      <w:pPr>
        <w:pStyle w:val="BookText"/>
        <w:rPr/>
      </w:pPr>
      <w:bookmarkEnd w:id="110"/>
      <w:r>
        <w:rPr>
          <w:rFonts w:ascii="IRNazanin" w:hAnsi="IRNazanin" w:eastAsia="IRNazanin"/>
          <w:color w:val="111111"/>
          <w:sz w:val="28"/>
          <w:sz w:val="28"/>
          <w:szCs w:val="28"/>
          <w:rtl w:val="true"/>
          <w:lang w:bidi="fa-IR"/>
        </w:rPr>
        <w:t>بر او اعتماد کرد، درب اتاق را باز گذاشت و کارگر فرش آن را جمع کرد و بُرد، در این‌جا سرقت شرعی محقّق نشده است؛ بلکه همان عنوان خیانت مترتّب است در این صورت او را تعزیر می‌کنند و ضامن مالی می‌باشد که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در حرز بود، مانند این که پولی را در گنجه یا صندوق گذاشته‌اند و درب آن را قفل زده‌اند، کارگر قفل را شکست و آن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احکام سرقت مترتّب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قاعده در این‌گونه مسائل اقتضای تفصیل می‌کند؛ هرجا مسأله‌ی استیمان وجود داشته باشد، یعنی حرز و مانعی برای آن فرد نباشد، اگر مالی را به سرقت بَرد، قطع دست نیست؛ ولی اگر مال در حرز بود و به این شخص اطمینان نکرده‌اند و او نیز حرز را هتک کرده مال را بُرد، دستش قطع می‌گردد</w:t>
      </w:r>
      <w:r>
        <w:rPr>
          <w:rFonts w:eastAsia="IRNazanin" w:cs="IRNazanin"/>
          <w:color w:val="111111"/>
          <w:sz w:val="28"/>
          <w:szCs w:val="28"/>
          <w:rtl w:val="true"/>
          <w:lang w:bidi="fa-IR"/>
        </w:rPr>
        <w:t>.</w:t>
      </w:r>
    </w:p>
    <w:p>
      <w:pPr>
        <w:pStyle w:val="Heading6"/>
        <w:numPr>
          <w:ilvl w:val="5"/>
          <w:numId w:val="1"/>
        </w:numPr>
        <w:rPr/>
      </w:pPr>
      <w:bookmarkStart w:id="111" w:name="__RefHeading___Toc162153_3244359995"/>
      <w:bookmarkStart w:id="112" w:name="_Toc43"/>
      <w:bookmarkEnd w:id="111"/>
      <w:r>
        <w:rPr>
          <w:rtl w:val="true"/>
        </w:rPr>
        <w:t>روایات مخالف با قاعده</w:t>
      </w:r>
      <w:bookmarkEnd w:id="112"/>
    </w:p>
    <w:p>
      <w:pPr>
        <w:pStyle w:val="BookText"/>
        <w:rPr/>
      </w:pPr>
      <w:r>
        <w:rPr>
          <w:rFonts w:ascii="IRNazanin" w:hAnsi="IRNazanin" w:eastAsia="IRNazanin"/>
          <w:color w:val="111111"/>
          <w:sz w:val="28"/>
          <w:sz w:val="28"/>
          <w:szCs w:val="28"/>
          <w:rtl w:val="true"/>
          <w:lang w:bidi="fa-IR"/>
        </w:rPr>
        <w:t>دو سه روایت در این باب داریم که ممکن است خیال شود بر حکمی خلاف قاعده دلالت دارد و مقتضای آن‌ها عدم قطع به‌طور کلّی در مورد سرقت اجیر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به بررسی آن‌ها بپردازیم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علیّ بن إبراهیم، عن أبیه، عن ابن أبی عمیر، عن حمّاد، عن الحلبی، عن أبی عبداللَّه علیه السلام، أنّه قال فی رجل استأجر أجیراً وأقعده علی متاعه فسرقه،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مؤتمن</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صحیحه، حلبی از امام صادق علیه السلام درباره‌ی مردی که فردی را اجیر کرد تا از متاعش محافظت کند، و اجیر به جای حفظ متاع، آن را برداشت و رفت، 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را امین بر مالش قرار داده و او خیانت کرده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 که بر طبق قاعده قطع دست صورت گیرد، شامل نمی‌شود؛ زیرا، موردش</w:t>
      </w:r>
    </w:p>
    <w:p>
      <w:pPr>
        <w:pStyle w:val="BookText"/>
        <w:rPr/>
      </w:pPr>
      <w:r>
        <w:rPr>
          <w:rFonts w:ascii="IRNazanin" w:hAnsi="IRNazanin" w:eastAsia="IRNazanin"/>
          <w:color w:val="111111"/>
          <w:sz w:val="28"/>
          <w:sz w:val="28"/>
          <w:szCs w:val="28"/>
          <w:rtl w:val="true"/>
          <w:lang w:bidi="fa-IR"/>
        </w:rPr>
        <w:t>جایی است که اجیر را برای حفظ متاع اجاره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سرقت صادق نیست تا قطع دست مترتّب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محمّد بن یحیی، عن أحمد بن محمّد، عن ابن محبوب، عن أبی أیّوب الخزّاز، عن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الرّجل یستأجر أجیراً فیسرق من بیته، هل تقطع یده؟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مؤتمن لیس بسارق، هذا خائن</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صحیحه، سلیمان بن خالد از امام صادق علیه السلام راجع به حکم مردی که او را اجیر می‌کنند و او از خانه‌ی مستأجر متاعی را می‌دزدد، می‌پرسد که آیا دستش را می‌بُرند؟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را امین دانسته‌اند؛ او سارق نیست، بلکه خائن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توهّم این که روایت به اطلاقش دلالت دارد بر این که دست اجیر دزد را نمی‌بُرند، توهّمی نادرست است؛ زیرا، در بیان امام علیه السلام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مؤتمن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احتمال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از این کلام،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جعلته أمیناً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کرده است؛ یعنی تو او را امین قرار دادی؛ در را بر رویش نبستی؛ حرز و منعی ایجاد نکردی؛ در این صورت، او سارق نیست و خیانتکار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احتمال، باید مال مسروقه را ملاحظه کنیم که از چه قسمی است؛ آیا مستأجر اجیر را نسبت به آن امین دانسته است و در مرأی و منظرش قرار داده است؛ یا آن را در حرز گذاشته، فقل بر آن زده، و اجیر حرز را هتک و مال را برده است؟</w:t>
      </w:r>
    </w:p>
    <w:p>
      <w:pPr>
        <w:pStyle w:val="BookText"/>
        <w:rPr/>
      </w:pPr>
      <w:r>
        <w:rPr>
          <w:rFonts w:ascii="IRNazanin" w:hAnsi="IRNazanin" w:eastAsia="IRNazanin"/>
          <w:color w:val="111111"/>
          <w:sz w:val="28"/>
          <w:sz w:val="28"/>
          <w:szCs w:val="28"/>
          <w:rtl w:val="true"/>
          <w:lang w:bidi="fa-IR"/>
        </w:rPr>
        <w:t>به عبارت دیگر، بنا بر این احتمال، معنای روایت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مؤتمن بالنسبة إلی الأموال الّتی جعلته أمیناً ولیس بسارق بالنسبة إلی تلک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متعیّن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در مقام بیان یک حکم تعبّدی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اجیر مؤتمن است؛ خواه مستأجر اموالش را در حرز قرار بدهد یا در مرأی و منظر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هر قسمی از اموال که سرقت</w:t>
      </w:r>
      <w:bookmarkStart w:id="113" w:name="pg16923_220106"/>
    </w:p>
    <w:p>
      <w:pPr>
        <w:pStyle w:val="BookText"/>
        <w:rPr/>
      </w:pPr>
      <w:bookmarkEnd w:id="113"/>
      <w:r>
        <w:rPr>
          <w:rFonts w:ascii="IRNazanin" w:hAnsi="IRNazanin" w:eastAsia="IRNazanin"/>
          <w:color w:val="111111"/>
          <w:sz w:val="28"/>
          <w:sz w:val="28"/>
          <w:szCs w:val="28"/>
          <w:rtl w:val="true"/>
          <w:lang w:bidi="fa-IR"/>
        </w:rPr>
        <w:t>کند، سرقت بر عملش صادق نیست؛ بلکه او خیانت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دستش قطع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در روایت خیلی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مقام بیان یک حکم خلاف قاعده نیست تا بگوییم بر عدم قطع دست اجیر به طور مطلق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عدّة من أصحابنا، عن أحمد بن محمّد، عن عثمان بن عیسی،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استأجر أجیراً فأخذ الأجیر متاعه فسرقه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مؤتمن،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الأجیر والضیف امناء لیس یقع علیهم حدّ السرقة</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موثّقه، سَماعه از امام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دیگری را اجیر کرد، اجیر کالای او را گرفت و به سرقت برد؛ چه حکمی دارد؟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اجیر مؤتمن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اجیر و میهمان امین هستند؛ بر آنان حدّ سرقت واقع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نیز دو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اجیر برای حفظ متاع استیجار شده باشد؛ در این صورت، مفادش با روایت حلبی یکی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برای کاری اجیر شده، و کالایی از مستأجر به سرقت برده است؛ در این صورت، مفادش با روایت سلیمان بن خالد یکی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روایات بر حکمی خلاف قاعده دلالت ندارد</w:t>
      </w:r>
      <w:r>
        <w:rPr>
          <w:rFonts w:eastAsia="IRNazanin" w:cs="IRNazanin"/>
          <w:color w:val="111111"/>
          <w:sz w:val="28"/>
          <w:szCs w:val="28"/>
          <w:rtl w:val="true"/>
          <w:lang w:bidi="fa-IR"/>
        </w:rPr>
        <w:t>.</w:t>
      </w:r>
    </w:p>
    <w:p>
      <w:pPr>
        <w:pStyle w:val="Heading5"/>
        <w:numPr>
          <w:ilvl w:val="4"/>
          <w:numId w:val="1"/>
        </w:numPr>
        <w:rPr/>
      </w:pPr>
      <w:bookmarkStart w:id="114" w:name="__RefHeading___Toc162155_3244359995"/>
      <w:bookmarkStart w:id="115" w:name="_Toc44"/>
      <w:bookmarkEnd w:id="114"/>
      <w:r>
        <w:rPr>
          <w:rtl w:val="true"/>
        </w:rPr>
        <w:t>فرع دوّم</w:t>
      </w:r>
      <w:r>
        <w:rPr>
          <w:rtl w:val="true"/>
        </w:rPr>
        <w:t xml:space="preserve">: </w:t>
      </w:r>
      <w:r>
        <w:rPr>
          <w:rtl w:val="true"/>
        </w:rPr>
        <w:t>سرقت زوج و زوجه از یکدیگر</w:t>
      </w:r>
      <w:bookmarkEnd w:id="11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سرقت زوج و زوجه از یکدیگر حکم خاصی ندارد؛ بلکه همان حکم اوّلی در موردش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شرایط اجرای حدّ موجود باشد، دست سارق را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تفاوتی که متصوّر است در جهت حرز و احراز مال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زوجه‌ای که در منزل شوهرش زندگی می‌کند، نسبت به اثاثیه‌ی منزل، فرش و لباس و مانند آن حرز و منعی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w:t>
      </w:r>
      <w:bookmarkStart w:id="116" w:name="pg16923_220107"/>
    </w:p>
    <w:p>
      <w:pPr>
        <w:pStyle w:val="BookText"/>
        <w:rPr/>
      </w:pPr>
      <w:bookmarkEnd w:id="116"/>
      <w:r>
        <w:rPr>
          <w:rFonts w:ascii="IRNazanin" w:hAnsi="IRNazanin" w:eastAsia="IRNazanin"/>
          <w:color w:val="111111"/>
          <w:sz w:val="28"/>
          <w:sz w:val="28"/>
          <w:szCs w:val="28"/>
          <w:rtl w:val="true"/>
          <w:lang w:bidi="fa-IR"/>
        </w:rPr>
        <w:t>اگر از این وسائل چیزی را بردارد، سرقت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شوهرش اتاق یا صندوقی دارد که اموالش را درون آن قرار می‌دهد و دربش را قفل می‌کند، در این حالت نسبت به این اموال در حرز، سرقت صادق است؛ اگر زوجه هتک حرز کند، قفل را بشکند، درب را باز و مال شوهرش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مطلب را برای حکم سرقت زوج نیز می‌توان گفت؛ لذا، اگر زوجه اموال شخصی خود را در صندوقی مخصوص نگهداری می‌کند و درب آن را قفل می‌زند، نسبت به شوهرش حرز درست کرده است؛ و بر سرقت از این حرز، حدّ قطع جاری می‌گردد</w:t>
      </w:r>
      <w:r>
        <w:rPr>
          <w:rFonts w:eastAsia="IRNazanin" w:cs="IRNazanin"/>
          <w:color w:val="111111"/>
          <w:sz w:val="28"/>
          <w:szCs w:val="28"/>
          <w:rtl w:val="true"/>
          <w:lang w:bidi="fa-IR"/>
        </w:rPr>
        <w:t>.</w:t>
      </w:r>
    </w:p>
    <w:p>
      <w:pPr>
        <w:pStyle w:val="Heading5"/>
        <w:numPr>
          <w:ilvl w:val="4"/>
          <w:numId w:val="1"/>
        </w:numPr>
        <w:rPr/>
      </w:pPr>
      <w:bookmarkStart w:id="117" w:name="__RefHeading___Toc162157_3244359995"/>
      <w:bookmarkStart w:id="118" w:name="_Toc45"/>
      <w:bookmarkEnd w:id="117"/>
      <w:r>
        <w:rPr>
          <w:rtl w:val="true"/>
        </w:rPr>
        <w:t>فرع سوّم</w:t>
      </w:r>
      <w:r>
        <w:rPr>
          <w:rtl w:val="true"/>
        </w:rPr>
        <w:t xml:space="preserve">: </w:t>
      </w:r>
      <w:r>
        <w:rPr>
          <w:rtl w:val="true"/>
        </w:rPr>
        <w:t>سرقت زوجه از شوهر ممتنع</w:t>
      </w:r>
      <w:bookmarkEnd w:id="118"/>
    </w:p>
    <w:p>
      <w:pPr>
        <w:pStyle w:val="BookText"/>
        <w:rPr/>
      </w:pPr>
      <w:r>
        <w:rPr>
          <w:rFonts w:ascii="IRNazanin" w:hAnsi="IRNazanin" w:eastAsia="IRNazanin"/>
          <w:color w:val="111111"/>
          <w:sz w:val="28"/>
          <w:sz w:val="28"/>
          <w:szCs w:val="28"/>
          <w:rtl w:val="true"/>
          <w:lang w:bidi="fa-IR"/>
        </w:rPr>
        <w:t>یک مورد از سرقت زوجه از مال زوج استثنا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نفقه‌ی واجب این زن را در اختیارش نمی‌گذارد و او نیز محتاج به آن است، اگر از مال شوهرش به اندازه‌ی نفقه سرقت کند، هرچند سرقت صادق است، لیکن حدّ قطع جاری نیست؛ ولی اگر بیش از مقدار نفقه و به اندازه‌ی حدّ نصاب دزدی کند، دستش را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در خصوص این مورد از اهل سنّت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هند زوجة أبی سفیان للنبیّ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سفیان رجل شحیح وإنّه لا یعطینی وولدی إلّاما آخذ عنه سرّاً وهو لا یعلم فهل علیّ فیه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خذی ما یکفیک وولدک بالمعروف</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زن ابوسفیان به پیامبر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مرد بخیل و خسیسی است، مخارج من و بچّه‌هایم را نمی‌دهد؛ مگر این که محرمانه از مالش بردارم به‌گونه‌ای که او نفهمد، آیا این کارم سرقت محسوب می‌شود؟</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او به اندازه‌ای بردار که تو و بچّه‌هایت را کفایت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یعنی مقدار متوسّط و به نحو اقتصاد و میانه روی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فتوای به این استثنا، فتوایی مطابق قاعده است؛ به‌گونه‌ای که اگر روایت نبوی و</w:t>
      </w:r>
    </w:p>
    <w:p>
      <w:pPr>
        <w:pStyle w:val="BookText"/>
        <w:rPr/>
      </w:pPr>
      <w:r>
        <w:rPr>
          <w:rFonts w:ascii="IRNazanin" w:hAnsi="IRNazanin" w:eastAsia="IRNazanin"/>
          <w:color w:val="111111"/>
          <w:sz w:val="28"/>
          <w:sz w:val="28"/>
          <w:szCs w:val="28"/>
          <w:rtl w:val="true"/>
          <w:lang w:bidi="fa-IR"/>
        </w:rPr>
        <w:t>پاره‌ای از مؤیّدات که مرحوم صاحب جواهر</w:t>
      </w:r>
      <w:r>
        <w:rPr>
          <w:rStyle w:val="FootnoteAnchor"/>
          <w:rtl w:val="true"/>
        </w:rPr>
        <w:footnoteReference w:id="67"/>
      </w:r>
      <w:r>
        <w:rPr>
          <w:rFonts w:ascii="IRNazanin" w:hAnsi="IRNazanin" w:eastAsia="IRNazanin"/>
          <w:color w:val="111111"/>
          <w:sz w:val="28"/>
          <w:sz w:val="28"/>
          <w:szCs w:val="28"/>
          <w:rtl w:val="true"/>
          <w:lang w:bidi="fa-IR"/>
        </w:rPr>
        <w:t>مطرح می‌کند در دست نبود، باز هم این فتوا صحیح بود؟</w:t>
      </w:r>
    </w:p>
    <w:p>
      <w:pPr>
        <w:pStyle w:val="BookText"/>
        <w:rPr/>
      </w:pPr>
      <w:r>
        <w:rPr>
          <w:rFonts w:ascii="IRNazanin" w:hAnsi="IRNazanin" w:eastAsia="IRNazanin"/>
          <w:color w:val="111111"/>
          <w:sz w:val="28"/>
          <w:sz w:val="28"/>
          <w:szCs w:val="28"/>
          <w:rtl w:val="true"/>
          <w:lang w:bidi="fa-IR"/>
        </w:rPr>
        <w:t>اگر بگوییم نفقه دینی است بر عهده‌ی زوج که باید به زوجه بپردازد نه این که یک حکم تکلیفی باشد، بلکه زوج مدیون است و اگر از عهده‌ی ادای این دین بر نیامد، طلبکار یعنی زوجه می‌تواند به اندازه‌ی طلبش از مال او به عنوان تقاص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عنوان و موضوع سرقت خارج خواهد بود و فتوا بر طبق قاعده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از کلمات چنین مطالبی استفاده نمی‌شود، هرچند در عبارت مرحوم صاحب جواهر</w:t>
      </w:r>
      <w:r>
        <w:rPr>
          <w:rStyle w:val="FootnoteAnchor"/>
          <w:rtl w:val="true"/>
        </w:rPr>
        <w:footnoteReference w:id="68"/>
      </w:r>
      <w:r>
        <w:rPr>
          <w:rFonts w:ascii="IRNazanin" w:hAnsi="IRNazanin" w:eastAsia="IRNazanin"/>
          <w:color w:val="111111"/>
          <w:sz w:val="28"/>
          <w:sz w:val="28"/>
          <w:szCs w:val="28"/>
          <w:rtl w:val="true"/>
          <w:lang w:bidi="fa-IR"/>
        </w:rPr>
        <w:t>به تقاص اشاره‌ای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مستند این فتوا همین روایت نبوی است که قصور سندی آن به عمل و فتوا بر طبقش جبران می‌گردد، هرچند محتمل است مستند فتوا قانون تقاص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مؤیّداتی که صاحب جواهر رحمه الله نقل کرده، صحیح نیست؛ زیرا،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بر سرقت در سال قحطی و مجاعه به سبب اضطرار، قطع دست نیست</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این تأیید مطابقتی با فتوای فقها ندارد؛ زیرا، فتوا را مقیّد به صورت اضطرار و نیاز زن نکرده‌اند، به‌گونه‌ای که زن بدون مال مسروقه نتواند به‌زندگی خود ادامه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از روایت نبوی بتوان چنین قیدی را فهمید، لیکن معنای سخن 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لایعطینی وولدی إلّاما آخذ منه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مال شخصی ندارم؛ راه دیگری برای ارتزاقم جز سرقت از مال ابوسفیان نیست؛ بلکه در مقام بیان این است که استیفای حقّم فقط از راه دزدی امکان دارد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روایاتی که در باب عامّ مجاعه وارد شده و حکم به عدم قطع در سال قحطی می‌کند، ارتباط آن چنانی به بحث ما ندارد؛ خواه مستند فقها روایت نبوی باشد یا عنوان تقاص، هیچ کدام مقیّد به ضرورت و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باید زن ناشزه نباشد تا نفقه‌اش بر شوهرش واجب باشد</w:t>
      </w:r>
      <w:r>
        <w:rPr>
          <w:rFonts w:eastAsia="IRNazanin" w:cs="IRNazanin"/>
          <w:color w:val="111111"/>
          <w:sz w:val="28"/>
          <w:szCs w:val="28"/>
          <w:rtl w:val="true"/>
          <w:lang w:bidi="fa-IR"/>
        </w:rPr>
        <w:t>.</w:t>
      </w:r>
      <w:bookmarkStart w:id="119" w:name="pg16923_220109"/>
    </w:p>
    <w:p>
      <w:pPr>
        <w:pStyle w:val="Heading5"/>
        <w:numPr>
          <w:ilvl w:val="4"/>
          <w:numId w:val="1"/>
        </w:numPr>
        <w:rPr/>
      </w:pPr>
      <w:bookmarkStart w:id="120" w:name="__RefHeading___Toc162159_3244359995"/>
      <w:bookmarkStart w:id="121" w:name="_Toc46"/>
      <w:bookmarkEnd w:id="119"/>
      <w:bookmarkEnd w:id="120"/>
      <w:r>
        <w:rPr>
          <w:rtl w:val="true"/>
        </w:rPr>
        <w:t>فرع چهارم</w:t>
      </w:r>
      <w:r>
        <w:rPr>
          <w:rtl w:val="true"/>
        </w:rPr>
        <w:t xml:space="preserve">: </w:t>
      </w:r>
      <w:r>
        <w:rPr>
          <w:rtl w:val="true"/>
        </w:rPr>
        <w:t>سرقت میهمان</w:t>
      </w:r>
      <w:bookmarkEnd w:id="121"/>
    </w:p>
    <w:p>
      <w:pPr>
        <w:pStyle w:val="BookText"/>
        <w:rPr/>
      </w:pPr>
      <w:r>
        <w:rPr>
          <w:rFonts w:ascii="IRNazanin" w:hAnsi="IRNazanin" w:eastAsia="IRNazanin"/>
          <w:color w:val="111111"/>
          <w:sz w:val="28"/>
          <w:sz w:val="28"/>
          <w:szCs w:val="28"/>
          <w:rtl w:val="true"/>
          <w:lang w:bidi="fa-IR"/>
        </w:rPr>
        <w:t xml:space="preserve">اگر میهمانی از منزل صاحب خانه سرقت کند، در صورتی که بعد از هتک حرز مالی را برده باشد که به حدّ نصاب بوده، دستش را می‌برند؛ ولی اگر از اموالی که در اختیار او است مانند فرش و ظرف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بردارد، سرقت با شرایطش محقّق نشده است و به همین دلیل، قطع دست جا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فرقی بین میهمان و غیر او در مسأله‌ی سرقت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تحقّق عنوان حرز، میهمان با غیر او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ظروف و وسائلی که در اختیار میهمان است چه‌بسا برای افراد اجنبی عنوان حرز داشته باشد، امّا برای او حرز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فقها با استناد به روایت صحیحه‌ای درصدد استثنای میهمان به‌طور کلّی از آیه‌ی سرقت بر آمده‌اند و خواسته‌اند حکم مطلقی رابرای او اثبات کنند؛ یعنی بر میهمان خواه از حرز سرقت کند یا از غیر آن، قطع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رحمه الله در کتاب نهایه</w:t>
      </w:r>
      <w:r>
        <w:rPr>
          <w:rStyle w:val="FootnoteAnchor"/>
          <w:rtl w:val="true"/>
        </w:rPr>
        <w:footnoteReference w:id="70"/>
      </w:r>
      <w:r>
        <w:rPr>
          <w:rFonts w:ascii="IRNazanin" w:hAnsi="IRNazanin" w:eastAsia="IRNazanin"/>
          <w:color w:val="111111"/>
          <w:sz w:val="28"/>
          <w:sz w:val="28"/>
          <w:szCs w:val="28"/>
          <w:rtl w:val="true"/>
          <w:lang w:bidi="fa-IR"/>
        </w:rPr>
        <w:t>به این مطلب فتوا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 را به مرحوم صدوق</w:t>
      </w:r>
      <w:r>
        <w:rPr>
          <w:rStyle w:val="FootnoteAnchor"/>
          <w:rtl w:val="true"/>
        </w:rPr>
        <w:footnoteReference w:id="71"/>
      </w:r>
      <w:r>
        <w:rPr>
          <w:rFonts w:ascii="IRNazanin" w:hAnsi="IRNazanin" w:eastAsia="IRNazanin"/>
          <w:color w:val="111111"/>
          <w:sz w:val="28"/>
          <w:sz w:val="28"/>
          <w:szCs w:val="28"/>
          <w:rtl w:val="true"/>
          <w:lang w:bidi="fa-IR"/>
        </w:rPr>
        <w:t>، ابن‌جنید رحمه الله</w:t>
      </w:r>
      <w:r>
        <w:rPr>
          <w:rStyle w:val="FootnoteAnchor"/>
          <w:rtl w:val="true"/>
        </w:rPr>
        <w:footnoteReference w:id="72"/>
      </w:r>
      <w:r>
        <w:rPr>
          <w:rFonts w:ascii="IRNazanin" w:hAnsi="IRNazanin" w:eastAsia="IRNazanin"/>
          <w:color w:val="111111"/>
          <w:sz w:val="28"/>
          <w:sz w:val="28"/>
          <w:szCs w:val="28"/>
          <w:rtl w:val="true"/>
          <w:lang w:bidi="fa-IR"/>
        </w:rPr>
        <w:t>و مرحوم ابن ادریس</w:t>
      </w:r>
      <w:r>
        <w:rPr>
          <w:rStyle w:val="FootnoteAnchor"/>
          <w:rtl w:val="true"/>
        </w:rPr>
        <w:footnoteReference w:id="73"/>
      </w:r>
      <w:r>
        <w:rPr>
          <w:rFonts w:ascii="IRNazanin" w:hAnsi="IRNazanin" w:eastAsia="IRNazanin"/>
          <w:color w:val="111111"/>
          <w:sz w:val="28"/>
          <w:sz w:val="28"/>
          <w:szCs w:val="28"/>
          <w:rtl w:val="true"/>
          <w:lang w:bidi="fa-IR"/>
        </w:rPr>
        <w:t>نسبت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ظاهر عبارت شیخ صدوق و اسکافی رحمهما الله بیانگر اطلاق حکم به عدم قطع دست میهمان است، لیکن تعلیلی که در ذیل کلامشان آورده‌اند، بر همان تفصیل قوم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ابن‌ادریس رحمه الله در صدر و ذیل مبتلا به تناقض است و اضطراب شدیدی در آن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دست دزد در حالتی بریده می‌شود و در حالتی قطع نمی‌شود، یعنی او همانند سارقان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شرایط اقامه‌ی حدّ را دارا بود، دستش قطع می‌شود؛ وگرنه دست او را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خصوصیّت و امتیازی برای میهمان قائل شده‌ایم؟</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ادامه‌ی مطلب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برای میهمان امتیاز قائل شویم، بر</w:t>
      </w:r>
    </w:p>
    <w:p>
      <w:pPr>
        <w:pStyle w:val="BookText"/>
        <w:rPr/>
      </w:pPr>
      <w:r>
        <w:rPr>
          <w:rFonts w:ascii="IRNazanin" w:hAnsi="IRNazanin" w:eastAsia="IRNazanin"/>
          <w:color w:val="111111"/>
          <w:sz w:val="28"/>
          <w:sz w:val="28"/>
          <w:szCs w:val="28"/>
          <w:rtl w:val="true"/>
          <w:lang w:bidi="fa-IR"/>
        </w:rPr>
        <w:t>خلاف کتاب و سنّت رفتار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فقط یک خصوصیت دارد، و آن این که حرزی که نسبت به اجنبی محقّق است، نسبت به میهمان در اشیا و وسائلی که در اختیارش هست، تحقّق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تناقض صریح و آشکار در عبارت مرحوم ابن ادریس، تنها فردی که به عنوان مخالف در مسأله می‌توان معرّفی کرد، شیخ طوسی رحمه الله در کتاب نهایه است؛ و این کتاب متن روایات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به بررسی روایت وارد در این موضوع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عن عدّة من أصحابنا، عن سهل بن زیاد، وعن علیّ بن إبراهیم، عن أبیه جمیعاً، عن ابن محبوب، عن علیّ بن رئاب، عن محمّد بن قیس،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الضّیف إذا سرق لم یقطع، وإذا أضاف الضّیف ضیفاً فسرق قطع ضیف الضّیف</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رحمه الله روایت را با دو سند نقل کرده، که یکی از آن‌ها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میهمان دزدی کند، دستش را نمی‌برند؛ و اگر میهمان میهمان دزدی کرد، دستش را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روایت دلالت بر عدم قطع دست در صورت شرایط اقامه‌ی حدّ دارد؛ یعنی اگر تمام شرایط موجود بود، هتک حرز کرده و به اندازه‌ی نصاب بُرده باشد، باز دستش قطع نمی‌گردد؛ امّا اگر میهمانِ میهمان چیزی را سرقت کرد، دستش را می‌برند؛ زیرا، ارتباطی با صاحب خانه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باید با روایت موثّقه‌ی سماعه سنجید، در آن روایت، امام علیه السلام فرمود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الأجیر والضیف امناء لیس یقع علیهم حدّ السرقة</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از آن‌جا که اجیر و میهمان امین هستند، حدّ سرقت بر آنان واقع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محمّد بن قیس، حکم را بیان می‌کند و این روایت، وجه و نکته‌ی آن را؛ یعنی حاصل جمع دو روایت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سرق الضیف لم یقطع، لأنّه أمین، لأنّه مؤتمن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بحث‌های گذشته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قطع دست مربوط به</w:t>
      </w:r>
    </w:p>
    <w:p>
      <w:pPr>
        <w:pStyle w:val="BookText"/>
        <w:rPr/>
      </w:pPr>
      <w:r>
        <w:rPr>
          <w:rFonts w:ascii="IRNazanin" w:hAnsi="IRNazanin" w:eastAsia="IRNazanin"/>
          <w:color w:val="111111"/>
          <w:sz w:val="28"/>
          <w:sz w:val="28"/>
          <w:szCs w:val="28"/>
          <w:rtl w:val="true"/>
          <w:lang w:bidi="fa-IR"/>
        </w:rPr>
        <w:t>اموری است که در رابطه‌ی با آن‌ها برای میهمان حرزی قرار نداده‌اند؛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ظاهری؛ لیکن نسبت به چیزهایی که داخل گنجه یا صندوق است و قفل دارد، و میهمان آن قفل را می‌شکند و می‌برد، امین و مؤتمن نبوده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صحیحه‌ی محمّد بن قیس را داشتیم،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آیه‌ی وَالسَّارِقُ وَ السَّارِقَةُ فَاقْطَعُواْ أَیْدِیَهُمَا</w:t>
      </w:r>
      <w:r>
        <w:rPr>
          <w:rStyle w:val="FootnoteAnchor"/>
          <w:rtl w:val="true"/>
        </w:rPr>
        <w:footnoteReference w:id="76"/>
      </w:r>
      <w:r>
        <w:rPr>
          <w:rFonts w:ascii="IRNazanin" w:hAnsi="IRNazanin" w:eastAsia="IRNazanin"/>
          <w:color w:val="111111"/>
          <w:sz w:val="28"/>
          <w:sz w:val="28"/>
          <w:szCs w:val="28"/>
          <w:rtl w:val="true"/>
          <w:lang w:bidi="fa-IR"/>
        </w:rPr>
        <w:t>همان طور که نسبت به سرقت پدر تخصیص خورد، نسبت به سرقت میهمان نیز تخصیص می‌خورد؛ امّا با وجود روایات دیگری که حکم را بیان می‌کند، به مختار مشهور فتوا می‌دهیم</w:t>
      </w:r>
      <w:r>
        <w:rPr>
          <w:rFonts w:eastAsia="IRNazanin" w:cs="IRNazanin"/>
          <w:color w:val="111111"/>
          <w:sz w:val="28"/>
          <w:szCs w:val="28"/>
          <w:rtl w:val="true"/>
          <w:lang w:bidi="fa-IR"/>
        </w:rPr>
        <w:t>.</w:t>
      </w:r>
      <w:bookmarkStart w:id="122" w:name="pg16923_220112"/>
    </w:p>
    <w:p>
      <w:pPr>
        <w:pStyle w:val="BookText"/>
        <w:rPr/>
      </w:pPr>
      <w:bookmarkEnd w:id="1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المالک والآخذ فی السرقة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لوأخرج متاعاً من حرز، وادّعی صاحب الحرز أنّه سرقة، وقال المخرج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لی فی إخراجه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الحدّ إلّاأن تقوم البیّنة بالسرقة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وأنکر صاحب المنزل فالقول وإن کان قول صاحب المنزل بیمینه وأخذ المال من المخرج بعد الیمین لکن لا یقطع</w:t>
      </w:r>
      <w:r>
        <w:rPr>
          <w:rFonts w:eastAsia="IRNazanin" w:cs="IRNazanin"/>
          <w:color w:val="111111"/>
          <w:sz w:val="28"/>
          <w:szCs w:val="28"/>
          <w:rtl w:val="true"/>
          <w:lang w:bidi="fa-IR"/>
        </w:rPr>
        <w:t>.]</w:t>
      </w:r>
    </w:p>
    <w:p>
      <w:pPr>
        <w:pStyle w:val="Heading4"/>
        <w:numPr>
          <w:ilvl w:val="3"/>
          <w:numId w:val="1"/>
        </w:numPr>
        <w:rPr/>
      </w:pPr>
      <w:bookmarkStart w:id="123" w:name="__RefHeading___Toc162161_3244359995"/>
      <w:bookmarkStart w:id="124" w:name="_Toc47"/>
      <w:bookmarkEnd w:id="123"/>
      <w:r>
        <w:rPr>
          <w:rtl w:val="true"/>
        </w:rPr>
        <w:t>اختلاف مالک و آخذ در سرقت</w:t>
      </w:r>
      <w:bookmarkEnd w:id="124"/>
    </w:p>
    <w:p>
      <w:pPr>
        <w:pStyle w:val="BookText"/>
        <w:rPr/>
      </w:pPr>
      <w:r>
        <w:rPr>
          <w:rFonts w:ascii="IRNazanin" w:hAnsi="IRNazanin" w:eastAsia="IRNazanin"/>
          <w:color w:val="111111"/>
          <w:sz w:val="28"/>
          <w:sz w:val="28"/>
          <w:szCs w:val="28"/>
          <w:rtl w:val="true"/>
          <w:lang w:bidi="fa-IR"/>
        </w:rPr>
        <w:t>اگر شخصی مالی را از حرز بیرون آورد، امّا بین او و صاحب حرز و منزل اختلاف شد، صاحب منزل ادّعا می‌کند که این فرد به عنوان سرقت و دزدی مال را برده است و من به او اجازه‌ای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خارج‌کننده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بخشید یا به من اجازه‌ی اخراجش را داد، یا مال خودم بود که از آن‌جا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عنوان سرقت محقّق نیست و نباید دست مُخرِج را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اگر بین صاحب حرز و آخذ در تحقّق عنوان سرقت و عدم آن اختلاف بود، وظیفه‌ی حاکم شرع در چنین اختلافی چیست؟</w:t>
      </w:r>
    </w:p>
    <w:p>
      <w:pPr>
        <w:pStyle w:val="BookText"/>
        <w:rPr/>
      </w:pPr>
      <w:r>
        <w:rPr>
          <w:rFonts w:ascii="IRNazanin" w:hAnsi="IRNazanin" w:eastAsia="IRNazanin"/>
          <w:color w:val="111111"/>
          <w:sz w:val="28"/>
          <w:sz w:val="28"/>
          <w:szCs w:val="28"/>
          <w:rtl w:val="true"/>
          <w:lang w:bidi="fa-IR"/>
        </w:rPr>
        <w:t>اگر صاحب حرز بیّنه‌ای بر وقوع سرقت اقامه کرد، حاکم شرع بر طبق بیّنه حکم می‌کند؛ و یکی از آثار اقامه‌ی بیّنه بر سرقت، قطع دست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اقامه‌ی بیّنه بر سرقت به جهت این نیست که صاحب منزل مدّعی سرقت است و هر مدّعی نیاز به بیّنه دارد، بلکه از جهت این است که حاکم شرع احتمال سرقت می‌دهد و تا زمانی که سرقت ثابت نشود، نمی‌تواند بر آن احتمال، اثری بار کند؛ ولی پس از اقامه‌ی بیّنه، سرقت اثبات شده و حکمش مترتّب می‌گردد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فقدان بیّنه بر تحقّق سرقت در هر سه صورت، آخذ مال و خارج‌کننده آن، مدّعی و صاحب حرز، منکر محسوب می‌شود؛ زیرا، او مدّعی هبه، یا اذن و یا ملکیّت است و در کتاب قضا این مطلب مبرهن است که اگر مالی در دست کسی باشد و دیگری ادّعا کند متعلّق به من است، باید بر ادّعایش بیّنه اقامه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مدّعی در هر یک از این سه فرض، بر دعوایش بیّنه آورد، بحثی نیست؛ زیرا، با اقامه‌ی بیّنه بر هبه یا اخراج و یا ملکیّت، سرقت معنا ندارد تا حدّش اقامه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مدّعی بیّنه نداشت، منکر بر عدم اذن یا هبه یا ملکیّت قسم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آن مال را به منکر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است که آیا با قسم منکر سرقت ثابت می‌شود؟</w:t>
      </w:r>
    </w:p>
    <w:p>
      <w:pPr>
        <w:pStyle w:val="BookText"/>
        <w:rPr/>
      </w:pPr>
      <w:r>
        <w:rPr>
          <w:rFonts w:ascii="IRNazanin" w:hAnsi="IRNazanin" w:eastAsia="IRNazanin"/>
          <w:color w:val="111111"/>
          <w:sz w:val="28"/>
          <w:sz w:val="28"/>
          <w:szCs w:val="28"/>
          <w:rtl w:val="true"/>
          <w:lang w:bidi="fa-IR"/>
        </w:rPr>
        <w:t>امام راحل رحمه الله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قسم، سرقت ثابت نمی‌گردد تا حدّش مترتّب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اثبات سرقت، قسم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که بر قسم منکر مترتّب است، اخذ مال از مدّعی و تحویل آن به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قسم را به عنوان یک راه تعبّدی برای فصل خصومت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حرز قسم می‌خورد بر نفی آن‌چه مدّعی ادّعا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خارج‌کننده مال مدّعی هبه است، و مالک قسم می‌خورد که هبه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ادّعا می‌کند صاحب منزل به من در اخراج این مال اجازه داد، مالک بر عدم اذن قسم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متعلّق قسم، سرقت نیست تا سرقتی با آن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ثبوت سرقت با قسم، صاحب منزل مدّعی سرقت است و مُخرج مال منکر آن، یعنی جای مدّعی و منکر عوض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بنا بر فتوا، قسم متوجّه صاحب حرز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اثر قسم نفی ادّعای مدّعی است؛ یعنی نفی هبه، عدم اذن به اخراج، و مالِ آخذ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نفی این امور، ذوالید بودن اقتضا دارد که آن مال از آخذ گرفته شود و به صاحب حرز رد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پس از قسم صاحب حرز، حاکم شرع احتمال سرقت می‌دهد و این احتمال تا زمانی که به مرحله‌ی اثبات نرسد، احتمال است؛ و بر آن اثری مترتّب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یکی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 تدرأ بالشبهات</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صحیحه‌ی حلبی نیز بر آن‌چه قاعده اقتضا می‌کند دلالت دارد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عن علیّ بن إبراهیم، عن أبیه، عن ابن أبی عمیر، عن حمّاد، عن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رجل نقب بیتاً فاخذ قبل</w:t>
      </w:r>
      <w:bookmarkStart w:id="125" w:name="pg16923_220114"/>
    </w:p>
    <w:p>
      <w:pPr>
        <w:pStyle w:val="BookText"/>
        <w:rPr/>
      </w:pPr>
      <w:bookmarkEnd w:id="125"/>
      <w:r>
        <w:rPr>
          <w:rFonts w:ascii="IRNazanin" w:hAnsi="IRNazanin" w:eastAsia="IRNazanin"/>
          <w:color w:val="111111"/>
          <w:sz w:val="28"/>
          <w:sz w:val="28"/>
          <w:szCs w:val="28"/>
          <w:rtl w:val="true"/>
          <w:lang w:bidi="fa-IR"/>
        </w:rPr>
        <w:t>أن یصل إلی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یعاقب، فإن اخذ وقد أخرج متاعاً فعلیه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رجل أخذوه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حمل کارة من ثیاب،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البیت أعطانیها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یدرأ عنه القطع إلّاأن تقوم علیه بیّنة، فإن قامت البیّنة علیه قطع</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نقبی به منزلی زد تا اموالش را به سرقت بَرَد، امّا قبل از آن که موفّق به سرقت گردد،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حکمش چیست؟</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تعزیر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حالی دستگیر شد که کالایی را از آن‌جا بیرون آورده بود، دستش قطع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دستگیر کردند در حالی که عدل پارچه‌ای بر دوشش بود، او ادّعا می‌کند صاحب خانه این پارچه‌ها را به من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حکمش چیست؟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دست از او برداشته می‌شود؛ مگر آن که بیّنه قائم گردد؛ که در آن صورت دستش را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آخذ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صاحب‌خانه پارچه‌ها را به من بخشیده است،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قطع نمی‌کنند، خواه صاحب‌خانه او را تأیید 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صورت انکار صاحب‌خانه را نیز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 دست به صورت اقامه‌ی بیّنه منحصر می‌شود؛ و برای قَسَم صاحب‌خانه و عدمش اثری نیست</w:t>
      </w:r>
      <w:r>
        <w:rPr>
          <w:rFonts w:eastAsia="IRNazanin" w:cs="IRNazanin"/>
          <w:color w:val="111111"/>
          <w:sz w:val="28"/>
          <w:szCs w:val="28"/>
          <w:rtl w:val="true"/>
          <w:lang w:bidi="fa-IR"/>
        </w:rPr>
        <w:t>.</w:t>
      </w:r>
    </w:p>
    <w:p>
      <w:pPr>
        <w:pStyle w:val="Heading4"/>
        <w:numPr>
          <w:ilvl w:val="3"/>
          <w:numId w:val="1"/>
        </w:numPr>
        <w:rPr/>
      </w:pPr>
      <w:bookmarkStart w:id="126" w:name="__RefHeading___Toc162163_3244359995"/>
      <w:bookmarkStart w:id="127" w:name="_Toc48"/>
      <w:bookmarkEnd w:id="126"/>
      <w:r>
        <w:rPr>
          <w:rtl w:val="true"/>
        </w:rPr>
        <w:t>سکوت مُخرِج همراه با احتمال عدم سرقت</w:t>
      </w:r>
      <w:bookmarkEnd w:id="12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بیرون‌آورنده‌ی مال هیچ ادّعایی نکند، ولی حاکم شرع احتمال می‌دهد اخراجش به سبب هبه‌ی صاحب حرز یا اذن او باشد، یا به علّت این است که مالِ خود آخذ است، آیا در این صورت نیز حدّ قطع ساقط می‌گردد؟ آیا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 تدرأ بالشبهات</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جریان دارد؟</w:t>
      </w:r>
    </w:p>
    <w:p>
      <w:pPr>
        <w:pStyle w:val="BookText"/>
        <w:rPr/>
      </w:pPr>
      <w:r>
        <w:rPr>
          <w:rFonts w:ascii="IRNazanin" w:hAnsi="IRNazanin" w:eastAsia="IRNazanin"/>
          <w:color w:val="111111"/>
          <w:sz w:val="28"/>
          <w:sz w:val="28"/>
          <w:szCs w:val="28"/>
          <w:rtl w:val="true"/>
          <w:lang w:bidi="fa-IR"/>
        </w:rPr>
        <w:t>به دیگر سخن، مورد صحیحه‌ی حلبی جایی است که آخذ ادّعا می‌کند صاحب منزل این کالا را به من بخشیده است، آیا این ادّعا در سقوط حدّ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صرف احتمال، سبب سقوط حدّ می‌شود؛ همین مقدار که احتمال عدم سرقت داده شود، حدّ ساقط می‌گردد؟</w:t>
      </w:r>
    </w:p>
    <w:p>
      <w:pPr>
        <w:pStyle w:val="BookText"/>
        <w:rPr/>
      </w:pPr>
      <w:r>
        <w:rPr>
          <w:rFonts w:ascii="IRNazanin" w:hAnsi="IRNazanin" w:eastAsia="IRNazanin"/>
          <w:color w:val="111111"/>
          <w:sz w:val="28"/>
          <w:sz w:val="28"/>
          <w:szCs w:val="28"/>
          <w:rtl w:val="true"/>
          <w:lang w:bidi="fa-IR"/>
        </w:rPr>
        <w:t>به عبارت سوّم، اگر بیّنه بر تحقّق سرقت قائم شد، بحثی در اجرای حدّ نیست؛ لیکن اگر کسی شبانه وارد حرزی شد و فرشی را از آن‌جا بیرون آورد، بیّنه‌ای هم بر سرقت اقامه نشد و در فعل این فرد احتمال سرقت و عدم آن راه داشت، او نیز هیچ ادّعایی نمی‌کند ولی حاکم شرع احتمال می‌دهد اخراج مال به جهت سرقت نباشد، در این صورت نیز حدّ برداشته می‌شود؛ زیرا، سرقت به راه‌های خاصی ثابت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عدم آن طرق و عدمش، قسم صاحب‌خانه و عدمش، هیچ اثری در ثبوت سرقت نیست؛ از این رو، اگر پنجاه نفر غیر عادل بر سرقتی شهادت دادند ولی برای حاکم شرع علم پیدا نشد، حقّ اجرای حدّ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صحیحه‌ی حلبی</w:t>
      </w:r>
      <w:r>
        <w:rPr>
          <w:rStyle w:val="FootnoteAnchor"/>
          <w:rtl w:val="true"/>
        </w:rPr>
        <w:footnoteReference w:id="80"/>
      </w:r>
      <w:r>
        <w:rPr>
          <w:rFonts w:ascii="IRNazanin" w:hAnsi="IRNazanin" w:eastAsia="IRNazanin"/>
          <w:color w:val="111111"/>
          <w:sz w:val="28"/>
          <w:sz w:val="28"/>
          <w:szCs w:val="28"/>
          <w:rtl w:val="true"/>
          <w:lang w:bidi="fa-IR"/>
        </w:rPr>
        <w:t>ثبوت حدّ را در اقامه‌ی بیّنه منحصر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که بیّنه وجود ندارد ادّعای صاحب‌خانه یا مُخرِج نقشی در ثبوت و عدم ثبوت سرقت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در روایت، عرفی‌تر از احتمال دخالت ادّعای مخرج در سقوط حدّ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چیزی که در مسأله نقش دارد، قیام بیّنه بر سرقت و عدم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اخراج با ادّعای مخرج نیز توأم نباشد، به مقتضای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 تدرأ بالشبهات</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و با تأمّل در صحیحه‌ی حلبی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مسأله‌ی قطع راه ندارد</w:t>
      </w:r>
      <w:r>
        <w:rPr>
          <w:rFonts w:eastAsia="IRNazanin" w:cs="IRNazanin"/>
          <w:color w:val="111111"/>
          <w:sz w:val="28"/>
          <w:szCs w:val="28"/>
          <w:rtl w:val="true"/>
          <w:lang w:bidi="fa-IR"/>
        </w:rPr>
        <w:t>.</w:t>
      </w:r>
      <w:bookmarkStart w:id="128" w:name="pg16923_220116"/>
    </w:p>
    <w:p>
      <w:pPr>
        <w:pStyle w:val="Heading3"/>
        <w:numPr>
          <w:ilvl w:val="2"/>
          <w:numId w:val="1"/>
        </w:numPr>
        <w:rPr/>
      </w:pPr>
      <w:bookmarkStart w:id="129" w:name="__RefHeading___Toc162165_3244359995"/>
      <w:bookmarkStart w:id="130" w:name="_Toc49"/>
      <w:bookmarkEnd w:id="128"/>
      <w:bookmarkEnd w:id="129"/>
      <w:r>
        <w:rPr>
          <w:rtl w:val="true"/>
        </w:rPr>
        <w:t>فصل دوّم</w:t>
      </w:r>
      <w:r>
        <w:rPr>
          <w:rtl w:val="true"/>
        </w:rPr>
        <w:t xml:space="preserve">: </w:t>
      </w:r>
      <w:r>
        <w:rPr>
          <w:rtl w:val="true"/>
        </w:rPr>
        <w:t>خصوصیّات مال مسروقه</w:t>
      </w:r>
      <w:bookmarkEnd w:id="13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1" w:name="__RefHeading___Toc162167_3244359995"/>
      <w:bookmarkStart w:id="132" w:name="_Toc50"/>
      <w:bookmarkEnd w:id="131"/>
      <w:r>
        <w:rPr>
          <w:rtl w:val="true"/>
        </w:rPr>
        <w:t>اشاره</w:t>
      </w:r>
      <w:bookmarkStart w:id="133" w:name="pg16923_220118"/>
      <w:bookmarkEnd w:id="132"/>
    </w:p>
    <w:p>
      <w:pPr>
        <w:pStyle w:val="BookText"/>
        <w:rPr/>
      </w:pPr>
      <w:bookmarkEnd w:id="1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 قطع الید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 القطع ما بلغ ربع دینار ذهباً خالصاً مضروباً علیه السکّة، أو ما بلغ قیمته ربع دینار کذائی من الألبسة والمعادن والفواکه والأطمعة رطبة کانت أو لا، کان أصله إلاباحة لجمیع النّاس أو لا، کان ممّا یسرع إلیه الفساد کالخضروات والفواکه الرطبة ونحوها أو لا، وبالجملة کلّ مال یملکه المسلم إذا بلغ الحدّ ففیه القطع حتّی الطیر وحجارة الرخام</w:t>
      </w:r>
      <w:r>
        <w:rPr>
          <w:rFonts w:eastAsia="IRNazanin" w:cs="IRNazanin"/>
          <w:color w:val="111111"/>
          <w:sz w:val="28"/>
          <w:szCs w:val="28"/>
          <w:rtl w:val="true"/>
          <w:lang w:bidi="fa-IR"/>
        </w:rPr>
        <w:t>.]</w:t>
      </w:r>
    </w:p>
    <w:p>
      <w:pPr>
        <w:pStyle w:val="Heading4"/>
        <w:numPr>
          <w:ilvl w:val="3"/>
          <w:numId w:val="1"/>
        </w:numPr>
        <w:rPr/>
      </w:pPr>
      <w:bookmarkStart w:id="134" w:name="__RefHeading___Toc162169_3244359995"/>
      <w:bookmarkStart w:id="135" w:name="_Toc51"/>
      <w:bookmarkEnd w:id="134"/>
      <w:r>
        <w:rPr>
          <w:rtl w:val="true"/>
        </w:rPr>
        <w:t>نصاب قطع دست</w:t>
      </w:r>
      <w:bookmarkEnd w:id="135"/>
    </w:p>
    <w:p>
      <w:pPr>
        <w:pStyle w:val="Heading5"/>
        <w:numPr>
          <w:ilvl w:val="4"/>
          <w:numId w:val="1"/>
        </w:numPr>
        <w:rPr/>
      </w:pPr>
      <w:bookmarkStart w:id="136" w:name="__RefHeading___Toc162171_3244359995"/>
      <w:bookmarkStart w:id="137" w:name="_Toc52"/>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یکی از شرایط ثبوت حدّ قطع بر سارق، وصول مال مسروقه به حدّ نصاب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مال مسروقه طلا باشد، نصاب قطع دست، ربع دینار طلای خالص سکّه‌دار خواهد بود؛ و اگر غیر آن باشد، باید قیمتش به اندازه‌ی قیمت ربع دینار طلای خالص سکّه‌دار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جهت، فرقی بین انواع و اقسام مال مسروقه نیست؛ لذا، مال مسروقه می‌تواند از قبیل لباس یا اشیاء معدنی یا میوه و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و تازه آن یا خشکبارش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چیزی که در اصل برای همه‌ی مردم مباح است یا غیر آن، چیزی که تباهی و فساد بر آن سریع باشد مانند سبزی‌ها و میوه‌های تازه یا غیر آن باشد؛ و به‌طور خلاصه، هر چیزی که در ملکیّت مسلمان باشد، مانند پرنده و سنگ مرمر اگر قیمتش به حدّ نصاب برسد، بر سرقت آن درصورت تحقّق شرایط دیگر، قطع دست مترتّب می‌گردد</w:t>
      </w:r>
      <w:r>
        <w:rPr>
          <w:rFonts w:eastAsia="IRNazanin" w:cs="IRNazanin"/>
          <w:color w:val="111111"/>
          <w:sz w:val="28"/>
          <w:szCs w:val="28"/>
          <w:rtl w:val="true"/>
          <w:lang w:bidi="fa-IR"/>
        </w:rPr>
        <w:t>.</w:t>
      </w:r>
    </w:p>
    <w:p>
      <w:pPr>
        <w:pStyle w:val="Heading5"/>
        <w:numPr>
          <w:ilvl w:val="4"/>
          <w:numId w:val="1"/>
        </w:numPr>
        <w:rPr/>
      </w:pPr>
      <w:bookmarkStart w:id="138" w:name="__RefHeading___Toc162173_3244359995"/>
      <w:bookmarkStart w:id="139" w:name="_Toc53"/>
      <w:bookmarkEnd w:id="138"/>
      <w:r>
        <w:rPr>
          <w:rtl w:val="true"/>
        </w:rPr>
        <w:t>اقوال فقها در مسأله</w:t>
      </w:r>
      <w:bookmarkEnd w:id="13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خصوصیّات مهمّی که در مال مسروقه برای تحقّق حدّ سرقت لازم است، رسیدن مال مسروقه به حدّ نصاب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حدّ نصاب برای ترتّب حدّ بین تمام فقهای شیعه و سنّی اتّفاقی است؛ و هیچ یک از فقهای اسلام حدّ را بر مطلق سرقت نگفته‌اند؛ احتمالش را هم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اندازه‌ی نصاب بین شیعه و سنّی و حتّی بین فقهای امامیّه اختلاف است؛ لیکن اصل نصاب اتّفاقی است</w:t>
      </w:r>
      <w:r>
        <w:rPr>
          <w:rFonts w:eastAsia="IRNazanin" w:cs="IRNazanin"/>
          <w:color w:val="111111"/>
          <w:sz w:val="28"/>
          <w:szCs w:val="28"/>
          <w:rtl w:val="true"/>
          <w:lang w:bidi="fa-IR"/>
        </w:rPr>
        <w:t>.</w:t>
      </w:r>
      <w:r>
        <w:rPr>
          <w:rStyle w:val="FootnoteAnchor"/>
          <w:rtl w:val="true"/>
        </w:rPr>
        <w:footnoteReference w:id="82"/>
      </w:r>
      <w:bookmarkStart w:id="140" w:name="pg16923_220119"/>
    </w:p>
    <w:p>
      <w:pPr>
        <w:pStyle w:val="BookText"/>
        <w:rPr/>
      </w:pPr>
      <w:bookmarkEnd w:id="140"/>
      <w:r>
        <w:rPr>
          <w:rFonts w:ascii="IRNazanin" w:hAnsi="IRNazanin" w:eastAsia="IRNazanin"/>
          <w:color w:val="111111"/>
          <w:sz w:val="28"/>
          <w:sz w:val="28"/>
          <w:szCs w:val="28"/>
          <w:rtl w:val="true"/>
          <w:lang w:bidi="fa-IR"/>
        </w:rPr>
        <w:t>مشهور از فقهای شیعه و سنّی حدّ نصاب را یک ربع دینار از طلای خالص مسکوک گفته‌اند؛ در صورتی که مال مسروقه طلای خالص سکّه‌دار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قیمت یک ربع دینار طلای خالص مسکوک، اگر مال مسروقه غیرآن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سرقت کمتر از این مقدار، حدّ قطع مترتّب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شیخ صدوق رحمه الله</w:t>
      </w:r>
      <w:r>
        <w:rPr>
          <w:rStyle w:val="FootnoteAnchor"/>
          <w:rtl w:val="true"/>
        </w:rPr>
        <w:footnoteReference w:id="83"/>
      </w:r>
      <w:r>
        <w:rPr>
          <w:rFonts w:ascii="IRNazanin" w:hAnsi="IRNazanin" w:eastAsia="IRNazanin"/>
          <w:color w:val="111111"/>
          <w:sz w:val="28"/>
          <w:sz w:val="28"/>
          <w:szCs w:val="28"/>
          <w:rtl w:val="true"/>
          <w:lang w:bidi="fa-IR"/>
        </w:rPr>
        <w:t>و برخی از متأخّران</w:t>
      </w:r>
      <w:r>
        <w:rPr>
          <w:rStyle w:val="FootnoteAnchor"/>
          <w:rtl w:val="true"/>
        </w:rPr>
        <w:footnoteReference w:id="84"/>
      </w:r>
      <w:r>
        <w:rPr>
          <w:rFonts w:ascii="IRNazanin" w:hAnsi="IRNazanin" w:eastAsia="IRNazanin"/>
          <w:color w:val="111111"/>
          <w:sz w:val="28"/>
          <w:sz w:val="28"/>
          <w:szCs w:val="28"/>
          <w:rtl w:val="true"/>
          <w:lang w:bidi="fa-IR"/>
        </w:rPr>
        <w:t>نصاب را خُمس دینار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عمّانی</w:t>
      </w:r>
      <w:r>
        <w:rPr>
          <w:rStyle w:val="FootnoteAnchor"/>
          <w:rtl w:val="true"/>
        </w:rPr>
        <w:footnoteReference w:id="85"/>
      </w:r>
      <w:r>
        <w:rPr>
          <w:rFonts w:ascii="IRNazanin" w:hAnsi="IRNazanin" w:eastAsia="IRNazanin"/>
          <w:color w:val="111111"/>
          <w:sz w:val="28"/>
          <w:sz w:val="28"/>
          <w:szCs w:val="28"/>
          <w:rtl w:val="true"/>
          <w:lang w:bidi="fa-IR"/>
        </w:rPr>
        <w:t>آن را یک دینار کامل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روایاتی که در این مورد رسیده را می‌توان به پنج طایفه‌ی زیر تقسیم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بر قول مشهور یعنی رُبع دینار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مستند قول صدوق رحمه الله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مدرک فتوای عمّانی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نصاب را ثلث دینار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نصاب را دو درهم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این روایات را به قول صدوق رحمه الله یعنی خُمس دینار برگردانیم؛ زیرا، در زمان صدور روایات هر دینار با ده درهم برابری می کرد؛ لذا، دو درهم، خُمس دینار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این مطلب را قبول نکند و بگوید، در زمان‌های مختلف قیمت درهم و دینار بالا و پایین می‌رفته است، و باید بر عنوان دو درهم توقّف کرد، در این صورت، روایات ما پنج طایفه خواهد بود که باید یک یک آن‌ها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جمع بین آن‌ها بپردازیم و به نتیجه‌ای که به دست می‌آید ملتزم گردیم</w:t>
      </w:r>
      <w:r>
        <w:rPr>
          <w:rFonts w:eastAsia="IRNazanin" w:cs="IRNazanin"/>
          <w:color w:val="111111"/>
          <w:sz w:val="28"/>
          <w:szCs w:val="28"/>
          <w:rtl w:val="true"/>
          <w:lang w:bidi="fa-IR"/>
        </w:rPr>
        <w:t>.</w:t>
      </w:r>
    </w:p>
    <w:p>
      <w:pPr>
        <w:pStyle w:val="Heading5"/>
        <w:numPr>
          <w:ilvl w:val="4"/>
          <w:numId w:val="1"/>
        </w:numPr>
        <w:rPr/>
      </w:pPr>
      <w:bookmarkStart w:id="141" w:name="__RefHeading___Toc162175_3244359995"/>
      <w:bookmarkStart w:id="142" w:name="_Toc54"/>
      <w:bookmarkEnd w:id="141"/>
      <w:r>
        <w:rPr>
          <w:rtl w:val="true"/>
        </w:rPr>
        <w:t>بررسی روایات دالّ بر ربع دینار</w:t>
      </w:r>
      <w:bookmarkEnd w:id="1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قطع إلّافی ربع دینار</w:t>
      </w:r>
      <w:r>
        <w:rPr>
          <w:rFonts w:eastAsia="IRNazanin" w:cs="IRNazanin"/>
          <w:color w:val="111111"/>
          <w:sz w:val="28"/>
          <w:szCs w:val="28"/>
          <w:rtl w:val="true"/>
          <w:lang w:bidi="fa-IR"/>
        </w:rPr>
        <w:t>.</w:t>
      </w:r>
      <w:r>
        <w:rPr>
          <w:rStyle w:val="FootnoteAnchor"/>
          <w:rtl w:val="true"/>
        </w:rPr>
        <w:footnoteReference w:id="86"/>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اهل سنت مدّعی صدور این روایت به نحو جزم از رسول خدا صلی الله علیه و آله</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روایت عدم قطع در سرقت کمتر از ربع دینار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محمّد بن یحیی، عن أحمد بن محمّد، عن ابن محبوب، عن أبی أیّوب،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عبداللَّه علیه السلام فی کم یقطع السّارق؟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ربع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درهمین؟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ربع دینار بلغ الدّینار ما 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من سرق أقلّ من ربع دینار هل یقع علیه حین سرق إسم السارق؟ وهل هو عنداللَّه سارق؟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سرق من مسلم شیئاً قد حواه وأحرزه فهو یقع علیه إسم السارق وهو عند اللَّه سارق، ولکن لا یقطع إلّا فی ربع دینار أو أکثر، ولو قطعت أیدی السّراق فیما أقلّ هو من ربع دینار لألقیت عامّة النّاس مقطّعین</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صحیحه، محمّد بن مسلم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اندازه از سرقت مال، دست دزد را می‌بُرند؟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رُبع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درهم چگونه؟</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دو درهم کاری نداریم؛ قطع در ربع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هر قیمتی داشته باشد تفاوت ندارد؛ خواه با ده درهم برابری کند یا کمتر یا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درهم به اندازه‌ی ربع دینار بود، قطع هست والّا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کمتر از ربع دینار سرقت کرد، آیا عنوان سارق بر او نزد مردم و خدا منطبق است؟</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کسی که از مسلمانی چیزی را بدزدد که در حرز قرار داده است، سارق نزد خدا و مردم صادق است، لیکن دست سارقی هر را قطع نمی‌کنند؛ بلکه قطع در سرقتی است که ربع دینار یا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علیه السلام به بیان حکمت این مطلب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دست سارق را در کمتر از ربع دینار ببرند، هر آینه توده‌ی مردم را</w:t>
      </w:r>
    </w:p>
    <w:p>
      <w:pPr>
        <w:pStyle w:val="BookText"/>
        <w:rPr/>
      </w:pPr>
      <w:r>
        <w:rPr>
          <w:rFonts w:ascii="IRNazanin" w:hAnsi="IRNazanin" w:eastAsia="IRNazanin"/>
          <w:color w:val="111111"/>
          <w:sz w:val="28"/>
          <w:sz w:val="28"/>
          <w:szCs w:val="28"/>
          <w:rtl w:val="true"/>
          <w:lang w:bidi="fa-IR"/>
        </w:rPr>
        <w:t>بی‌دست می‌دیدی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علیّ بن إبراهیم، عن محمّد بن عیسی بن عبید، عن یونس، عن عبداللَّه بن سنان،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یقطع ید السّارق إلّافی شی‌ء تبلغ قیمته مجناً، وهو ربع دینار</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صحیحه،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دزد را نمی‌برند؛ مگر در سرقت چیزی که قیمتش به اندازه‌ی سپر باشد، یعنی به ربع دینار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وبالإسناد، عن یونس، عن سماعة بن مهران، عن أبی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أمیر المؤمنین علیه السلام فی بیضة،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بیضة؟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بیضة قیمتها ربع دینار،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أدنی حدّ السارق؟ فسکت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برای سرقت کلاهخودی دست دزد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کلاهخودی؟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کلاهخودی که قیمتش ربع دینار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مقدار کمترین حدّ نصاب است؟ امام علیه السلام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امام علیه السلام بیانگر موافقت اوست نه تردید یا مخالفت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وبإسناده عن یونس بن عبدالرّحمن، عن عبداللَّه بن سنان،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سرق من المغنم أیش الّذی یجب علیه؟</w:t>
      </w:r>
    </w:p>
    <w:p>
      <w:pPr>
        <w:pStyle w:val="BookText"/>
        <w:rPr/>
      </w:pPr>
      <w:r>
        <w:rPr>
          <w:rFonts w:ascii="IRNazanin" w:hAnsi="IRNazanin" w:eastAsia="IRNazanin"/>
          <w:color w:val="111111"/>
          <w:sz w:val="28"/>
          <w:sz w:val="28"/>
          <w:szCs w:val="28"/>
          <w:rtl w:val="true"/>
          <w:lang w:bidi="fa-IR"/>
        </w:rPr>
        <w:t xml:space="preserve">أیقطع؟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الّذی یجب علیه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کم نصیبه، فإن کان الّذی أخذ أقلّ من نصیبه عزّر ودفع إلیه تمام ماله وإن کان أخذ مثل الّذی له فلا شی‌ء علیه، وإن کان أخذ فضلًا بقدر ثمن مجن وهو ربع دینار قطع</w:t>
      </w:r>
      <w:r>
        <w:rPr>
          <w:rFonts w:eastAsia="IRNazanin" w:cs="IRNazanin"/>
          <w:color w:val="111111"/>
          <w:sz w:val="28"/>
          <w:szCs w:val="28"/>
          <w:rtl w:val="true"/>
          <w:lang w:bidi="fa-IR"/>
        </w:rPr>
        <w:t>.</w:t>
      </w:r>
      <w:r>
        <w:rPr>
          <w:rStyle w:val="FootnoteAnchor"/>
          <w:rtl w:val="true"/>
        </w:rPr>
        <w:footnoteReference w:id="90"/>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صحیحه را در باب سرقت از غنیمت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w:t>
      </w:r>
      <w:bookmarkStart w:id="143" w:name="pg16923_220122"/>
    </w:p>
    <w:p>
      <w:pPr>
        <w:pStyle w:val="BookText"/>
        <w:rPr/>
      </w:pPr>
      <w:bookmarkEnd w:id="143"/>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مقداری که سرقت کرده کمتر یا مساوی سهمش در این غنیمت است، دستش را نمی‌برند؛ امّا اگر مازاد بر نصیبش به اندازه‌ی قیمت سپری یعنی ربع دینار باشد، دستش قطع می‌شود</w:t>
      </w:r>
      <w:r>
        <w:rPr>
          <w:rFonts w:eastAsia="IRNazanin" w:cs="IRNazanin"/>
          <w:color w:val="111111"/>
          <w:sz w:val="28"/>
          <w:szCs w:val="28"/>
          <w:rtl w:val="true"/>
          <w:lang w:bidi="fa-IR"/>
        </w:rPr>
        <w:t>.</w:t>
      </w:r>
    </w:p>
    <w:p>
      <w:pPr>
        <w:pStyle w:val="Heading5"/>
        <w:numPr>
          <w:ilvl w:val="4"/>
          <w:numId w:val="1"/>
        </w:numPr>
        <w:rPr/>
      </w:pPr>
      <w:bookmarkStart w:id="144" w:name="__RefHeading___Toc162177_3244359995"/>
      <w:bookmarkStart w:id="145" w:name="_Toc55"/>
      <w:bookmarkEnd w:id="144"/>
      <w:r>
        <w:rPr>
          <w:rtl w:val="true"/>
        </w:rPr>
        <w:t>بررسی روایات دالّ بر خُمس دینار</w:t>
      </w:r>
      <w:bookmarkEnd w:id="1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وبالإسناد عن یونس، عن محمّد بن حمران، عن أبیه وعن ابن أبی عمیر، عن جمیل بن درّاج جمیعاً عن محمّد بن مسلم،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أدنی ما یقطع فیه ید السّارق خمس دینار</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چیزی که به خاطرش دست سارق را می‌برند، خُمس دینار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وبإسناده عن یونس، عن محمّد بن حمران، عن محمّد بن مسلم،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أدنی ما تقطع فیه ید السّارق خمس دینار، والخمس آخر الحدّ الّذی لا یکون القطع فی دونه ویقطع فیه وفیما فوقه</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مانند روایت قبل از محمّد بن مسلم است؛ لیکن اضافه‌ای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چیزی که در سرقتش دست سارق قطع می‌شود، خمس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آخرین حدّی است که قطع در کمتر از آن راه ندارد؛ بلکه قطع بر خودش و مازاد بر آن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عن ابن أبی عمیر، عن حمّاد، عن الحلبی، عن أبی عبداللَّه علیه السلام قال</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یقطع السّارق فی کلّ شی‌ء بلغ قیمته خمس دینار إن سرق من سوق أو زرع أو ضرع أو غیر ذلک</w:t>
      </w:r>
      <w:r>
        <w:rPr>
          <w:rFonts w:eastAsia="IRNazanin" w:cs="IRNazanin"/>
          <w:color w:val="111111"/>
          <w:sz w:val="28"/>
          <w:szCs w:val="28"/>
          <w:rtl w:val="true"/>
          <w:lang w:bidi="fa-IR"/>
        </w:rPr>
        <w:t>.</w:t>
      </w:r>
      <w:r>
        <w:rPr>
          <w:rStyle w:val="FootnoteAnchor"/>
          <w:rtl w:val="true"/>
        </w:rPr>
        <w:footnoteReference w:id="93"/>
      </w:r>
      <w:bookmarkStart w:id="146" w:name="pg16923_220123"/>
    </w:p>
    <w:p>
      <w:pPr>
        <w:pStyle w:val="BookText"/>
        <w:rPr/>
      </w:pPr>
      <w:bookmarkEnd w:id="146"/>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صحیحه،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سارق در سرقت هر چیزی که قیمتش به خمس دینار برسد، از بازار یا زراعت یا حرز یا غیر آن باشد، قطع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أنّه یقطع أیضاً فی خمس دینار أو فی قیمة ذلک</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مرسلات صدوق رحمه الله است که این نحوه مرسلاتش معتبر نیست؛ زیرا، فرمود،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خمس دینار یا قیمت آن دست قطع می‌گردد</w:t>
      </w:r>
      <w:r>
        <w:rPr>
          <w:rFonts w:eastAsia="IRNazanin" w:cs="IRNazanin"/>
          <w:color w:val="111111"/>
          <w:sz w:val="28"/>
          <w:szCs w:val="28"/>
          <w:rtl w:val="true"/>
          <w:lang w:bidi="fa-IR"/>
        </w:rPr>
        <w:t>.</w:t>
      </w:r>
    </w:p>
    <w:p>
      <w:pPr>
        <w:pStyle w:val="Heading5"/>
        <w:numPr>
          <w:ilvl w:val="4"/>
          <w:numId w:val="1"/>
        </w:numPr>
        <w:rPr/>
      </w:pPr>
      <w:bookmarkStart w:id="147" w:name="__RefHeading___Toc162179_3244359995"/>
      <w:bookmarkStart w:id="148" w:name="_Toc56"/>
      <w:bookmarkEnd w:id="147"/>
      <w:r>
        <w:rPr>
          <w:rtl w:val="true"/>
        </w:rPr>
        <w:t>بررسی روایات دالّ بر دو درهم</w:t>
      </w:r>
      <w:bookmarkEnd w:id="148"/>
    </w:p>
    <w:p>
      <w:pPr>
        <w:pStyle w:val="BookText"/>
        <w:rPr/>
      </w:pPr>
      <w:r>
        <w:rPr>
          <w:rFonts w:ascii="IRNazanin" w:hAnsi="IRNazanin" w:eastAsia="IRNazanin"/>
          <w:color w:val="111111"/>
          <w:sz w:val="28"/>
          <w:sz w:val="28"/>
          <w:szCs w:val="28"/>
          <w:rtl w:val="true"/>
          <w:lang w:bidi="fa-IR"/>
        </w:rPr>
        <w:t>وبإسناده عن الصفّار، عن یعقوب بن یزید، عن یحیی بن المبارک، عن عبداللَّه بن جبلة، عن إسحاق بن عمّار، عن أبی عبداللَّه علیه السلام فی رجل سرق من بستان عذقاً قیمته درهمان،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یقطع به</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موثّقه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از بستانی درخت خرمایی را به قیمت دو درهم دزدیده بود، دستش به سبب این کار بریده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بنا بر این که هر دیناری ده درهم بوده است می‌توان از احادیث طایفه‌ی دوّم شمرد یا برای دو درهم عنوان مستقلّی باز کرد</w:t>
      </w:r>
      <w:r>
        <w:rPr>
          <w:rFonts w:eastAsia="IRNazanin" w:cs="IRNazanin"/>
          <w:color w:val="111111"/>
          <w:sz w:val="28"/>
          <w:szCs w:val="28"/>
          <w:rtl w:val="true"/>
          <w:lang w:bidi="fa-IR"/>
        </w:rPr>
        <w:t>.</w:t>
      </w:r>
    </w:p>
    <w:p>
      <w:pPr>
        <w:pStyle w:val="Heading5"/>
        <w:numPr>
          <w:ilvl w:val="4"/>
          <w:numId w:val="1"/>
        </w:numPr>
        <w:rPr/>
      </w:pPr>
      <w:bookmarkStart w:id="149" w:name="__RefHeading___Toc162181_3244359995"/>
      <w:bookmarkStart w:id="150" w:name="_Toc57"/>
      <w:bookmarkEnd w:id="149"/>
      <w:r>
        <w:rPr>
          <w:rtl w:val="true"/>
        </w:rPr>
        <w:t>بررسی روایات دالّ بر یک دینار</w:t>
      </w:r>
      <w:bookmarkEnd w:id="150"/>
    </w:p>
    <w:p>
      <w:pPr>
        <w:pStyle w:val="BookText"/>
        <w:rPr/>
      </w:pPr>
      <w:r>
        <w:rPr>
          <w:rFonts w:ascii="IRNazanin" w:hAnsi="IRNazanin" w:eastAsia="IRNazanin"/>
          <w:color w:val="111111"/>
          <w:sz w:val="28"/>
          <w:sz w:val="28"/>
          <w:szCs w:val="28"/>
          <w:rtl w:val="true"/>
          <w:lang w:bidi="fa-IR"/>
        </w:rPr>
        <w:t>وعنه عن ابن محبوب، عن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فی کم یقطع السّارق؟ فجمع کفیّه؛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عددها من الدّراهم</w:t>
      </w:r>
      <w:r>
        <w:rPr>
          <w:rFonts w:eastAsia="IRNazanin" w:cs="IRNazanin"/>
          <w:color w:val="111111"/>
          <w:sz w:val="28"/>
          <w:szCs w:val="28"/>
          <w:rtl w:val="true"/>
          <w:lang w:bidi="fa-IR"/>
        </w:rPr>
        <w:t>.</w:t>
      </w:r>
      <w:r>
        <w:rPr>
          <w:rStyle w:val="FootnoteAnchor"/>
          <w:rtl w:val="true"/>
        </w:rPr>
        <w:footnoteReference w:id="96"/>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صحیحه، ابوحمزه‌ی ثمالی از امام باقر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سرقت چه مقدار مال دست سارق را می‌بُرند؟</w:t>
      </w:r>
      <w:bookmarkStart w:id="151" w:name="pg16923_220124"/>
    </w:p>
    <w:p>
      <w:pPr>
        <w:pStyle w:val="BookText"/>
        <w:rPr/>
      </w:pPr>
      <w:bookmarkEnd w:id="151"/>
      <w:r>
        <w:rPr>
          <w:rFonts w:ascii="IRNazanin" w:hAnsi="IRNazanin" w:eastAsia="IRNazanin"/>
          <w:color w:val="111111"/>
          <w:sz w:val="28"/>
          <w:sz w:val="28"/>
          <w:szCs w:val="28"/>
          <w:rtl w:val="true"/>
          <w:lang w:bidi="fa-IR"/>
        </w:rPr>
        <w:t>امام علیه السلام دو دست مبارک را جمع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اندازه‌ی مجموع انگشتان از درهم؛ یعنی به قیمت یک دینار؛ زیرا، در آن زمان هر دینار مساوی با ده درهم بوده است</w:t>
      </w:r>
      <w:r>
        <w:rPr>
          <w:rFonts w:eastAsia="IRNazanin" w:cs="IRNazanin"/>
          <w:color w:val="111111"/>
          <w:sz w:val="28"/>
          <w:szCs w:val="28"/>
          <w:rtl w:val="true"/>
          <w:lang w:bidi="fa-IR"/>
        </w:rPr>
        <w:t>.</w:t>
      </w:r>
    </w:p>
    <w:p>
      <w:pPr>
        <w:pStyle w:val="Heading5"/>
        <w:numPr>
          <w:ilvl w:val="4"/>
          <w:numId w:val="1"/>
        </w:numPr>
        <w:rPr/>
      </w:pPr>
      <w:bookmarkStart w:id="152" w:name="__RefHeading___Toc162183_3244359995"/>
      <w:bookmarkStart w:id="153" w:name="_Toc58"/>
      <w:bookmarkEnd w:id="152"/>
      <w:r>
        <w:rPr>
          <w:rtl w:val="true"/>
        </w:rPr>
        <w:t>بررسی روایات دالّ بر ثلث دینار</w:t>
      </w:r>
      <w:bookmarkEnd w:id="1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عن عثمان بن عیسی،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أمیر المؤمنین علیه السلام رجلًا فی بیضة،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بیضة؟ قال بیضة حدید قیمتها ثلث دینار،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أدنی حدّ السّارق؟ فسکت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موثّقه،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دست سارق بیضه‌ای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راوی خیال کرد که قطع دست به جهت سرقت یک تخم مرغ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بیضه‌ای؟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کلاهخودی به قیمت ثلث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پایین‌ترین مقدار حدّ نصاب سرقت است؟ امام علیه السلام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سکوت معنای موافقت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عن عثمان،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علی کم یقطع السارق؟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أدناه علی ثلث دینار</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موثّقه از امام علیه السلام سؤال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مقداری دست سارق را می‌بُرند؟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اندازه‌اش ثلث دینار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 روایاتی که بر این چهار یا پنج طایفه دلالت دارند، از نظر سند و دلالت تمام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 که در جهت سندی نمی‌توان مناقشه و اشکالی کرد، باید در جهت صدور یا دلالت تصرّف کنیم</w:t>
      </w:r>
      <w:r>
        <w:rPr>
          <w:rFonts w:eastAsia="IRNazanin" w:cs="IRNazanin"/>
          <w:color w:val="111111"/>
          <w:sz w:val="28"/>
          <w:szCs w:val="28"/>
          <w:rtl w:val="true"/>
          <w:lang w:bidi="fa-IR"/>
        </w:rPr>
        <w:t>.</w:t>
      </w:r>
      <w:bookmarkStart w:id="154" w:name="pg16923_220125"/>
    </w:p>
    <w:p>
      <w:pPr>
        <w:pStyle w:val="Heading5"/>
        <w:numPr>
          <w:ilvl w:val="4"/>
          <w:numId w:val="1"/>
        </w:numPr>
        <w:rPr/>
      </w:pPr>
      <w:bookmarkStart w:id="155" w:name="__RefHeading___Toc162185_3244359995"/>
      <w:bookmarkStart w:id="156" w:name="_Toc59"/>
      <w:bookmarkEnd w:id="154"/>
      <w:bookmarkEnd w:id="155"/>
      <w:r>
        <w:rPr>
          <w:rtl w:val="true"/>
        </w:rPr>
        <w:t>وجوه جمع بین روایات</w:t>
      </w:r>
      <w:bookmarkEnd w:id="156"/>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رحمه الله روایات دالّ بر خُمس دینار را بر تقیّه حمل کرده، و آن‌ها را موافق با عامّه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مراجعه‌ی به کتاب خلاف</w:t>
      </w:r>
      <w:r>
        <w:rPr>
          <w:rStyle w:val="FootnoteAnchor"/>
          <w:rtl w:val="true"/>
        </w:rPr>
        <w:footnoteReference w:id="99"/>
      </w:r>
      <w:r>
        <w:rPr>
          <w:rFonts w:ascii="IRNazanin" w:hAnsi="IRNazanin" w:eastAsia="IRNazanin"/>
          <w:color w:val="111111"/>
          <w:sz w:val="28"/>
          <w:sz w:val="28"/>
          <w:szCs w:val="28"/>
          <w:rtl w:val="true"/>
          <w:lang w:bidi="fa-IR"/>
        </w:rPr>
        <w:t>می‌بینیم بین اهل سنّت در حدّ نصاب سرقت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مشهور بین آنان ربع دینار است که به اعتماد روایت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قطع إلّافی ربع دینار</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فتوا داده‌اند؛ حتّی بعضی از آنان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متّفق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غیر مشهور آنان نیز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نصابی مطرح نیست؛ و بر سرقت قلیل و کثیر دست بریده می‌شود؛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ابوحنیفه و اصحابش نصاب را ده درهم یا یک دینار گفته‌اند؛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بین طلا و نقره فرق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نصاب طلا را رُبع دینار و نصاب نقره را سه درهم می‌داند که تقریباً ثلث دینار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علمای اهل سنّت نیز نصاب را نصف دینار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شخصی به نام زیاد بن أبی‌زیاد که فقیه ناشناخته‌ای است، نصاب را دو درهم گفته که حمل بر خمس دینار می‌شود؛ و ممکن است برای دو درهم موضوعیّت قائل بوده است؛ زیرا، گروهی از عامّه، نصاب را پنج درهم گفته‌اند و برخی از آنان نصف دینار، از طرح دو قول معلوم می‌شود که بر عنوان درهم خصوصیّتی قائل بوده 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باتوجّه به اقوال علمای اهل سنّت، حمل روایات خُمس دینار بر تقیّه جا ندارد؛ آن هم به خاطر فتوای فقیهی مجهول که در زمان امامان علیهم السلام موقعیّت و ارزش اجتماعی آن‌چنانی نداشته که امام علیه السلام مجبور به تقیّه گویی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تحقّق تعارض بین روایات ربع دینار، خُمس دینار، ثلث دینار و یک دینار باید قواعد باب تعارض پیاده شود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مرجّحی که در باب تعارض داریم، شهرت فتوایی است؛ یعنی اگر دو یا چند روایت با هم متعارض بودند به‌گونه‌ای که عرف و عقلا به خاطر این که عام و خاص، ظاهر</w:t>
      </w:r>
    </w:p>
    <w:p>
      <w:pPr>
        <w:pStyle w:val="BookText"/>
        <w:rPr/>
      </w:pPr>
      <w:r>
        <w:rPr>
          <w:rFonts w:ascii="IRNazanin" w:hAnsi="IRNazanin" w:eastAsia="IRNazanin"/>
          <w:color w:val="111111"/>
          <w:sz w:val="28"/>
          <w:sz w:val="28"/>
          <w:szCs w:val="28"/>
          <w:rtl w:val="true"/>
          <w:lang w:bidi="fa-IR"/>
        </w:rPr>
        <w:t>و اظهر، نصّ و ظاهر، مطلق و مقیّد نیستند، نتوانند بین آن‌ها جمع کنند، در این صورت، باید مرجّح‌دار را بر فاقدش مقدّم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شهرت فتوایی موافق با روایات ربع دینار است؛ و تنها صدوق رحمه الله</w:t>
      </w:r>
      <w:r>
        <w:rPr>
          <w:rStyle w:val="FootnoteAnchor"/>
          <w:rtl w:val="true"/>
        </w:rPr>
        <w:footnoteReference w:id="102"/>
      </w:r>
      <w:r>
        <w:rPr>
          <w:rFonts w:ascii="IRNazanin" w:hAnsi="IRNazanin" w:eastAsia="IRNazanin"/>
          <w:color w:val="111111"/>
          <w:sz w:val="28"/>
          <w:sz w:val="28"/>
          <w:szCs w:val="28"/>
          <w:rtl w:val="true"/>
          <w:lang w:bidi="fa-IR"/>
        </w:rPr>
        <w:t>به خمس دینار و مرحوم عمّانی</w:t>
      </w:r>
      <w:r>
        <w:rPr>
          <w:rStyle w:val="FootnoteAnchor"/>
          <w:rtl w:val="true"/>
        </w:rPr>
        <w:footnoteReference w:id="103"/>
      </w:r>
      <w:r>
        <w:rPr>
          <w:rFonts w:ascii="IRNazanin" w:hAnsi="IRNazanin" w:eastAsia="IRNazanin"/>
          <w:color w:val="111111"/>
          <w:sz w:val="28"/>
          <w:sz w:val="28"/>
          <w:szCs w:val="28"/>
          <w:rtl w:val="true"/>
          <w:lang w:bidi="fa-IR"/>
        </w:rPr>
        <w:t>به یک دینار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روایات ربع را اخذ و بقیه‌ی طوایف را طرح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این مبنای ما دیگر تحیّر و تردیدی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روایات خُمس دینار؛ فقهایی که اعراض مشهور را موهن و عمل مشهور را جابر ضعف سند نمی‌دانند؛ و هم‌چنین اوّلین مرجّح بین روایات متعارض را نیز شهرت فتوایی نمی‌دانند، روایات خُمس را بر روایات رُبع ترجیح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استدلالشان به این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ده درهم را باید بر تقیّه حمل کنیم؛ زیرا این روایت از طرفی بر خلاف فتوای قطعی فقها مگر عمّانی است و از طرف دیگر، مخالف با کتاب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ثلث نیز به همین دو اشکال مبتلا است و حمل بر تقیّه‌اش بعید نیست؛ زیرا، ثلث دینار تقریباً برابر سه درهم است و جماعتی از علمای عامّه حدّ نصاب را سه درهم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امر دائر بین روایات ربع و خمس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روایات خمس بر تقیّه وجهی ندارد؛ بلکه باید روایات رُبع را بر تقیّه حمل کرد و با چشم‌پوشی از حمل بر تقیّه و تحقّق تعارض، روایات خمس از جهت موافقت با کتاب مقدّم می‌گردد؛ زیرا، یقین داریم آیه‌ی سرقت وَالسَّارِقُ وَ السَّارِقَةُ فَاقْطَعُواْ أَیْدِیَهُمَا</w:t>
      </w:r>
      <w:r>
        <w:rPr>
          <w:rStyle w:val="FootnoteAnchor"/>
          <w:rtl w:val="true"/>
        </w:rPr>
        <w:footnoteReference w:id="104"/>
      </w:r>
      <w:r>
        <w:rPr>
          <w:rFonts w:ascii="IRNazanin" w:hAnsi="IRNazanin" w:eastAsia="IRNazanin"/>
          <w:color w:val="111111"/>
          <w:sz w:val="28"/>
          <w:sz w:val="28"/>
          <w:szCs w:val="28"/>
          <w:rtl w:val="true"/>
          <w:lang w:bidi="fa-IR"/>
        </w:rPr>
        <w:t>به مقدار خمس تخصیص خورده است؛ و بر کمتر از این مقدار، قطع دست نیست؛ لیکن نمی‌دانیم بر مازاد خمس تا رُبع، قطع دست هست یا نه؟ ظاهر آیه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روایتی که با این اطلاق موافق باشد، اخذ؛ و روایت مخالف با این اطلاق را 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روایات خمس مقدّم بر روایات رُبع می‌گردد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مقتضای اطلاق کتاب، وجوب قطع در هر سرقتی است؛ لیکن از خارج به‌طور یقینی می‌دانیم در کمتر از خمس قطع نیست؛ به همین جهت، از اطلاق آیه به</w:t>
      </w:r>
    </w:p>
    <w:p>
      <w:pPr>
        <w:pStyle w:val="BookText"/>
        <w:rPr/>
      </w:pPr>
      <w:r>
        <w:rPr>
          <w:rFonts w:ascii="IRNazanin" w:hAnsi="IRNazanin" w:eastAsia="IRNazanin"/>
          <w:color w:val="111111"/>
          <w:sz w:val="28"/>
          <w:sz w:val="28"/>
          <w:szCs w:val="28"/>
          <w:rtl w:val="true"/>
          <w:lang w:bidi="fa-IR"/>
        </w:rPr>
        <w:t>این مقدار دست برمی‌داریم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تخصیص آیه به زیادتر از این مقدار به سبب معارضه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این که اوّلین مرجّح را موافقت کتاب می‌دانیم، روایات رُبع را به عنوان مخالفت با کتاب طرح می‌کنیم</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نقد 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مناقشه‌ی بر این وجه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هردو مبنای ایشان مخالفیم؛ زیرا، ما عمل مشهور را جابر ضعف سند و اعراض آنان را سبب وهن روایت صحیح السند می‌دانیم؛ و اوّلین مرجّح در باب دو خبر متعارض را با استفاده از مقبوله‌ی عمر بن حنظله شهرت فتوایی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صحّت مبنا، این استدلال تمام نیست؛ زیرا، با مخالفت عمّانی چگونه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فتوای قطعی بین اصحاب است؟</w:t>
      </w:r>
    </w:p>
    <w:p>
      <w:pPr>
        <w:pStyle w:val="BookText"/>
        <w:rPr/>
      </w:pPr>
      <w:r>
        <w:rPr>
          <w:rFonts w:ascii="IRNazanin" w:hAnsi="IRNazanin" w:eastAsia="IRNazanin"/>
          <w:color w:val="111111"/>
          <w:sz w:val="28"/>
          <w:sz w:val="28"/>
          <w:szCs w:val="28"/>
          <w:rtl w:val="true"/>
          <w:lang w:bidi="fa-IR"/>
        </w:rPr>
        <w:t>با وجود مخالفت یک فقیه، عنوان مشهور و غیر مشهور محقّق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عمّانی از اصحاب و فقهای امامی مذهب است، و قولش ارزش فقهی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کسی که اعراض مشهور را موجب ضعف روایت نمی‌داند، چگونه روایت ده درهم را از دایره‌ی تعارض خارج می‌کند؟</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آیه‌ی وَالسَّارِقُ وَ السَّارِقَةُ فَاقْطَعُواْ أَیْدِیَهُمَا</w:t>
      </w:r>
      <w:r>
        <w:rPr>
          <w:rStyle w:val="FootnoteAnchor"/>
          <w:rtl w:val="true"/>
        </w:rPr>
        <w:footnoteReference w:id="106"/>
      </w:r>
      <w:r>
        <w:rPr>
          <w:rFonts w:ascii="IRNazanin" w:hAnsi="IRNazanin" w:eastAsia="IRNazanin"/>
          <w:color w:val="111111"/>
          <w:sz w:val="28"/>
          <w:sz w:val="28"/>
          <w:szCs w:val="28"/>
          <w:rtl w:val="true"/>
          <w:lang w:bidi="fa-IR"/>
        </w:rPr>
        <w:t>اطلاقی دارد که قابل تقیید باشد؟ هرچند در مواردی به اطلاقش تمسّک کردیم، لیکن وجود اطلاق در آیه، محلّ بحث و اشکال بوده و از امور مسلّم و حتمی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می‌دهیم این آیه همانند آیه‌ی وَ أَقِیمُواْ الصَّلَوةَ وَ ءَاتُواْ الزَّکَوةَ</w:t>
      </w:r>
      <w:r>
        <w:rPr>
          <w:rStyle w:val="FootnoteAnchor"/>
          <w:rtl w:val="true"/>
        </w:rPr>
        <w:footnoteReference w:id="107"/>
      </w:r>
      <w:r>
        <w:rPr>
          <w:rFonts w:ascii="IRNazanin" w:hAnsi="IRNazanin" w:eastAsia="IRNazanin"/>
          <w:color w:val="111111"/>
          <w:sz w:val="28"/>
          <w:sz w:val="28"/>
          <w:szCs w:val="28"/>
          <w:rtl w:val="true"/>
          <w:lang w:bidi="fa-IR"/>
        </w:rPr>
        <w:t>که به طور مکرّر در قرآن آمده است، در مقام تشریع اصل حکم باشد؛ این‌گونه آیات در مقام بیان حکم به نحو اجمال هستند؛ لذا، نمی‌توان اطلاق‌گیری کرد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تحقّق اطلاق در آیه، یقین داریم به این اطلاق تقییدی خورده است؛ لیکن نمی‌دانیم مقیّد خُمس است یا ربع؛ در این‌گونه موارد، باید بر عنوان تکیه کنیم، نه بر مقدار و مصادیقی که به واسطه‌ی مقیّد خارج می‌گردد</w:t>
      </w:r>
      <w:r>
        <w:rPr>
          <w:rFonts w:eastAsia="IRNazanin" w:cs="IRNazanin"/>
          <w:color w:val="111111"/>
          <w:sz w:val="28"/>
          <w:szCs w:val="28"/>
          <w:rtl w:val="true"/>
          <w:lang w:bidi="fa-IR"/>
        </w:rPr>
        <w:t>.</w:t>
      </w:r>
      <w:bookmarkStart w:id="157" w:name="pg16923_220128"/>
    </w:p>
    <w:p>
      <w:pPr>
        <w:pStyle w:val="BookText"/>
        <w:rPr/>
      </w:pPr>
      <w:bookmarkEnd w:id="157"/>
      <w:r>
        <w:rPr>
          <w:rFonts w:ascii="IRNazanin" w:hAnsi="IRNazanin" w:eastAsia="IRNazanin"/>
          <w:color w:val="111111"/>
          <w:sz w:val="28"/>
          <w:sz w:val="28"/>
          <w:szCs w:val="28"/>
          <w:rtl w:val="true"/>
          <w:lang w:bidi="fa-IR"/>
        </w:rPr>
        <w:t>به عبارت دیگر، ملاک تقیید زاید یا غیر زاید را باید در رابطه با خود عنوان دید و نه در رابطه‌ی با مصادیقش؛ ما کاری به مصادیق نداریم تا بگوییم با این عنوان صد نفر خارج می‌شود و با عنوان دیگر، صدوپنجاه نفر؛ بلکه باید ببینیم این مطلق، دو قید می‌خورد یا یک قید؟ اگر روایات خمس و ربع به این‌گونه بود که اگر ربع را بگیریم بر آیه دو قید وارد می‌شود و اگر خمس را اخذ کنیم یک قید خورده است؛ در این صورت،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امر بین یک تقیید و دو تقیید دایر شد، باید یک تقیید را اخذ کنیم و تقیید زاید را کنار بگذاریم؛ لیکن در مقام ما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روایات را که اخذ کنیم یک تقیید وارد شده است نه بیشتر؛ لذا، هر دو دسته از روایات، مخالف ظاهر آیه هستند و هیچ کدام با ظاهر قرآن موافق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به مبنای شما هم قائل باشیم و اوّلین مرجّح را موافقت با کتاب بدانیم، وجهی برای ترجیح روایات خمس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فرار از تعارض، کنار گذاشتن روایاتی است که مخالف با مشهور هستند؛ فتوای امام راحل رحمه الله در تحریر الوسیله نیز روی همین ملاکی است که عرض شد</w:t>
      </w:r>
      <w:r>
        <w:rPr>
          <w:rFonts w:eastAsia="IRNazanin" w:cs="IRNazanin"/>
          <w:color w:val="111111"/>
          <w:sz w:val="28"/>
          <w:szCs w:val="28"/>
          <w:rtl w:val="true"/>
          <w:lang w:bidi="fa-IR"/>
        </w:rPr>
        <w:t>.</w:t>
      </w:r>
    </w:p>
    <w:p>
      <w:pPr>
        <w:pStyle w:val="Heading5"/>
        <w:numPr>
          <w:ilvl w:val="4"/>
          <w:numId w:val="1"/>
        </w:numPr>
        <w:rPr/>
      </w:pPr>
      <w:bookmarkStart w:id="158" w:name="__RefHeading___Toc162187_3244359995"/>
      <w:bookmarkStart w:id="159" w:name="_Toc60"/>
      <w:bookmarkEnd w:id="158"/>
      <w:r>
        <w:rPr>
          <w:rtl w:val="true"/>
        </w:rPr>
        <w:t>تعمیم نصاب ربع دینار به هر مال مسروقه‌ای</w:t>
      </w:r>
      <w:bookmarkEnd w:id="159"/>
    </w:p>
    <w:p>
      <w:pPr>
        <w:pStyle w:val="BookText"/>
        <w:rPr/>
      </w:pPr>
      <w:r>
        <w:rPr>
          <w:rFonts w:ascii="IRNazanin" w:hAnsi="IRNazanin" w:eastAsia="IRNazanin"/>
          <w:color w:val="111111"/>
          <w:sz w:val="28"/>
          <w:sz w:val="28"/>
          <w:szCs w:val="28"/>
          <w:rtl w:val="true"/>
          <w:lang w:bidi="fa-IR"/>
        </w:rPr>
        <w:t>ملاک اقامه‌ی حدّ از نظر امامیّه این است که مال مسروقه در ملک مسروقٌ منه باشد؛ و کاری نداریم آن را از کجا آورده و به چه سببی مالک شده است؛ خواه آن را خریده باشد، یا مباحی بوده و بر اثر حیازت مالک شده باشد؛ مانند این که به جنگل رفته و مقداری چوب حیازت کرده، به منزل آورده و در حرز قرار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ابوحنیفه</w:t>
      </w:r>
      <w:r>
        <w:rPr>
          <w:rStyle w:val="FootnoteAnchor"/>
          <w:rtl w:val="true"/>
        </w:rPr>
        <w:footnoteReference w:id="108"/>
      </w:r>
      <w:r>
        <w:rPr>
          <w:rFonts w:ascii="IRNazanin" w:hAnsi="IRNazanin" w:eastAsia="IRNazanin"/>
          <w:color w:val="111111"/>
          <w:sz w:val="28"/>
          <w:sz w:val="28"/>
          <w:szCs w:val="28"/>
          <w:rtl w:val="true"/>
          <w:lang w:bidi="fa-IR"/>
        </w:rPr>
        <w:t>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 مال از اشیای مباحه باشد، سرقت محقّق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مال مسروقه از اموری باشد که زود فاسد می‌شود؛ مانند سبزی‌ها و میوه‌های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ابوحنیفه</w:t>
      </w:r>
      <w:r>
        <w:rPr>
          <w:rStyle w:val="FootnoteAnchor"/>
          <w:rtl w:val="true"/>
        </w:rPr>
        <w:footnoteReference w:id="109"/>
      </w:r>
      <w:r>
        <w:rPr>
          <w:rFonts w:ascii="IRNazanin" w:hAnsi="IRNazanin" w:eastAsia="IRNazanin"/>
          <w:color w:val="111111"/>
          <w:sz w:val="28"/>
          <w:sz w:val="28"/>
          <w:szCs w:val="28"/>
          <w:rtl w:val="true"/>
          <w:lang w:bidi="fa-IR"/>
        </w:rPr>
        <w:t>که سرقت این امور را سبب اقامه‌ی حدّ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مال مسروقه پرنده، یا سنگ مرمر و مانند آن باشد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تصریح به این موارد اعلام مخالفت با ابوحنیفه در پاره‌ای از آن‌ها و ورود</w:t>
      </w:r>
    </w:p>
    <w:p>
      <w:pPr>
        <w:pStyle w:val="BookText"/>
        <w:rPr/>
      </w:pPr>
      <w:r>
        <w:rPr>
          <w:rFonts w:ascii="IRNazanin" w:hAnsi="IRNazanin" w:eastAsia="IRNazanin"/>
          <w:color w:val="111111"/>
          <w:sz w:val="28"/>
          <w:sz w:val="28"/>
          <w:szCs w:val="28"/>
          <w:rtl w:val="true"/>
          <w:lang w:bidi="fa-IR"/>
        </w:rPr>
        <w:t>روایاتی در مورد فواکه و سبزی‌ها، طیر و سنگ مرمر است که باید به آن‌ها رسیدگی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وبإسناده عن محمّد بن علیّ بن محبوب، عن أحمد بن عبدوس، عن الحسن بن علیّ بن فضّال، عن أبی جمیلة، عن الأصبغ،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یقطع من سرق شیئاً من الفاکهة، وإذا مرّ بها فلیأکل ولا یفسد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میوه‌ها سرقت کند، دستش قطع نمی‌گردد؛ کسی که به میوه‌ها مرور کند، می‌تواند بخورد؛ ولی حقّ از بین بردن آن‌ها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حدیث قرینه‌ای است بر این که مقصود میوه‌ای است که در حرز نباشد؛ میوه باغی که در و دیوار ندارد؛ وگرنه اگر باغ دارای حصار باشد، معنا ندارد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اکل مارّه اشکالی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یک بار میوه را از داخل حرز سرقت می‌کند؛ به این صورت که درب باغ را می‌شکند و یا قفل آن را باز می‌کند؛ این معنا با ذیل روایت تناسب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روایت بیانگر این معنا است که از میوه‌ای که در مسیرش هست و بر آن مرور می‌کند، می‌تواند بخورد؛ امّا حقّ بردن آن را ندارد؛ از این رو، اگر چنین کاری را انجام داد، قطع دست درباره‌ی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روایت، بر فتوای ابوحنیفه دلالتی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دزدی میوه اگر تمام شرایط موجود باشد، حدّ قطع نیست؛ در حالی که روایت فقط صورت عدم حرز را بیان می‌کند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علیّ بن إبراهیم، عن أبیه، عن النّوفلی، عن السکونی،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قطع فی ثمر ولا 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والکثر شحم النخل</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ورواه الصدوق بإسناده عن السکونی مثله إلّاأنّه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والکثر الجمار</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میوه و شکوفه‌ی خرما قطع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مرحوم صدوق از سکونی نقل می‌کند؛ لیکن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سنگ‌ها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سکونی اطلاق دارد؛ خواه میوه در حرز باشد یا غیر حرز، هر دو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قرینه‌ای هم نیست بر این که مقصود، میوه‌ای است که در خارج حرز باشد؛ لیکن روایت را باید به یکی از دو راه توجیه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روایات سکونی معتبر است، امّا در شرح حالش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روایاتش در جایی اعتبار دارد که متفرّد نباشد؛ اگر تفرّد در نقل داشت، روایتش از اعتبار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ما نیز چنین است؛ زیرا، روایت گذشته مربوط به سرقت با عدم حرز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بر طبق این روایت فتوا نداده‌اند؛ به این جهت، روایت را کنار 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راحل رحمه الله در پایان مسأله، در ضابطه‌ای کلّی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یملکه المسلم حتّی الطیر وحجر الرخام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سرقت هر چیزی که مسلمان مالکش باشد، حتّی پرنده و سنگ مرمر، اگر به حدّ نصاب برسد، قطع دست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تعمیم نیز به خاطر وجود روایاتی، بر خلاف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علیّ بن إبراهیم، عن أبیه، عن النّوفلی، عن السّکونی،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قطع علی من سرق الحجارة یعنی الرخام وأشباه ذلک</w:t>
      </w:r>
      <w:r>
        <w:rPr>
          <w:rFonts w:eastAsia="IRNazanin" w:cs="IRNazanin"/>
          <w:color w:val="111111"/>
          <w:sz w:val="28"/>
          <w:szCs w:val="28"/>
          <w:rtl w:val="true"/>
          <w:lang w:bidi="fa-IR"/>
        </w:rPr>
        <w:t>.</w:t>
      </w:r>
      <w:r>
        <w:rPr>
          <w:rStyle w:val="FootnoteAnchor"/>
          <w:rtl w:val="true"/>
        </w:rPr>
        <w:footnoteReference w:id="113"/>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سنگ مرمر را سرقت کرد، دستش را</w:t>
      </w:r>
    </w:p>
    <w:p>
      <w:pPr>
        <w:pStyle w:val="BookText"/>
        <w:rPr/>
      </w:pPr>
      <w:r>
        <w:rPr>
          <w:rFonts w:ascii="IRNazanin" w:hAnsi="IRNazanin" w:eastAsia="IRNazanin"/>
          <w:color w:val="111111"/>
          <w:sz w:val="28"/>
          <w:sz w:val="28"/>
          <w:szCs w:val="28"/>
          <w:rtl w:val="true"/>
          <w:lang w:bidi="fa-IR"/>
        </w:rPr>
        <w:t>قطع نمی‌کنند؛ هر چیزی مانند سنگ مرمر نیز همین حکم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قبل نیز بنا بر نقل مرحوم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 توجّه به دو توجیه و جوابی که در روایت گذشته دادیم، این روایت نیز کنار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محمّد بن یحیی، عن أحمد بن محمّد بن عیسی، عن محمّد بن یحیی الخزّاز، عن غیاث بن إبراهیم، عن أبی عبداللَّه علیه السلام، أنّ علیّاً اتی بالکوفة برجل سرق حماماً فلم یقطعه،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أقطع فی الطیر</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در کوفه نزد امیر مؤمنان علیه السلام آوردند که پرنده‌ای را دزدیده بود، امام دستش را نبرید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پرنده دست قطع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این روایت، علّت را بیان نمی‌کرد،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کبوتر در حرز نبوده، و یا قیمتش به ربع دینار نمی‌رسیده است؛ از این‌رو، قطع نکرده است؛ لیکن امام علیه السلام علّت را بیان فرموده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أقطع فی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سرقت طیر دست نمی‌برم؛ یعنی قطع دست در مورد سرقت طیر نیست؛ هرچند در حرز باشد و قیمتش به ربع دینار هم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علیّ بن إبراهیم، عن أبیه، عن النّوفلی، عن السّکونی،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قطع فی ریش یعنی الطیر کلّه</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ریش یعنی در سرقت پرندگان، قطع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روایت از سکونی است، لیکن در این مقام، متفرّد به نقل نیست و روایت غیاث بن ابراهیم نیز بر همین مطلب دلالت دارد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در شرایع</w:t>
      </w:r>
      <w:r>
        <w:rPr>
          <w:rStyle w:val="FootnoteAnchor"/>
          <w:rtl w:val="true"/>
        </w:rPr>
        <w:footnoteReference w:id="116"/>
      </w:r>
      <w:r>
        <w:rPr>
          <w:rFonts w:ascii="IRNazanin" w:hAnsi="IRNazanin" w:eastAsia="IRNazanin"/>
          <w:color w:val="111111"/>
          <w:sz w:val="28"/>
          <w:sz w:val="28"/>
          <w:szCs w:val="28"/>
          <w:rtl w:val="true"/>
          <w:lang w:bidi="fa-IR"/>
        </w:rPr>
        <w:t>نکته‌ی عدم فتوا به این دو روایت را ضعف سندشان دانسته است؛ در حالی که روایت غیاث، معتبر و راویانش 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مشهور بر طبق این دو روایت فتوا نداده‌اند و ملازمه‌ای بین باب سنگ مرمر با طیر نیست؛ زیرا، در آن باب، سکونی متفرّد بود؛ ولی در این باب متفرّد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در مورد پرنده فتوا به عدم قطع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اگر فتوا ندادن مشهور از جهت اعراض از این دو روایت بود، ما چون اعراض مشهور را موهن می‌دانیم، هردو روایت را کنار می‌گذاشتیم؛ اما در این مقام، می‌بینیم مرحوم محقّق رحمه الله در کتاب شرایع علّت طرح دو روایت را ضعف سند می‌داند؛ در صورتی که روایت غیاث بن ابراهیم ضعیف نیست؛ زیرا، مرحوم کلینی از محمّد بن یحیی عطّار از احمد بن محمّد بن عیسی از محمّد بن یحیی خزّار از غیاث بن ابراهیم روایت می‌کند و تمامی این افراد 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کار ما با اشکال مواجه می‌شود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بین فتوا به جریان احکام سرقت بر سرقت سنگ مرمر و جریانش در مورد پرنده ملازمه‌ای نیست؛ زیرا، تنها دلیل در آن باب روایت سکونی بود که نقلش متفرّد است؛ آن روایت را کنار گذاشتیم؛ ولی در مورد پرنده فقط روایت سکونی نیست، روایت صحیحه دیگری نیز علاوه بر آن داریم؛ لذا، به نظر می‌رسد مسأله در باب پرنده مقداری مشکل دارد</w:t>
      </w:r>
      <w:r>
        <w:rPr>
          <w:rFonts w:eastAsia="IRNazanin" w:cs="IRNazanin"/>
          <w:color w:val="111111"/>
          <w:sz w:val="28"/>
          <w:szCs w:val="28"/>
          <w:rtl w:val="true"/>
          <w:lang w:bidi="fa-IR"/>
        </w:rPr>
        <w:t>.</w:t>
      </w:r>
      <w:bookmarkStart w:id="160" w:name="pg16923_220133"/>
    </w:p>
    <w:p>
      <w:pPr>
        <w:pStyle w:val="BookText"/>
        <w:rPr/>
      </w:pPr>
      <w:bookmarkEnd w:id="1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الملاک فی ثبوت حدّ السرقة، بلوغ قیمة المسروق ربع الدینار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الذهب بین المسکوک وغیره، فلو بلغ الذهب غیر المسکوک قیمة ربع دینار مسکوک قطع، ولو بلغ وزنه وزن ربع دینار مسکوک لکن لم تبلغ قیمته قیمة الربع لم یقطع، ولو انعکس وبلغ قیمته قیمته وکان وزنه أقل یقطع</w:t>
      </w:r>
      <w:r>
        <w:rPr>
          <w:rFonts w:eastAsia="IRNazanin" w:cs="IRNazanin"/>
          <w:color w:val="111111"/>
          <w:sz w:val="28"/>
          <w:szCs w:val="28"/>
          <w:rtl w:val="true"/>
          <w:lang w:bidi="fa-IR"/>
        </w:rPr>
        <w:t>.]</w:t>
      </w:r>
    </w:p>
    <w:p>
      <w:pPr>
        <w:pStyle w:val="Heading4"/>
        <w:numPr>
          <w:ilvl w:val="3"/>
          <w:numId w:val="1"/>
        </w:numPr>
        <w:rPr/>
      </w:pPr>
      <w:bookmarkStart w:id="161" w:name="__RefHeading___Toc162189_3244359995"/>
      <w:bookmarkStart w:id="162" w:name="_Toc61"/>
      <w:bookmarkEnd w:id="161"/>
      <w:r>
        <w:rPr>
          <w:rtl w:val="true"/>
        </w:rPr>
        <w:t>ملاک ثبوت حدّ سرقت در طلا</w:t>
      </w:r>
      <w:bookmarkEnd w:id="162"/>
    </w:p>
    <w:p>
      <w:pPr>
        <w:pStyle w:val="BookText"/>
        <w:rPr/>
      </w:pPr>
      <w:r>
        <w:rPr>
          <w:rFonts w:ascii="IRNazanin" w:hAnsi="IRNazanin" w:eastAsia="IRNazanin"/>
          <w:color w:val="111111"/>
          <w:sz w:val="28"/>
          <w:sz w:val="28"/>
          <w:szCs w:val="28"/>
          <w:rtl w:val="true"/>
          <w:lang w:bidi="fa-IR"/>
        </w:rPr>
        <w:t>در طلا فرقی بین طلای مسکوک و غیر آن نیست؛ اگر قیمت طلای غیر مسکوکی با قیمت ربع دینار طلای مسکوک برابری کند، در سرقتش دست بریده می‌شود؛ و اگر وزن طلای غیر مسکوک به اندازه‌ی وزن ربع دینار طلای مسکوک باشد، اما قیمتش کمتر از آن بود، دست قطع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مطلب بر عکس شد، یعنی طلای غیر مسکوک در قیمت با طلای مسکوک برابری کرد، ولی وزنش کمتر بود، باز دست دزد را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روایاتی که در گذشته مطرح کردیم، معلوم شد نصاب سرقت دو قید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رُبع، و دیگر، دینار بودن آن؛ یعنی ربعی که مضاف به دینار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w:t>
      </w:r>
      <w:r>
        <w:rPr>
          <w:rStyle w:val="FootnoteAnchor"/>
          <w:rtl w:val="true"/>
        </w:rPr>
        <w:footnoteReference w:id="117"/>
      </w:r>
      <w:r>
        <w:rPr>
          <w:rFonts w:ascii="IRNazanin" w:hAnsi="IRNazanin" w:eastAsia="IRNazanin"/>
          <w:color w:val="111111"/>
          <w:sz w:val="28"/>
          <w:sz w:val="28"/>
          <w:szCs w:val="28"/>
          <w:rtl w:val="true"/>
          <w:lang w:bidi="fa-IR"/>
        </w:rPr>
        <w:t>که از نژاد عرب است و حرفش در این مورد برای ما حجّیت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عبارت است از طلای مسکوک، طلای سکّه‌دار، خواه بر روی آن عکس سلطان یا خلیفه‌ای نقش شده باشد، و یا عنوان و نوشته‌ای بر آن حکّ نشده باشد؛ به هر حال، دینار به سکّه‌ی طلا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وزن هر دینار یک مثقال شرعی است؛ هر مثقال شرعی نیز سه چهارم مثقال صیرفی است؛ یعنی مثقال صیرفی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و مثقال شرعی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هر دینار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طلای خالص مسکوک و نقش‌دار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در پاره‌ای از روایات، به این مطلب تصریح شده بود که لازم نیست عین مسروقه از جنس دینار باشد؛ بلکه اگر قیمتش نیز به ربع دینار برسد،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کلاهخود،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قیمتش به ربع دینار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مال</w:t>
      </w:r>
    </w:p>
    <w:p>
      <w:pPr>
        <w:pStyle w:val="BookText"/>
        <w:rPr/>
      </w:pPr>
      <w:r>
        <w:rPr>
          <w:rFonts w:ascii="IRNazanin" w:hAnsi="IRNazanin" w:eastAsia="IRNazanin"/>
          <w:color w:val="111111"/>
          <w:sz w:val="28"/>
          <w:sz w:val="28"/>
          <w:szCs w:val="28"/>
          <w:rtl w:val="true"/>
          <w:lang w:bidi="fa-IR"/>
        </w:rPr>
        <w:t>مسروقه یا باید خودش ربع دینار باشد و یا قیمتش به این مقدار برسد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نکات بالا، دلیل مسأله‌ی دوّم روشن می‌شود؛ زیرا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طلای غیر مسکوکی همانند انگشتر طلا قیمتش به ربع دینار برسد، قطع دست جا دارد؛ ولی اگر طلایی در وزن به ربع دینار یعنی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طلا برسد، ولی در قیمت به اندازه‌ی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طلای مسکوک نباشد، قطع دست جا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عکس، اگر در وزن، کمتر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بود ولی در قیمت بیش از ربع دینار ارزش داشت، دست دزد را می‌بُرند؛ زیرا، قیمتش به اندازه‌ی ربع دینار یا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کاری به وزن نداریم؛ و در طلای غیر مسکوک باید قیمت را ملاحظه کرد؛ اگر قیمت آن به اندازه‌ی قیمت ربع طلای مسکوک می‌رسد، قطع دست هست وگرنه دست دزد بریده نمی‌شود</w:t>
      </w:r>
      <w:r>
        <w:rPr>
          <w:rFonts w:eastAsia="IRNazanin" w:cs="IRNazanin"/>
          <w:color w:val="111111"/>
          <w:sz w:val="28"/>
          <w:szCs w:val="28"/>
          <w:rtl w:val="true"/>
          <w:lang w:bidi="fa-IR"/>
        </w:rPr>
        <w:t>.</w:t>
      </w:r>
      <w:bookmarkStart w:id="163" w:name="pg16923_220135"/>
    </w:p>
    <w:p>
      <w:pPr>
        <w:pStyle w:val="BookText"/>
        <w:rPr/>
      </w:pPr>
      <w:bookmarkEnd w:id="1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الإختلاف فی السکک الرائجة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رواج دینارین مسکوکین بسکّتین وکانت قیمتهما مختلفة لا لأجل النقص أو الغشّ فی أحدهما بل لأجل السکّة، فالأحوط عدم القطع إلّاببلوغه ربع قیمة الأکثر، وإن کان الأشبه کفایة بلوغ الأقلّ</w:t>
      </w:r>
      <w:r>
        <w:rPr>
          <w:rFonts w:eastAsia="IRNazanin" w:cs="IRNazanin"/>
          <w:color w:val="111111"/>
          <w:sz w:val="28"/>
          <w:szCs w:val="28"/>
          <w:rtl w:val="true"/>
          <w:lang w:bidi="fa-IR"/>
        </w:rPr>
        <w:t>.]</w:t>
      </w:r>
    </w:p>
    <w:p>
      <w:pPr>
        <w:pStyle w:val="Heading4"/>
        <w:numPr>
          <w:ilvl w:val="3"/>
          <w:numId w:val="1"/>
        </w:numPr>
        <w:rPr/>
      </w:pPr>
      <w:bookmarkStart w:id="164" w:name="__RefHeading___Toc162191_3244359995"/>
      <w:bookmarkStart w:id="165" w:name="_Toc62"/>
      <w:bookmarkEnd w:id="164"/>
      <w:r>
        <w:rPr>
          <w:rtl w:val="true"/>
        </w:rPr>
        <w:t>اختلاف در سکّه‌های رایج</w:t>
      </w:r>
      <w:bookmarkEnd w:id="165"/>
    </w:p>
    <w:p>
      <w:pPr>
        <w:pStyle w:val="BookText"/>
        <w:rPr/>
      </w:pPr>
      <w:r>
        <w:rPr>
          <w:rFonts w:ascii="IRNazanin" w:hAnsi="IRNazanin" w:eastAsia="IRNazanin"/>
          <w:color w:val="111111"/>
          <w:sz w:val="28"/>
          <w:sz w:val="28"/>
          <w:szCs w:val="28"/>
          <w:rtl w:val="true"/>
          <w:lang w:bidi="fa-IR"/>
        </w:rPr>
        <w:t>اگر دو نوع دینار رایج وجود داشته باشد، به‌گونه‌ای که در رواج مساوی هستند، و یکی رایج‌تر از دیگری نیست، از نظر وزن نیز با هم مساوی‌اند؛ یعنی هر دو یک مثقال شرعی طلای خالص و بدون غشّ هستند، لیکن از جهت سکّه با یکدیگر اختلاف قیمت دارند، مانند سکّه‌ی بهار آزادی با سکه‌ی پهلوی مثلًا، اگر سکّه‌ی اوّل از جهت تناسب با انقلاب ارزش بیشتری داشته باشد، اگر کسی در چنین زمانی دست به سرقت زد،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آن است که ربع دینار را به قیمت اکثر حساب کنیم؛ هرچند اگر به قیمت اقلّ نیز حساب شود، به قواعد شباهت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مسروقه به قیمت اقلّ برسد، باز صادق است که به اندازه‌ی ربع دینار سرقت کرده است؛ زیرا، این سکّه از نظر وزن و رواج و مسکوک بودن با آن سکّه هیچ تفاوتی ندارد و مفاد روایات، قطع دست بر سرقت ربع دینار است؛ لذا، آن عنوان در این مقام مصداق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فقط به جنبه‌ی اثباتی یعنی بلوغ مال مسروقه به اندازه‌ی ربع دینار تصریح شده است و هیچ بَیانی نسبت به جنبه‌ی 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نبودن دیناری با ارزش‌تر از این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بنابراین، آن‌چه ملاک قطع دست است، در این صورت واقع شده؛ البتّه مقتضای احتیاط در نظر گرفتن اکثر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اکثر قدر متیقّن و اقلّ فی نفسه مشکوک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با ملاحظه‌ی روایات در انطباق اقلّ نیز نباید تردید داشت؛ امّا مراعات جانب احتیاط نیکوست</w:t>
      </w:r>
      <w:r>
        <w:rPr>
          <w:rFonts w:eastAsia="IRNazanin" w:cs="IRNazanin"/>
          <w:color w:val="111111"/>
          <w:sz w:val="28"/>
          <w:szCs w:val="28"/>
          <w:rtl w:val="true"/>
          <w:lang w:bidi="fa-IR"/>
        </w:rPr>
        <w:t>.</w:t>
      </w:r>
      <w:bookmarkStart w:id="166" w:name="pg16923_220136"/>
    </w:p>
    <w:p>
      <w:pPr>
        <w:pStyle w:val="BookText"/>
        <w:rPr/>
      </w:pPr>
      <w:bookmarkEnd w:id="1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بالمسکوک هو المسکوک الرائج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بالمسکوک هو المسکوک الرائج فلو فرض وجود مسکوک غیر رائج فلا اعتبار فی ربع قیمته، فلو بلغ ربع قیمته ولم یکن قیمة ربعه بمقدار قیمة ربع الدارج لم یقطع</w:t>
      </w:r>
      <w:r>
        <w:rPr>
          <w:rFonts w:eastAsia="IRNazanin" w:cs="IRNazanin"/>
          <w:color w:val="111111"/>
          <w:sz w:val="28"/>
          <w:szCs w:val="28"/>
          <w:rtl w:val="true"/>
          <w:lang w:bidi="fa-IR"/>
        </w:rPr>
        <w:t>.]</w:t>
      </w:r>
    </w:p>
    <w:p>
      <w:pPr>
        <w:pStyle w:val="Heading4"/>
        <w:numPr>
          <w:ilvl w:val="3"/>
          <w:numId w:val="1"/>
        </w:numPr>
        <w:rPr/>
      </w:pPr>
      <w:bookmarkStart w:id="167" w:name="__RefHeading___Toc162193_3244359995"/>
      <w:bookmarkStart w:id="168" w:name="_Toc63"/>
      <w:bookmarkEnd w:id="167"/>
      <w:r>
        <w:rPr>
          <w:rtl w:val="true"/>
        </w:rPr>
        <w:t>اعتبار رایج بودن سکّه</w:t>
      </w:r>
      <w:bookmarkEnd w:id="168"/>
    </w:p>
    <w:p>
      <w:pPr>
        <w:pStyle w:val="BookText"/>
        <w:rPr/>
      </w:pPr>
      <w:r>
        <w:rPr>
          <w:rFonts w:ascii="IRNazanin" w:hAnsi="IRNazanin" w:eastAsia="IRNazanin"/>
          <w:color w:val="111111"/>
          <w:sz w:val="28"/>
          <w:sz w:val="28"/>
          <w:szCs w:val="28"/>
          <w:rtl w:val="true"/>
          <w:lang w:bidi="fa-IR"/>
        </w:rPr>
        <w:t>مقصود از سکّه، سکّه‌ی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سکّه، سکّه‌ی غیر رایجی بود، در حدّ نصاب، اعتباری به قیمت آن نیست؛ لذا، اگر مال مسروقه به اندازه‌ی قیمت رُبع دینار غیر رایج و کمتر از قمیت ربع دینار رایج ارزش داشت، دست سارق را نمی‌برند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وارد در این باب استفاده شد که حدّ نصاب ربع دینار است و به گفته‌ی صاحب جواهر رحمه الله</w:t>
      </w:r>
      <w:r>
        <w:rPr>
          <w:rStyle w:val="FootnoteAnchor"/>
          <w:rtl w:val="true"/>
        </w:rPr>
        <w:footnoteReference w:id="118"/>
      </w:r>
      <w:r>
        <w:rPr>
          <w:rFonts w:ascii="IRNazanin" w:hAnsi="IRNazanin" w:eastAsia="IRNazanin"/>
          <w:color w:val="111111"/>
          <w:sz w:val="28"/>
          <w:sz w:val="28"/>
          <w:szCs w:val="28"/>
          <w:rtl w:val="true"/>
          <w:lang w:bidi="fa-IR"/>
        </w:rPr>
        <w:t>دینار در طلای مسکوک حقیقت است؛ در این مسأله امام راحل رحمه الله قید رایج بودن را نیز اضافه می‌کنند؛ یعنی باید آن سکّه در بازار متداول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گذشته درهم و دینار، سکّه‌های طلا و نقره، به جای اسکناس در بازار رواج داشته است، درهم و دینار را به عنوان ثمنِ کالا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رواج سکّه این است که داد و ستد با آن متناول باشد، مثلًا اگر خلیفه‌ای بر روی کار می‌آمد و به نامش سکّه می‌زدند، سکّه‌های خلفای قبل از او، از رواج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نیز درهم و دینار به عنوان ثمن رایج نیستند، بلکه با آن‌ها معامله‌ی کالا می‌شود و عنوان مبیع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سؤال این است که معنای رواج و رایج بودن سکّه در این زمان چیست؟ در زمان گذشته که پول‌ها طلا و نقره بود، معنای رواج روشن است؛ ولی در این زمان که جنبه‌ی مبیعی و مثمنی دارد، آیا مقصود از رواج، یعنی در بازار بیشتر خرید و فروش می‌شود؟ در صورتی که سکّه عنوان مبیع داشته باشد، این مطلب واضح و روشن نیست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دو عنوان در این‌جا مطرح است؛ مسکوک بودن و رایج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مسکوکیّت در معنا و حقیقت دینار مأخوذ است؛ امّا بر رایج بودن، دلیلی جز</w:t>
      </w:r>
    </w:p>
    <w:p>
      <w:pPr>
        <w:pStyle w:val="BookText"/>
        <w:rPr/>
      </w:pPr>
      <w:r>
        <w:rPr>
          <w:rFonts w:ascii="IRNazanin" w:hAnsi="IRNazanin" w:eastAsia="IRNazanin"/>
          <w:color w:val="111111"/>
          <w:sz w:val="28"/>
          <w:sz w:val="28"/>
          <w:szCs w:val="28"/>
          <w:rtl w:val="true"/>
          <w:lang w:bidi="fa-IR"/>
        </w:rPr>
        <w:t>انصراف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ماهیّت دینار دخل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 و غیر رایج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حدّ نصاب را ربع دینار می‌گفت، انصراف به دینار رایج در بازار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دینار در بازار به عنوان ثمن و بهای کالا به کار رود، چنین انصرافی صحیح است؛ مثلًا در عراق، دینار به اسکناس عراقی و در کویت به اسکناس کویتی انصراف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ما بر روی دیناری است که فقط جنبه‌ی مبیعی دارد، رواج و تداول به چه معنا در این صورت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دینار در دو حالت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دینار ثمن باشد، متداول و رایج است؛ افراد تمایل بیشتری به آن دارد؛ به خلاف موردی که مثمن باشد؛ در این صورت، راغب و مشتری کمتری دارد، به ویژه در زمان ما که کمتر کسی در مقام خرید آن برمی‌آید؛ به جهت این که عنوانی ندارد؛ پول نیست که مورد نیاز همگان باشد، افراد خاصّی برای مقاصد مخصوصی آن را می‌خرند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رواج به چه صورتی صدق می‌کند؟</w:t>
      </w:r>
    </w:p>
    <w:p>
      <w:pPr>
        <w:pStyle w:val="BookText"/>
        <w:rPr/>
      </w:pPr>
      <w:r>
        <w:rPr>
          <w:rFonts w:ascii="IRNazanin" w:hAnsi="IRNazanin" w:eastAsia="IRNazanin"/>
          <w:color w:val="111111"/>
          <w:sz w:val="28"/>
          <w:sz w:val="28"/>
          <w:szCs w:val="28"/>
          <w:rtl w:val="true"/>
          <w:lang w:bidi="fa-IR"/>
        </w:rPr>
        <w:t>با توجّه به این که رایج بودن در حقیقت دینار دخالتی ندارد و انصراف نیز مربوط به زمانی است که دینار به عنوان پول و ثمن رایج بوده است، و به زمان ما ربطی ندارد، لذا، آن‌چه بر این مطلب متفرّع کرده‌اند، ناتمام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تفریع ایشان در صورتی صحیح است که دینار ثمن رایج باشد و رایج بودن نیز در نصاب معتبر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مالی را سرقت کرد که به قیمت ربع دینار غیر رایج هست ولی به قمیت ربع دینار رایج نیست، شرط قطع دست محقّق نشده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سکّه تمام بهار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تحقیقی که برخی از برادران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دو نخود است؛ یعنی از دو مثقال صیرفی شش نخود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قیمت آن در زمان‌های مختلف در تغییر و نوسان است، آن‌چه ملاک است، قیمت زمان سرقت است که بایستی به ربع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و کاری به زمان دستگیری یا حکم حاکم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نصاب در مال مسروقه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زمانی که سرقت کرده، عنوان مسروقه محقّق شده و در همان زمان باید نصاب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در زمان حکم، قیمت بالا</w:t>
      </w:r>
    </w:p>
    <w:p>
      <w:pPr>
        <w:pStyle w:val="BookText"/>
        <w:rPr/>
      </w:pPr>
      <w:r>
        <w:rPr>
          <w:rFonts w:ascii="IRNazanin" w:hAnsi="IRNazanin" w:eastAsia="IRNazanin"/>
          <w:color w:val="111111"/>
          <w:sz w:val="28"/>
          <w:sz w:val="28"/>
          <w:szCs w:val="28"/>
          <w:rtl w:val="true"/>
          <w:lang w:bidi="fa-IR"/>
        </w:rPr>
        <w:t>رفته باشد یا تنزّل کرده باشد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دینار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طلای خالص مسکوک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یک مقدار کمی ناخالصی برای تحقّق سکّه و ضرب آن لازم است، این مقدار مضّر نیست؛ زیرا، اگر این خلیط نباشد، اصلًا عنوان مسکوکیّت به خود نمی‌گیرد</w:t>
      </w:r>
      <w:r>
        <w:rPr>
          <w:rFonts w:eastAsia="IRNazanin" w:cs="IRNazanin"/>
          <w:color w:val="111111"/>
          <w:sz w:val="28"/>
          <w:szCs w:val="28"/>
          <w:rtl w:val="true"/>
          <w:lang w:bidi="fa-IR"/>
        </w:rPr>
        <w:t>.</w:t>
      </w:r>
      <w:bookmarkStart w:id="169" w:name="pg16923_220139"/>
    </w:p>
    <w:p>
      <w:pPr>
        <w:pStyle w:val="BookText"/>
        <w:rPr/>
      </w:pPr>
      <w:bookmarkEnd w:id="1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تأثیر اعتقاد وصول السرقة إلی حدّ النصاب فی الحدّ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سرق شیئاً وتخیّل عدم وصوله إلی حدّ النصاب، کأن سرق دیناراً بتخیّل أنّه درهم، فالظاهر القطع، ولو انعکس وسرق ما دون النصاب بتخیّل النصاب لم یقطع</w:t>
      </w:r>
      <w:r>
        <w:rPr>
          <w:rFonts w:eastAsia="IRNazanin" w:cs="IRNazanin"/>
          <w:color w:val="111111"/>
          <w:sz w:val="28"/>
          <w:szCs w:val="28"/>
          <w:rtl w:val="true"/>
          <w:lang w:bidi="fa-IR"/>
        </w:rPr>
        <w:t>.]</w:t>
      </w:r>
    </w:p>
    <w:p>
      <w:pPr>
        <w:pStyle w:val="Heading4"/>
        <w:numPr>
          <w:ilvl w:val="3"/>
          <w:numId w:val="1"/>
        </w:numPr>
        <w:rPr/>
      </w:pPr>
      <w:bookmarkStart w:id="170" w:name="__RefHeading___Toc162195_3244359995"/>
      <w:bookmarkStart w:id="171" w:name="_Toc64"/>
      <w:bookmarkEnd w:id="170"/>
      <w:r>
        <w:rPr>
          <w:rtl w:val="true"/>
        </w:rPr>
        <w:t>عدم دخالت اعتقاد رسیدن سرقت به حدّ نصاب در ثبوت حدّ قطع</w:t>
      </w:r>
      <w:bookmarkEnd w:id="171"/>
    </w:p>
    <w:p>
      <w:pPr>
        <w:pStyle w:val="BookText"/>
        <w:rPr/>
      </w:pPr>
      <w:r>
        <w:rPr>
          <w:rFonts w:ascii="IRNazanin" w:hAnsi="IRNazanin" w:eastAsia="IRNazanin"/>
          <w:color w:val="111111"/>
          <w:sz w:val="28"/>
          <w:sz w:val="28"/>
          <w:szCs w:val="28"/>
          <w:rtl w:val="true"/>
          <w:lang w:bidi="fa-IR"/>
        </w:rPr>
        <w:t>اگر چیزی را به خیال این که به حدّ نصاب نمی‌رسد سرقت کرد، مانند این که دیناری را به تصوّر این که درهم است، دزدید، بنا بر ظاهر دستش را می‌برند و اگر مطلب برعکس بود، و کمتر از نصاب را به تصوّر این که به حدّ نصاب است، دزدید، دستش قطع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نصاب قطع دست ربع دینار معیّن شده است؛ این نصاب یک واقعیّت است؛ خواه برای سارق روشن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سرقت، اراده‌ی دزدی به حدّ نصاب را داشته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 از عناوین قصدی نیست، از امور عبادی نمی‌باشد که در آن‌ها قصد معتبر است؛ مانند تعظیم نیست که در مفهوم و حقیقتش قصد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اگر کسی به خیال این که مال مسروقه کمتر از حدّ نصاب است، آن را دزدید، یا شخصی سکّه‌ای را به خیال این که درهم است، بُرد، ولی در حقیقت دینار بود، دستش را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کلّی، مثلًا اگر کسی معنای سرقت را نمی‌داند، در خانه‌ی مردم را شکست و مخفیانه به اندازه‌ی نصاب یا بیشتر، از اموال آن به سرقت بُرد، حدّ درباره‌اش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عناوینی که سبب ثبوت حدّ می‌گردد، همین مطلب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یک عناوین واقعی هستند؛ لذا، اگر کسی کلمه‌ی قذف به گوشش نخورده و مسلمانی را قذف کرد، حدّ بر او جاری می‌گردد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عناوین واقعی، قصد داشته باشد یا نه، قصد خلاف کند یا نه، جاهل به عنوان باشد یا نه، هیچ یک از دو طرف در تحقّق عنوان دخالتی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قصد بُردن حدّ نصاب را داشته ولی در واقع کمتر از آن بُرده باشد، حدّ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قاعده‌ی کلّی این است که اگر مال مسروقه به حدّ نصاب باشد، دست دزد را می‌بُرند والّا نمی‌برند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 واقعیّتی است، و هرچند این کلمه به گوش زانی نخورده باشد، لیکن بداند مقاربت با زن جایز نیست، همین مقدار برای اقامه‌ی حدّ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یعنی استیلای بر مال مردم، خواه قصد داشته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ربع دینار مطلق است، و مقیّد به علم و قصد نیست؛ هرجا این واقعیّت محقّق گردد، قطع دست نیز هست و الّا قطعی نیست</w:t>
      </w:r>
      <w:r>
        <w:rPr>
          <w:rFonts w:eastAsia="IRNazanin" w:cs="IRNazanin"/>
          <w:color w:val="111111"/>
          <w:sz w:val="28"/>
          <w:szCs w:val="28"/>
          <w:rtl w:val="true"/>
          <w:lang w:bidi="fa-IR"/>
        </w:rPr>
        <w:t>.</w:t>
      </w:r>
      <w:bookmarkStart w:id="172" w:name="pg16923_220141"/>
    </w:p>
    <w:p>
      <w:pPr>
        <w:pStyle w:val="BookText"/>
        <w:rPr/>
      </w:pPr>
      <w:bookmarkEnd w:id="1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السرقة فیما زاد علی النصاب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الدینار أو ما بلغ قیمة الربع هو أقلّ ما یقطع به، فلو سرق أکثر منه یقطع کقطعه بالربع بلغ ما بلغ، ولیس فی الزیادة شی‌ء غیر القطع</w:t>
      </w:r>
      <w:r>
        <w:rPr>
          <w:rFonts w:eastAsia="IRNazanin" w:cs="IRNazanin"/>
          <w:color w:val="111111"/>
          <w:sz w:val="28"/>
          <w:szCs w:val="28"/>
          <w:rtl w:val="true"/>
          <w:lang w:bidi="fa-IR"/>
        </w:rPr>
        <w:t>.]</w:t>
      </w:r>
    </w:p>
    <w:p>
      <w:pPr>
        <w:pStyle w:val="Heading4"/>
        <w:numPr>
          <w:ilvl w:val="3"/>
          <w:numId w:val="1"/>
        </w:numPr>
        <w:rPr/>
      </w:pPr>
      <w:bookmarkStart w:id="173" w:name="__RefHeading___Toc162197_3244359995"/>
      <w:bookmarkStart w:id="174" w:name="_Toc65"/>
      <w:bookmarkEnd w:id="173"/>
      <w:r>
        <w:rPr>
          <w:rtl w:val="true"/>
        </w:rPr>
        <w:t>حکم دزدی اضافه بر حدّ نصاب</w:t>
      </w:r>
      <w:bookmarkEnd w:id="174"/>
    </w:p>
    <w:p>
      <w:pPr>
        <w:pStyle w:val="BookText"/>
        <w:rPr/>
      </w:pPr>
      <w:r>
        <w:rPr>
          <w:rFonts w:ascii="IRNazanin" w:hAnsi="IRNazanin" w:eastAsia="IRNazanin"/>
          <w:color w:val="111111"/>
          <w:sz w:val="28"/>
          <w:sz w:val="28"/>
          <w:szCs w:val="28"/>
          <w:rtl w:val="true"/>
          <w:lang w:bidi="fa-IR"/>
        </w:rPr>
        <w:t>ربع دینار یا قیمت آن کمترین حدّی است که بر آن دست سارق قطع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بیش از این مقدار به هر اندازه نیز سرقت کند، بر زیاده از ربع چیزی غیر از قطع دست نیست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که ربع دینار را به عنوان نصاب مطرح می‌کند، فقط در مقام تحدید حدّاقل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ما نیز این مطلب استعمال دارد؛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قیمتش کمتر از فلان مقدار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این است که بر زیادتر از آن حدّ و حصری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ربع دینار سرقت کرد، دستش 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حدّ اقل است؛ و اگر میلیون‌ها تومان نیز سرقت کند، باز حدّش قطع دست است؛ و فرقی بین دو سارق در مقدار حدّ نیست</w:t>
      </w:r>
      <w:r>
        <w:rPr>
          <w:rFonts w:eastAsia="IRNazanin" w:cs="IRNazanin"/>
          <w:color w:val="111111"/>
          <w:sz w:val="28"/>
          <w:szCs w:val="28"/>
          <w:rtl w:val="true"/>
          <w:lang w:bidi="fa-IR"/>
        </w:rPr>
        <w:t>.</w:t>
      </w:r>
      <w:bookmarkStart w:id="175" w:name="pg16923_220142"/>
    </w:p>
    <w:p>
      <w:pPr>
        <w:pStyle w:val="BookText"/>
        <w:rPr/>
      </w:pPr>
      <w:bookmarkEnd w:id="1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الثانی فی المسروق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فی الحرز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المسروق أن یکون فی حرز ککونه فی مکان مقفّل أو مغلق أو کان مدفوناً أو أخفاه المالک عن الأنظار تحت فرش أو جوف کتاب أو نحو ذلک ممّا یعدّ عرفاً محرزاً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لا یکون کذلک لا یقطع به وإن لا یجوز الدخول إلّابإذن مالکه فلو سرق شیئاً عن الأشیاء الظاهرة فی دکّان مفتوح لم یقطع وإن لا یجوز دخوله فیه إلّابإذنه</w:t>
      </w:r>
      <w:r>
        <w:rPr>
          <w:rFonts w:eastAsia="IRNazanin" w:cs="IRNazanin"/>
          <w:color w:val="111111"/>
          <w:sz w:val="28"/>
          <w:szCs w:val="28"/>
          <w:rtl w:val="true"/>
          <w:lang w:bidi="fa-IR"/>
        </w:rPr>
        <w:t>.]</w:t>
      </w:r>
    </w:p>
    <w:p>
      <w:pPr>
        <w:pStyle w:val="Heading4"/>
        <w:numPr>
          <w:ilvl w:val="3"/>
          <w:numId w:val="1"/>
        </w:numPr>
        <w:rPr/>
      </w:pPr>
      <w:bookmarkStart w:id="176" w:name="__RefHeading___Toc162199_3244359995"/>
      <w:bookmarkStart w:id="177" w:name="_Toc66"/>
      <w:bookmarkEnd w:id="176"/>
      <w:r>
        <w:rPr>
          <w:rtl w:val="true"/>
        </w:rPr>
        <w:t>شرط دوّم مال مسروقه</w:t>
      </w:r>
      <w:r>
        <w:rPr>
          <w:rtl w:val="true"/>
        </w:rPr>
        <w:t xml:space="preserve">: </w:t>
      </w:r>
      <w:r>
        <w:rPr>
          <w:rtl w:val="true"/>
        </w:rPr>
        <w:t>در حرز بودن</w:t>
      </w:r>
      <w:bookmarkEnd w:id="177"/>
    </w:p>
    <w:p>
      <w:pPr>
        <w:pStyle w:val="Heading5"/>
        <w:numPr>
          <w:ilvl w:val="4"/>
          <w:numId w:val="1"/>
        </w:numPr>
        <w:rPr/>
      </w:pPr>
      <w:bookmarkStart w:id="178" w:name="__RefHeading___Toc162201_3244359995"/>
      <w:bookmarkStart w:id="179" w:name="_Toc67"/>
      <w:bookmarkEnd w:id="178"/>
      <w:r>
        <w:rPr>
          <w:rtl w:val="true"/>
        </w:rPr>
        <w:t>اشاره</w:t>
      </w:r>
      <w:bookmarkEnd w:id="179"/>
    </w:p>
    <w:p>
      <w:pPr>
        <w:pStyle w:val="BookText"/>
        <w:rPr/>
      </w:pPr>
      <w:r>
        <w:rPr>
          <w:rFonts w:ascii="IRNazanin" w:hAnsi="IRNazanin" w:eastAsia="IRNazanin"/>
          <w:color w:val="111111"/>
          <w:sz w:val="28"/>
          <w:sz w:val="28"/>
          <w:szCs w:val="28"/>
          <w:rtl w:val="true"/>
          <w:lang w:bidi="fa-IR"/>
        </w:rPr>
        <w:t>این مسأله درباره‌ی دو مطلب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اعتبار در حرز بودن مال مسروقه، دوّم در معنای حرز و مصادیقش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تحقّق سرقتی که بر آن حدِّ قطع مترتّب می‌گردد، این است که مال مسروقه در حرزی باشد؛ مانند این که در مکان قفل‌دار، یا دربسته‌ای، یا در زمینی مدفون باشد و یا مالک دور از چشم دیگران آن را در زیر فرش یا وسط کتابی مخفی کرده باشد و به‌طور کلّی، هرچه را عرف محرَز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مالی که در حرز نباشد، در سرقتش قطع دست نیست؛ هرچند جایز نیست بدون اجازه‌ی مالکش به آن‌جا داخل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چیزی که ظاهر است و آن را مخفی نکرده‌اند، مثلًا از دکّان مفتوحی ببرند، قطع دست در آن نیست؛ اگرچه بدون اجازه‌ی مالکش نمی‌توان به آن‌جا داخل شد</w:t>
      </w:r>
      <w:r>
        <w:rPr>
          <w:rFonts w:eastAsia="IRNazanin" w:cs="IRNazanin"/>
          <w:color w:val="111111"/>
          <w:sz w:val="28"/>
          <w:szCs w:val="28"/>
          <w:rtl w:val="true"/>
          <w:lang w:bidi="fa-IR"/>
        </w:rPr>
        <w:t>.</w:t>
      </w:r>
    </w:p>
    <w:p>
      <w:pPr>
        <w:pStyle w:val="Heading5"/>
        <w:numPr>
          <w:ilvl w:val="4"/>
          <w:numId w:val="1"/>
        </w:numPr>
        <w:rPr/>
      </w:pPr>
      <w:bookmarkStart w:id="180" w:name="__RefHeading___Toc162203_3244359995"/>
      <w:bookmarkStart w:id="181" w:name="_Toc68"/>
      <w:bookmarkEnd w:id="180"/>
      <w:r>
        <w:rPr>
          <w:rtl w:val="true"/>
        </w:rPr>
        <w:t>مطلب اوّل</w:t>
      </w:r>
      <w:r>
        <w:rPr>
          <w:rtl w:val="true"/>
        </w:rPr>
        <w:t xml:space="preserve">: </w:t>
      </w:r>
      <w:r>
        <w:rPr>
          <w:rtl w:val="true"/>
        </w:rPr>
        <w:t>اعتبار حرز در حدّ قطع</w:t>
      </w:r>
      <w:bookmarkEnd w:id="181"/>
    </w:p>
    <w:p>
      <w:pPr>
        <w:pStyle w:val="Heading6"/>
        <w:numPr>
          <w:ilvl w:val="5"/>
          <w:numId w:val="1"/>
        </w:numPr>
        <w:rPr/>
      </w:pPr>
      <w:bookmarkStart w:id="182" w:name="__RefHeading___Toc162205_3244359995"/>
      <w:bookmarkStart w:id="183" w:name="_Toc69"/>
      <w:bookmarkEnd w:id="182"/>
      <w:r>
        <w:rPr>
          <w:rtl w:val="true"/>
        </w:rPr>
        <w:t>اشاره</w:t>
      </w:r>
      <w:bookmarkEnd w:id="18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فتوا و نصوص این مطلب مسلّم است که مال مسروقه باید در حرز باشد و از حرز به سرقت رفته باشد تا حدّ قطع مترتّب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کتاب‌های لغت، در حرز بودن را در ماهیّت سرقت معتبر ندانسته‌اند؛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الأخذ 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الأخذ خفیة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پنهانی سرقت است، حتّی از حرز بردن را از باب نمونه و به عنوان موردِ استعمال هم ذکر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در معنای لغوی سرقت، بردن از حرز نقشی ندار؛ بلکه در اصطلاح فقهی</w:t>
      </w:r>
    </w:p>
    <w:p>
      <w:pPr>
        <w:pStyle w:val="BookText"/>
        <w:rPr/>
      </w:pPr>
      <w:r>
        <w:rPr>
          <w:rFonts w:ascii="IRNazanin" w:hAnsi="IRNazanin" w:eastAsia="IRNazanin"/>
          <w:color w:val="111111"/>
          <w:sz w:val="28"/>
          <w:sz w:val="28"/>
          <w:szCs w:val="28"/>
          <w:rtl w:val="true"/>
          <w:lang w:bidi="fa-IR"/>
        </w:rPr>
        <w:t>شرعی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دلیل آن را در روایات جستجو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محمّد بن یحیی، عن أحمد بن محمّد، عن ابن محبوب، عن أبی أیّوب،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 السلام فی کم یقطع السّارق؟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ربع دینار،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درهمین؟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ربع دینار بلغ الدینار ما 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من سرق أقلّ من ربع دینار هل یقع علیه حین سرق إسم السارق؟ وهل هو عند اللَّه سارق؟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سرق من مسلم شیئاً قد حواه وأحرزه فهو یقع علیه اسم السارق وهو عند اللَّه سارق، ولکن لا یقطع إلّافی ربع دینار أو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قطعت أیدی السّراق فیما أقلّ هو من ربع دینار لألقیت عامّة الناس مقطّعین</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صحیحه را در مسأله‌ی حدّ نصاب به‌طور مفصّل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بحث مورد نظر است، گفتار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من سرق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هرکسی که از مسلمانی چیزی را به سرقت بَرد در حالی که آن مال را در حرز گذاشته و مخفی کرده باشد، او نزد خدا سارق است و اسم سارق بر او صدق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حواه وأحرزه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سارق باشد؛ ظهور روایت در رجوع ضمیر فاعلی در هر دو فعل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سائل از نصاب پرسید؛ ولی امام علیه السلام علاوه بر نصاب، شرط دیگری را نیز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جواهر و کتاب‌های دیگر به این روایت تمسّک نکرده‌اند، ولی به بیانی که گذشت، می‌توان در اعتبار حرز به آن استناد کرد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الإسناد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یقطع إلّامن نقب بیتاً أو کسر قفلًا</w:t>
      </w:r>
      <w:r>
        <w:rPr>
          <w:rFonts w:eastAsia="IRNazanin" w:cs="IRNazanin"/>
          <w:color w:val="111111"/>
          <w:sz w:val="28"/>
          <w:szCs w:val="28"/>
          <w:rtl w:val="true"/>
          <w:lang w:bidi="fa-IR"/>
        </w:rPr>
        <w:t>.</w:t>
      </w:r>
      <w:r>
        <w:rPr>
          <w:rStyle w:val="FootnoteAnchor"/>
          <w:rtl w:val="true"/>
        </w:rPr>
        <w:footnoteReference w:id="120"/>
      </w:r>
      <w:bookmarkStart w:id="184" w:name="pg16923_220144"/>
    </w:p>
    <w:p>
      <w:pPr>
        <w:pStyle w:val="BookText"/>
        <w:rPr/>
      </w:pPr>
      <w:bookmarkEnd w:id="184"/>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از امام صادق علیه السلام نقل می‌کند که آن حضرت به عنوان ضابطه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کسی فقلی را نشکند یا نقب و سوارخی به منزل مردم نزند که از آن راه وارد شود و مال را از نقب بیرون آورد، قطع دست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العیّاشی فی تفسیره عن جمیل، عن بعض أصحابه عن أحدهما،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لایقطع إلّامن نقب بیتاً أو کسر قفلًا</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همان روایت سکونی است که جمیل به صورت ارسال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توجّه به این روایات و احادیث دیگر، بدون تردید اعتبار حرز در قطع دست استفاده می‌شود</w:t>
      </w:r>
      <w:r>
        <w:rPr>
          <w:rFonts w:eastAsia="IRNazanin" w:cs="IRNazanin"/>
          <w:color w:val="111111"/>
          <w:sz w:val="28"/>
          <w:szCs w:val="28"/>
          <w:rtl w:val="true"/>
          <w:lang w:bidi="fa-IR"/>
        </w:rPr>
        <w:t>.</w:t>
      </w:r>
    </w:p>
    <w:p>
      <w:pPr>
        <w:pStyle w:val="Heading6"/>
        <w:numPr>
          <w:ilvl w:val="5"/>
          <w:numId w:val="1"/>
        </w:numPr>
        <w:rPr/>
      </w:pPr>
      <w:bookmarkStart w:id="185" w:name="__RefHeading___Toc162207_3244359995"/>
      <w:bookmarkStart w:id="186" w:name="_Toc70"/>
      <w:bookmarkEnd w:id="185"/>
      <w:r>
        <w:rPr>
          <w:rtl w:val="true"/>
        </w:rPr>
        <w:t>بررسی روایات منافی</w:t>
      </w:r>
      <w:bookmarkEnd w:id="186"/>
    </w:p>
    <w:p>
      <w:pPr>
        <w:pStyle w:val="BookText"/>
        <w:rPr/>
      </w:pPr>
      <w:r>
        <w:rPr>
          <w:rFonts w:ascii="IRNazanin" w:hAnsi="IRNazanin" w:eastAsia="IRNazanin"/>
          <w:color w:val="111111"/>
          <w:sz w:val="28"/>
          <w:sz w:val="28"/>
          <w:szCs w:val="28"/>
          <w:rtl w:val="true"/>
          <w:lang w:bidi="fa-IR"/>
        </w:rPr>
        <w:t>ابن ابی عقیل از علمای شیعه معتقد است که در حدّ سرقت حرز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روایت بر مطلوب ایشان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بإسناده عن الحسین بن سعید، عن ابن أبی عمیر، عن جمیل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إشتریت أنا والمعلّی بن خنیس طعاماً بالمدینة وأدرکنا المساء قبل أن ننقله فترکناه فی السّوق فی جوالیقه وانصرفنا، فلمّا کان من الغد غدونا إلی السّوق فإذا أهل السوق مجتمعون علی أسود قد أخذوه وقد سرق جوالقاً من طعامنا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قد سرق جوالقاً من طعامکم فارفعوه إلی الوالی فکرهنا أن نتقدّم علی ذلک حتّی نعرف رأی أبی عبد اللَّه علیه السلام، فدخل المعلّی علی أبی عبد اللَّه علیه السلام وذکر ذلک له، فأمرنا أن نرفعه، فرفعناه فقطع</w:t>
      </w:r>
      <w:r>
        <w:rPr>
          <w:rFonts w:eastAsia="IRNazanin" w:cs="IRNazanin"/>
          <w:color w:val="111111"/>
          <w:sz w:val="28"/>
          <w:szCs w:val="28"/>
          <w:rtl w:val="true"/>
          <w:lang w:bidi="fa-IR"/>
        </w:rPr>
        <w:t>.</w:t>
      </w:r>
      <w:r>
        <w:rPr>
          <w:rStyle w:val="FootnoteAnchor"/>
          <w:rtl w:val="true"/>
        </w:rPr>
        <w:footnoteReference w:id="122"/>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صحیحه، جمیل بن درّاج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معلّی بن</w:t>
      </w:r>
    </w:p>
    <w:p>
      <w:pPr>
        <w:pStyle w:val="BookText"/>
        <w:rPr/>
      </w:pPr>
      <w:r>
        <w:rPr>
          <w:rFonts w:ascii="IRNazanin" w:hAnsi="IRNazanin" w:eastAsia="IRNazanin"/>
          <w:color w:val="111111"/>
          <w:sz w:val="28"/>
          <w:sz w:val="28"/>
          <w:szCs w:val="28"/>
          <w:rtl w:val="true"/>
          <w:lang w:bidi="fa-IR"/>
        </w:rPr>
        <w:t>خنیس طعامی را در مدینه خریدیم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که گندم را منتقل کنیم، شب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جنس را در کیسه‌ها و جوال‌ها در بازار گذاشتیم و به خانه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برای نقل و انتقال گندم‌ها به بازار آمدیم؛ دیدیم بازاریان بر گرد سیاهی جمع شده‌اند و او را دستگیر کرده‌اند؛ در حالی که کیسه‌ای از گندم‌های ما را دزدیده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اموال شما دزدی کرده است، او را نزد حاکم و والی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کراهت داشتیم قبل از آن که از رأی امام صادق علیه السلام آگاه شویم، اقدامی کنیم؛ زیرا، والی از طرف خلیفه‌ی جور در مدینه منصوب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نزد امام صادق علیه السلام رفت؛ جریان را بازگفت و کسب تکلیف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را نزد قاضی و والی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حکم به قطع دست کرد و دست او را بریدند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روایت این است که گندم‌ها در حرز نبوده است؛ در همان بازار و محل رفت و آمد عمومی رها شده بود، حتّی حرزی که شیخ طوسی رحمه الله در کتاب نهایه بیان کرده و در آینده مطرح می‌کنیم، وجود نداشته است؛ با این حال، دست سارق را قطع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قطع حکم ندادند، والی دست او را به ناحق قطع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می‌دانست اگر نزد والی بروند، دستش قطع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فرمان داد او را پیش والی ببرند؛ لیکن از این فرمان امام علیه السلام نمی‌توان استفاده کرد که قطع حکم واقعی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احتمال دارد مصلحت عامی اقتضای این مطلب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آن که امام علیه السلام می‌دانست قطع دست مخالف با واقع و بر خلاف حکم اسلام است و با رجوع به حاکم دست سارق قطع می‌گردد، این فرمان را صادر کرد؛ زیرا، مسأله علنی و آشکارا شده بود و اگر امام علیه السلام از رجوع به حاکم منع می‌کرد، حکومت متوجّه می‌شد و به عنوان مخالفت با دستگاه خطراتی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مصلحت تقیّه این معنا را اقتضا می‌کرده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مسأله را به تقیّه برنگردانیم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علیه السلام دستور مراجعه‌ی به</w:t>
      </w:r>
    </w:p>
    <w:p>
      <w:pPr>
        <w:pStyle w:val="BookText"/>
        <w:rPr/>
      </w:pPr>
      <w:r>
        <w:rPr>
          <w:rFonts w:ascii="IRNazanin" w:hAnsi="IRNazanin" w:eastAsia="IRNazanin"/>
          <w:color w:val="111111"/>
          <w:sz w:val="28"/>
          <w:sz w:val="28"/>
          <w:szCs w:val="28"/>
          <w:rtl w:val="true"/>
          <w:lang w:bidi="fa-IR"/>
        </w:rPr>
        <w:t>والی را نمی‌داد، سبب تحقّق هرج و مرج در جامعه می‌شد؛ زیرا، اگر در این مورد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والی نروید، فردا اگر دزد واقعی هم پیدا می‌شد، او را نزد والی نمی‌بردند؛ و امنیت و آسایش مردم به خطر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علیه السلام ترجیح دادند دست یک فرد بی‌جهت قطع گردد؛ هرچند بر خلاف واقع حکم اسلام باشد؛ لیکن مردم خود را موظف به مراجعه‌ی به مسئولین بدانند تا جلوی هرج و مرج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امیر مؤمنان علیه السلام، همه‌ی مظلومیت‌های آن حضرت به تقیّه بر نمی‌گردد؛ گاه مصالح عمومی اسلام اقتضا می‌کرده است حضرت مطلبی را بفرماید یا عملی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می‌بینیم صاحب وسائل رحمه الله نیز عنوان باب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حکم رفع السارق إلی الوالی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توجیه روایت دلالتی بر عدم اعتبار حرز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بإسناده عن أحمد بن محمّد بن عیسی، عن محمّد بن سنان، عن حمّاد بن عثمان، وعن خلف بن حمّاد، عن ربعی بن عبداللَّه، عن الفضیل بن یسار،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الرجل من النخل والزرع قبل أن یصرم فلیس علیه قطع، فإذا صرم النخل وحصد الزرع وأخذ قطع</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دو طریق دارد؛ طریقی که مشتمل بر محمّد بن سنان نیست،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درخت خرما قبل از چیدن میوه‌اش و از زراعت قبل از درو کردنش سرقت کند، قطع دست بر او نیست؛ امّا بعد از چیدن و درو کردن دست سارق را می‌برند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خرمای بر درخت و دانه نچیده، معلوم است که در حرز نیست؛ از این رو، امام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علیه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یک امر متعارف و مسأله‌ی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زراعت‌های آن زمان مانند این زمان در بیابان و صحرا بدون حرز است، بیشتر درخت‌های خرما نیز حرزی ندارد؛ در باغ نیست که دور آن دیوار کشیده باشند، لذا بر سرقت آن‌ها قطع دست مترتّب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بعد از چیدن خرما یا دروی زرع دزدی کند، دستش را قطع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باشیم و روایت، ملاک قطع دست و عدمش را چیدن و نچیدن محصول قرار داده است، و عنوان حرز مطرح نیست؛ لذا، اگر خرمای خرمن شده در پای درخت را بدزدد، باید دستش را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توجیه این روایت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و زراعت قبل از چیده شدن با عدم حرز ملازم است؛ امّا بعد از چیدن، عادت بر جمع‌آوری محصول و انبار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هرچیزی حرزی متناسب با خودش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روایاتی که بر اعتبار حرز دلالت دارد، قرینه‌ی این روایات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قطع در این روایات مربوط است به جایی که سرقت میوه و زرع از حرز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شاهدش این که گندم و خرما را تا نچیده‌اند، مراقب و نگهبانی ندارد؛ ولی پس از حصاد و چیدن، کمال مراقبت برای نگهداریش را مبذول 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علیّ بن ابراهیم، عن أبیه، عن ابن أبی عمیر، عن حمّاد عن الحلبی،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یأخذ اللّص یرفعه أو یترکه؟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صفوان بن امیّة کان مضطجعاً فی المسجد الحرام، فوضع ردائه وخرج یهریق الماء، فوجد رداءه قد سرق حین رجع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ذهب بردائی؟ فذهب یطلبه، فأخذ صاحبه فرفعه إلی النّبی صلی الله علیه و آله،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اقطعوا یده،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تقطع یده من أجل ردائی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أهبه له، فقال 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کان هذا قبل أن ترفعه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بمنزلته إذا رفع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العفو قبل أن ینتهی إلی الإمام؟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شیعه و سنّی نقل کرده‌اند و صاحب وسائل رحمه الله آن را با سند صحیح آورده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حلبی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را که دستگیر می‌کنند نزد حاکم ببرند یا رهایش کنند؟</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مرحوم صدوق دارد پس از مسلمان شدنش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الحرام خوابیده بود، ردایش را گذاشت و برای تطهیر از مسجد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آن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سارق به جستجو پرداخت تا او را دستگیر کرد نزد پیامبر خدا صلی الله علیه و آله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فرمان داد دست سارق را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بن امیّه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عبای من، دستش را می‌بُرند؟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بخشیدم،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آن که مسأله را نزد من بیاوری او را عفو کرده بودی، مانع قطع دست بود ولی الآن فایده‌ای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حلبی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خصوصیّت در امام معصوم نیز هست زمانی که سارق را نزد او بیاورند؟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قبل از آن که مطلب به امام برسد، سارق را عفو کرد؟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کار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یک مکان عمومی و محل رفت آمد همگان است، با آن که عبا در حرز نبوده و سارق آن را برده، پیامبر خدا صلی الله علیه و آله فرمان قطع دست سارق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آینده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از اماکن عمومی مانند مدرسه، مسجد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به سرقت برد، به خاطر نبودن حرز قطع دست مترتّب نمی‌شود؛ در حالی که روایت صحیحه بر خلاف این فتوا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مساجد و اماکنی که بدون اجازه در آن‌ها رفت و آمد می‌شود همانند حمّام، آسیاب و کاروانسرا چیزی را سرقت کند، دستش قطع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رسول خدا صلی الله علیه و آله دستور به قطع دستش داد، این بود که صفوان بن امیّه عبایش را مخفی کرده بود و دزد آن را از حرز برداشته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عبا در حرز نبود، پیامبر خدا صلی الله علیه و آله دستش را نمی‌برید، بلکه او را تعزیر می‌کرد</w:t>
      </w:r>
      <w:r>
        <w:rPr>
          <w:rFonts w:eastAsia="IRNazanin" w:cs="IRNazanin"/>
          <w:color w:val="111111"/>
          <w:sz w:val="28"/>
          <w:szCs w:val="28"/>
          <w:rtl w:val="true"/>
          <w:lang w:bidi="fa-IR"/>
        </w:rPr>
        <w:t>.</w:t>
      </w:r>
      <w:r>
        <w:rPr>
          <w:rStyle w:val="FootnoteAnchor"/>
          <w:rtl w:val="true"/>
        </w:rPr>
        <w:footnoteReference w:id="125"/>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توجیه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مضطجعاً فی المسجد الحرام فوضع ردائه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به ذهن تبادر می‌کند که صفوان عبا را پهن و روی آن خوابیده بود؛ پس از آن</w:t>
      </w:r>
    </w:p>
    <w:p>
      <w:pPr>
        <w:pStyle w:val="BookText"/>
        <w:rPr/>
      </w:pPr>
      <w:r>
        <w:rPr>
          <w:rFonts w:ascii="IRNazanin" w:hAnsi="IRNazanin" w:eastAsia="IRNazanin"/>
          <w:color w:val="111111"/>
          <w:sz w:val="28"/>
          <w:sz w:val="28"/>
          <w:szCs w:val="28"/>
          <w:rtl w:val="true"/>
          <w:lang w:bidi="fa-IR"/>
        </w:rPr>
        <w:t>بلند شد و برای تطهیر به خارج از مسجد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قسمت روایت استفاده می‌کنید که آن را در حرز گذاشته و دزد آن را از مخفی‌گاه برده است؟</w:t>
      </w:r>
    </w:p>
    <w:p>
      <w:pPr>
        <w:pStyle w:val="BookText"/>
        <w:rPr/>
      </w:pPr>
      <w:r>
        <w:rPr>
          <w:rFonts w:ascii="IRNazanin" w:hAnsi="IRNazanin" w:eastAsia="IRNazanin"/>
          <w:color w:val="111111"/>
          <w:sz w:val="28"/>
          <w:sz w:val="28"/>
          <w:szCs w:val="28"/>
          <w:rtl w:val="true"/>
          <w:lang w:bidi="fa-IR"/>
        </w:rPr>
        <w:t>بهتر آن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خصوصیّات مسجد الحرام که به عنوان مأمن و محل امن است، قطع دست سارق است؛ هرچند از حرز نیز سرقت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کفشی، عبایی، ردائی را از آن‌جا ببرند، به سبب ویژگی مسجد الحرام دست سارق را باید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اجماعی بر خلاف این مطلب قائم نیست و از نظر فقهی فرق بین مسجد الحرام با مساجد و اماکن دیگر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توجیه مؤیّدی نیز داریم؛ مرحوم صاحب وسائل رحمه الله روایتی در کتاب حجّ به این مضمون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زیاد بن جعفر الهمدانی، عن علیّ بن إبراهیم، عن أبیه، عن عبدالسّلام بن صالح الهروی، عن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بأیّ شی‌ء یبدأ القائم منکم إذا قام؟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یبدء ببنی شیبة فیقطع أیدیهم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سرّاق بیت اللَّه تعالی</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بن صالح به امام رضا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 عصر عجل‌اللَّه تعالی فرجه الشریف قیام کند، در مقام اجرای حدود، به کدام حدّ آغاز می‌کند؟</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بنی‌شیبه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کلیدداران خانه‌ی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می‌کند دستشان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دزدان خانه‌ی خدا هستند و در خانه‌ی خدا دزدی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 اللَّه حرزی نیست، و بنی‌شیبه دزدانی هستند که از غیر حرز سرقت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امام زمان علیه السلام دستشان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بیانگر ویژگی مسجد الحرام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مؤیّدی برای روایت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وارد مسجدالحرام می‌شود، باید از یک امنیّت و آرامش فکری برخوردار باشد تا بتواند از جنبه‌های معنوی آن مکان مقدّس بهره ببرد؛ لذا، لازم نیست در آن‌جا حرزی باشد، بلکه بر سرقت از خارج حرز نیز قطع دست</w:t>
      </w:r>
      <w:bookmarkStart w:id="187" w:name="pg16923_220150"/>
    </w:p>
    <w:p>
      <w:pPr>
        <w:pStyle w:val="BookText"/>
        <w:rPr/>
      </w:pPr>
      <w:bookmarkEnd w:id="187"/>
      <w:r>
        <w:rPr>
          <w:rFonts w:ascii="IRNazanin" w:hAnsi="IRNazanin" w:eastAsia="IRNazanin"/>
          <w:color w:val="111111"/>
          <w:sz w:val="28"/>
          <w:sz w:val="28"/>
          <w:szCs w:val="28"/>
          <w:rtl w:val="true"/>
          <w:lang w:bidi="fa-IR"/>
        </w:rPr>
        <w:t>مترتّب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 ثبوت حدّ سرقت، سرقت از حرز است و روایاتی که به عنوان مخالف مطرح بود، یا مخالفتی نداشت و یا حکم اختصاصی مسجد الحرام را بیان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فقهای امامی مذهب غیر از مرحوم ابن ابی عقیل عمّانی بر اعتبار این مطلب متّفق‌اند</w:t>
      </w:r>
      <w:r>
        <w:rPr>
          <w:rFonts w:eastAsia="IRNazanin" w:cs="IRNazanin"/>
          <w:color w:val="111111"/>
          <w:sz w:val="28"/>
          <w:szCs w:val="28"/>
          <w:rtl w:val="true"/>
          <w:lang w:bidi="fa-IR"/>
        </w:rPr>
        <w:t>.</w:t>
      </w:r>
    </w:p>
    <w:p>
      <w:pPr>
        <w:pStyle w:val="Heading5"/>
        <w:numPr>
          <w:ilvl w:val="4"/>
          <w:numId w:val="1"/>
        </w:numPr>
        <w:rPr/>
      </w:pPr>
      <w:bookmarkStart w:id="188" w:name="__RefHeading___Toc162209_3244359995"/>
      <w:bookmarkStart w:id="189" w:name="_Toc71"/>
      <w:bookmarkEnd w:id="188"/>
      <w:r>
        <w:rPr>
          <w:rtl w:val="true"/>
        </w:rPr>
        <w:t>مطلب دوّم</w:t>
      </w:r>
      <w:r>
        <w:rPr>
          <w:rtl w:val="true"/>
        </w:rPr>
        <w:t xml:space="preserve">: </w:t>
      </w:r>
      <w:r>
        <w:rPr>
          <w:rtl w:val="true"/>
        </w:rPr>
        <w:t>حقیقت و معنای حرز</w:t>
      </w:r>
      <w:bookmarkEnd w:id="189"/>
    </w:p>
    <w:p>
      <w:pPr>
        <w:pStyle w:val="Heading6"/>
        <w:numPr>
          <w:ilvl w:val="5"/>
          <w:numId w:val="1"/>
        </w:numPr>
        <w:rPr/>
      </w:pPr>
      <w:bookmarkStart w:id="190" w:name="__RefHeading___Toc162211_3244359995"/>
      <w:bookmarkStart w:id="191" w:name="_Toc72"/>
      <w:bookmarkEnd w:id="190"/>
      <w:r>
        <w:rPr>
          <w:rtl w:val="true"/>
        </w:rPr>
        <w:t>اشاره</w:t>
      </w:r>
      <w:bookmarkEnd w:id="191"/>
    </w:p>
    <w:p>
      <w:pPr>
        <w:pStyle w:val="BookText"/>
        <w:rPr/>
      </w:pPr>
      <w:r>
        <w:rPr>
          <w:rFonts w:ascii="IRNazanin" w:hAnsi="IRNazanin" w:eastAsia="IRNazanin"/>
          <w:color w:val="111111"/>
          <w:sz w:val="28"/>
          <w:sz w:val="28"/>
          <w:szCs w:val="28"/>
          <w:rtl w:val="true"/>
          <w:lang w:bidi="fa-IR"/>
        </w:rPr>
        <w:t>از مجموع اقوال فقها سه معنا برای حرز فهمیده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در مکانی گذاشته باشند که ورود به آن مکان بدون اذن و اجازه‌ی صاحبش جایز نباشد، آن مال در حرز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خانه‌ای فاقد درب باشد، یا این که دربش باز است، اموالی که درون آن خانه هست، اموال داخل حرز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کسی وارد آن خانه شود و یا از مغازه‌ای که باز است چیزی را محرمانه بردارد، سرقت از حرز صادق بوده و دست آخذ را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شیخ طوسی رحمه الله در کتاب نهایه</w:t>
      </w:r>
      <w:r>
        <w:rPr>
          <w:rStyle w:val="FootnoteAnchor"/>
          <w:rtl w:val="true"/>
        </w:rPr>
        <w:footnoteReference w:id="127"/>
      </w:r>
      <w:r>
        <w:rPr>
          <w:rFonts w:ascii="IRNazanin" w:hAnsi="IRNazanin" w:eastAsia="IRNazanin"/>
          <w:color w:val="111111"/>
          <w:sz w:val="28"/>
          <w:sz w:val="28"/>
          <w:szCs w:val="28"/>
          <w:rtl w:val="true"/>
          <w:lang w:bidi="fa-IR"/>
        </w:rPr>
        <w:t>و برخی از فقها</w:t>
      </w:r>
      <w:r>
        <w:rPr>
          <w:rStyle w:val="FootnoteAnchor"/>
          <w:rtl w:val="true"/>
        </w:rPr>
        <w:footnoteReference w:id="128"/>
      </w:r>
      <w:r>
        <w:rPr>
          <w:rFonts w:ascii="IRNazanin" w:hAnsi="IRNazanin" w:eastAsia="IRNazanin"/>
          <w:color w:val="111111"/>
          <w:sz w:val="28"/>
          <w:sz w:val="28"/>
          <w:szCs w:val="28"/>
          <w:rtl w:val="true"/>
          <w:lang w:bidi="fa-IR"/>
        </w:rPr>
        <w:t>قائل‌اند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رحمه الله در کتاب مبسوط</w:t>
      </w:r>
      <w:r>
        <w:rPr>
          <w:rStyle w:val="FootnoteAnchor"/>
          <w:rtl w:val="true"/>
        </w:rPr>
        <w:footnoteReference w:id="129"/>
      </w:r>
      <w:r>
        <w:rPr>
          <w:rFonts w:ascii="IRNazanin" w:hAnsi="IRNazanin" w:eastAsia="IRNazanin"/>
          <w:color w:val="111111"/>
          <w:sz w:val="28"/>
          <w:sz w:val="28"/>
          <w:szCs w:val="28"/>
          <w:rtl w:val="true"/>
          <w:lang w:bidi="fa-IR"/>
        </w:rPr>
        <w:t>و خلاف</w:t>
      </w:r>
      <w:r>
        <w:rPr>
          <w:rStyle w:val="FootnoteAnchor"/>
          <w:rtl w:val="true"/>
        </w:rPr>
        <w:footnoteReference w:id="130"/>
      </w:r>
      <w:r>
        <w:rPr>
          <w:rFonts w:ascii="IRNazanin" w:hAnsi="IRNazanin" w:eastAsia="IRNazanin"/>
          <w:color w:val="111111"/>
          <w:sz w:val="28"/>
          <w:sz w:val="28"/>
          <w:szCs w:val="28"/>
          <w:rtl w:val="true"/>
          <w:lang w:bidi="fa-IR"/>
        </w:rPr>
        <w:t xml:space="preserve">معتقد است، لازم نیست مال در مکانی باشد که بدون اجازه ورود به آن ممنوع باشد، بلکه اگر در محل و اماکن عمومی مانند مسجد، مدرسه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باشد، همین مقدار که صاحب مال مراقب مالش هست، حرز درست می‌شود؛ بنابراین، اگر صاحب مال یک لحظه غفلت کرد و سارق از این فرصت استفاده کرده و عبا را برد، دست سارق را قطع می‌کنند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به جایی می‌گویند که مقفّل باشد، دربی داشته باشد، و ورود به آن‌جا بدون شکستن درب یا بریدن قفل یا نقب زدن ممکن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فقها و ازجمله امام راحل رحمه الله در تحریر الوسیله به همین معنا فتوا داده‌اند</w:t>
      </w:r>
      <w:r>
        <w:rPr>
          <w:rFonts w:eastAsia="IRNazanin" w:cs="IRNazanin"/>
          <w:color w:val="111111"/>
          <w:sz w:val="28"/>
          <w:szCs w:val="28"/>
          <w:rtl w:val="true"/>
          <w:lang w:bidi="fa-IR"/>
        </w:rPr>
        <w:t>.</w:t>
      </w:r>
      <w:bookmarkStart w:id="192" w:name="pg16923_220151"/>
    </w:p>
    <w:p>
      <w:pPr>
        <w:pStyle w:val="Heading6"/>
        <w:numPr>
          <w:ilvl w:val="5"/>
          <w:numId w:val="1"/>
        </w:numPr>
        <w:rPr/>
      </w:pPr>
      <w:bookmarkStart w:id="193" w:name="__RefHeading___Toc162213_3244359995"/>
      <w:bookmarkStart w:id="194" w:name="_Toc73"/>
      <w:bookmarkEnd w:id="192"/>
      <w:bookmarkEnd w:id="193"/>
      <w:r>
        <w:rPr>
          <w:rtl w:val="true"/>
        </w:rPr>
        <w:t>دلیل قول مشهور</w:t>
      </w:r>
      <w:bookmarkEnd w:id="194"/>
    </w:p>
    <w:p>
      <w:pPr>
        <w:pStyle w:val="BookText"/>
        <w:rPr/>
      </w:pPr>
      <w:r>
        <w:rPr>
          <w:rFonts w:ascii="IRNazanin" w:hAnsi="IRNazanin" w:eastAsia="IRNazanin"/>
          <w:color w:val="111111"/>
          <w:sz w:val="28"/>
          <w:sz w:val="28"/>
          <w:szCs w:val="28"/>
          <w:rtl w:val="true"/>
          <w:lang w:bidi="fa-IR"/>
        </w:rPr>
        <w:t>روایاتی که در اثبات مطلب اوّل مطرح کردیم، برای اثبات مطلب دوّم مجدّداً بررسی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یقطع إلّامن نقب بیتاً أو کسر قفلًا</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دلالت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صورت نفی و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دست نیست مگر آن که نقبی به خانه‌ای بزند یا قفلی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صورت ارسال از جمیل نیز نقل شده است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از خارج می‌دانیم خصوصیّتی برای شکستن قفل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کلید بیندازد وقفل را باز کند، باز هم سرقت به حساب می‌آید؛ یا اگر نقب و بُریدن قفل هم نباشد، بلکه از دیوار مرتفع و بلندی بالا آمد و به درون خانه رسید و اشیایی را بُرد، باز سرقت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از دو عنوان نقب و شکستن قفل نسبت به موارد مشابه با آن، الغای خصوصیّت می‌کنیم؛ امّا نمی‌توان به هر مکانی که دخول به آن بدون اجازه‌ی صاحبش جایز نیست، تعمیم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اگر کسی فراموش کند درب خانه‌اش را ببندد و فردی بدون هیچ مانع و رادعی وارد منزل شود و کالایی را ببرد، نمی‌توان این عمل را مشمول روایت قرار داد و از نقب و کسر قفل تا به این حدّ الغای خصوصیّت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وبإسناده عن أحمد بن محمّد بن عیسی، عن محمّد بن یحیی، عن طلحة بن زید، عن جعفر، عن أبیه،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السّارق قطع حتّی یخرج بالسّرقة من البیت</w:t>
      </w:r>
      <w:r>
        <w:rPr>
          <w:rFonts w:eastAsia="IRNazanin" w:cs="IRNazanin"/>
          <w:color w:val="111111"/>
          <w:sz w:val="28"/>
          <w:szCs w:val="28"/>
          <w:rtl w:val="true"/>
          <w:lang w:bidi="fa-IR"/>
        </w:rPr>
        <w:t>.</w:t>
      </w:r>
      <w:r>
        <w:rPr>
          <w:rStyle w:val="FootnoteAnchor"/>
          <w:rtl w:val="true"/>
        </w:rPr>
        <w:footnoteReference w:id="133"/>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معتبره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صحیحه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مؤمنان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 سارق مال را از خانه بیرون نیاورد، دستش را قطع نمی‌کنند</w:t>
      </w:r>
      <w:r>
        <w:rPr>
          <w:rFonts w:eastAsia="IRNazanin" w:cs="IRNazanin"/>
          <w:color w:val="111111"/>
          <w:sz w:val="28"/>
          <w:szCs w:val="28"/>
          <w:rtl w:val="true"/>
          <w:lang w:bidi="fa-IR"/>
        </w:rPr>
        <w:t>.</w:t>
      </w:r>
      <w:bookmarkStart w:id="195" w:name="pg16923_220152"/>
    </w:p>
    <w:p>
      <w:pPr>
        <w:pStyle w:val="BookText"/>
        <w:rPr/>
      </w:pPr>
      <w:bookmarkEnd w:id="195"/>
      <w:r>
        <w:rPr>
          <w:rFonts w:ascii="IRNazanin" w:hAnsi="IRNazanin" w:eastAsia="IRNazanin"/>
          <w:color w:val="111111"/>
          <w:sz w:val="28"/>
          <w:sz w:val="28"/>
          <w:szCs w:val="28"/>
          <w:rtl w:val="true"/>
          <w:lang w:bidi="fa-IR"/>
        </w:rPr>
        <w:t>دلالت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نیز مسأله نفی و اثبات مطرح است؛ یعنی قطع دست را بر خارج ساختن مال از خانه منحصر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خانه این است که نوعاً دارای درب است و آن درب نیز قفل یا چیزی شبیه به قفل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در مقابل دکّان نیست، به این جهت کاری ندارد؛ لذا، اگر کاسبی دکّانش را بسته، به منزل رفت و دزدی قفل را برید و کالای مغازه‌اش را برد، سرقت صادق و حدّ قطع جاری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عکس عنایتی به اخراج نیست، بلکه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 دارد والّا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یخرج بالسرقة من المحلّ الّذی کان المال فیه موجوداً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مقام بیان ضابطه است؛ لذا، این حکم بر چنین موردی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طرفی می‌دانیم خصوصیّت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بما هو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نیست؛ بلکه هر محلّی که ویژگی‌های خانه را داشته باشد، حرز است و اخراج از آن‌ها اخراج از حرز و مصداق سرقت است</w:t>
      </w:r>
      <w:r>
        <w:rPr>
          <w:rFonts w:eastAsia="IRNazanin" w:cs="IRNazanin"/>
          <w:color w:val="111111"/>
          <w:sz w:val="28"/>
          <w:szCs w:val="28"/>
          <w:rtl w:val="true"/>
          <w:lang w:bidi="fa-IR"/>
        </w:rPr>
        <w:t>.</w:t>
      </w:r>
    </w:p>
    <w:p>
      <w:pPr>
        <w:pStyle w:val="Heading6"/>
        <w:numPr>
          <w:ilvl w:val="5"/>
          <w:numId w:val="1"/>
        </w:numPr>
        <w:rPr/>
      </w:pPr>
      <w:bookmarkStart w:id="196" w:name="__RefHeading___Toc162215_3244359995"/>
      <w:bookmarkStart w:id="197" w:name="_Toc74"/>
      <w:bookmarkEnd w:id="196"/>
      <w:r>
        <w:rPr>
          <w:rtl w:val="true"/>
        </w:rPr>
        <w:t>نقد دلیل شیخ طوسی رحمه الله در مبسوط و خلاف</w:t>
      </w:r>
      <w:bookmarkEnd w:id="197"/>
    </w:p>
    <w:p>
      <w:pPr>
        <w:pStyle w:val="BookText"/>
        <w:rPr/>
      </w:pPr>
      <w:r>
        <w:rPr>
          <w:rFonts w:ascii="IRNazanin" w:hAnsi="IRNazanin" w:eastAsia="IRNazanin"/>
          <w:color w:val="111111"/>
          <w:sz w:val="28"/>
          <w:sz w:val="28"/>
          <w:szCs w:val="28"/>
          <w:rtl w:val="true"/>
          <w:lang w:bidi="fa-IR"/>
        </w:rPr>
        <w:t>روایت صحیحه‌ی حلبی که مشتمل بر جریان صفوان بن امیه بود مستند فتوای شیخ طوسی رحمه الله در این دو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فتوای او، تحقّق حرز به مراقبت صاحب مال از مالش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روایت این بود که صفوان بن امیّه عبای خود را گذاشت و برای تطهیر از مسجد الحرام خارج شد، با توجّه به این که امام صادق علیه السلام در مقام قصّه گویی نیست، بلکه آن‌چه در حکم دخالت دارد را بیان می‌کند، معلوم می‌شود واقع بودن کالای مسروقه در محل و محرزی برای ترتّب قطع دست لازم نیست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ردّ نظر و دلیل شیخ طوسی رحمه الله می‌گوییم از کدام قسمت روایت استفاده می‌کنید صفوان بن امیّه مراقب عبایش بود، لحظه‌ای غفلت کرد و عبا به سرقت رفت؟ لذا، این احتمال منتفی است که بر صرف سرقت و مراعات ولو در یک مکان عمومی، عنوان حرز صادق باشد</w:t>
      </w:r>
      <w:r>
        <w:rPr>
          <w:rFonts w:eastAsia="IRNazanin" w:cs="IRNazanin"/>
          <w:color w:val="111111"/>
          <w:sz w:val="28"/>
          <w:szCs w:val="28"/>
          <w:rtl w:val="true"/>
          <w:lang w:bidi="fa-IR"/>
        </w:rPr>
        <w:t>.</w:t>
      </w:r>
      <w:bookmarkStart w:id="198" w:name="pg16923_220153"/>
    </w:p>
    <w:p>
      <w:pPr>
        <w:pStyle w:val="Heading6"/>
        <w:numPr>
          <w:ilvl w:val="5"/>
          <w:numId w:val="1"/>
        </w:numPr>
        <w:rPr/>
      </w:pPr>
      <w:bookmarkStart w:id="199" w:name="__RefHeading___Toc162217_3244359995"/>
      <w:bookmarkStart w:id="200" w:name="_Toc75"/>
      <w:bookmarkEnd w:id="198"/>
      <w:bookmarkEnd w:id="199"/>
      <w:r>
        <w:rPr>
          <w:rtl w:val="true"/>
        </w:rPr>
        <w:t>نقد دلیل شیخ طوسی رحمه الله در کتاب نهایه</w:t>
      </w:r>
      <w:bookmarkEnd w:id="200"/>
    </w:p>
    <w:p>
      <w:pPr>
        <w:pStyle w:val="BookText"/>
        <w:rPr/>
      </w:pPr>
      <w:r>
        <w:rPr>
          <w:rFonts w:ascii="IRNazanin" w:hAnsi="IRNazanin" w:eastAsia="IRNazanin"/>
          <w:color w:val="111111"/>
          <w:sz w:val="28"/>
          <w:sz w:val="28"/>
          <w:szCs w:val="28"/>
          <w:rtl w:val="true"/>
          <w:lang w:bidi="fa-IR"/>
        </w:rPr>
        <w:t>مدرک شیخ طوسی رحمه الله و فقهای دیگری که حرز را مکانی دانسته‌اند که ورود به آن‌جا بدون اجازه ممنوع است، ممکن است روایات زیر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عن أبیه، عن النّوفلی، عن السّکونی،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کلّ مدخل یدخل فیه بغیر إذن فسرق منه السّارق فلا قطع فیه؛ یعنی الحمّامات والخانات والأرحیة</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محلی که ورود به آن نیاز به اذن خاصّ ندارد، چیزی را بدزدند، مکافات سرقتش قطع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مثال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 دارد مثال ها از امام صادق علیه السلام باشد و احتمال دارد از سکونی راوی حدیث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حمّام‌ها، کاروانسراها و آسیاب‌ها که محل رفت و آمد عمومی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سکونی با روایتی که بر اعتبار نقب یا شکستن قفل دلالت داشت، هیچ منافاتی ندارد؛ برای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مدخل یدخل فیه بغیر إذن فلا قطع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مفهومی نیست، بلکه در مقام اثبات عدم قطع در این مورد است؛ دلالتی بر اثبات قطع در غیر این مورد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در مدرسه‌ی فیضیه سرقت کرد یا از اماکن عمومی چیزی را برد، دستش قطع نمی‌شود، و علّت عدم قطع را معیّن نکنیم، آیا به جهت این است که نیاز به اذن نیست یا به خاطر مقفّل نبودن و عدم نیاز به نقب زدن است؟ از آن گفتار نمی‌توان مفهوم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جمله‌ی شرطیه نیست تا مفهوم داشته باشد و اگر جمله‌ی شرطیه هم باشد، به نظر ما مفهوم ندارد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روایت سکونی با روایت قبل هیچ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دزدی از اماکن عمومی قطع دست نیست، ولی علّت را مشخّص نمی‌کند؛ روایت سکونی اول قطع را منحصر و به شکستن قفل و ایجاد نقب می‌کند، در حقیقت، علّت عدم قطع را در این روایت توضیح می‌دهد، پس منافاتی بین آن روایات با این روایت نیست تا در مقام</w:t>
      </w:r>
    </w:p>
    <w:p>
      <w:pPr>
        <w:pStyle w:val="BookText"/>
        <w:rPr/>
      </w:pPr>
      <w:r>
        <w:rPr>
          <w:rFonts w:ascii="IRNazanin" w:hAnsi="IRNazanin" w:eastAsia="IRNazanin"/>
          <w:color w:val="111111"/>
          <w:sz w:val="28"/>
          <w:sz w:val="28"/>
          <w:szCs w:val="28"/>
          <w:rtl w:val="true"/>
          <w:lang w:bidi="fa-IR"/>
        </w:rPr>
        <w:t>جمع متحیّر بمانیم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علیّ بن إبراهیم، عن أبیه، عن ابن محبوب، عن أبی أیّوب،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قوم اصطحبوا فی سفر رفقاء فسرق بعضهم متاع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خائن لا یقطع ولکن یتبع بسرقته وخیانته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سرق من أبیه،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یقطع لأنّ ابن الرجل لا یحجب عن الدّخول إلی منزل أبیه، هذا خائن، وکذلک إن أخذ من منزل أخیه أو اخته إن کان یدخل علیهم لا یحجبانه عن الدّخول</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در این روایت صحیحه از امام باقر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عنوان رفاقت با همدیگر همسفر شدند، بعضی از آنان متاع دیگری را دزدید، حکمش چیست؟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خیانتکار است، دستش راقطع نمی‌کنند؛ لیکن سرقت و خیانتش باید دنبال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علیه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منزل پدرش چیزی را ببرد؟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خائن است و همین‌طور اگر از منزل برادر یا خواهرش چیزی را بردارد، به شرط این که مانع رفت و آمدش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جای این روایت، تعلیل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ابن الرجل لا یحجب عن الدخول إلی منزل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خانه‌ی پدر بر روی پسر بسته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تعبیری عرفی است؛ یعنی پدر برای فرزندش حرز ایجاد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برای برادر، خواهر برای برادر نوعاً مانع از رفت و آمد درست نمی‌کنند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یدخل علیهم لا یحجبانه عن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فقره نیز همان معنا را افاده می‌کند؛ منتهی به صورت قضیه‌ی تعلیقی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علّت امر را دائر مدار حرز و عدم حرز کرده‌اند، نه اذن و عدم 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گذشته و در مسأله‌ی میهمان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با آن که اذن ورود پیدا کرده، امّا حق ندارد درب گنجه‌ی مقفّل را باز کند و چیزی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w:t>
      </w:r>
    </w:p>
    <w:p>
      <w:pPr>
        <w:pStyle w:val="BookText"/>
        <w:rPr/>
      </w:pPr>
      <w:r>
        <w:rPr>
          <w:rFonts w:ascii="IRNazanin" w:hAnsi="IRNazanin" w:eastAsia="IRNazanin"/>
          <w:color w:val="111111"/>
          <w:sz w:val="28"/>
          <w:sz w:val="28"/>
          <w:szCs w:val="28"/>
          <w:rtl w:val="true"/>
          <w:lang w:bidi="fa-IR"/>
        </w:rPr>
        <w:t>عملی را انجام داد، سرقت به شمار می‌آید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فرزند با غیر او، این است که نسبت به بیگانه تمام موارد و کالاها و نسبت به میهمان بعضی از متاع‌ها در حرز است؛ لیکن نسبت به فرزند حرزی نیست؛ لذا، این روایت هیچ دلالت و اشعاری بر فتوای مرحوم شیخ در نهایه ندارد؛ و اگر اشعاری هم داشته باشد، در مقابل آن ضابطه‌ی کلّی که در روایت سکونی و طلحة بن زید و مرسل جمیل آمده بود، نمی‌تواند مقاومت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را امام راحل رحمه الله در تحریر الوسیله فرموده است، مقتضای روایات بوده و شهرت فتوائیه نیز بر آن قائم است</w:t>
      </w:r>
      <w:r>
        <w:rPr>
          <w:rFonts w:eastAsia="IRNazanin" w:cs="IRNazanin"/>
          <w:color w:val="111111"/>
          <w:sz w:val="28"/>
          <w:szCs w:val="28"/>
          <w:rtl w:val="true"/>
          <w:lang w:bidi="fa-IR"/>
        </w:rPr>
        <w:t>.</w:t>
      </w:r>
      <w:bookmarkStart w:id="201" w:name="pg16923_220156"/>
    </w:p>
    <w:p>
      <w:pPr>
        <w:pStyle w:val="BookText"/>
        <w:rPr/>
      </w:pPr>
      <w:bookmarkEnd w:id="2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 کلّ شی‌ء بحسبه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الأشیاء مختلفة فی الحرز فی تعارف الناس، فلو کان موضع حرزاً لشی‌ء من الأشیاء فهل یکون حرزاً لکلّ شی‌ء؟ فلو سقط من جیب المالک دیناراً فی الإصطبل والسارق کسر القفل ودخل لسرقة الفرس مثلًا فعثر علی الدینار فسرقه، کفی فی لزوم القطع أو لا؟ لعدم إخراجه من حرزه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الأشبه والأحوط هو الثانی، نعم لو أخفی المالک دیناره فی الإصطبل فأخرجه السارق یقطع</w:t>
      </w:r>
      <w:r>
        <w:rPr>
          <w:rFonts w:eastAsia="IRNazanin" w:cs="IRNazanin"/>
          <w:color w:val="111111"/>
          <w:sz w:val="28"/>
          <w:szCs w:val="28"/>
          <w:rtl w:val="true"/>
          <w:lang w:bidi="fa-IR"/>
        </w:rPr>
        <w:t>.]</w:t>
      </w:r>
    </w:p>
    <w:p>
      <w:pPr>
        <w:pStyle w:val="Heading4"/>
        <w:numPr>
          <w:ilvl w:val="3"/>
          <w:numId w:val="1"/>
        </w:numPr>
        <w:rPr/>
      </w:pPr>
      <w:bookmarkStart w:id="202" w:name="__RefHeading___Toc162219_3244359995"/>
      <w:bookmarkStart w:id="203" w:name="_Toc76"/>
      <w:bookmarkEnd w:id="202"/>
      <w:r>
        <w:rPr>
          <w:rtl w:val="true"/>
        </w:rPr>
        <w:t>تناسب حرز با مال مسروقه</w:t>
      </w:r>
      <w:bookmarkEnd w:id="203"/>
    </w:p>
    <w:p>
      <w:pPr>
        <w:pStyle w:val="BookText"/>
        <w:rPr/>
      </w:pPr>
      <w:r>
        <w:rPr>
          <w:rFonts w:ascii="IRNazanin" w:hAnsi="IRNazanin" w:eastAsia="IRNazanin"/>
          <w:color w:val="111111"/>
          <w:sz w:val="28"/>
          <w:sz w:val="28"/>
          <w:szCs w:val="28"/>
          <w:rtl w:val="true"/>
          <w:lang w:bidi="fa-IR"/>
        </w:rPr>
        <w:t>از آن‌جا که در عرف مردم، حرز اشیا و کالاها با یکدیگر متفاوت است، اگر مکانی برای چیزی حرز بود آیا برای هر متاعی که در آن‌جا هست، حرز خواهد بود؟ مثلًا اگر از جیب مالک، دیناری در اصطبل بیفتد و سارقی قفل را شکسته و برای بردن اسب وارد اصطبل گردد، آن دینار را پیدا کند و ببرد، آیا می‌توان دستش را قطع کرد یا آن‌که چون دینار را از حرز بیرون نیاورده، دست او قطع نمی‌شود؟</w:t>
      </w:r>
    </w:p>
    <w:p>
      <w:pPr>
        <w:pStyle w:val="BookText"/>
        <w:rPr/>
      </w:pPr>
      <w:r>
        <w:rPr>
          <w:rFonts w:ascii="IRNazanin" w:hAnsi="IRNazanin" w:eastAsia="IRNazanin"/>
          <w:color w:val="111111"/>
          <w:sz w:val="28"/>
          <w:sz w:val="28"/>
          <w:szCs w:val="28"/>
          <w:rtl w:val="true"/>
          <w:lang w:bidi="fa-IR"/>
        </w:rPr>
        <w:t>اشبه به قواعد و احتیاط، قول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مالک آن را در اصطبل مخفی کرد و سارق بیرون کشید و برد، دستش قطع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حرز در اسلام معنای مخصوصی غیر از معنای لغوی و عرفی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هیچ دخل و تصرّف، توسعه و تضییقی در معنای آن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روایت سکونی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یقطع إلّامن نقب بیتاً أو کسر قفلًا</w:t>
      </w:r>
      <w:r>
        <w:rPr>
          <w:rFonts w:eastAsia="Amiri" w:cs="Amiri" w:ascii="Amiri" w:hAnsi="Amiri"/>
          <w:color w:val="111111"/>
          <w:sz w:val="28"/>
          <w:szCs w:val="28"/>
          <w:rtl w:val="true"/>
          <w:lang w:bidi="ar-SA"/>
        </w:rPr>
        <w:t>»</w:t>
      </w:r>
      <w:r>
        <w:rPr>
          <w:rStyle w:val="FootnoteAnchor"/>
          <w:rtl w:val="true"/>
        </w:rPr>
        <w:footnoteReference w:id="136"/>
      </w:r>
      <w:r>
        <w:rPr>
          <w:rFonts w:ascii="IRNazanin" w:hAnsi="IRNazanin" w:eastAsia="IRNazanin"/>
          <w:color w:val="111111"/>
          <w:sz w:val="28"/>
          <w:sz w:val="28"/>
          <w:szCs w:val="28"/>
          <w:rtl w:val="true"/>
          <w:lang w:bidi="fa-IR"/>
        </w:rPr>
        <w:t>بیان همان معنای عرفی است، لذا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عنوانِ اختصاصی نیستند، و موارد مشابه مانند بالا رفتن از دیوار را نیز شامل می‌گردد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که در روایت صحیحه‌ی محمّد بن مسلم،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سرق من مسلم شیئاً قد حواه وأحرزه فهو یقع علیه إسم السارق وهو عنداللَّه سارق</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با توجّه به این که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حواه وأحرزه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سارق، یعنی کسی که از فرد مسلمانی چیزی را به سرقت برد در حالی که آن فرد مسلمان آن چیز را در حرز قرار داده است، نزد خدا و عرف سارق است؛ البتّه تقیید به ربع دینار در ذیل همین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عنوانی است که عرف باید آن را معنا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دربی باز بماند و دزد وارد شود، و اشیای داخل خانه یا مغازه را ببرد، عرف آن اموال را در حرز نمی‌داند؛ به خلاف موردی که درب را بسته و دزد نیاز به شکستن قفل، یا نقب زدن و یا از دیوار بالا رفتن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اموال داخل این خانه را در حرز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عرف، حرز اشیا با یکدیگر تفاوت دارد؛ مثلًا حرز طلا و جواهر غیر از حرز فرش و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اگر کسی اصطبلی در بیرون شهر دارد، اصطبل حرز برای حیوان است نه فرش و جواهر؛ هرچند درب و پیکر داشته و دربش نیز 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آن را حرز برای قالیچه‌ی ابریشمی نمی‌بیند، بلکه برای گاو و گوسفند و شتر حرز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فرشی که داخل اتاق است، هرچند درب اتاق باز باشد، امّا با بسته بودن درب منزل، حرز دارد؛ ولی حرز پول و اسناد و مانند آن، اتاق نیست، بلکه باید در درون صندوق یا لای کتاب و مانند آن مخفی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سوّم، از امام راحل رحمه الله در تحریر الوسیله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درب اصطبل را به قصد سرقت اسب شکست، امّا از روی تصادف کیف پول صاحب اصطبل روی زمین افتاده بود آن را برداشت و برد، در این‌جا او از حرز سرقت نکرده است؛ لذا، مقتضای قاعده عدم قطع دست اوست؛ زیرا، شرط قطع، سرقت از حرز است و اصطبل حرز پول نیست؛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حواه و أحرزه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پیدا نکرده، مقتضای احتیاط نیز عدم قطع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صاحب پول در اصطبل گودالی کنده و پول را در آن‌جا مخفی کرده باشد، یا در خانه پول را لابلای کتاب‌ها پنهان سازد، در این صورت عنوان سرقت از حرز صادق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از نظر عرف حرز اشیای مختلف با یکدیگر تفاوت دارند، ولی</w:t>
      </w:r>
    </w:p>
    <w:p>
      <w:pPr>
        <w:pStyle w:val="BookText"/>
        <w:rPr/>
      </w:pPr>
      <w:r>
        <w:rPr>
          <w:rFonts w:ascii="IRNazanin" w:hAnsi="IRNazanin" w:eastAsia="IRNazanin"/>
          <w:color w:val="111111"/>
          <w:sz w:val="28"/>
          <w:sz w:val="28"/>
          <w:szCs w:val="28"/>
          <w:rtl w:val="true"/>
          <w:lang w:bidi="fa-IR"/>
        </w:rPr>
        <w:t>دلیلی نداریم که برای تمام اشیا حرز قائل باشند، بلکه پاره‌ای از امتعه بدون حرز هستند؛ مثلًا گلّه‌ی گوسفندی که در بیابان همراه با چوپان مشغول چریدن است، مراقبت چوپان از آن‌ها جنبه‌ی حرزی به گوسفندان نمی‌دهد، اگر آنان را به آغل ببرد و درب طویله را ببندد، در این صورت گوسفندان در حرز هستند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صرف مراقبت و محافظت و مراعات، سبب در حرز بودن مال نمی‌گردد؛ بلکه حرز یک معنای عرفی دارد؛ هرکجا محقّق شد، سرقت از آن‌جا موجب قطع دست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بنا بر قاعده تمام است و آن‌چه برخی از فقها در این مورد فرموده‌اند، از باب بیان مصادیق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فقیه بیان ضابطه‌ی کلّی است؛ یعنی آن‌چه را عرف حرز بداند، و تعیین مصداق به عهده‌ی او نیست</w:t>
      </w:r>
      <w:r>
        <w:rPr>
          <w:rFonts w:eastAsia="IRNazanin" w:cs="IRNazanin"/>
          <w:color w:val="111111"/>
          <w:sz w:val="28"/>
          <w:szCs w:val="28"/>
          <w:rtl w:val="true"/>
          <w:lang w:bidi="fa-IR"/>
        </w:rPr>
        <w:t>.</w:t>
      </w:r>
      <w:bookmarkStart w:id="204" w:name="pg16923_220159"/>
    </w:p>
    <w:p>
      <w:pPr>
        <w:pStyle w:val="BookText"/>
        <w:rPr/>
      </w:pPr>
      <w:bookmarkEnd w:id="2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السرقة من الأماکن العامّة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لیس بمحرز لا یقطع سارقه کالسرقة من الخانات والحمّامات والبیوت الّتی کانت أبوابها مفتوحة علی العموم أو علی طائفة، ونحو المساجد والمدارس والمشاهد المشرّفة والمؤسّسات العامّة، وبالجملة کلّ موضع اذن للعموم أو لطائفة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مراعاة المالک ونحوه ومراقبته للمال حرز فلو کانت دابّته فی الصحراء وکان لها مراعیاً یقطع بسرقته أو لا؟ الأقوی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یقطع سارق ستارة الکعبة؟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والأقوی عدمه، وکذا سارق ما فی المشاهد المشرّفة من الحرم المطهّر أو الرواق والصحن</w:t>
      </w:r>
      <w:r>
        <w:rPr>
          <w:rFonts w:eastAsia="IRNazanin" w:cs="IRNazanin"/>
          <w:color w:val="111111"/>
          <w:sz w:val="28"/>
          <w:szCs w:val="28"/>
          <w:rtl w:val="true"/>
          <w:lang w:bidi="fa-IR"/>
        </w:rPr>
        <w:t>.]</w:t>
      </w:r>
    </w:p>
    <w:p>
      <w:pPr>
        <w:pStyle w:val="Heading4"/>
        <w:numPr>
          <w:ilvl w:val="3"/>
          <w:numId w:val="1"/>
        </w:numPr>
        <w:rPr/>
      </w:pPr>
      <w:bookmarkStart w:id="205" w:name="__RefHeading___Toc162221_3244359995"/>
      <w:bookmarkStart w:id="206" w:name="_Toc77"/>
      <w:bookmarkEnd w:id="205"/>
      <w:r>
        <w:rPr>
          <w:rtl w:val="true"/>
        </w:rPr>
        <w:t>سرقت از اماکن عمومی</w:t>
      </w:r>
      <w:bookmarkEnd w:id="206"/>
    </w:p>
    <w:p>
      <w:pPr>
        <w:pStyle w:val="Heading5"/>
        <w:numPr>
          <w:ilvl w:val="4"/>
          <w:numId w:val="1"/>
        </w:numPr>
        <w:rPr/>
      </w:pPr>
      <w:bookmarkStart w:id="207" w:name="__RefHeading___Toc162223_3244359995"/>
      <w:bookmarkStart w:id="208" w:name="_Toc78"/>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این مسأله سه فرع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مَحرز به شمار نمی‌آید، بر سرقت از آن قطع دست نیست؛ مانند سرقت از کاروانسراها، حمّام‌ها، خانه‌هایی که بر روی مردم یا طایفه‌ی خاصی باز است، مساجد، مدارس، مشاهد مشرّفه و مؤسّسات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هرجایی که ورودش برای عموم یا گروهی آزاد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مراعات و مراقبت مالک از مالش حرز به شمار می‌آید؟ پس، اگر حیوانش را به چرا فرستاد، آیا دست سارق این حیوان را می‌بُرند؟ قول قوی‌تر عدم قطع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پرده‌ی خانه‌ی کعبه را به سرقت برد، دستش قطع می‌شود؟ گروهی فتوای به قطع داده‌اند و اقوا عدم قطع است؛ و همین‌طور حکم سارق اشیای مشاهد مشرّفه از حرم و رواق و صحن با حکم سارق پرده‌ی کعبه یکی است</w:t>
      </w:r>
      <w:r>
        <w:rPr>
          <w:rFonts w:eastAsia="IRNazanin" w:cs="IRNazanin"/>
          <w:color w:val="111111"/>
          <w:sz w:val="28"/>
          <w:szCs w:val="28"/>
          <w:rtl w:val="true"/>
          <w:lang w:bidi="fa-IR"/>
        </w:rPr>
        <w:t>.</w:t>
      </w:r>
    </w:p>
    <w:p>
      <w:pPr>
        <w:pStyle w:val="Heading5"/>
        <w:numPr>
          <w:ilvl w:val="4"/>
          <w:numId w:val="1"/>
        </w:numPr>
        <w:rPr/>
      </w:pPr>
      <w:bookmarkStart w:id="209" w:name="__RefHeading___Toc162225_3244359995"/>
      <w:bookmarkStart w:id="210" w:name="_Toc79"/>
      <w:bookmarkEnd w:id="209"/>
      <w:r>
        <w:rPr>
          <w:rtl w:val="true"/>
        </w:rPr>
        <w:t>فرع اوّل</w:t>
      </w:r>
      <w:r>
        <w:rPr>
          <w:rtl w:val="true"/>
        </w:rPr>
        <w:t xml:space="preserve">: </w:t>
      </w:r>
      <w:r>
        <w:rPr>
          <w:rtl w:val="true"/>
        </w:rPr>
        <w:t>سرقت از اماکن عمومی</w:t>
      </w:r>
      <w:bookmarkEnd w:id="21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مثال‌هایی که در عبارت تحریر الوسیله آمده است به حسب زمان‌ها و مکان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حمّام‌های امروز که برای هر فردی کمد و جایگاه مخصوصی وجود دارد که لباس‌های</w:t>
      </w:r>
      <w:bookmarkStart w:id="211" w:name="pg16923_220160"/>
    </w:p>
    <w:p>
      <w:pPr>
        <w:pStyle w:val="BookText"/>
        <w:rPr/>
      </w:pPr>
      <w:bookmarkEnd w:id="211"/>
      <w:r>
        <w:rPr>
          <w:rFonts w:ascii="IRNazanin" w:hAnsi="IRNazanin" w:eastAsia="IRNazanin"/>
          <w:color w:val="111111"/>
          <w:sz w:val="28"/>
          <w:sz w:val="28"/>
          <w:szCs w:val="28"/>
          <w:rtl w:val="true"/>
          <w:lang w:bidi="fa-IR"/>
        </w:rPr>
        <w:t>خود را در آن قرار می‌دهد و دربش را قفل می‌کند، اگر کسی چیزی را بردارد، سرقت از حرز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زمان‌های گذشته که لباس‌ها را بر سر حمّام می‌گذاشتند، جنبه‌ی حرزی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خانه‌ای که دربش به روی عموم باز است، مانند خانه‌ی مراجع تقلید و یا گروه خاصّی اجازه‌ی ورود به آن‌جا را دارند، مانند مؤسّسه‌ی اختصاصی، دزدی از آن‌جا نیز سرقت از حرز محسوب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تحقّق سرقت، دزدی از حرز است و اجازه‌ی ورود و عدم آن دخلی در تحقّق حرز و عدم آن ندارد؛ لذا، اگر ورود به خانه یا مؤسّسه‌ای برای طلاب مثلًا جایز بود و فردی غیر طلبه به آن‌جا وارد شد و چیزی را برداشت، باز سرقت محقّق نمی‌گردد و قطع دست مترتّب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بین این دو فقط در مأذون بودن و عدم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حرز و عدم آن فرقی بین این دو نفر نیست</w:t>
      </w:r>
      <w:r>
        <w:rPr>
          <w:rFonts w:eastAsia="IRNazanin" w:cs="IRNazanin"/>
          <w:color w:val="111111"/>
          <w:sz w:val="28"/>
          <w:szCs w:val="28"/>
          <w:rtl w:val="true"/>
          <w:lang w:bidi="fa-IR"/>
        </w:rPr>
        <w:t>.</w:t>
      </w:r>
    </w:p>
    <w:p>
      <w:pPr>
        <w:pStyle w:val="Heading5"/>
        <w:numPr>
          <w:ilvl w:val="4"/>
          <w:numId w:val="1"/>
        </w:numPr>
        <w:rPr/>
      </w:pPr>
      <w:bookmarkStart w:id="212" w:name="__RefHeading___Toc162227_3244359995"/>
      <w:bookmarkStart w:id="213" w:name="_Toc80"/>
      <w:bookmarkEnd w:id="212"/>
      <w:r>
        <w:rPr>
          <w:rtl w:val="true"/>
        </w:rPr>
        <w:t>فرع دوّم</w:t>
      </w:r>
      <w:r>
        <w:rPr>
          <w:rtl w:val="true"/>
        </w:rPr>
        <w:t xml:space="preserve">: </w:t>
      </w:r>
      <w:r>
        <w:rPr>
          <w:rtl w:val="true"/>
        </w:rPr>
        <w:t>حرز نبودن مراعات و مراقبت مالک از مال</w:t>
      </w:r>
      <w:bookmarkEnd w:id="213"/>
    </w:p>
    <w:p>
      <w:pPr>
        <w:pStyle w:val="BookText"/>
        <w:rPr/>
      </w:pPr>
      <w:r>
        <w:rPr>
          <w:rFonts w:ascii="IRNazanin" w:hAnsi="IRNazanin" w:eastAsia="IRNazanin"/>
          <w:color w:val="111111"/>
          <w:sz w:val="28"/>
          <w:sz w:val="28"/>
          <w:szCs w:val="28"/>
          <w:rtl w:val="true"/>
          <w:lang w:bidi="fa-IR"/>
        </w:rPr>
        <w:t>در بحث گذشته این مطلب را به‌طور مفصّل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رحمه الله در کتاب خلاف</w:t>
      </w:r>
      <w:r>
        <w:rPr>
          <w:rStyle w:val="FootnoteAnchor"/>
          <w:rtl w:val="true"/>
        </w:rPr>
        <w:footnoteReference w:id="138"/>
      </w:r>
      <w:r>
        <w:rPr>
          <w:rFonts w:ascii="IRNazanin" w:hAnsi="IRNazanin" w:eastAsia="IRNazanin"/>
          <w:color w:val="111111"/>
          <w:sz w:val="28"/>
          <w:sz w:val="28"/>
          <w:szCs w:val="28"/>
          <w:rtl w:val="true"/>
          <w:lang w:bidi="fa-IR"/>
        </w:rPr>
        <w:t>و مبسوط</w:t>
      </w:r>
      <w:r>
        <w:rPr>
          <w:rStyle w:val="FootnoteAnchor"/>
          <w:rtl w:val="true"/>
        </w:rPr>
        <w:footnoteReference w:id="139"/>
      </w:r>
      <w:r>
        <w:rPr>
          <w:rFonts w:ascii="IRNazanin" w:hAnsi="IRNazanin" w:eastAsia="IRNazanin"/>
          <w:color w:val="111111"/>
          <w:sz w:val="28"/>
          <w:sz w:val="28"/>
          <w:szCs w:val="28"/>
          <w:rtl w:val="true"/>
          <w:lang w:bidi="fa-IR"/>
        </w:rPr>
        <w:t>مسأله‌ی مراعات را مطرح کرده و آن را حرز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وی را مرحوم صاحب ریاض</w:t>
      </w:r>
      <w:r>
        <w:rPr>
          <w:rStyle w:val="FootnoteAnchor"/>
          <w:rtl w:val="true"/>
        </w:rPr>
        <w:footnoteReference w:id="140"/>
      </w:r>
      <w:r>
        <w:rPr>
          <w:rFonts w:ascii="IRNazanin" w:hAnsi="IRNazanin" w:eastAsia="IRNazanin"/>
          <w:color w:val="111111"/>
          <w:sz w:val="28"/>
          <w:sz w:val="28"/>
          <w:szCs w:val="28"/>
          <w:rtl w:val="true"/>
          <w:lang w:bidi="fa-IR"/>
        </w:rPr>
        <w:t>روایت صحیحه‌ی حلبی</w:t>
      </w:r>
      <w:r>
        <w:rPr>
          <w:rStyle w:val="FootnoteAnchor"/>
          <w:rtl w:val="true"/>
        </w:rPr>
        <w:footnoteReference w:id="141"/>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بحث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جریان به طرق مختلف نقل شده، لیکن ما باید به طریق صحیح آن اعتماد کنیم و خصوصیّاتی را که در روایت صحیحه هست، ملاحظه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صحیحه‌ی حلبی استفاده می‌شود صفوان بن امیّه مراقبت و محافظتی از عبایش داشته است؛ اگر از راه قاعده وارد شوید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نگاه کردن، چشم را بر چیزی متمرکز کردن، حرز محسوب می‌شود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عرفی، به نگاه کردن و مانند آن حرز محقّق نمی‌شود</w:t>
      </w:r>
      <w:r>
        <w:rPr>
          <w:rFonts w:eastAsia="IRNazanin" w:cs="IRNazanin"/>
          <w:color w:val="111111"/>
          <w:sz w:val="28"/>
          <w:szCs w:val="28"/>
          <w:rtl w:val="true"/>
          <w:lang w:bidi="fa-IR"/>
        </w:rPr>
        <w:t>.</w:t>
      </w:r>
      <w:bookmarkStart w:id="214" w:name="pg16923_220161"/>
    </w:p>
    <w:p>
      <w:pPr>
        <w:pStyle w:val="BookText"/>
        <w:rPr/>
      </w:pPr>
      <w:bookmarkEnd w:id="214"/>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گفته‌ی صاحب جواهر رحمه الله حرز یک عنوان و خصوصیّتی در رابطه‌ی با خود مال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المعدّ لحفظ الشی‌ء فی نفسه، والمراقبة ونحوها إنّما هی حراسة للشی‌ء لا حرز له عرفاً</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مال درون منزل قرار می‌گیرد یا در اندرون صندوق می‌گذارند و خلاصه مال در یک مکان محفوظی واقع می‌شود، امّا عبا را در مدرسه‌ی فیضیّه گذاشتن و از دور مراقبت نمودن، جنبه‌ی حرزی به مال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وقتی شما مشغول نگاه کردن هستید عبا را ببرد،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حرز برد؟ آیا این سرقت است یا غصب؟ در معنای سرقت به نظر عرف عنوان خفا و سرّ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لحظه غفلت کردید و عبا را بُرد، شما که مراقب عبا نبودید تا عنوان حرز محقّق گردد و سرقت صادق آید، مراقبت قبلی مفید فایده نیست؛ زیرا، باید سرقت مال از حرز صادق باشد تا قطع دست مترتّب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نکات بیانگر این است که مراقبت و مواظبت سبب تحقّق حرز نمی‌گردد</w:t>
      </w:r>
      <w:r>
        <w:rPr>
          <w:rFonts w:eastAsia="IRNazanin" w:cs="IRNazanin"/>
          <w:color w:val="111111"/>
          <w:sz w:val="28"/>
          <w:szCs w:val="28"/>
          <w:rtl w:val="true"/>
          <w:lang w:bidi="fa-IR"/>
        </w:rPr>
        <w:t>.</w:t>
      </w:r>
    </w:p>
    <w:p>
      <w:pPr>
        <w:pStyle w:val="Heading5"/>
        <w:numPr>
          <w:ilvl w:val="4"/>
          <w:numId w:val="1"/>
        </w:numPr>
        <w:rPr/>
      </w:pPr>
      <w:bookmarkStart w:id="215" w:name="__RefHeading___Toc162229_3244359995"/>
      <w:bookmarkStart w:id="216" w:name="_Toc81"/>
      <w:bookmarkEnd w:id="215"/>
      <w:r>
        <w:rPr>
          <w:rtl w:val="true"/>
        </w:rPr>
        <w:t>فرع سوّم</w:t>
      </w:r>
      <w:r>
        <w:rPr>
          <w:rtl w:val="true"/>
        </w:rPr>
        <w:t xml:space="preserve">: </w:t>
      </w:r>
      <w:r>
        <w:rPr>
          <w:rtl w:val="true"/>
        </w:rPr>
        <w:t xml:space="preserve">سرقت پرده‌ی کعبه و </w:t>
      </w:r>
      <w:r>
        <w:rPr>
          <w:rtl w:val="true"/>
        </w:rPr>
        <w:t>...</w:t>
      </w:r>
      <w:bookmarkEnd w:id="216"/>
    </w:p>
    <w:p>
      <w:pPr>
        <w:pStyle w:val="BookText"/>
        <w:rPr/>
      </w:pPr>
      <w:r>
        <w:rPr>
          <w:rFonts w:ascii="IRNazanin" w:hAnsi="IRNazanin" w:eastAsia="IRNazanin"/>
          <w:color w:val="111111"/>
          <w:sz w:val="28"/>
          <w:sz w:val="28"/>
          <w:szCs w:val="28"/>
          <w:rtl w:val="true"/>
          <w:lang w:bidi="fa-IR"/>
        </w:rPr>
        <w:t>اگر بر طبق قواعد و ضوابط بحث کنیم، خانه‌ی خدا و مشاهد مشرّفه از اماکن عمومی هستند که رفت و آمد در آن‌ها آزاد است و نیاز به اذن و اجازه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کتاب‌ها، قرآن‌های نفیس، فرش و مانند آن‌ها که در آن مکان مقدّس وجود دارد، سرقت کند، از جهت عدم حرز و عدم منع و رادع بین اموال و مردم، سرقت از حرز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و مشاهد مشرّفه نیز حکم بنا بر قاعده همین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بر طبق نصوص و روایاتی که از معصومین علیهم السلام رسیده است بخواهیم مطلب را تمام کنیم، روایت صحیحه‌ی عبدالسلام هروی از امام رضا علیه السلام بیانگر این مطلب است که امام زمان عجّل اللَّه تعالی فرجه الشریف، دست بنی شیبه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کلیدداران خانه‌ی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می‌برد و در روایت دیگر دست آن‌ها را به بیت اللَّه آویزان می‌کند و منادی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گروهی هستند که از خدا و بیت اللَّه دزدی کرده‌اند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مرحوم شهید ثانی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بنی‌شیبه متولّی مسجد الحرام هستند و اموال آن‌جا و بیت اللَّه به دست آنان می‌باشد، حتّی در زمان ما نیز چنین است</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از روایات استفاده می‌شود بنی‌شیبه در این اموال خیانت می‌کنند و گاه در امور شخصی خودشان مصرف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عبدالسّلام هروی علّت قطع دست را سارق بودن بنی‌شیبه قلمداد کرده است و پاره‌ای از روایات که مشتمل بر لام تعلیل نیست باز عرف از آن‌ها استفاده‌ی علّیت می‌کند؛ زیرا،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 قائمنا لو قد قام لقد أخذهم فقطع أیدیهم وطاف بهم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هولاء سرّاق اللَّه</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زمانی که قائم ما عجّل اللَّه تعالی فرجه الشریف قیام کند، آنان را گرفته دست‌هایشان را قطع می‌کند و منادی ندا می‌کند اینان دزدان خدای‌اند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در مقام بیان توجیه کردن مردم است، این حکم خشن و سخت از آن رو درباره‌ی بنی‌شیبه پیاده شد که دزد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رحمه الله با وجود این که روایات صراحت در علّیت دارند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می‌دهیم قطع دستشان ارتباطی به سرقت نداشته باشد، بلکه از جهت مفسد بودن آنان باشد؛ یعنی حدّ محارب بر آنان پیاده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جَزَ ؤُاْ الَّذِینَ یُحَارِبُونَ اللَّهَ وَرَسُولَهُ‌و وَیَسْعَوْنَ فِی الْأَرْضِ فَسَادًا أَن یُقَتَّلُواْ أَوْ یُصَلَّبُواْ أَوْ تُقَطَّعَ أَیْدِیهِمْ وَأَرْجُلُهُم مّنْ خِلفٍ أَوْ یُنفَوْاْ مِنَ الْأَرْضِ</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این بیان صحیح نیست،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سرقت را علّت قطع دست گفته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آیه‌ی محاربه فقط قطع دست نیست، بلکه دست همراه با پا قطع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حدّ محارب به تفصیل پیرامون آیه سخن خواهیم گفت؛ لذا، آیه به هیچ وجه بر این</w:t>
      </w:r>
    </w:p>
    <w:p>
      <w:pPr>
        <w:pStyle w:val="BookText"/>
        <w:rPr/>
      </w:pPr>
      <w:r>
        <w:rPr>
          <w:rFonts w:ascii="IRNazanin" w:hAnsi="IRNazanin" w:eastAsia="IRNazanin"/>
          <w:color w:val="111111"/>
          <w:sz w:val="28"/>
          <w:sz w:val="28"/>
          <w:szCs w:val="28"/>
          <w:rtl w:val="true"/>
          <w:lang w:bidi="fa-IR"/>
        </w:rPr>
        <w:t>مورد که در قطع دست صراحت دارد، قابل انطباق نیست و این احتمال ساقط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 این است که روایات قطع دست بنی‌شیبه در موردِ سرقت آنان از حرز وارد شده باشد و متضمّن امری بر خلاف قاعده نباشد، یعنی برای خانه‌ی خدا دو نوع اموال وجود دارد یک قسمت اموال در مرآی و منظر مردم و قابل دسترسی همگان است و یک قسمت دیگر در انبارهای مقفّل و در بسته است، بنی‌شیبه آن قفل‌ها را می‌شکسته و از اموال محرزه سرقت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در اموال کعبه و مشاهد مشرّفه نیز قاعده را پیاده می‌کنیم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از درون حرزی مالی را به سرقت بردند، مانند شکستن ویترین‌های مقفّل و مانند آن، در این صورت حدّ قطع مترتّب است؛ امّا اگر از اموالی که در معرض دید همگان است مانند فرش و کتاب و غیر آن بردارد، حدّ قطع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تقریب مطلب، اگر در اداره‌ای صندوقی هست که زیر نظر رئیس اداره است، او بر طبق ضوابط و قانون حقّ دارد بگوید فلان مبلغ را به فلان شخص بده یا در فلان کار مصرف کنید، اگر شبانه آمد قفل صندوق را به صورتی باز کرد و از غیبت صندوقدار استفاده کرد، اموالی از آن را بالا کشید، سرقت صادق است و حدّ قطع در موردش پیاده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نباید گمان کنیم هرکسی که عنوان تولیت نسبت به مالی پیدا کرد، برای او هیچ حرزی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خلاصه‌ی مطلب این که روایات سرقت از کعبه در مقابل روایاتی که دلالت بر حرز می‌کرد، مطلب زایدی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کلمات فقها مطرح است دزدی ستاره و پرده‌ی خانه‌ی خدا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پرده‌ی خانه در حرز نیست و در دسترس همه‌ی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مراقبت از آن هم عنوان حرز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روایات در مورد پرده‌ی کعبه رسیده بود،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روایات حرز منافات دارد و جمع بین دو دسته روایت مشکل می‌شد؛ ولی این دسته روایات سرقت از بیت اللَّه را مطرح می‌کند که با توجّه به روایات حرز، آن‌ها را حمل می‌کنیم به جایی که سرقت از حرز بوده است</w:t>
      </w:r>
      <w:r>
        <w:rPr>
          <w:rFonts w:eastAsia="IRNazanin" w:cs="IRNazanin"/>
          <w:color w:val="111111"/>
          <w:sz w:val="28"/>
          <w:szCs w:val="28"/>
          <w:rtl w:val="true"/>
          <w:lang w:bidi="fa-IR"/>
        </w:rPr>
        <w:t>.</w:t>
      </w:r>
      <w:bookmarkStart w:id="217" w:name="pg16923_220164"/>
    </w:p>
    <w:p>
      <w:pPr>
        <w:pStyle w:val="BookText"/>
        <w:rPr/>
      </w:pPr>
      <w:bookmarkEnd w:id="2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حکم الطّرار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سرق من جیب إنسان، فإن کان المسروق محرزاً کأن کان فی الجیب الّذی تحت الثوب أو کان علی درب جیبه آلة کالآلات الحدیثة تحرزه فالظاهر ثبوت القطع، وإن کان فی جیبه المفتوح فوق ثیابه لا یقطع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الجیب فی بطن ثوبه الأعلی فالظاهر القطع، فالمیزان صدق الحرز</w:t>
      </w:r>
      <w:r>
        <w:rPr>
          <w:rFonts w:eastAsia="IRNazanin" w:cs="IRNazanin"/>
          <w:color w:val="111111"/>
          <w:sz w:val="28"/>
          <w:szCs w:val="28"/>
          <w:rtl w:val="true"/>
          <w:lang w:bidi="fa-IR"/>
        </w:rPr>
        <w:t>.]</w:t>
      </w:r>
    </w:p>
    <w:p>
      <w:pPr>
        <w:pStyle w:val="Heading4"/>
        <w:numPr>
          <w:ilvl w:val="3"/>
          <w:numId w:val="1"/>
        </w:numPr>
        <w:rPr/>
      </w:pPr>
      <w:bookmarkStart w:id="218" w:name="__RefHeading___Toc162231_3244359995"/>
      <w:bookmarkStart w:id="219" w:name="_Toc82"/>
      <w:bookmarkEnd w:id="218"/>
      <w:r>
        <w:rPr>
          <w:rtl w:val="true"/>
        </w:rPr>
        <w:t xml:space="preserve">حکم جیب‌بری </w:t>
      </w:r>
      <w:r>
        <w:rPr>
          <w:rtl w:val="true"/>
        </w:rPr>
        <w:t>(</w:t>
      </w:r>
      <w:r>
        <w:rPr>
          <w:rtl w:val="true"/>
        </w:rPr>
        <w:t>طرّاری</w:t>
      </w:r>
      <w:r>
        <w:rPr>
          <w:rtl w:val="true"/>
        </w:rPr>
        <w:t>)</w:t>
      </w:r>
      <w:bookmarkEnd w:id="219"/>
    </w:p>
    <w:p>
      <w:pPr>
        <w:pStyle w:val="Heading5"/>
        <w:numPr>
          <w:ilvl w:val="4"/>
          <w:numId w:val="1"/>
        </w:numPr>
        <w:rPr/>
      </w:pPr>
      <w:bookmarkStart w:id="220" w:name="__RefHeading___Toc162233_3244359995"/>
      <w:bookmarkStart w:id="221" w:name="_Toc83"/>
      <w:bookmarkEnd w:id="220"/>
      <w:r>
        <w:rPr>
          <w:rtl w:val="true"/>
        </w:rPr>
        <w:t>اشاره</w:t>
      </w:r>
      <w:bookmarkEnd w:id="221"/>
    </w:p>
    <w:p>
      <w:pPr>
        <w:pStyle w:val="BookText"/>
        <w:rPr/>
      </w:pPr>
      <w:r>
        <w:rPr>
          <w:rFonts w:ascii="IRNazanin" w:hAnsi="IRNazanin" w:eastAsia="IRNazanin"/>
          <w:color w:val="111111"/>
          <w:sz w:val="28"/>
          <w:sz w:val="28"/>
          <w:szCs w:val="28"/>
          <w:rtl w:val="true"/>
          <w:lang w:bidi="fa-IR"/>
        </w:rPr>
        <w:t>اگر جیب کسی را بریدند و مالی را از آن به سرقت بردند، از دو حال خارج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مسروقه در حرز باشد، خواه در جیب لباس‌های زیر باشد یا در جیب لباس روپوش؛ لیکن یا درب آن به وسیله‌ی تکمه و زیب و غیر آن مسدود باشد، و یا در طرف داخل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 بغلی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باشد؛ به هر حال، ملاک، صادق بودن حرز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دست سارق قطع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در جیب لباس روپوش بوده و درب آن نیز باز باشد، سرقتش حدّ قطع ندارد</w:t>
      </w:r>
      <w:r>
        <w:rPr>
          <w:rFonts w:eastAsia="IRNazanin" w:cs="IRNazanin"/>
          <w:color w:val="111111"/>
          <w:sz w:val="28"/>
          <w:szCs w:val="28"/>
          <w:rtl w:val="true"/>
          <w:lang w:bidi="fa-IR"/>
        </w:rPr>
        <w:t>.</w:t>
      </w:r>
    </w:p>
    <w:p>
      <w:pPr>
        <w:pStyle w:val="Heading5"/>
        <w:numPr>
          <w:ilvl w:val="4"/>
          <w:numId w:val="1"/>
        </w:numPr>
        <w:rPr/>
      </w:pPr>
      <w:bookmarkStart w:id="222" w:name="__RefHeading___Toc162235_3244359995"/>
      <w:bookmarkStart w:id="223" w:name="_Toc84"/>
      <w:bookmarkEnd w:id="222"/>
      <w:r>
        <w:rPr>
          <w:rtl w:val="true"/>
        </w:rPr>
        <w:t>مقتضای قاعده در حکم جیب‌بری</w:t>
      </w:r>
      <w:bookmarkEnd w:id="223"/>
    </w:p>
    <w:p>
      <w:pPr>
        <w:pStyle w:val="BookText"/>
        <w:rPr/>
      </w:pPr>
      <w:r>
        <w:rPr>
          <w:rFonts w:ascii="IRNazanin" w:hAnsi="IRNazanin" w:eastAsia="IRNazanin"/>
          <w:color w:val="111111"/>
          <w:sz w:val="28"/>
          <w:sz w:val="28"/>
          <w:szCs w:val="28"/>
          <w:rtl w:val="true"/>
          <w:lang w:bidi="fa-IR"/>
        </w:rPr>
        <w:t>قواعد اقتضا می‌کند حکم نسبت به انواع جیب اختلاف داشته باشد؛ زیرا، جیب‌ها یا ظاهر و آشکارند؛ مانند جیب کت و شلوار، قبای طلبگی، و گاهی مخفی و داخلی هستند؛ فرقی نمی‌کند در طرف آستر لباس روپوش باشد مانند جیب بغلی یا در لباس‌های زیر مانند جلیقه و پیراهن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جیب‌های آشکار یا دربش باز و یا به وسیله‌ی تکمه و زیپ و مانند آن مسدود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در مسائل گذشته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هر چیزی به حسب خودش می‌باشد؛ و عرف، برای هرچیزی، حرزی را متناسب می‌بیند، البتّه عرف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هرچیزی باید حرز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پولی که در جیب بغل یا جیب‌های زیر یا جیب مسدود لباس روپوش باشد آن را در حرز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صورتی که جیب روی لباس و دربش باز باشد، آن را</w:t>
      </w:r>
      <w:bookmarkStart w:id="224" w:name="pg16923_220165"/>
    </w:p>
    <w:p>
      <w:pPr>
        <w:pStyle w:val="BookText"/>
        <w:rPr/>
      </w:pPr>
      <w:bookmarkEnd w:id="224"/>
      <w:r>
        <w:rPr>
          <w:rFonts w:ascii="IRNazanin" w:hAnsi="IRNazanin" w:eastAsia="IRNazanin"/>
          <w:color w:val="111111"/>
          <w:sz w:val="28"/>
          <w:sz w:val="28"/>
          <w:szCs w:val="28"/>
          <w:rtl w:val="true"/>
          <w:lang w:bidi="fa-IR"/>
        </w:rPr>
        <w:t>بی‌حرز و حفاظ می‌شمارد؛ لذا، اگر قلمی گران‌بها در جیب کوچک کت یا پیراهن‌رو باشد اگر به سرقت رود، موجب قطع نیست؛ زیرا، حرز صدق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کلمات فقها علاوه بر جیب، مسأله‌ی آستین را نیز مطرح کرده‌اند و با همین تفصیل، فتوا و تعبیرهای فقها از آستین و جیب ظاهری و باطنی بر آن‌چه گفتیم قابل انطباق است و بر همین عنوان ظاهر و باطن ادّعای شهرت، لا خلاف و بلکه بالاتر، ادّعای اجماع</w:t>
      </w:r>
      <w:r>
        <w:rPr>
          <w:rStyle w:val="FootnoteAnchor"/>
          <w:rtl w:val="true"/>
        </w:rPr>
        <w:footnoteReference w:id="147"/>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Heading5"/>
        <w:numPr>
          <w:ilvl w:val="4"/>
          <w:numId w:val="1"/>
        </w:numPr>
        <w:rPr/>
      </w:pPr>
      <w:bookmarkStart w:id="225" w:name="__RefHeading___Toc162237_3244359995"/>
      <w:bookmarkStart w:id="226" w:name="_Toc85"/>
      <w:bookmarkEnd w:id="225"/>
      <w:r>
        <w:rPr>
          <w:rtl w:val="true"/>
        </w:rPr>
        <w:t xml:space="preserve">مقتضای روایات در حکم جیب‌بری </w:t>
      </w:r>
      <w:r>
        <w:rPr>
          <w:rtl w:val="true"/>
        </w:rPr>
        <w:t>(</w:t>
      </w:r>
      <w:r>
        <w:rPr>
          <w:rtl w:val="true"/>
        </w:rPr>
        <w:t>طرّاری</w:t>
      </w:r>
      <w:r>
        <w:rPr>
          <w:rtl w:val="true"/>
        </w:rPr>
        <w:t>)</w:t>
      </w:r>
      <w:bookmarkEnd w:id="2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حمید بن زیاد، عن الحسن بن محمّد بن سماعة، عن عدّة من أصحابه، عن أبان بن عثمان، عن عبدالرّحمن بن أبی عبداللَّه،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الّذی یستلب قطع، ولیس علی الّذی یطرّ الدراهم من ثوب الرجل قطع</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رباینده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که پول را از چنگ شخصی با سرعت در آورده و فرار می‌کند، مُسْتَلِب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طرّار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جیب را می‌شکافد، پارچه را می‌بُرَد، همیان را پاره می‌کند و پول را از آن بیرون می‌آورد و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به اطلاق بر عدم قطع دست طرّار دلالت دارد، مانند روایت دیگر این 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بإسناده عن الحسن بن محبوب، عن عیسی بن صبیح،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الطرّار والنبّاش والمختلس،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یقطع</w:t>
      </w:r>
      <w:r>
        <w:rPr>
          <w:rFonts w:eastAsia="IRNazanin" w:cs="IRNazanin"/>
          <w:color w:val="111111"/>
          <w:sz w:val="28"/>
          <w:szCs w:val="28"/>
          <w:rtl w:val="true"/>
          <w:lang w:bidi="fa-IR"/>
        </w:rPr>
        <w:t>.</w:t>
      </w:r>
      <w:r>
        <w:rPr>
          <w:rStyle w:val="FootnoteAnchor"/>
          <w:rtl w:val="true"/>
        </w:rPr>
        <w:footnoteReference w:id="149"/>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صحیحه از امام صادق علیه السلام از حکم طرّار و نبّاش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شکافنده‌ی قبر برای سرقت کفن، کفن 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اموال عمومی به نفع خودش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می‌شود؛ امام علیه 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دستشان قطع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محمّد بن جعفر الکوفی، عن محمّد بن عبدالحمید، عن سیف بن عمیرة، عن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یقطع النبّاش والطرّار، ولا یقطع المختلس</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صحیحه،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کفن‌دزد و طرّار، بریده می‌شود، امّا دست مختلس قطع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این روایت بر خلاف اطلاق دو روایت گذشته است؛ لیکن با روایت زیر که مفصِّل است، تنافی بین دو اطلاق رفع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دو طریق نقل شده، پس در حقیقت دو روایت است، لیکن مضمون آن‌ها متحّد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صاحب وسائل رحمه الله پس از نقل به طریق اول، طریق دوّم را بر آن عطف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علیّ بن إبراهیم، عن أبیه، عن النّوفلی، عن السّکونی،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أمیر المؤمنین علیه السلام بطرّار قد طرَّ دراهم من کمّ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طرّ من قمیصه الأعلی لم أقطعه وإن کان طرّ من قمیصه السافل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قطعته وعن عدّة من أصحابنا، عن سهل بن زیاد، عن محمّد بن الحسن بن شمون، عن عبداللَّه بن عبدالرّحمن الأصمّ، عن مسمع بن أبی سیّار، عن أبی عبداللَّه علیه السلام مثله</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نزد امیر مؤمنان علیه السلام آوردند در حالی که از آستین مردی دراهمی را زده بود،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لباس روپوش برده باشد، دستش را نمی‌بُرم؛ و اگر از لباس زیر باشد، دستش را قطع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نقل صاحب جواهر رحمه الله متن روایت دوّم به این گونه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أمیر المؤمنین علیه السلام قد اتی بطرّار قد طرّ مِن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طرّ من قمیصه الأعلی لم أقطعه، وإن کان طرّ من قمیصه الأسفل قطعناه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روایت به هر تقدیر با فتوای قوم مخالفت دارد؛ زیرا، قوم حکم را بر جیب ظاهر و باطن مترتّب کردند، در حالی که به مقتضای این دو روایت، حکم بر لباس رو و زیر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از جیب داخلی لباس روپوش سرقت کرده باشد، بنا بر روایت، دستش قطع نمی‌گردد؛ ولی بنا بر فتوای قوم، دست او را باید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مشهور کلمه ظاهر و باطن را وصف جیب قرار داده‌اند، در حالی که در روایت، اعلی و اسفل را صفتِ قمیص آورده است، و این معنا با عرف و فتوای قوم و امام راحل رحمه الله مطابقت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رحمه الله در توجیه مفاد روایت، احتمالی را فرموده و با مؤیّدی آن را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و اسفل را 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نمی‌گیریم، بلکه مفعول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روایت بنا بر این احتمال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اعلا و ظاهر از پیراهن را بریده است، دستش را نمی‌بُرم و اگر سافل و داخل آن را شکافته است، دستش را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هر پیراهنی، ظاهر و باطنی دارد، بر طرّاری از رو قطع نیست؛ امّا بر طرّاری از داخل و زیر قطع دست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احتمال، روایت با قاعده و مبنای قوم مخالفت و تنافی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توجیه صاحب جواهر رحمه الله را نپذیریم، راه دیگری برای طرح این دو روایت داریم؛ راوی روایت اوّل سکونی است که متفرّد در نقل است، و طبق مبنای مرحوم شیخ طوسی، اگر سکونی متفرّد در نقل باشد روایتش مقبول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دوّم مشتمل بر افراد ضعیف است و شهرت عملی و فتوایی هم بر طبق آن نیست تا جابر ضعف سند باشد؛ زیرا، در فتوای مشهور قطع و عدم قطع دست بر جیب ظاهر و باطن مترتّب شده است، نه بر لباس زیر و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بر معنای دوّم حمل شود، با فتوای مشهور مطابق خواهد بود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معنای اوّل این است که دو لباس برای عرب تصوّر کنیم، در حالی که عرب‌ها در آن زمان دو لباس نمی‌پوشیدند، الآن نیز غالب آنان نیز بیش از یک</w:t>
      </w:r>
    </w:p>
    <w:p>
      <w:pPr>
        <w:pStyle w:val="BookText"/>
        <w:rPr/>
      </w:pPr>
      <w:r>
        <w:rPr>
          <w:rFonts w:ascii="IRNazanin" w:hAnsi="IRNazanin" w:eastAsia="IRNazanin"/>
          <w:color w:val="111111"/>
          <w:sz w:val="28"/>
          <w:sz w:val="28"/>
          <w:szCs w:val="28"/>
          <w:rtl w:val="true"/>
          <w:lang w:bidi="fa-IR"/>
        </w:rPr>
        <w:t>پیراهن به تن نمی‌کنند، در یک پیراهن، اعلا و اسفل جز به ظاهر و باطن صدق ندارد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احتمال دوّم در معنای روایت تثبیت شود، شاهد جمع دو روایت مطلق خواهد بود؛ زیرا، یکی به اطلاقش بر عدم قطع دست طرّار دارد؛ خواه از جیب ظاهر باشد یا مخفی، و دیگری به اطلاقش بر قطع دست طرّار دلالت می‌کند؛ خواه از جیب ظاهر باشد یا باطن؛ و این روایت بین جیب آشکار و مخفی تفصیل می‌دهد، و با مقتضای قاعده نیز مطابق است</w:t>
      </w:r>
      <w:r>
        <w:rPr>
          <w:rFonts w:eastAsia="IRNazanin" w:cs="IRNazanin"/>
          <w:color w:val="111111"/>
          <w:sz w:val="28"/>
          <w:szCs w:val="28"/>
          <w:rtl w:val="true"/>
          <w:lang w:bidi="fa-IR"/>
        </w:rPr>
        <w:t>.</w:t>
      </w:r>
      <w:bookmarkStart w:id="227" w:name="pg16923_220169"/>
    </w:p>
    <w:p>
      <w:pPr>
        <w:pStyle w:val="BookText"/>
        <w:rPr/>
      </w:pPr>
      <w:bookmarkEnd w:id="2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سرقة الثمار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ثبوت القطع فی أثمار الأشجار بعد قطفها، إذا حرزها، ولا فی عدم القطع إذا کانت علی الأشجار، إن لم تکن الأشجار محرزة، وأمّا إذا کانت محرزة کأن کانت فی بستان مقفّل فهل یقطع بسرقة ثمرتها أو لا؟ الأحوط بل الأقوی عدم القطع</w:t>
      </w:r>
      <w:r>
        <w:rPr>
          <w:rFonts w:eastAsia="IRNazanin" w:cs="IRNazanin"/>
          <w:color w:val="111111"/>
          <w:sz w:val="28"/>
          <w:szCs w:val="28"/>
          <w:rtl w:val="true"/>
          <w:lang w:bidi="fa-IR"/>
        </w:rPr>
        <w:t>.]</w:t>
      </w:r>
    </w:p>
    <w:p>
      <w:pPr>
        <w:pStyle w:val="Heading4"/>
        <w:numPr>
          <w:ilvl w:val="3"/>
          <w:numId w:val="1"/>
        </w:numPr>
        <w:rPr/>
      </w:pPr>
      <w:bookmarkStart w:id="228" w:name="__RefHeading___Toc162239_3244359995"/>
      <w:bookmarkStart w:id="229" w:name="_Toc86"/>
      <w:bookmarkEnd w:id="228"/>
      <w:r>
        <w:rPr>
          <w:rtl w:val="true"/>
        </w:rPr>
        <w:t>حکم سرقت میوه</w:t>
      </w:r>
      <w:bookmarkEnd w:id="229"/>
    </w:p>
    <w:p>
      <w:pPr>
        <w:pStyle w:val="Heading5"/>
        <w:numPr>
          <w:ilvl w:val="4"/>
          <w:numId w:val="1"/>
        </w:numPr>
        <w:rPr/>
      </w:pPr>
      <w:bookmarkStart w:id="230" w:name="__RefHeading___Toc162241_3244359995"/>
      <w:bookmarkStart w:id="231" w:name="_Toc87"/>
      <w:bookmarkEnd w:id="230"/>
      <w:r>
        <w:rPr>
          <w:rtl w:val="true"/>
        </w:rPr>
        <w:t>بیان صورت‌های مسأله</w:t>
      </w:r>
      <w:bookmarkEnd w:id="231"/>
    </w:p>
    <w:p>
      <w:pPr>
        <w:pStyle w:val="BookText"/>
        <w:rPr/>
      </w:pPr>
      <w:r>
        <w:rPr>
          <w:rFonts w:ascii="IRNazanin" w:hAnsi="IRNazanin" w:eastAsia="IRNazanin"/>
          <w:color w:val="111111"/>
          <w:sz w:val="28"/>
          <w:sz w:val="28"/>
          <w:szCs w:val="28"/>
          <w:rtl w:val="true"/>
          <w:lang w:bidi="fa-IR"/>
        </w:rPr>
        <w:t>سرقت میوه سه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میوه را چیده و انبار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حرز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سرقتش، قطع دست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میوه بر درختی باشد که حرز و دیواری آن درختان را احاطه نکرده باشد، بر سرقتش دست سارق را نمی‌برند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میوه بر درخت است و آن درختان در باغ و بوستانی مقفّل است، احتیاط، بلکه اقوا آن است که بر سرقتش قطع دست نیست</w:t>
      </w:r>
      <w:r>
        <w:rPr>
          <w:rFonts w:eastAsia="IRNazanin" w:cs="IRNazanin"/>
          <w:color w:val="111111"/>
          <w:sz w:val="28"/>
          <w:szCs w:val="28"/>
          <w:rtl w:val="true"/>
          <w:lang w:bidi="fa-IR"/>
        </w:rPr>
        <w:t>.</w:t>
      </w:r>
    </w:p>
    <w:p>
      <w:pPr>
        <w:pStyle w:val="Heading5"/>
        <w:numPr>
          <w:ilvl w:val="4"/>
          <w:numId w:val="1"/>
        </w:numPr>
        <w:rPr/>
      </w:pPr>
      <w:bookmarkStart w:id="232" w:name="__RefHeading___Toc162243_3244359995"/>
      <w:bookmarkStart w:id="233" w:name="_Toc88"/>
      <w:bookmarkEnd w:id="232"/>
      <w:r>
        <w:rPr>
          <w:rtl w:val="true"/>
        </w:rPr>
        <w:t>حکم صورت اوّل و دوّم</w:t>
      </w:r>
      <w:bookmarkEnd w:id="233"/>
    </w:p>
    <w:p>
      <w:pPr>
        <w:pStyle w:val="BookText"/>
        <w:rPr/>
      </w:pPr>
      <w:r>
        <w:rPr>
          <w:rFonts w:ascii="IRNazanin" w:hAnsi="IRNazanin" w:eastAsia="IRNazanin"/>
          <w:color w:val="111111"/>
          <w:sz w:val="28"/>
          <w:sz w:val="28"/>
          <w:szCs w:val="28"/>
          <w:rtl w:val="true"/>
          <w:lang w:bidi="fa-IR"/>
        </w:rPr>
        <w:t>در صورتی که میوه‌ها را چیده باشند و در انباری که در و پیکری دارد، قرار دادند و درب آن را بستند، بر سرقت این میوه‌ها، سرقت از حرز صادق، و بدون اشکال، حدّش قطع دست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میوه‌ها بر درخت است و آن درختان در محلّی واقع شده که دیواری آن‌ها را احاطه نکرده، حرزی ندارد؛ مانند درختان خرما در بعضی از مناطق؛ در این صورت، بر سرقت خود درخت قطع دست نیست، چون حرز ندارد؛ تا چه رسد به سرقت میوه‌های آن</w:t>
      </w:r>
      <w:r>
        <w:rPr>
          <w:rFonts w:eastAsia="IRNazanin" w:cs="IRNazanin"/>
          <w:color w:val="111111"/>
          <w:sz w:val="28"/>
          <w:szCs w:val="28"/>
          <w:rtl w:val="true"/>
          <w:lang w:bidi="fa-IR"/>
        </w:rPr>
        <w:t>.</w:t>
      </w:r>
      <w:bookmarkStart w:id="234" w:name="pg16923_220170"/>
    </w:p>
    <w:p>
      <w:pPr>
        <w:pStyle w:val="Heading5"/>
        <w:numPr>
          <w:ilvl w:val="4"/>
          <w:numId w:val="1"/>
        </w:numPr>
        <w:rPr/>
      </w:pPr>
      <w:bookmarkStart w:id="235" w:name="__RefHeading___Toc162245_3244359995"/>
      <w:bookmarkStart w:id="236" w:name="_Toc89"/>
      <w:bookmarkEnd w:id="234"/>
      <w:bookmarkEnd w:id="235"/>
      <w:r>
        <w:rPr>
          <w:rtl w:val="true"/>
        </w:rPr>
        <w:t>حکم صورت سوّم</w:t>
      </w:r>
      <w:bookmarkEnd w:id="236"/>
    </w:p>
    <w:p>
      <w:pPr>
        <w:pStyle w:val="BookText"/>
        <w:rPr/>
      </w:pPr>
      <w:r>
        <w:rPr>
          <w:rFonts w:ascii="IRNazanin" w:hAnsi="IRNazanin" w:eastAsia="IRNazanin"/>
          <w:color w:val="111111"/>
          <w:sz w:val="28"/>
          <w:sz w:val="28"/>
          <w:szCs w:val="28"/>
          <w:rtl w:val="true"/>
          <w:lang w:bidi="fa-IR"/>
        </w:rPr>
        <w:t>در صورتی که درختان در باغی باشد که دارای حصار و دیوار و درب مقفّل است، اگر کسی میوه‌های چنین باغی را به سرقت بَرد، با توجّه به روایات، حکمش چیست؟</w:t>
      </w:r>
    </w:p>
    <w:p>
      <w:pPr>
        <w:pStyle w:val="BookText"/>
        <w:rPr/>
      </w:pPr>
      <w:r>
        <w:rPr>
          <w:rFonts w:ascii="IRNazanin" w:hAnsi="IRNazanin" w:eastAsia="IRNazanin"/>
          <w:color w:val="111111"/>
          <w:sz w:val="28"/>
          <w:sz w:val="28"/>
          <w:szCs w:val="28"/>
          <w:rtl w:val="true"/>
          <w:lang w:bidi="fa-IR"/>
        </w:rPr>
        <w:t>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قطع فی ثمر ولا 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والکثر شُحم النخل، ورواه الصدوق بإسناده عن السّکونی مثله إلّاأنّه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والکثر الجمار</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سرقت میوه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 برای این لغت در همین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شکوفه‌ی خرما و حالت ابتدایی خرما، سنگ و حجاره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به اطلاقش سرقت هر نوع میوه‌ای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أحمد بن محمّد بن عیسی، عن محمّد بن سنان، عن حمّاد بن عیسی وعن خلف بن حمّاد، عن ربعی بن عبداللَّه، عن الفضیل بن یسار،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الرّجل من النخل والزرع قبل أن یصرم فلیس علیه قطع، فإذا صرم النخل وحصد الزّرع فأخذ قطع</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صحیحه،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از خرما و زراعت قبل از چیدن و درو کردن سرقت کند، دستش را نمی‌برند؛ امّا اگر پس از چیدن خرما و درو کردن زراعت دزدی کند، دستش را قطع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بر عدم قطع دست در مورد سرقت میوه‌ی چیده نشده دلالت دارد؛ و از این لحاظ، اطلاق دارد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وبإسناده عن محمّد بن علیّ بن محبوب، عن أحمد بن عبدوس، عن الحسن بن علیّ بن فضّال، عن أبی جمیلة، عن الأصبغ، عن أمیر المؤمنین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یقطع من سرق شیئاً من الفاکهة، وإذا مرّ بها فلیأکل ولا یفسد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کسی که میوه دزدی کند، قطع نمی‌گردد، اگر کسی به میوه‌ها عبور کند، از آن‌ها بخورد ولی افساد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گذشته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مورد میوه‌ای است که در حرز واقع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فضیل نیز بر همین مطلب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شاهدش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کرد و معمولًا در صحرا برای کشتزارها حرزی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دو روایت را بر سرقتی حمل می‌کنیم که از حرز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وبإسناده عن إسحاق بن عمّار، عن أبی عبداللَّه علیه السلام فی رجل سرق من بستان عذقاً قیمته درهمان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یقطع به</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موثّقه امام صادق علیه السلام در مورد مردی که درخت خرمایی را دزدید که دو درهم قیمت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این کار دستش را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قطع دست را بر دو درهم مترتّب کرده است که معمولًا برابر با ربع دینار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سرقت میوه است نه سرقت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درخت مانند بقیّه‌ی اشیا و اموال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حرز به سرقت رود، قطع دست به دنبال داشته باشد؛ شاهدش این که شارع در مورد میوه تسهیلاتی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شده است، لذا ممکن است میوه‌ای که از حرز و مکان مقفّل چیده شود و به سرقت رود، قطع دست نداشته باشد، دلیلی بر بطلان این احتمال نداریم؛ وجهی برای الغای خصوصیّت هم نیست تا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سرقت درخت از حرز، قطع دست هست، از خصوصیّت درخت بودن الغای خصوصیّت کرده، آن را به میوه نیز تعمیم می‌دهیم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کنار گذاشتن موثّقه‌ی اسحاق بن عمّار، روایات دیگر بر قطع دست در مورد سرقت میوه از باغ اتّفاق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اصبغ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یقطع من سرق شیئاً من الفاکهة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اطلاق</w:t>
      </w:r>
    </w:p>
    <w:p>
      <w:pPr>
        <w:pStyle w:val="BookText"/>
        <w:rPr/>
      </w:pPr>
      <w:r>
        <w:rPr>
          <w:rFonts w:ascii="IRNazanin" w:hAnsi="IRNazanin" w:eastAsia="IRNazanin"/>
          <w:color w:val="111111"/>
          <w:sz w:val="28"/>
          <w:sz w:val="28"/>
          <w:szCs w:val="28"/>
          <w:rtl w:val="true"/>
          <w:lang w:bidi="fa-IR"/>
        </w:rPr>
        <w:t xml:space="preserve">دارد، لیکن به قرینه‌ی ذیلش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مرّ بها فلیأکل ولا یفسد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عدم حرز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مطلق دیگر به جز روایت فضیل بن یسار از نظر سند ضعیف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روایت قبل این است که اگر میوه را نچیده‌اند و زراعت را درو نکرده‌اند، بر سرقت از آن‌ها قطع دست نیست؛ و اگر چیده‌اند، قطع دست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میوه را پس از چیدن به انبار می‌برند و در حرز قرار می‌دهند، لذا اطلاق این روایت شامل سرقت میوه‌ی چیده نشده از حرز و غیر حرز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این نصوص و فتاوا منصرف است به میوه‌ای که در حرز نباشد؛ زیرا، غالب در میوه‌ها این است که تا مادامی که بر درخت هست حرزی ندارد</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در حقیقت، به نظر ایشان فرقی بین میوه و غیر آن نیست؛ اگر از باغ مقفّل میوه‌ای را دزدید، قطع دست مترتّب می‌شود والّا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وجه صحیح نیست؛ به خصوص با توجّه به روایتی که در سابق به طور مفصّل گذشت، در آن روایت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النبیّ صلی الله علیه و آله فیمن سرق الثمار فی کمّهِ فما أکلوا منه فلا شی‌ء علیه وما حمل فیعزّر ویغرم قیمته مرّتین</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کسی که میوه‌ها را در اوائل رشدش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چغاله‌ی 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هنگامی که در غلاف است مانند بادام و غیر آن سرقت کند، مقداری که خورده مانعی ندارد، ولی بر آن‌چه برده است، تعزیر می‌گردد؛ و دو برابر قیمت باید غرامت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بر تعزیر دلالت داشت، خواه تعزیر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برابر قیمت آن را پرداخته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که تعزیر مالی غیر از تعزیر بدنی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از روایت استفاده می‌شود قطع دست در مورد سرقت میوه نیست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فضیل بن یسار نیز از اطلاقی قویّ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مطلق دیگر که قرینه‌ای بر عدم حرز داشت، از نظر سند ضعیف بود؛ و وجهی برای انصراف اطلاق این صحیحه به موردی که صاحب جواهر رحمه الله می‌گوید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 فتاوا یک شهرت</w:t>
      </w:r>
    </w:p>
    <w:p>
      <w:pPr>
        <w:pStyle w:val="BookText"/>
        <w:rPr/>
      </w:pPr>
      <w:r>
        <w:rPr>
          <w:rFonts w:ascii="IRNazanin" w:hAnsi="IRNazanin" w:eastAsia="IRNazanin"/>
          <w:color w:val="111111"/>
          <w:sz w:val="28"/>
          <w:sz w:val="28"/>
          <w:szCs w:val="28"/>
          <w:rtl w:val="true"/>
          <w:lang w:bidi="fa-IR"/>
        </w:rPr>
        <w:t>محقّق و محصّلی نداریم، بلکه مخالف در این مسأله بیش از دو سه نفر نیستند که با صاحب جواهر رحمه الله هم عقیده هستند، مرحوم علّامه</w:t>
      </w:r>
      <w:r>
        <w:rPr>
          <w:rStyle w:val="FootnoteAnchor"/>
          <w:rtl w:val="true"/>
        </w:rPr>
        <w:footnoteReference w:id="158"/>
      </w:r>
      <w:r>
        <w:rPr>
          <w:rFonts w:ascii="IRNazanin" w:hAnsi="IRNazanin" w:eastAsia="IRNazanin"/>
          <w:color w:val="111111"/>
          <w:sz w:val="28"/>
          <w:sz w:val="28"/>
          <w:szCs w:val="28"/>
          <w:rtl w:val="true"/>
          <w:lang w:bidi="fa-IR"/>
        </w:rPr>
        <w:t>و پسرش</w:t>
      </w:r>
      <w:r>
        <w:rPr>
          <w:rStyle w:val="FootnoteAnchor"/>
          <w:rtl w:val="true"/>
        </w:rPr>
        <w:footnoteReference w:id="159"/>
      </w:r>
      <w:r>
        <w:rPr>
          <w:rFonts w:ascii="IRNazanin" w:hAnsi="IRNazanin" w:eastAsia="IRNazanin"/>
          <w:color w:val="111111"/>
          <w:sz w:val="28"/>
          <w:sz w:val="28"/>
          <w:szCs w:val="28"/>
          <w:rtl w:val="true"/>
          <w:lang w:bidi="fa-IR"/>
        </w:rPr>
        <w:t>و شهید ثانی رحمه الله در مسالک</w:t>
      </w:r>
      <w:r>
        <w:rPr>
          <w:rStyle w:val="FootnoteAnchor"/>
          <w:rtl w:val="true"/>
        </w:rPr>
        <w:footnoteReference w:id="160"/>
      </w:r>
      <w:r>
        <w:rPr>
          <w:rFonts w:ascii="IRNazanin" w:hAnsi="IRNazanin" w:eastAsia="IRNazanin"/>
          <w:color w:val="111111"/>
          <w:sz w:val="28"/>
          <w:sz w:val="28"/>
          <w:szCs w:val="28"/>
          <w:rtl w:val="true"/>
          <w:lang w:bidi="fa-IR"/>
        </w:rPr>
        <w:t>و شرح لمعه</w:t>
      </w:r>
      <w:r>
        <w:rPr>
          <w:rStyle w:val="FootnoteAnchor"/>
          <w:rtl w:val="true"/>
        </w:rPr>
        <w:footnoteReference w:id="161"/>
      </w:r>
      <w:r>
        <w:rPr>
          <w:rFonts w:ascii="IRNazanin" w:hAnsi="IRNazanin" w:eastAsia="IRNazanin"/>
          <w:color w:val="111111"/>
          <w:sz w:val="28"/>
          <w:sz w:val="28"/>
          <w:szCs w:val="28"/>
          <w:rtl w:val="true"/>
          <w:lang w:bidi="fa-IR"/>
        </w:rPr>
        <w:t>با این اطلاق مخالف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این چند نفر کاشف از وقوع شهرت در طرف اطلاق است و با این شهرت می‌توان ضعف سند روایات مطلق را جبران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طبق این روایات می‌توان فتوا داد و همان‌طور که امام راحل رحمه الله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احتیاط، بلکه بالاتر، اقوا این است که در سرقت میوه به‌طور مطلق خواه از حرز چیده باشد یا از غیر حرز، دست را نمی‌بُرند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 تا هنگامی که میوه بر درخت است، اگر سارق آن‌ها را بچیند و ببَرد، دستش قطع نمی‌گردد؛ امّا پس از چیدن و انبار کردن و بستن درب انبار، میوه نیز مانند اشیای مسروقه‌ی دیگر خواهد بود؛ در صورتی که شرایط قطع دست موجود باشد، دست سارق قطع می‌شود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این استثنا در روایات چیست؟ فقیه بما هو فقیه به آن کار ندارد؛ ما دنبال حکمت احکام نیستیم، بلکه تابع دلیلیم؛ و دلیل اقتضای این فتوا را دارد</w:t>
      </w:r>
      <w:r>
        <w:rPr>
          <w:rFonts w:eastAsia="IRNazanin" w:cs="IRNazanin"/>
          <w:color w:val="111111"/>
          <w:sz w:val="28"/>
          <w:szCs w:val="28"/>
          <w:rtl w:val="true"/>
          <w:lang w:bidi="fa-IR"/>
        </w:rPr>
        <w:t>.</w:t>
      </w:r>
      <w:bookmarkStart w:id="237" w:name="pg16923_220174"/>
    </w:p>
    <w:p>
      <w:pPr>
        <w:pStyle w:val="BookText"/>
        <w:rPr/>
      </w:pPr>
      <w:bookmarkEnd w:id="2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السرقة فی عام المجاعة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قطع علی السارق فی عامّ مجاعة إذا کان المسروق مأکولًا ولو بالقوّة کالحبوب، وکان السارق مضطرّاً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غیر المأکول وفی المأکول فی غیر مورد الإضطرار محلّ إشکال، الأحوط عدم القطع، بل فی المحتاج إذا سرق غیر المأکول لا یخلو من قوّة</w:t>
      </w:r>
      <w:r>
        <w:rPr>
          <w:rFonts w:eastAsia="IRNazanin" w:cs="IRNazanin"/>
          <w:color w:val="111111"/>
          <w:sz w:val="28"/>
          <w:szCs w:val="28"/>
          <w:rtl w:val="true"/>
          <w:lang w:bidi="fa-IR"/>
        </w:rPr>
        <w:t>.]</w:t>
      </w:r>
    </w:p>
    <w:p>
      <w:pPr>
        <w:pStyle w:val="Heading4"/>
        <w:numPr>
          <w:ilvl w:val="3"/>
          <w:numId w:val="1"/>
        </w:numPr>
        <w:rPr/>
      </w:pPr>
      <w:bookmarkStart w:id="238" w:name="__RefHeading___Toc162247_3244359995"/>
      <w:bookmarkStart w:id="239" w:name="_Toc90"/>
      <w:bookmarkEnd w:id="238"/>
      <w:r>
        <w:rPr>
          <w:rtl w:val="true"/>
        </w:rPr>
        <w:t>حکم سرقت در سال قحطی</w:t>
      </w:r>
      <w:bookmarkEnd w:id="239"/>
    </w:p>
    <w:p>
      <w:pPr>
        <w:pStyle w:val="Heading5"/>
        <w:numPr>
          <w:ilvl w:val="4"/>
          <w:numId w:val="1"/>
        </w:numPr>
        <w:rPr/>
      </w:pPr>
      <w:bookmarkStart w:id="240" w:name="__RefHeading___Toc162249_3244359995"/>
      <w:bookmarkStart w:id="241" w:name="_Toc91"/>
      <w:bookmarkEnd w:id="240"/>
      <w:r>
        <w:rPr>
          <w:rtl w:val="true"/>
        </w:rPr>
        <w:t>اشاره</w:t>
      </w:r>
      <w:bookmarkEnd w:id="241"/>
    </w:p>
    <w:p>
      <w:pPr>
        <w:pStyle w:val="BookText"/>
        <w:rPr/>
      </w:pPr>
      <w:r>
        <w:rPr>
          <w:rFonts w:ascii="IRNazanin" w:hAnsi="IRNazanin" w:eastAsia="IRNazanin"/>
          <w:color w:val="111111"/>
          <w:sz w:val="28"/>
          <w:sz w:val="28"/>
          <w:szCs w:val="28"/>
          <w:rtl w:val="true"/>
          <w:lang w:bidi="fa-IR"/>
        </w:rPr>
        <w:t>اگر در سال قحطی و خشک‌سالی کسی دست به سرقت بزند، با دو شرط دستش قطع نمی‌گردد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مسروقه از خوردنی‌ها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بالقوه مانند حبوبات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سارق نیز اضطرار به آن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اقامه‌ی حدّ در صورتی که یکی از دو شرط مفقود، یعنی یا مال مسروقه‌ی غیر مأکول باشد یا اضطراری به مأکول نداشته باشد، اشکال داریم؛ احتیاط در پیاده نکردن حدّ است؛ بلکه اگر محتاج و نیازمند هم غیر مأکول را به سرقت برد، عدم قطع دست خالی از قوّت نیست</w:t>
      </w:r>
      <w:r>
        <w:rPr>
          <w:rFonts w:eastAsia="IRNazanin" w:cs="IRNazanin"/>
          <w:color w:val="111111"/>
          <w:sz w:val="28"/>
          <w:szCs w:val="28"/>
          <w:rtl w:val="true"/>
          <w:lang w:bidi="fa-IR"/>
        </w:rPr>
        <w:t>.</w:t>
      </w:r>
    </w:p>
    <w:p>
      <w:pPr>
        <w:pStyle w:val="Heading5"/>
        <w:numPr>
          <w:ilvl w:val="4"/>
          <w:numId w:val="1"/>
        </w:numPr>
        <w:rPr/>
      </w:pPr>
      <w:bookmarkStart w:id="242" w:name="__RefHeading___Toc162251_3244359995"/>
      <w:bookmarkStart w:id="243" w:name="_Toc92"/>
      <w:bookmarkEnd w:id="242"/>
      <w:r>
        <w:rPr>
          <w:rtl w:val="true"/>
        </w:rPr>
        <w:t>سرقت مضطرّ در سال قحطی</w:t>
      </w:r>
      <w:bookmarkEnd w:id="243"/>
    </w:p>
    <w:p>
      <w:pPr>
        <w:pStyle w:val="BookText"/>
        <w:rPr/>
      </w:pPr>
      <w:r>
        <w:rPr>
          <w:rFonts w:ascii="IRNazanin" w:hAnsi="IRNazanin" w:eastAsia="IRNazanin"/>
          <w:color w:val="111111"/>
          <w:sz w:val="28"/>
          <w:sz w:val="28"/>
          <w:szCs w:val="28"/>
          <w:rtl w:val="true"/>
          <w:lang w:bidi="fa-IR"/>
        </w:rPr>
        <w:t>یکی از عناوینی که در روایات و کتب فقهی مطرح است، سرقت در سال قحطی و گرسنگی می‌باشد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 که سارق به ارتکاب سرقت مضطّر گردد، به گونه‌ای که اگر مال مأکول را سرقت نکند و نخورد، جانش در مخاطره و خطر مرگ قرار می‌گیرد، فرض را در جایی مطرح می‌کنیم که اگر در ابتدا نزد مالک نیز می‌رفت و به او التماس می‌کرد، حاضر بود با قیمت مضاعف آن مأکول را بخرد، امّا مالک راضی به فروش نمی‌شد؛ از این رو، ناچار شد شب و نیمه‌شبی قفل را بشکند و آن مأکول را برده جان خود را از خطر هلاکت نجات دهد، بر این سرقتِ اضطراری قطع دست نیست، بلکه حدیث رفع به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اضطرّو</w:t>
      </w:r>
    </w:p>
    <w:p>
      <w:pPr>
        <w:pStyle w:val="BookText"/>
        <w:rPr/>
      </w:pP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حدّ را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در ابتدای بحث حدّ سرقت، یکی از شرایط جریان حدّ را عدم اضطرار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رفع، حکم تکلیفی حرمت تصرّف در مال غیر و ثبوت حدّ سرقت را بر می‌دارد، اما مسأله‌ی ضمان به ادای مثل یا قیمت با حدیث رفع مرتفع نمی‌گردد، و در جای خود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حکم یعنی عدم اجرای حدّ قطع در صورت اضطرار هر دو حالت مال مسروقه را شامل می‌شود؛ یعنی خواه مال مسروقه مأکول بالفعل باشد به گونه‌ای که نیاز به پختن و مانند آن نداشته باشد و یا پس از طی مقدّماتی قابل خوردن می‌شود مانند گندم و لوبیا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حکم در فرض اضطرار نیاز به دلیل خاصّی نداریم، و همان ادلّه‌ی عمومی رفع اضطرار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در این باب رسیده، مسأله را در یک شعاع گسترده‌تر از حالت اضطرار مطرح کرده است، لذا باید به بررسی دلالت و سند آن‌ها بپردازیم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محمّد بن یحیی، عن محمّد بن أحمد، عن محمّد بن عیسی بن عبید، عن زیاد القندی عمّن ذکره،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لایقطع السّارق فی سنة المحل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شی‌ء ممّا یؤکل مثل الخبز واللّحم وأشباه ذلک</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مرسله،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سارق در سال قحطی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و محق به معنای گرسنگی و قحطی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سرقت خوردنی‌ها مانند نان و گوشت و غیر آن قطع نمی‌گردد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علیّ بن إبراهیم، عن أبیه، عن النّوفلی، عن السّکونی، عن</w:t>
      </w:r>
    </w:p>
    <w:p>
      <w:pPr>
        <w:pStyle w:val="BookText"/>
        <w:rPr/>
      </w:pPr>
      <w:r>
        <w:rPr>
          <w:rFonts w:ascii="IRNazanin" w:hAnsi="IRNazanin" w:eastAsia="IRNazanin"/>
          <w:color w:val="111111"/>
          <w:sz w:val="28"/>
          <w:sz w:val="28"/>
          <w:szCs w:val="28"/>
          <w:rtl w:val="true"/>
          <w:lang w:bidi="fa-IR"/>
        </w:rPr>
        <w:t>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یقطع السارق فی عام سنة یعنی عام مجاعة</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قحطی دست سارق را نمی‌برند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عدّة من أصحابنا، عن سهل بن زیاد، وعن محمّد بن یحیی، عن أحمد بن محمّد، جمیعاً عن علیّ بن الحکم، عن عاصم بن حمید، عمّن أخبره،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المؤمنین علیه السلام لایقطع السارق فی أیّام المجاعة</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مرسله،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در سال قحطی دست سارق را نمی‌برید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بإسناده، عن السّکونی، عن جعفر بن محمد علیهما السلام، عن أبیه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لایقطع السّارق فی عام سنة مجدبة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 المأکول دون غیره</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سارق را در سال قحطی و تنگی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قطع در مأکول و خوردنی است و نه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فی‌المأکول دون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است بین این که تفسیری از امام صادق علیه السلام باشد که در توضیح بیان امام باقر علیه السلام فرموده‌اند، و ممکن است شرحی از شیخ صدوق رحمه الله با توجّه به روایت زیاد قندی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دلالت این روایات، جهاتی باید تحقیق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عدم قطع مختصّ به سرقت مأکول است یا تعمیم دارد؟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دوّم و سوّم مطلق است و مقیّد به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اوّل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شی‌ء ممّا یؤکل مثل الخبز واللحم وأشباه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مفهومی استفاده نمی‌شود که مطلقات را</w:t>
      </w:r>
    </w:p>
    <w:p>
      <w:pPr>
        <w:pStyle w:val="BookText"/>
        <w:rPr/>
      </w:pPr>
      <w:r>
        <w:rPr>
          <w:rFonts w:ascii="IRNazanin" w:hAnsi="IRNazanin" w:eastAsia="IRNazanin"/>
          <w:color w:val="111111"/>
          <w:sz w:val="28"/>
          <w:sz w:val="28"/>
          <w:szCs w:val="28"/>
          <w:rtl w:val="true"/>
          <w:lang w:bidi="fa-IR"/>
        </w:rPr>
        <w:t>تقیید کند؛ زیرا، اثبات شیئ نفی ما عدا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چهارم نیز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المأکول دون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است بین این که کلام معصوم علیه السلام باشد یا برداشتی از شیخ صدوق رحمه الله که با توجّه به روایت زیاد قندی فرموده است؛ از این جهت، روایت اجمال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اختصاصی به مأکول ندارد و دلیلی بر این اختصاص هم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حکم و موضوع اقتضا می‌کند حکم عدم قطع را به مأکولات اختصاص دهیم؛ زیرا در سال قحطی فقط مسأله‌ی خوردن و آشامیدن مطرح است نه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راه را منحصر به سرقت مأکول کرد؛ چه بسا نتواند به مأکول دسترسی پیدا کند امّا می‌تواند با سرقت غیر مأکولی و فروختنش و خرید مأکول جان خود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اختصاص حکم به مأکولات، شکّی نیست که شامل مأکول بالفعل و بالقوه می‌شود؛ زیرا، در روایت زیاد قندی به نان و گوشت و مانند آن مثال زده بود هرچند نان یک حالت دارد ولی گوشت دو حالتی است اگر مطبوخ باشد قابل خوردن هست و الّا غالب مردم گوشت نپخته را نمی‌خورند؛ و بنا بر متعارف، گوشت غیر مطبوخ جزء مأکولات بالفعل به شمار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حکم عدم قطع در سال قحطی به سرقت اضطراری اختصاص دارد، یا به طور کلّی در سال قحطی، بر سرقت، قطع دست مترتّب نمی‌گردد خواه مضطّر به سرقت باشد یا نباشد؟</w:t>
      </w:r>
    </w:p>
    <w:p>
      <w:pPr>
        <w:pStyle w:val="BookText"/>
        <w:rPr/>
      </w:pPr>
      <w:r>
        <w:rPr>
          <w:rFonts w:ascii="IRNazanin" w:hAnsi="IRNazanin" w:eastAsia="IRNazanin"/>
          <w:color w:val="111111"/>
          <w:sz w:val="28"/>
          <w:sz w:val="28"/>
          <w:szCs w:val="28"/>
          <w:rtl w:val="true"/>
          <w:lang w:bidi="fa-IR"/>
        </w:rPr>
        <w:t>مرحوم شیخ طوسی رحمه الله در کتاب مبسوط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سال مجاعه و قحطی، قوت و غذا موجود است لیکن قیمت آن سنگین و گران بوده و فرد هم قدرت خرید دارد، گرانی قیمت مجوّز سرقت نیست و دستش را قطع می‌کنند، ولی اگر تنها راه رسیدن به قوت و غذا دزدی آن است، در این صورت مضطّر به سرقت است و دستش را نمی‌برند</w:t>
      </w:r>
      <w:r>
        <w:rPr>
          <w:rFonts w:eastAsia="IRNazanin" w:cs="IRNazanin"/>
          <w:color w:val="111111"/>
          <w:sz w:val="28"/>
          <w:szCs w:val="28"/>
          <w:rtl w:val="true"/>
          <w:lang w:bidi="fa-IR"/>
        </w:rPr>
        <w:t>.</w:t>
      </w:r>
      <w:r>
        <w:rPr>
          <w:rStyle w:val="FootnoteAnchor"/>
          <w:rtl w:val="true"/>
        </w:rPr>
        <w:footnoteReference w:id="167"/>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رحمه الله در کتاب خلاف، آن‌چه را در مسبوط اختیار کرده است به شافعی نسبت می‌دهد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امامیّه و اصحاب مسأله را به صورت مطلق مطرح کرده، و</w:t>
      </w:r>
      <w:bookmarkStart w:id="244" w:name="pg16923_220178"/>
    </w:p>
    <w:p>
      <w:pPr>
        <w:pStyle w:val="BookText"/>
        <w:rPr/>
      </w:pPr>
      <w:bookmarkEnd w:id="244"/>
      <w:r>
        <w:rPr>
          <w:rFonts w:ascii="IRNazanin" w:hAnsi="IRNazanin" w:eastAsia="IRNazanin"/>
          <w:color w:val="111111"/>
          <w:sz w:val="28"/>
          <w:sz w:val="28"/>
          <w:szCs w:val="28"/>
          <w:rtl w:val="true"/>
          <w:lang w:bidi="fa-IR"/>
        </w:rPr>
        <w:t>تفصیلی بین اضطرار و غیر آن نداده‌اند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تحقیق در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وارد در باب قحطی به صورت اضطرار انصراف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اطلاقی ندارد تا در غیر صورت اضطرار نیز به عدم قطع حکم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حمل مطلقات بر صورت اضطرار نداریم؛ زیرا، ممکن است شارع مقدّس به خاطر تسهیل و ارفاق حکم قطع دست در سال مجاعه و قحطی را برداشته باشد؛ چرا که در سال قحطی مظنّه‌ی اضطرار و زمینه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مطلقات مختصّ به حالت اضطرار باشد، لازمه‌اش این است که روایات بیانگر مطلب جدیدی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یکی از شرایط ثبوت حدّ قطع عدم اضطرار بود و با تحقّق اضطرار حدّ ساقط است؛ خواه سال قحطی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ادّله‌ی رفع اضطرار، حدّ را بر می‌دارد و نیاز به دلیل دیگری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این روایات در مقام بیان خصوصیّتی برای سال قحطی است؛ در این سال زمینه‌ی اضطرار بیشتر است، و شارع برای تسهیل، عدم قطع را در سرقت مجاعه به صورت کلّی جعل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عدم اجرای حدّ سرقت در سال قحطی وقوع هرج و مرج در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حدّ قطع برداشته شده است، اما تمام احکام سرقت به جای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فرد مضطّر نبوده، کار حرامی را مرتکب شده و او را بر این عمل حرام تعزیر می‌کنند، و ضامن برگرداندن مال مسروقه یا بدل آن خواهد بود؛ همان گونه که فرد مضطّر نیز ضامن بدل از مثل یا قیمت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احتیاط نیز عدم اجرای حدّ قطع در سال قحطی است</w:t>
      </w:r>
      <w:r>
        <w:rPr>
          <w:rFonts w:eastAsia="IRNazanin" w:cs="IRNazanin"/>
          <w:color w:val="111111"/>
          <w:sz w:val="28"/>
          <w:szCs w:val="28"/>
          <w:rtl w:val="true"/>
          <w:lang w:bidi="fa-IR"/>
        </w:rPr>
        <w:t>.</w:t>
      </w:r>
    </w:p>
    <w:p>
      <w:pPr>
        <w:pStyle w:val="Heading5"/>
        <w:numPr>
          <w:ilvl w:val="4"/>
          <w:numId w:val="1"/>
        </w:numPr>
        <w:rPr/>
      </w:pPr>
      <w:bookmarkStart w:id="245" w:name="__RefHeading___Toc162253_3244359995"/>
      <w:bookmarkStart w:id="246" w:name="_Toc93"/>
      <w:bookmarkEnd w:id="245"/>
      <w:r>
        <w:rPr>
          <w:rtl w:val="true"/>
        </w:rPr>
        <w:t>بررسی عبارت تحریر الوسیله</w:t>
      </w:r>
      <w:bookmarkEnd w:id="246"/>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راحل رحمه الله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غیر المأکول وفی المأکول فی غیر الإضطرار محلّ الإشکال والأحوط عدم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مورد، احتیاط در عدم قطع است؛ یکی سرقت غیر مأکول با اضطرار، و دیگری سرقت مأکول بدون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شمول</w:t>
      </w:r>
    </w:p>
    <w:p>
      <w:pPr>
        <w:pStyle w:val="BookText"/>
        <w:rPr/>
      </w:pPr>
      <w:r>
        <w:rPr>
          <w:rFonts w:ascii="IRNazanin" w:hAnsi="IRNazanin" w:eastAsia="IRNazanin"/>
          <w:color w:val="111111"/>
          <w:sz w:val="28"/>
          <w:sz w:val="28"/>
          <w:szCs w:val="28"/>
          <w:rtl w:val="true"/>
          <w:lang w:bidi="fa-IR"/>
        </w:rPr>
        <w:t>روایات عدم قطع نسبت به این دو مورد تردید کرده، سپس احتیاط را به عدم قطع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ترقّی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فی المحتاج إذا سرق غیر المأکول لا یخلو عن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محتاج کیست؟ آیا مضطّر اراده شده، لیکن از باب تفنّن در عبارت به این صورت آمده است؟ در این صورت، نیاز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عن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زیرا، حکم صورت اضطرار روشن است که دست نباید قطع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عن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فتوایی ناشی از تردید بین دو طرف است، اما یک جانب را تقویت می‌کند و یک مرتبه‌ای از رجحان در آن هست؛ یعنی فتوا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شخصی برای نجات خود ناچار به سرقت غیر مأکول شد، نان در بازار گران است و او هم پول ندارد، جنس یا پولی معادل قیمت نان سرقت می‌کند و فروخته و با ثمن آن نان تهیه می‌کند، هرچند این فرد به سرقت غیر مأکول مضطر شده است، لیکن اضطرارش سبب رفع حدّ است و نیاز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عن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مقصود از محتاج، فرد غیر مضطر است، کسی که نیازش به حدّ اضطرار نمی‌رسد، چگونه بر سرقت غیر مأکولش عدم قطع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عن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می‌دانید؟ یعنی در سرقت مال غیر مأکول توسط محتاج غیر مضطر در سال قحطی قطع دستی نیست، زیرا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لایخلو من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قطع است و نه قطع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سابق در عدم قطع بود، بنابراین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عدم قطع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اشکال این که اگر مقصود از محتاج، فرد مضطر است، در این حال به طور جزم و یقین قطع دست مرفوع است و تردید و اشکال جا ندارد تا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یخلو عن 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مقصود فرد نیازمند غیر مضطر است و با توجّه به روایت زیاد قندی این مطلب را فرموده،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مأکول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زیرا، روایت فقط مورد مأکول را می‌گوید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نتوانستیم توجیه صحیحی برای این عبارت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چاپ و مانند آن اشتباهی رخ داده است و صحیح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فی المحتاج إذا سرق المأکول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bookmarkStart w:id="247" w:name="pg16923_220180"/>
    </w:p>
    <w:p>
      <w:pPr>
        <w:pStyle w:val="BookText"/>
        <w:rPr/>
      </w:pPr>
      <w:bookmarkEnd w:id="2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سرقة الحرّ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سرق حرّاً کبیراً أو صغیراً ذکراً أو انثی لم یقطع حدّاً، فهل یقطع دفعاً للفساد؟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وبه روایة، والأحوط ترک القطع وتعزیره بما یراه الحاکم</w:t>
      </w:r>
      <w:r>
        <w:rPr>
          <w:rFonts w:eastAsia="IRNazanin" w:cs="IRNazanin"/>
          <w:color w:val="111111"/>
          <w:sz w:val="28"/>
          <w:szCs w:val="28"/>
          <w:rtl w:val="true"/>
          <w:lang w:bidi="fa-IR"/>
        </w:rPr>
        <w:t>.]</w:t>
      </w:r>
    </w:p>
    <w:p>
      <w:pPr>
        <w:pStyle w:val="Heading4"/>
        <w:numPr>
          <w:ilvl w:val="3"/>
          <w:numId w:val="1"/>
        </w:numPr>
        <w:rPr/>
      </w:pPr>
      <w:bookmarkStart w:id="248" w:name="__RefHeading___Toc162255_3244359995"/>
      <w:bookmarkStart w:id="249" w:name="_Toc94"/>
      <w:bookmarkEnd w:id="248"/>
      <w:r>
        <w:rPr>
          <w:rtl w:val="true"/>
        </w:rPr>
        <w:t>حکم آدم‌ربایی</w:t>
      </w:r>
      <w:bookmarkEnd w:id="249"/>
    </w:p>
    <w:p>
      <w:pPr>
        <w:pStyle w:val="Heading5"/>
        <w:numPr>
          <w:ilvl w:val="4"/>
          <w:numId w:val="1"/>
        </w:numPr>
        <w:rPr/>
      </w:pPr>
      <w:bookmarkStart w:id="250" w:name="__RefHeading___Toc162257_3244359995"/>
      <w:bookmarkStart w:id="251" w:name="_Toc95"/>
      <w:bookmarkEnd w:id="250"/>
      <w:r>
        <w:rPr>
          <w:rtl w:val="true"/>
        </w:rPr>
        <w:t>اشاره</w:t>
      </w:r>
      <w:bookmarkEnd w:id="251"/>
    </w:p>
    <w:p>
      <w:pPr>
        <w:pStyle w:val="BookText"/>
        <w:rPr/>
      </w:pPr>
      <w:r>
        <w:rPr>
          <w:rFonts w:ascii="IRNazanin" w:hAnsi="IRNazanin" w:eastAsia="IRNazanin"/>
          <w:color w:val="111111"/>
          <w:sz w:val="28"/>
          <w:sz w:val="28"/>
          <w:szCs w:val="28"/>
          <w:rtl w:val="true"/>
          <w:lang w:bidi="fa-IR"/>
        </w:rPr>
        <w:t>اگر مرد یا زن آزاد، بزرگ یا کوچکی را بدزدد، به عنوان حدّ سرقت دستش را نمی‌برند؛ امّا آیا برای دفع فساد دستش را قطع می‌کنند؟ برخی از فقها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روایتی نیز در مورد قطع داریم؛ لیکن ترک قطع و تعزیر به آن‌چه حاکم صلاح می‌داند، مطابق با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مسأله در کلمات فقها به طور گسترده و مبسوط و به صورت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آن گاه تفصیل می‌دهند، انسان عبد باشد یا غیر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زمان ما مسأله عبد منتفی است، از این رو، امام راحل رحمه الله در هیچ جای تحریر الوسیله متعرّض مسائل آن نشده و فقط به سرقت حرّ پرداخته‌اند</w:t>
      </w:r>
      <w:r>
        <w:rPr>
          <w:rFonts w:eastAsia="IRNazanin" w:cs="IRNazanin"/>
          <w:color w:val="111111"/>
          <w:sz w:val="28"/>
          <w:szCs w:val="28"/>
          <w:rtl w:val="true"/>
          <w:lang w:bidi="fa-IR"/>
        </w:rPr>
        <w:t>.</w:t>
      </w:r>
    </w:p>
    <w:p>
      <w:pPr>
        <w:pStyle w:val="Heading5"/>
        <w:numPr>
          <w:ilvl w:val="4"/>
          <w:numId w:val="1"/>
        </w:numPr>
        <w:rPr/>
      </w:pPr>
      <w:bookmarkStart w:id="252" w:name="__RefHeading___Toc162259_3244359995"/>
      <w:bookmarkStart w:id="253" w:name="_Toc96"/>
      <w:bookmarkEnd w:id="252"/>
      <w:r>
        <w:rPr>
          <w:rtl w:val="true"/>
        </w:rPr>
        <w:t>عدم جریان حدّ سرقت در آدم‌ربایی</w:t>
      </w:r>
      <w:bookmarkEnd w:id="25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 سرقت حرّ را نیز به دو صورت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فقط آدم ربایی است و یک‌بار پس از ربودن، او را به فروش می‌رساند؛ این صورت نیز در زمان ما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آیا سرقت حرّ نیز مانند سرقت اموال است که حدّ قطع بر آن مترتّب گردد؟ شیخ طوسی رحمه الله در کتاب مبسوط به آیه‌ی سرقت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وَالسَّارِقُ وَ السَّارِقَةُ فَاقْطَعُواْ أَیْدِیَهُمَا</w:t>
      </w:r>
      <w:r>
        <w:rPr>
          <w:rStyle w:val="FootnoteAnchor"/>
          <w:rtl w:val="true"/>
        </w:rPr>
        <w:footnoteReference w:id="169"/>
      </w:r>
      <w:r>
        <w:rPr>
          <w:rFonts w:ascii="IRNazanin" w:hAnsi="IRNazanin" w:eastAsia="IRNazanin"/>
          <w:color w:val="111111"/>
          <w:sz w:val="28"/>
          <w:sz w:val="28"/>
          <w:szCs w:val="28"/>
          <w:rtl w:val="true"/>
          <w:lang w:bidi="fa-IR"/>
        </w:rPr>
        <w:t>تمسّک کرده است</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آیه‌ی سرقت در مورد سرقت اموال است و اصولًا عنوان سرقت در لغت و عرف، در سرقت اموال حقیقت است؛ لیکن همان ملاکی که در سرقت اموال وجود دارد، به طریق اولویّت در سرقت نفس نیز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کسی را دزدیدند شارع دست سارق را می‌بُرد، امّا اگر خودش را ربوده‌اند آیا نباید به طریق اولی دست رباینده را قطع کنند؟</w:t>
      </w:r>
      <w:bookmarkStart w:id="254" w:name="pg16923_220181"/>
    </w:p>
    <w:p>
      <w:pPr>
        <w:pStyle w:val="BookText"/>
        <w:rPr/>
      </w:pPr>
      <w:bookmarkEnd w:id="254"/>
      <w:r>
        <w:rPr>
          <w:rFonts w:ascii="IRNazanin" w:hAnsi="IRNazanin" w:eastAsia="IRNazanin"/>
          <w:color w:val="111111"/>
          <w:sz w:val="28"/>
          <w:sz w:val="28"/>
          <w:szCs w:val="28"/>
          <w:rtl w:val="true"/>
          <w:lang w:bidi="fa-IR"/>
        </w:rPr>
        <w:t>این استدلال‌ها با مبانی فقه، فتوای علما و روایات سازگار نیست؛ زیرا، سرقتی که آیه، حدّ قطع را در موردش می‌گوید مربوط به سرقت اموال است، آن هم مالی که به حدّ نصاب یعنی ربع دینار برسد، لذا نفس سرقت در قطع دست کفایت نمی‌کند؛ بلکه باید به حدّ نصاب برسد و انفُس مالیت ندارد، تا ببینیم آیا به حدّ نصاب می‌رسد یا نه، لیکن باید به بررسی روایات پرداخت تا مستفاد از آن‌ها معلوم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فرض کنیم انسان صغیر یا فرد حرّ کبیری را که در حال خواب داخل حرز است از حرز بیرون ببرند، تمام جهات سرقت در او موجود است؛ هرچند کبیر است؛ لیکن در حال خواب قدرت بر مدافعه و تحفّظ ندارد، لذا نباید از این جهات اشکال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تمام اشکال در عدم مالیّت انسان حرّ است، وعنوان سرقت در عرف و شرع بر سرقت اموال حقیقت است، نه بر سرقت حرّ</w:t>
      </w:r>
      <w:r>
        <w:rPr>
          <w:rFonts w:eastAsia="IRNazanin" w:cs="IRNazanin"/>
          <w:color w:val="111111"/>
          <w:sz w:val="28"/>
          <w:szCs w:val="28"/>
          <w:rtl w:val="true"/>
          <w:lang w:bidi="fa-IR"/>
        </w:rPr>
        <w:t>.</w:t>
      </w:r>
    </w:p>
    <w:p>
      <w:pPr>
        <w:pStyle w:val="Heading5"/>
        <w:numPr>
          <w:ilvl w:val="4"/>
          <w:numId w:val="1"/>
        </w:numPr>
        <w:rPr/>
      </w:pPr>
      <w:bookmarkStart w:id="255" w:name="__RefHeading___Toc162261_3244359995"/>
      <w:bookmarkStart w:id="256" w:name="_Toc97"/>
      <w:bookmarkEnd w:id="255"/>
      <w:r>
        <w:rPr>
          <w:rtl w:val="true"/>
        </w:rPr>
        <w:t>بررسی روایات سرقت حرّ</w:t>
      </w:r>
      <w:bookmarkEnd w:id="2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علیّ بن إبراهیم، عن أبیه، عن النّوفلی، عن السّکونی، عن أبی عبداللَّه علیه السلام أنّ أمیر المؤمنین علیه السلام اتی برجل قد باع حرّاً فقطع یده</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سند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این روایت سکونی است و در گذشته اشاره کردیم هرجا سکونی در روایت متفرّد باشد و روایتی برخلاف روایتش نزد امامیه نداشته باشیم، به روایتش عمل می‌کنیم؛ بلکه بالاتر، محقّق حلّی رحمه الله در بعضی از کتاب‌هایش تصریح به وثاقت سکونی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نزد امیرمؤمنان علیه السلام آوردند که انسان حرّی را فروخته بود، امام علیه السلام دستش را قطع کرد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محمّد بن یحیی، عن محمّد بن الحسین، عن حنّان، عن معاویة بن طریف بن سنان الثوری،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جعفر بن محمّد علیهما السلام، عن رجل سرق حرّة فباعها،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أربعة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w:t>
      </w:r>
    </w:p>
    <w:p>
      <w:pPr>
        <w:pStyle w:val="BookText"/>
        <w:rPr/>
      </w:pPr>
      <w:r>
        <w:rPr>
          <w:rFonts w:ascii="IRNazanin" w:hAnsi="IRNazanin" w:eastAsia="IRNazanin"/>
          <w:color w:val="111111"/>
          <w:sz w:val="28"/>
          <w:sz w:val="28"/>
          <w:szCs w:val="28"/>
          <w:rtl w:val="true"/>
          <w:lang w:bidi="fa-IR"/>
        </w:rPr>
        <w:t>أوّلها فسارق تقطع یده، والثّانیة إن کان وطأها جلد الحدّ، وعلی الّذی اشتری إن کان وطأها وقد علم إن کان محصناً رجم، وإن کان غیر محصن جلد الحدّ، وإن کان لم یعلم فلا شی‌ء علیه، وعلیها هی إن کان استکرهها فلا شی‌ء علیه وإن کانت أطاعته جلدت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الصّدوق بإسناده عن طریف بن سنان مثله</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سند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رحمه الله روایت را از معاویة بن طریف بن سنان نقل می‌کند؛ ولی صدوق رحمه الله از طریف بن سنان آن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روایت کلینی رحمه الله سائل معاویه است و بنا بر روایت مرحوم صدوق، سائل پدر معاویه است؛ به هرحال هیچ کدام توثیق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درباره‌ی مردی می‌پرسد که زن حرّی را سرقت کرد و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چهار حدّ اجرا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سارق را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زن مجامعت کرده باشد، او را حدّ می‌زنند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اگر مقاربتی با زن داشته، یا جاهل به حرّیت و سرقت زن است و فکر می‌کند کنیزی را به او فروخته‌اند، هیچ عقوبتی ندارد؛ و الّا اگر می‌داند زن حرّ را دزدیده‌اند و به او فروخته‌اند، با این حال عمل مقاربت را انجام داده است، اگر شرایط زنای احصانی در او وجود دارد، عقوبتش رجم است؛ وگرنه حدّش تازیانه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بر زنا اکراه شده باشد، حدّی ندارد و اگر با میل و رغبت به این کار تن داده است، به او حدّ می‌زنند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عن أبیه، عن محمّد بن حفص، عن عبداللَّه بن طلحة،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الرّجل یبیع الرّجل وهما حرّان، یبیع هذا هذا، وهذا هذا ویفّران من بلد إلی بلد فیبیعان أنفسهما ویفرّان بأموال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تقطع أیدیهما لأنّهما سارقا أنفسهما وأموال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المسلمین</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روایت عبداللَّه بن طلحه وجود دارد که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درباره‌ی دو مردی پرسید که هر دو حرّند، هرکدام دیگری را می‌فروشد و پس از گرفتن ثمن از آن شهر فرار می‌کنند و در دیار دیگر عمل خود را تکرار می‌کنند و اموال مردم را برمی‌دارند و فرار می‌کنند؟</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دستشان را باید برید؛ زیرا، سارق خود و مال مردم هستند، در نسخه بدل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بإسناده عن محمّد بن علیّ بن محبوب، عن محمّد بن عیسی العبیدی، عن عبداللَّه بن محمّد، عن أبی هاشم البزّاز، عن حنّان، عن معاویة، عن طریف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رجل باع امرأته؟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الرّجل أن تقطع یده وترجم المرأة، وعلی الّذی اشتراها إن وطأها إن کان محصناً أن یرجم إن علم، وإن لم یکن محصناً أن یجلد مائة جلدة، وترجم المرأة إن کان الّذی اشتراها وطأها</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طریف بن سنان از امام صادق علیه السلام درباره‌ی مردی پرسید که زنش را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حکمش چیست؟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مرد را می‌برند و زن را سنگسار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 حکم امام علیه السلام به رجم، ظاهراً زن به این معامله راضی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خریدار در صورتی که عالم به مطلب است، اگر محصن باشد، رجم؛ و اگر محصن نباشد، صد تازیانه می‌خورد؛ و زن موطوئه نیز سنگسار می‌گردد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وبإسناده عن محمّد بن أحمد بن یحیی، عن العبّاس بن موسی البغدادی، عن یونس بن عبدالرّحمن، عن سنان بن طریف،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وذکر مثل معناه بألفاظه مقدّمة ومؤخّرة</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روایت از روایتی که در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 نقل شده، مستقلّ نیست؛ بلکه همان روایتی است که مرحوم کلینی از معاویة بن طریف بن سنان و صدوق رحمه الله از طریف بن سنان حکایت کرد؛ لیکن شیخ طوسی رحمه الله در یک سندش راوی را به عنوان طریف بن سنان و در سند دیگرش به عنوان سنان بن طریف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یک روایت به چند کیفیّت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مفاد روایات</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رحمه الله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سرق حرّاً کبیراً أو صغیراً ذکراً أو انثی لم یقطع حدّاً، فهل یقطع دفعاً للفساد؟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وبه روایة، والأحوط ترک القطع وتعزیره بما یراه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رحمه الله که به تمام شقوق مسأله اشاره کرده‌اند، باید به مسأله بیع و عدم آن نیز اشاره‌ای می‌کردند؛ زیرا، ممکن است کسی بین صورت بیع حرّ و عدمش فرق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از نظر سند ضعیف هستند؛ لذا، در صورتی بر آن‌ها می‌توانیم اعتماد کنیم که شهرت فتوایی جبران ضعف سند آن‌ها را بنماید، و چنین شهرتی در این مسأله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منشأ حکم به قطع دست سارق حرّ فتوای شیخ طوسی رحمه الله در کتاب نهایه است؛</w:t>
      </w:r>
      <w:r>
        <w:rPr>
          <w:rStyle w:val="FootnoteAnchor"/>
          <w:rtl w:val="true"/>
        </w:rPr>
        <w:footnoteReference w:id="176"/>
      </w:r>
      <w:r>
        <w:rPr>
          <w:rFonts w:ascii="IRNazanin" w:hAnsi="IRNazanin" w:eastAsia="IRNazanin"/>
          <w:color w:val="111111"/>
          <w:sz w:val="28"/>
          <w:sz w:val="28"/>
          <w:szCs w:val="28"/>
          <w:rtl w:val="true"/>
          <w:lang w:bidi="fa-IR"/>
        </w:rPr>
        <w:t>در حالی که از این فتوا در کتاب خلاف برگشته است؛ زیرا، بزرگان و اهل تراجم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کتابی که شیخ طوسی رحمه الله تألیف کرده النهایة می‌باشد، لذا اگر در کتاب خلاف مسأله‌ای برخلاف نهایه دیدیم، بیانگر عدول مرحوم شیخ از فتوای سابقش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رحمه الله در کتاب خلاف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قطع علیه، للإجماع علی أنّه لا قطع إلّا فی ما قیمته ربع دینار فصاعداً والحرّ لا قیمة له، وقال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القطع وقد روی ذلک أصحابنا</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کسی که حرّی را سرقت کرده، به فروش برساند، دستش را قطع نمی‌کنند؛ زیرا، بر عدم</w:t>
      </w:r>
    </w:p>
    <w:p>
      <w:pPr>
        <w:pStyle w:val="BookText"/>
        <w:rPr/>
      </w:pPr>
      <w:r>
        <w:rPr>
          <w:rFonts w:ascii="IRNazanin" w:hAnsi="IRNazanin" w:eastAsia="IRNazanin"/>
          <w:color w:val="111111"/>
          <w:sz w:val="28"/>
          <w:sz w:val="28"/>
          <w:szCs w:val="28"/>
          <w:rtl w:val="true"/>
          <w:lang w:bidi="fa-IR"/>
        </w:rPr>
        <w:t>قطع در چیزی که قیمتش به ربع دینار و مازاد بر آن نرسد، اجماع داریم، و برای حرّ قیمت و ارزشی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سارق را می‌برند؛ اصحاب نیز قطع را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رحمه الله به این روایات در کتاب خلاف با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روی ذلک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و ظاهرش این است که به آن فتوا نداده است؛ زیرا، در ابتدای جمله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قطع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معلوم می‌شود شهرت جابر ضعف سند نداریم؛ از این رو، امام راحل قدس سره نیز به عدم قطع فتوا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مقدار از بیان نمی‌توان اکتفا کرد و روایات را کنار گذاشت؛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روایات، مانند حدیث سکونی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جابر نیاز ندارد؛ زیرا، این روایت معتبره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حلّی رحمه الله در بعضی از کتاب‌هایش از روایت سکونی به معتبره و موثّقه 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در این مطلب متفرّد هم نیست؛ زیرا، غیر او مانند عبدالله بن طلحه و طریف بن سنان هم این مطلب را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مرحوم شیخ در کتاب خلاف ضرری به شهرت نمی‌زند؛ و اگر در ثبوت شهرت نسبت به عمل به این روایات شبهه داشته باشیم، جمع زیادی از فقها بر طبق آن‌ها فتوا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شیخ طوسی رحمه الله در خلاف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قطع علیه للإجماع علی أنّه لا قطع إلّا فیما قیمته ربع دینار فصاعداً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قطع از جهت سرقت می‌کند، یعنی به خاطر سرقت حرّ دستش را نمی‌برند؛ و این معنا منافات ندارد با این که قطع به سبب دیگری ثابت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همان‌گونه که مشهور قائل شده‌اند،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دست به خاطر فساد و مفسد بودن فرد باشد نه به سبب سرقت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در کتاب خلاف پس از نقل کلام مالک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روی ذلک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ورود این روایات را در خصوص باب سرقت می‌دیده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اثبات شد که روایات، حدّ قطع را در مورد سرقت می‌گوید، ما به آن قائل نمی‌شویم؛ ولی اگر از باب دیگر نه باب سرقت باشد، در فهم، تابع شیخ طوسی رحمه الله نیستیم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روایات در حقّ ما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تعرّض شیخ طوسی رحمه الله، قطع دست را به خاطر فساد و افساد، شاید به جهت طرح مسأله در باب سرقت بوده است؛ لذا، فتوای خود را از</w:t>
      </w:r>
    </w:p>
    <w:p>
      <w:pPr>
        <w:pStyle w:val="BookText"/>
        <w:rPr/>
      </w:pPr>
      <w:r>
        <w:rPr>
          <w:rFonts w:ascii="IRNazanin" w:hAnsi="IRNazanin" w:eastAsia="IRNazanin"/>
          <w:color w:val="111111"/>
          <w:sz w:val="28"/>
          <w:sz w:val="28"/>
          <w:szCs w:val="28"/>
          <w:rtl w:val="true"/>
          <w:lang w:bidi="fa-IR"/>
        </w:rPr>
        <w:t>این جهت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نمی‌توانیم به عبارت مرحوم شیخ در کتاب خلاف استناد کرده و روایات را کنار بگذاریم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قطع در مورد سرقت حرّ نداریم، بلکه حاکم شرع آن‌گونه که صلاح می‌بیند، سارق را تعزیر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روایات را کنار بگذاریم و به عدم قطع دست فتوا دهیم، نوبت به بحث در جهت سوّم نمی‌رسد؛ ولی اگر قائل به قطع دست سارق حرّ گشتیم، جای این بحث باقی است که این قطع از جهت سرقت است یا افساد؟</w:t>
      </w:r>
    </w:p>
    <w:p>
      <w:pPr>
        <w:pStyle w:val="BookText"/>
        <w:rPr/>
      </w:pPr>
      <w:r>
        <w:rPr>
          <w:rFonts w:ascii="IRNazanin" w:hAnsi="IRNazanin" w:eastAsia="IRNazanin"/>
          <w:color w:val="111111"/>
          <w:sz w:val="28"/>
          <w:sz w:val="28"/>
          <w:szCs w:val="28"/>
          <w:rtl w:val="true"/>
          <w:lang w:bidi="fa-IR"/>
        </w:rPr>
        <w:t>اگر به ظاهر روایات جمود کنیم، در بیشتر آن‌ها در سؤال و جواب، عنوان سرقت و مشتقاتش دیده می‌شود؛ در روایت اول سائل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عن رجل سرق 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 السلام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أوّلها فسارق تقطع یده</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یا در روایت سوّم امام علیه السلام جنبه‌ی تعلیلی به آن داد،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تقطع أیدیهما لأنّهما سارقا أنفسهما وأموال المسلمین</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توجّه به این روایات، این مطلب را قوّت می‌بخشد که قطع دست در رابطه‌ی با سرقت است؛ یعنی همان طور که در سرقت اموال، دست را می‌برند، در سرقت انسان حرّ نیز دست قطع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توجّه به سه نکته لازم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مقام این نیست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سارق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سارق عرفی و سارق شرعی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سارق عرفی کسی است که مالی را می‌برد؛ و سارق شرعی فردی است که آدم‌ربایی می‌کند؛ زیرا، اگر در مقام بیان این مطلب بود، تعلیل جا نداشت، تعلیل باید به چیزی باشد که از نظر مردم پذیرفته و مقبول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حکم تعبّدی را به یک امر تعبّدی تعلیل کنند، کار صحیحی نیست؛ چرا دست رباینده باید قطع گردد با آن که سارق عرفی نیست و مردم آن را سارق نمی‌دانند؟ در جواب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سارق است، عرف در سارق بودنش حرف دارد و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معلوم می‌شود روایات بر روی سارق بودنش تکیه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قطع به خاطر سرقت است؛ در سرقت، بیع مال مسروقه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مالی را دزدید، آیا باید بفروشد تا حدّ قطع درباره‌اش اجرا گردد؟ باتوجّه به این مطلب، می‌بینیم در این روایات بر بیع حرّ تکیه شده است، حتّی در روایت سکونی، سخنی از سرقت به میان نیامده است و در عین حال قطع دست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عنوانی که در این روایات مطرح است و قطع دست به سبب تحقّق آن است، عنوان بیع حرّ است که منشأ فساد و مفسدیّت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که مشتمل بر تعلیل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لأنّهما سارقا أنفسهما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سرقت منتفی است؛ زیرا، آن دو نفر با هم تبانی کرده بودند تا یکدیگر را بفروشند؛ و اصلًا مسأله‌ی آدم ربایی در کار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 دو نفر توافقی برای کلاهبرداری و بردن و چاپیدن اموال مردم بوده است، لذا چطور می‌توانیم قطع دست را مستند به سرقت کنیم؟</w:t>
      </w:r>
    </w:p>
    <w:p>
      <w:pPr>
        <w:pStyle w:val="BookText"/>
        <w:rPr/>
      </w:pPr>
      <w:r>
        <w:rPr>
          <w:rFonts w:ascii="IRNazanin" w:hAnsi="IRNazanin" w:eastAsia="IRNazanin"/>
          <w:color w:val="111111"/>
          <w:sz w:val="28"/>
          <w:sz w:val="28"/>
          <w:szCs w:val="28"/>
          <w:rtl w:val="true"/>
          <w:lang w:bidi="fa-IR"/>
        </w:rPr>
        <w:t>نتیجه‌ای که از نکات گذشته به دست می‌آید، عدم نقش سرقت در قطع دست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معنا دخالت دارد، فروش حرّ خواه با رضایت او یا با عدم رضایتش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حرّی را مورد معامله قرار دهند و به عنوان عبد بفروشند، یکی از مصادیق فساد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صورتی که بچّه‌ی صغیری که قدرت بر تحفّظ نفس نداشته باشد را از داخل حرز بربایند ولی او را نفروشند و در معرض بیع قرار ندهند، عقوبتش قطع دست نیست؛ زیرا، روایات دلالتی بر این مورد ندارد و موضوع سرقت از نظر عرف مال است نه حرّ که مالیّتی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مکافات بچّه دزدی از آن جهت که عمل حرامی است تعزیر است، به مقداری که حاکم شرع مصلحت می‌بیند؛ و کیفر انسان‌فروشی قطع دست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روایات، حدّ قطع را به عنوان افساد مطرح کرده است، خصوصیّتی برای قطع در باب افساد نیست؛ باید یکی از چهار مطلبی که در آیه‌ی افساد هست، یعنی قتل، به دار آویختن، قطع دست و پا برخلاف یکدیگر و تبعید را می‌گفت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فرض این که فقط می‌خواسته به قطع اشاره کند، چرا بر قطع دست حکم کرده است و قطع پا را نگفته است در حالی که در آیه‌ی شریفه قطع دست و پا روی هم رفته یک عقوبت است؟ جواب این شبهه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بر انسان‌فروشی قطع دست را</w:t>
      </w:r>
    </w:p>
    <w:p>
      <w:pPr>
        <w:pStyle w:val="BookText"/>
        <w:rPr/>
      </w:pPr>
      <w:r>
        <w:rPr>
          <w:rFonts w:ascii="IRNazanin" w:hAnsi="IRNazanin" w:eastAsia="IRNazanin"/>
          <w:color w:val="111111"/>
          <w:sz w:val="28"/>
          <w:sz w:val="28"/>
          <w:szCs w:val="28"/>
          <w:rtl w:val="true"/>
          <w:lang w:bidi="fa-IR"/>
        </w:rPr>
        <w:t>به عنوان مجازات گفته است؛ امّا این که علّت این حکم چیست یا عنوانش چه می‌باشد، به ما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حرّ خودش یک عنوانی با حکم مستقلّ قطع دست است، و لازم نیست در عنوان سرقت یا افساد داخل باشد تا قطع دست بر آن مترتّب گردد، حتّی بر بیع حرّ با رضایت طرفین نیز حدّ قطع دست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با هیچ قاعده‌ای از قواعد، تنافی و تهافتی ندارد؛ یک عنوان و موضوع مستقلّی با حکمی مستقلّ است؛ شارع مقدّس برای انسان حرّ این مقدار ارزش قائل شده است که اگر کسی بخواهد به حرّیتش ضربه بزند، دستش را قطع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رحمه الله حکم را به سرقت صغیر اختصاص داده است؛ زیرا، حرّ کبیر بر تحفّظ و نگهداری خودش قدرت دارد، لذا کسی نمی‌تواند او را بدزدد</w:t>
      </w:r>
      <w:r>
        <w:rPr>
          <w:rFonts w:eastAsia="IRNazanin" w:cs="IRNazanin"/>
          <w:color w:val="111111"/>
          <w:sz w:val="28"/>
          <w:szCs w:val="28"/>
          <w:rtl w:val="true"/>
          <w:lang w:bidi="fa-IR"/>
        </w:rPr>
        <w:t>.</w:t>
      </w:r>
      <w:r>
        <w:rPr>
          <w:rStyle w:val="FootnoteAnchor"/>
          <w:rtl w:val="true"/>
        </w:rPr>
        <w:footnoteReference w:id="180"/>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فتوا صحیح نیست؛ زیرا، روایات اطلاق داشت، و بلکه برخی از آن‌ها مانند آن دو نفری که بر فروش یکدیگر تبانی داشتند، صراحت در کبیر دارد؛ علاوه بر این که گاهی از اوقات، کبیر نیز قدرت بر تحفّظ خودش ندارد؛ مانند این که در خواب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فرقی بین صغیر و کبیر نیست و خوب بود در تحریر الوسیله بین بیع حرّ و سرقت حرّ فرق می‌گذاشتند</w:t>
      </w:r>
      <w:r>
        <w:rPr>
          <w:rFonts w:eastAsia="IRNazanin" w:cs="IRNazanin"/>
          <w:color w:val="111111"/>
          <w:sz w:val="28"/>
          <w:szCs w:val="28"/>
          <w:rtl w:val="true"/>
          <w:lang w:bidi="fa-IR"/>
        </w:rPr>
        <w:t>.</w:t>
      </w:r>
      <w:bookmarkStart w:id="257" w:name="pg16923_220189"/>
    </w:p>
    <w:p>
      <w:pPr>
        <w:pStyle w:val="BookText"/>
        <w:rPr/>
      </w:pPr>
      <w:bookmarkEnd w:id="2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سرقة المعیر أو المجیر من المستعیر أو المستأجر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أعار بیتاً مثلًا فهتک المعیر حرزه فسرق منه مالًا للمستعیر قطع، ولو آجر بیتاً مثلًا وسرق منه مالًا للمستأجر 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الحرز مغصوباً لم‌یقطع بسرقة مالکه، ولو کان ماله فی حرز فهتکه وأخرج ماله لم یقطع، وإن کان ماله مخلوطاً بمال الغاصب فأخذ بمقدار ماله أو أزید بما دون النصاب</w:t>
      </w:r>
      <w:r>
        <w:rPr>
          <w:rFonts w:eastAsia="IRNazanin" w:cs="IRNazanin"/>
          <w:color w:val="111111"/>
          <w:sz w:val="28"/>
          <w:szCs w:val="28"/>
          <w:rtl w:val="true"/>
          <w:lang w:bidi="fa-IR"/>
        </w:rPr>
        <w:t>.]</w:t>
      </w:r>
    </w:p>
    <w:p>
      <w:pPr>
        <w:pStyle w:val="Heading4"/>
        <w:numPr>
          <w:ilvl w:val="3"/>
          <w:numId w:val="1"/>
        </w:numPr>
        <w:rPr/>
      </w:pPr>
      <w:bookmarkStart w:id="258" w:name="__RefHeading___Toc162263_3244359995"/>
      <w:bookmarkStart w:id="259" w:name="_Toc98"/>
      <w:bookmarkEnd w:id="258"/>
      <w:r>
        <w:rPr>
          <w:rtl w:val="true"/>
        </w:rPr>
        <w:t>حکم سرقت معیر و مجیر</w:t>
      </w:r>
      <w:bookmarkEnd w:id="259"/>
    </w:p>
    <w:p>
      <w:pPr>
        <w:pStyle w:val="Heading5"/>
        <w:numPr>
          <w:ilvl w:val="4"/>
          <w:numId w:val="1"/>
        </w:numPr>
        <w:rPr/>
      </w:pPr>
      <w:bookmarkStart w:id="260" w:name="__RefHeading___Toc162265_3244359995"/>
      <w:bookmarkStart w:id="261" w:name="_Toc99"/>
      <w:bookmarkEnd w:id="260"/>
      <w:r>
        <w:rPr>
          <w:rtl w:val="true"/>
        </w:rPr>
        <w:t>اشاره</w:t>
      </w:r>
      <w:bookmarkEnd w:id="261"/>
    </w:p>
    <w:p>
      <w:pPr>
        <w:pStyle w:val="BookText"/>
        <w:rPr/>
      </w:pPr>
      <w:r>
        <w:rPr>
          <w:rFonts w:ascii="IRNazanin" w:hAnsi="IRNazanin" w:eastAsia="IRNazanin"/>
          <w:color w:val="111111"/>
          <w:sz w:val="28"/>
          <w:sz w:val="28"/>
          <w:szCs w:val="28"/>
          <w:rtl w:val="true"/>
          <w:lang w:bidi="fa-IR"/>
        </w:rPr>
        <w:t>این مسأله چهار فرع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خانه‌اش را به فردی عاریه داد، پس از آن با هتک حرز آن خانه مال عاریه گیرنده را به سرقت برد، دستش قطع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خانه‌اش را به فردی اجاره داد و پس از آن، مالی را از مستأجر با هتک حرز از آن خانه به سرقت برد، دستش قطع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خانه‌اش را غصب کردند و صاحب خانه هتک حرز کرده، از آن خانه مال غاصب را سرقت کرد، دستش قطع نمی‌گردد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مال دیگری را غصب کرد و در درون حرزی جا داد، صاحب مال اگر هتک حرز کند و مال خود را ببرد، دستش قطع نمی‌شود؛ و همین‌طور در صورتی که مالش با مال غاصب مخلوط گردد و صاحب مال مقداری از مال غاصب را علاوه بر مال خودش بردارد لیکن آن مقدار به اندازه نصاب نرسد</w:t>
      </w:r>
      <w:r>
        <w:rPr>
          <w:rFonts w:eastAsia="IRNazanin" w:cs="IRNazanin"/>
          <w:color w:val="111111"/>
          <w:sz w:val="28"/>
          <w:szCs w:val="28"/>
          <w:rtl w:val="true"/>
          <w:lang w:bidi="fa-IR"/>
        </w:rPr>
        <w:t>.</w:t>
      </w:r>
    </w:p>
    <w:p>
      <w:pPr>
        <w:pStyle w:val="Heading5"/>
        <w:numPr>
          <w:ilvl w:val="4"/>
          <w:numId w:val="1"/>
        </w:numPr>
        <w:rPr/>
      </w:pPr>
      <w:bookmarkStart w:id="262" w:name="__RefHeading___Toc162267_3244359995"/>
      <w:bookmarkStart w:id="263" w:name="_Toc100"/>
      <w:bookmarkEnd w:id="262"/>
      <w:r>
        <w:rPr>
          <w:rtl w:val="true"/>
        </w:rPr>
        <w:t>فرع اوّل</w:t>
      </w:r>
      <w:r>
        <w:rPr>
          <w:rtl w:val="true"/>
        </w:rPr>
        <w:t xml:space="preserve">: </w:t>
      </w:r>
      <w:r>
        <w:rPr>
          <w:rtl w:val="true"/>
        </w:rPr>
        <w:t>سرقت مال مستعیر توسّط معیر</w:t>
      </w:r>
      <w:bookmarkEnd w:id="263"/>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عقودی که در فقه مطرح است، عاریه می‌باشد که اختصاص به منقولات ندارد؛ بلکه اموال غیر منقول را نیز می‌توان عاریه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عاریه ملکیّت منفعت نیست، بلکه ملکیّت انتفاع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عاریه از عقود جایز است یعنی عاریه دهنده هر زمان بخواهد می‌تواند در آن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خانه‌ای را شش ماهه عاریه داد ولی روز دوّم از</w:t>
      </w:r>
      <w:bookmarkStart w:id="264" w:name="pg16923_220190"/>
    </w:p>
    <w:p>
      <w:pPr>
        <w:pStyle w:val="BookText"/>
        <w:rPr/>
      </w:pPr>
      <w:bookmarkEnd w:id="264"/>
      <w:r>
        <w:rPr>
          <w:rFonts w:ascii="IRNazanin" w:hAnsi="IRNazanin" w:eastAsia="IRNazanin"/>
          <w:color w:val="111111"/>
          <w:sz w:val="28"/>
          <w:sz w:val="28"/>
          <w:szCs w:val="28"/>
          <w:rtl w:val="true"/>
          <w:lang w:bidi="fa-IR"/>
        </w:rPr>
        <w:t>عاریه‌اش برگشت، عاریه بهم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انسانی خانه‌اش را عاریه داد و مستعیر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عاریه‌گیرنده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آن منزل ساکن شد و اثاثیه و لوازم زندگی خود را به آن‌جا آورد، صاحب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خانه دستبرد زد و با هتک حرز قسمتی از اموال مستعیر را به سرقت برد، فقها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سارق را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محقّقان در دلیل عدم قطع دست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عاریه از عقود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معیر هر زمان اراده کند می‌تواند از عاریه‌اش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حرز و احرازی نیست تا سرقت صادق باشد و دست سارق را قطع کنند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این دلیل ناتمام است؛ زیرا، قبول داریم معیر حقّ رجوع دارد، لیکن فرق روشنی بین رجوع و هتک حرز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رجوع در عاریه این است که مستعیر از زمان رجوع به بعد حقّ انتفاع بردن از مال و خانه را ندارد؛ و در فرض ما معیر قصد عدم انتفاع مستعیر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رجوعی واقع نشده است؛ بلکه سوء استفاده و دستبردی از طرف معیر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به گفته‌ی صاحب جواهر رحمه الله، اگر کسی خانه‌اش را عاریه داد و مستعیر اثاثیه و لوازمش را به داخل آن منزل آورد، وقتی معیر از عاریه‌اش برمی‌گردد، باید به مستعیر زمانی را مهلت دهد که بتواند اسباب‌کشی کرده و وسائلش را از آن جا منتقل سازد، و نمی‌تواند او را غافل‌گیر کند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خلاصه‌ی مطلب این که اوّلًا رجوع، غیر از هتک حرز است؛ و ثانیاً برای رجوع شرایطی هست که در این‌جا وجود ندارد؛ لذا تمام شرایط اجرای حدّ سرقت موجود است و باید دست سارق را قطع کرد</w:t>
      </w:r>
      <w:r>
        <w:rPr>
          <w:rFonts w:eastAsia="IRNazanin" w:cs="IRNazanin"/>
          <w:color w:val="111111"/>
          <w:sz w:val="28"/>
          <w:szCs w:val="28"/>
          <w:rtl w:val="true"/>
          <w:lang w:bidi="fa-IR"/>
        </w:rPr>
        <w:t>.</w:t>
      </w:r>
    </w:p>
    <w:p>
      <w:pPr>
        <w:pStyle w:val="Heading5"/>
        <w:numPr>
          <w:ilvl w:val="4"/>
          <w:numId w:val="1"/>
        </w:numPr>
        <w:rPr/>
      </w:pPr>
      <w:bookmarkStart w:id="265" w:name="__RefHeading___Toc162269_3244359995"/>
      <w:bookmarkStart w:id="266" w:name="_Toc101"/>
      <w:bookmarkEnd w:id="265"/>
      <w:r>
        <w:rPr>
          <w:rtl w:val="true"/>
        </w:rPr>
        <w:t>فرع دوّم</w:t>
      </w:r>
      <w:r>
        <w:rPr>
          <w:rtl w:val="true"/>
        </w:rPr>
        <w:t xml:space="preserve">: </w:t>
      </w:r>
      <w:r>
        <w:rPr>
          <w:rtl w:val="true"/>
        </w:rPr>
        <w:t>سرقت مال مستأجر توسّط موجر</w:t>
      </w:r>
      <w:bookmarkEnd w:id="266"/>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فردی خانه‌اش را اجاره داد و مستأجر بعد از تحویل خانه، اسباب و وسایلش را به آن‌جا انتقال داد، صاحب‌خانه و مالک با زدن نقب، یا شکافتن دیوار و مانند آن وارد آن خانه شده و اسباب و وسایلی را از مستأجر به سرقت برد، علمای امامی مذهب به قطع</w:t>
      </w:r>
      <w:bookmarkStart w:id="267" w:name="pg16923_220191"/>
    </w:p>
    <w:p>
      <w:pPr>
        <w:pStyle w:val="BookText"/>
        <w:rPr/>
      </w:pPr>
      <w:bookmarkEnd w:id="267"/>
      <w:r>
        <w:rPr>
          <w:rFonts w:ascii="IRNazanin" w:hAnsi="IRNazanin" w:eastAsia="IRNazanin"/>
          <w:color w:val="111111"/>
          <w:sz w:val="28"/>
          <w:sz w:val="28"/>
          <w:szCs w:val="28"/>
          <w:rtl w:val="true"/>
          <w:lang w:bidi="fa-IR"/>
        </w:rPr>
        <w:t>دست سارق فتوا داده‌اند؛ در حالی که ابوحنیفه</w:t>
      </w:r>
      <w:r>
        <w:rPr>
          <w:rStyle w:val="FootnoteAnchor"/>
          <w:rtl w:val="true"/>
        </w:rPr>
        <w:footnoteReference w:id="183"/>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مالک خانه و حرز است، لذا به او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هتک حرز کرده است، تا شرایط سرقت محقّق، و در نتیجه، دستش قطع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ابوحنیفه ناقص است؛ زیرا، این فرد صاحب‌خانه است ولی مستأجر مالک منفعت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با اجاره کردن و مالک منفعت شدن برای اموالش حرز ایجاد کرده است؛ و کسی حقّ نفوذ و تعرّض به این حرز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نیست هاتک حرز اجنبی باشد یا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این حرز را بشکند و مالی را ببرد، سارق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مالک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خانه‌ی خودم را شکستم یا قفلش را بریدم و مانند آن، به گفتار او اعتراض می‌شود که تو نسبت به این خانه حقّی نداری، خانه در اختیار مستأجر است؛ بنابراین، اگر شرایط دیگر قطع دست وجود داشته باشد، دست مالک را به عنوان سرقت از مال مستأجر می‌بُرند</w:t>
      </w:r>
      <w:r>
        <w:rPr>
          <w:rFonts w:eastAsia="IRNazanin" w:cs="IRNazanin"/>
          <w:color w:val="111111"/>
          <w:sz w:val="28"/>
          <w:szCs w:val="28"/>
          <w:rtl w:val="true"/>
          <w:lang w:bidi="fa-IR"/>
        </w:rPr>
        <w:t>.</w:t>
      </w:r>
    </w:p>
    <w:p>
      <w:pPr>
        <w:pStyle w:val="Heading5"/>
        <w:numPr>
          <w:ilvl w:val="4"/>
          <w:numId w:val="1"/>
        </w:numPr>
        <w:rPr/>
      </w:pPr>
      <w:bookmarkStart w:id="268" w:name="__RefHeading___Toc162271_3244359995"/>
      <w:bookmarkStart w:id="269" w:name="_Toc102"/>
      <w:bookmarkEnd w:id="268"/>
      <w:r>
        <w:rPr>
          <w:rtl w:val="true"/>
        </w:rPr>
        <w:t>فرع سوّم</w:t>
      </w:r>
      <w:r>
        <w:rPr>
          <w:rtl w:val="true"/>
        </w:rPr>
        <w:t xml:space="preserve">: </w:t>
      </w:r>
      <w:r>
        <w:rPr>
          <w:rtl w:val="true"/>
        </w:rPr>
        <w:t>سرقت مالک از مال غاصب واقع در حرز مغصوب</w:t>
      </w:r>
      <w:bookmarkEnd w:id="269"/>
    </w:p>
    <w:p>
      <w:pPr>
        <w:pStyle w:val="BookText"/>
        <w:rPr/>
      </w:pPr>
      <w:r>
        <w:rPr>
          <w:rFonts w:ascii="IRNazanin" w:hAnsi="IRNazanin" w:eastAsia="IRNazanin"/>
          <w:color w:val="111111"/>
          <w:sz w:val="28"/>
          <w:sz w:val="28"/>
          <w:szCs w:val="28"/>
          <w:rtl w:val="true"/>
          <w:lang w:bidi="fa-IR"/>
        </w:rPr>
        <w:t>اگر شخصی خانه‌ای را غصب و اسباب و وسائلش را به آن‌جا منتقل کرد و در آن منزل ساکن شد، مالک خانه، هتک حرز کرده و وارد خانه‌اش شد، قسمتی از اموال غاصب را به سرقت برد، در این صورت دستش را نمی‌برند؛ زیرا، این حرز در ملک سارق است و مالک در ملک خویش به هر نحوی که بخواهد می‌تواند وارد شود؛ درب منزل را بشکند، قفل را ببرد یا از پشت‌بام داخل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مانع شرعی برای او نیست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 منزل مغصوب، برای غاصب حرز نیست، و یکی از شرایط قطع دست این بود که سارق مال مسروقه را از جایی بیرون بیاورد که دربش به روی او بسته باشد؛ و فرد حقّ باز کردن آن درب و ورود به آن‌جا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فرع، غاصب استیلای عدوانی بر این خانه دارد و از نظر شرع دست مالک از این خانه کوتاه نیست، لذا اگر به اندازه‌ی نصاب و بیشتر هم از مال غاصب ببرد، قطع دست در حقّ او جاری نمی‌گردد؛ چون حرزی را هتک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فرق بین دو فرع گذشته با این فرع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اجاره و عاریه، دست مالک از خانه‌اش کوتاه می‌شود و آن خانه برای اموال مستعیر و مستأجر حرز به شمار می‌آید، به خلاف باب 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فرع، اگر مالک پس از ورود به خانه غاصب، چیزی از اموال او را به ضمیمه‌ی مال خودش برداشت و خارج شد، به عبارت دیگر او هتک حرز را به خاطر اخذ مال خودش انجام داد لیکن از فرصت استفاده کرد فرشی از صاحب خانه را نیز برداشت که به حدّ نصاب قطع می‌رسد؛ آیا حدّ سرقت جاری است؟</w:t>
      </w:r>
    </w:p>
    <w:p>
      <w:pPr>
        <w:pStyle w:val="BookText"/>
        <w:rPr/>
      </w:pPr>
      <w:r>
        <w:rPr>
          <w:rFonts w:ascii="IRNazanin" w:hAnsi="IRNazanin" w:eastAsia="IRNazanin"/>
          <w:color w:val="111111"/>
          <w:sz w:val="28"/>
          <w:sz w:val="28"/>
          <w:szCs w:val="28"/>
          <w:rtl w:val="true"/>
          <w:lang w:bidi="fa-IR"/>
        </w:rPr>
        <w:t>در ابتدا به نظر می‌رسد شرایط قطع دست موجود است؛ زیرا، او هتک حرز کرده و مال مردم را به سرقت برده است؛ لیکن حقّ این است که تفصیل بدهیم آیا هتک حرزش مشروع بوده است که در این صورت سرقت موجب قطع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شارع به او اجازه‌ی هتک حرز داده است، او نیز وارد منزل شد در آن‌جا تصمیمش تغییر کرد و مال مردم را به ضمیمه‌ی مال خودش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شبیه موردی است که زید و عمرو با هم توافق کنند، یکی حرز را بشکند و دیگری مال را بیرون آورد، بر هیچ کدام قطع دست نیست؛ زیرا، هاتک حرز، سارق نبوده و برعکس، سارق، هاتک حرز نبوده است؛ در این فرع نیز هتک حرز مشروع بوده، لذا سرقت همراه با هتک حرز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هتک حرز نامشروع بود، اگر مال خودش را بردارد، حدّی نیست؛ چون سرقت محقّق نشده است، ولی اگر مال مردم را بردارد، خواه به صورت مستقلّ یا به ضمیمه‌ی مال خودش، اگر مال مسروقه به حدّ نصاب برسد، قطع دست ثابت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در اخذ مال نمی‌توان به طور کلّی حکم به قطع دست کرد؛ بلکه باید ملاحظه مشروعیّت هتک حرز و عدم آن را نمود به تفصیلی که گذشت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در عبارت تحریر الوسیله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کان الحرز مغصوباً لم یقطع بسرقة مالکه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جمله می‌توان فهمید دست غیرمالک را بر فرض سرقت از خانه قطع می‌کنند؟ آیا به این مطلب اشعاری دارد؟ یعنی اگر فردی غیر از مالک هتک حرز کِة و از مالِ غاصب سرقت نمود، حکمش چیست؟</w:t>
      </w:r>
      <w:bookmarkStart w:id="270" w:name="pg16923_220193"/>
    </w:p>
    <w:p>
      <w:pPr>
        <w:pStyle w:val="BookText"/>
        <w:rPr/>
      </w:pPr>
      <w:bookmarkEnd w:id="270"/>
      <w:r>
        <w:rPr>
          <w:rFonts w:ascii="IRNazanin" w:hAnsi="IRNazanin" w:eastAsia="IRNazanin"/>
          <w:color w:val="111111"/>
          <w:sz w:val="28"/>
          <w:sz w:val="28"/>
          <w:szCs w:val="28"/>
          <w:rtl w:val="true"/>
          <w:lang w:bidi="fa-IR"/>
        </w:rPr>
        <w:t>در کتاب قواعد،</w:t>
      </w:r>
      <w:r>
        <w:rPr>
          <w:rStyle w:val="FootnoteAnchor"/>
          <w:rtl w:val="true"/>
        </w:rPr>
        <w:footnoteReference w:id="184"/>
      </w:r>
      <w:r>
        <w:rPr>
          <w:rFonts w:ascii="IRNazanin" w:hAnsi="IRNazanin" w:eastAsia="IRNazanin"/>
          <w:color w:val="111111"/>
          <w:sz w:val="28"/>
          <w:sz w:val="28"/>
          <w:szCs w:val="28"/>
          <w:rtl w:val="true"/>
          <w:lang w:bidi="fa-IR"/>
        </w:rPr>
        <w:t>مسالک</w:t>
      </w:r>
      <w:r>
        <w:rPr>
          <w:rStyle w:val="FootnoteAnchor"/>
          <w:rtl w:val="true"/>
        </w:rPr>
        <w:footnoteReference w:id="185"/>
      </w:r>
      <w:r>
        <w:rPr>
          <w:rFonts w:ascii="IRNazanin" w:hAnsi="IRNazanin" w:eastAsia="IRNazanin"/>
          <w:color w:val="111111"/>
          <w:sz w:val="28"/>
          <w:sz w:val="28"/>
          <w:szCs w:val="28"/>
          <w:rtl w:val="true"/>
          <w:lang w:bidi="fa-IR"/>
        </w:rPr>
        <w:t>و مبسوط</w:t>
      </w:r>
      <w:r>
        <w:rPr>
          <w:rStyle w:val="FootnoteAnchor"/>
          <w:rtl w:val="true"/>
        </w:rPr>
        <w:footnoteReference w:id="186"/>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خانه‌ی غصبی حرز نیست؛ زیرا، استیلای فرد غاصب بر آن خانه نامشروع است؛ لذا حرزی که تهیه کرده مانند عدم حرز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خانه‌ای شبیه است که دربش باز می‌باشد؛ زیرا، غاصب حقّ بستن درب را ندارد، و هر تصرّفی از او در این خانه ممنوع و نامشروع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غاصب درب خانه را باز می‌گذاشت حرزی محقّق نبود، در صورتی که دربش را قفل کند، چون تصرّف غاصبانه و نامشروع است، گویا قفلی نزده است، لذا اگر غیر مالک نیز هتک حرز کند و مالی را ببرد، سرقت به شمار نمی‌آید تا دستش قطع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تحریر الوسیله به خلاف آن‌چه در کتب مذکور آمده، اشعار دارد؛ زیرا، عدم قطع را به سرقت مالک مقیّد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نکته‌اش این است که حرز یک معنای عرفی دارد، و مشروعیّت در آن دخالت ندارد، عرف خانه‌ی غصبی را نسبت به مالکش حرز نمی‌بیند، امّا برای غیر مالک حرز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یک حساب و رابطه‌ای بین غاصب و مغصوب منه است و دیگران از این رابطه بهره‌ای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غاصب درب منزل را قفل کند، به نظر عرف در حقّ دیگران حرز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 از بعضی از بزرگان وجهی ندارد؛ زیرا، تقسیم حرز به شرعی و غیرشرعی ناتمام است، و سرقت غیر غاصب، سرقت از حرز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شرایط دیگر وجود داشته باشد، دستش را می‌برند</w:t>
      </w:r>
      <w:r>
        <w:rPr>
          <w:rFonts w:eastAsia="IRNazanin" w:cs="IRNazanin"/>
          <w:color w:val="111111"/>
          <w:sz w:val="28"/>
          <w:szCs w:val="28"/>
          <w:rtl w:val="true"/>
          <w:lang w:bidi="fa-IR"/>
        </w:rPr>
        <w:t>.</w:t>
      </w:r>
    </w:p>
    <w:p>
      <w:pPr>
        <w:pStyle w:val="Heading5"/>
        <w:numPr>
          <w:ilvl w:val="4"/>
          <w:numId w:val="1"/>
        </w:numPr>
        <w:rPr/>
      </w:pPr>
      <w:bookmarkStart w:id="271" w:name="__RefHeading___Toc162273_3244359995"/>
      <w:bookmarkStart w:id="272" w:name="_Toc103"/>
      <w:bookmarkEnd w:id="271"/>
      <w:r>
        <w:rPr>
          <w:rtl w:val="true"/>
        </w:rPr>
        <w:t>فرع چهارم</w:t>
      </w:r>
      <w:r>
        <w:rPr>
          <w:rtl w:val="true"/>
        </w:rPr>
        <w:t xml:space="preserve">: </w:t>
      </w:r>
      <w:r>
        <w:rPr>
          <w:rtl w:val="true"/>
        </w:rPr>
        <w:t>عدم قطع بر هتک حرز و بردن مال خود</w:t>
      </w:r>
      <w:bookmarkEnd w:id="272"/>
    </w:p>
    <w:p>
      <w:pPr>
        <w:pStyle w:val="BookText"/>
        <w:rPr/>
      </w:pPr>
      <w:r>
        <w:rPr>
          <w:rFonts w:ascii="IRNazanin" w:hAnsi="IRNazanin" w:eastAsia="IRNazanin"/>
          <w:color w:val="111111"/>
          <w:sz w:val="28"/>
          <w:sz w:val="28"/>
          <w:szCs w:val="28"/>
          <w:rtl w:val="true"/>
          <w:lang w:bidi="fa-IR"/>
        </w:rPr>
        <w:t>اگر صاحب خانه‌ای فرشی را از شخصی غصب، و در خانه‌اش پهن کرد، مالک فرش تنها راه رسیدن به مالش را سرقت شبانه با هتک حرز تشخیص داد و دست به این کار زد، حکم این عمل چیست؟</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یک فرضش روشن است؛ جایی که تنها راه رسیدن به مال، هتک حرز باشد، صاحب مال درست است که هتک حرز کرده، و چون راه منحصر به فرد برای رسیدن به</w:t>
      </w:r>
    </w:p>
    <w:p>
      <w:pPr>
        <w:pStyle w:val="BookText"/>
        <w:rPr/>
      </w:pPr>
      <w:r>
        <w:rPr>
          <w:rFonts w:ascii="IRNazanin" w:hAnsi="IRNazanin" w:eastAsia="IRNazanin"/>
          <w:color w:val="111111"/>
          <w:sz w:val="28"/>
          <w:sz w:val="28"/>
          <w:szCs w:val="28"/>
          <w:rtl w:val="true"/>
          <w:lang w:bidi="fa-IR"/>
        </w:rPr>
        <w:t>مالش هتک حرز بوده، عملش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از مال مردم نیز چیزی را به سرقت نبرده و مال خود را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اخذ مال خود سرقت صادق نیست، چرا که مفهوم سرقت به اخذ مال غیر مقیّد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هتک حرز و اخذ مالش هر دو بر طبق موازین شرع خواهد بود و بر آن حدّی مترتّب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راه رسیدن به مال منحصر در هتک حرز نبود و راه‌های دیگری نیز امکان داشت، ولی او دست به هتک حرز زد، درست است این عمل نامشروع است، لیکن سرقت بر اخذ مالش صادق نیست، تا قطع دست مترتّب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مالی را با صاحب‌خانه شریک است، مثلًا صد کیلو گندم در انبار شریکش به نحو شرکت و اشاعه داشت، پس از مطالبه، شریک از تحویل دادنش امتناع کرد او نیز هتک حرز کرده، سهم خود یا اضافه‌تر از آن را برداشت، اگر مقدار زاید به اندازه‌ی نصاب یا بیشتر باشد، امام رحمه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 عدم قطع دلالت دارد و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قطع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کمتر از آن است، حکم مسأله مبتنی بر مطالبی است که در مورد سرقت از غنیمت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گفتیم اگر از این روایات صرف نظر کنیم، مقتضای قاعده مطلب دیگری است، یعنی قاعده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شود آیا به اندازه‌ی سهمش برداشته است یا نه؛ 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گندمی که برداشته با شریکش به نحو اشاعه شراکت دارد، نیمی از آن متعلّق به او و نصف دیگرش در ملک شریکش می‌باشد، اگر در این مال مشاع، سهم شریکش به اندازه‌ی نصاب باشد، قاعده اقتضای ثبوت حدّ سرقت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برخلاف قاعده دلالت داشت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مسروقه به اندازه‌ی سهم یا اضافه‌تر از آن، لیکن اگر زاید بر سهم به حدّ نصاب نرسد، قطع دست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رحمه الله با توجّه به آن روایات در این جا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اندازه‌ی سهم یا مازاد بر آن ولی کمتر از حدّ نصاب ببَرد، دستش قطع نمی‌گردد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بر ایشان آن است که شما در این‌جا به ضرس قاطع فتوا به عدم قطع می‌دهید، در حالی که در آن جا تردید داشتید</w:t>
      </w:r>
      <w:r>
        <w:rPr>
          <w:rFonts w:eastAsia="IRNazanin" w:cs="IRNazanin"/>
          <w:color w:val="111111"/>
          <w:sz w:val="28"/>
          <w:szCs w:val="28"/>
          <w:rtl w:val="true"/>
          <w:lang w:bidi="fa-IR"/>
        </w:rPr>
        <w:t>.</w:t>
      </w:r>
      <w:bookmarkStart w:id="273" w:name="pg16923_220195"/>
    </w:p>
    <w:p>
      <w:pPr>
        <w:pStyle w:val="BookText"/>
        <w:rPr/>
      </w:pPr>
      <w:bookmarkEnd w:id="2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السرقة من الموقوفات والزکوات وسهم الإمام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المسروق وقفاً یقطع لو قلنا بأنّه ملک للواقف کما فی بعض الصور أو للموقوف علیه، ولو قلنا إنّه فکّ ملک لدرّ المنفعة علی الموقوف علیه لم یقطع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سرق ما یکون مصرفه أشخاصاً کالزکاة بناءً علی عدم الملک لأحدٍ لم یقطع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سرق مالًا یکون للإمام علیه السلام کنصف الخمس بناء علی کونه ملکاً له علیه السلام فهل یقطع بمطالبة الفقیه الجامع للشرایط أو لا؟ فیه تردّد، وبناءً علی عدم الملک وکونه علیه السلام ولیّ الأمر لا یقطع علی الأحوط</w:t>
      </w:r>
      <w:r>
        <w:rPr>
          <w:rFonts w:eastAsia="IRNazanin" w:cs="IRNazanin"/>
          <w:color w:val="111111"/>
          <w:sz w:val="28"/>
          <w:szCs w:val="28"/>
          <w:rtl w:val="true"/>
          <w:lang w:bidi="fa-IR"/>
        </w:rPr>
        <w:t>.]</w:t>
      </w:r>
    </w:p>
    <w:p>
      <w:pPr>
        <w:pStyle w:val="Heading4"/>
        <w:numPr>
          <w:ilvl w:val="3"/>
          <w:numId w:val="1"/>
        </w:numPr>
        <w:rPr/>
      </w:pPr>
      <w:bookmarkStart w:id="274" w:name="__RefHeading___Toc162275_3244359995"/>
      <w:bookmarkStart w:id="275" w:name="_Toc104"/>
      <w:bookmarkEnd w:id="274"/>
      <w:r>
        <w:rPr>
          <w:rtl w:val="true"/>
        </w:rPr>
        <w:t>سرقت از مال وقف، زکات و سهم امام علیه السلام</w:t>
      </w:r>
      <w:bookmarkEnd w:id="275"/>
    </w:p>
    <w:p>
      <w:pPr>
        <w:pStyle w:val="Heading5"/>
        <w:numPr>
          <w:ilvl w:val="4"/>
          <w:numId w:val="1"/>
        </w:numPr>
        <w:rPr/>
      </w:pPr>
      <w:bookmarkStart w:id="276" w:name="__RefHeading___Toc162277_3244359995"/>
      <w:bookmarkStart w:id="277" w:name="_Toc105"/>
      <w:bookmarkEnd w:id="276"/>
      <w:r>
        <w:rPr>
          <w:rtl w:val="true"/>
        </w:rPr>
        <w:t>اشاره</w:t>
      </w:r>
      <w:bookmarkEnd w:id="277"/>
    </w:p>
    <w:p>
      <w:pPr>
        <w:pStyle w:val="BookText"/>
        <w:rPr/>
      </w:pPr>
      <w:r>
        <w:rPr>
          <w:rFonts w:ascii="IRNazanin" w:hAnsi="IRNazanin" w:eastAsia="IRNazanin"/>
          <w:color w:val="111111"/>
          <w:sz w:val="28"/>
          <w:sz w:val="28"/>
          <w:szCs w:val="28"/>
          <w:rtl w:val="true"/>
          <w:lang w:bidi="fa-IR"/>
        </w:rPr>
        <w:t>این مسأله سه فرع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مسروقه وقف باشد، در صورتی که به ملکیّت واقف معتقد باشیم همان طور که در بعضی از صورت‌ها مالک است، مانند جایی که مالک مالش را چند سال حبس کرده باشد و یا به ملکیّت موقوف علیه باور داشته باشیم، بر سرقت چنین مالی قطع دست هست؛ ولی اگر وقف را آزاد ساختن ملک برای منفعت بردن موقوف علیه بدانیم، قطعی در سرقتش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مسروقه مالی است که باید به مصرف اشخاص معیّنی برسد مانند زکات، بنا بر این که آیه بیانگر مورد مصرف زکات باشد، قطع دست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مالی که متعلّق به امام است مانند سهم امام علیه السلام چیزی به سرقت برد، در صورتی که قائل به ملکیّت امام باشیم، در این که با مطالبه‌ی فقیه جامع شرایط دست سارق را می‌برند، تردّد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که امام علیه السلام را مالک ندانیم، بلکه او متولّی امور مسلمانان باشد، دستش را بنا بر احتیاط نمی‌برند</w:t>
      </w:r>
      <w:r>
        <w:rPr>
          <w:rFonts w:eastAsia="IRNazanin" w:cs="IRNazanin"/>
          <w:color w:val="111111"/>
          <w:sz w:val="28"/>
          <w:szCs w:val="28"/>
          <w:rtl w:val="true"/>
          <w:lang w:bidi="fa-IR"/>
        </w:rPr>
        <w:t>.</w:t>
      </w:r>
    </w:p>
    <w:p>
      <w:pPr>
        <w:pStyle w:val="Heading5"/>
        <w:numPr>
          <w:ilvl w:val="4"/>
          <w:numId w:val="1"/>
        </w:numPr>
        <w:rPr/>
      </w:pPr>
      <w:bookmarkStart w:id="278" w:name="__RefHeading___Toc162279_3244359995"/>
      <w:bookmarkStart w:id="279" w:name="_Toc106"/>
      <w:bookmarkEnd w:id="278"/>
      <w:r>
        <w:rPr>
          <w:rtl w:val="true"/>
        </w:rPr>
        <w:t>فرع اوّل</w:t>
      </w:r>
      <w:r>
        <w:rPr>
          <w:rtl w:val="true"/>
        </w:rPr>
        <w:t xml:space="preserve">: </w:t>
      </w:r>
      <w:r>
        <w:rPr>
          <w:rtl w:val="true"/>
        </w:rPr>
        <w:t>سرقت از وقف</w:t>
      </w:r>
      <w:bookmarkEnd w:id="279"/>
    </w:p>
    <w:p>
      <w:pPr>
        <w:pStyle w:val="Heading6"/>
        <w:numPr>
          <w:ilvl w:val="5"/>
          <w:numId w:val="1"/>
        </w:numPr>
        <w:rPr/>
      </w:pPr>
      <w:bookmarkStart w:id="280" w:name="__RefHeading___Toc162281_3244359995"/>
      <w:bookmarkStart w:id="281" w:name="_Toc107"/>
      <w:bookmarkEnd w:id="280"/>
      <w:r>
        <w:rPr>
          <w:rtl w:val="true"/>
        </w:rPr>
        <w:t>اشاره</w:t>
      </w:r>
      <w:bookmarkEnd w:id="281"/>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مال وقفی را دزدید، امام راحل رحمه الله در حکم سارق تفصیل داده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مسأله وقف بعد از تمام شدن صیغه‌ی وقف و تحقّق آن، عین موقوفه را در ملک مالکی</w:t>
      </w:r>
    </w:p>
    <w:p>
      <w:pPr>
        <w:pStyle w:val="BookText"/>
        <w:rPr/>
      </w:pPr>
      <w:r>
        <w:rPr>
          <w:rFonts w:ascii="IRNazanin" w:hAnsi="IRNazanin" w:eastAsia="IRNazanin"/>
          <w:color w:val="111111"/>
          <w:sz w:val="28"/>
          <w:sz w:val="28"/>
          <w:szCs w:val="28"/>
          <w:rtl w:val="true"/>
          <w:lang w:bidi="fa-IR"/>
        </w:rPr>
        <w:t>بدانیم، دست سارق با احراز شرایط دیگر قطع می‌گردد؛ وگرنه قطع دست به عنوان حکم سارق نخواهیم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عین موقوفه در برخی از صورت‌ها، همان مالک واقف است، مانند این که مالی را برای چند سال حبس کند، ملکیّت مالک از بین نمی‌رود، بلکه جواز بیع و سایر تصرّفات او منتفی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صورت‌ها، مالک عین موقوفه موقوف علیه است، ظاهر عبارت تحریر الوسیله عدم فرق بین وقف عامّ و خاصّ است؛ لذا در وقف بر اولاد که مال بر بطن اول وقف می‌گردد پس از انقراضش نوبت به بطن دوّم می‌رسد، ظاهر وقف خاصّ این است که موقوف علیه مالک است، لیکن حقّ بیع و انتقال را ندارد و فقط می‌تواند از آن استفاده کند، یا اجاره دهد و یا منفعتش را به کسی صلح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وقف عامّ مانند وقف کتاب یا مدرسه‌ای برای طلاب و محصّل‌ها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 است؛ یک احتمال، مالکیّت شاغلین مثلًا طلبه‌ها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احتمال دوّم که در وقف خاصّ خیلی بعید، ولی در وقف عامّ شاید قوی باشد، عدم مالکیّت عنوان طلبه و مشتغل و غیر آن است، بلکه واقف با وقف، اضافه‌ی ملکیّت را از خودش فکّ کرده و آن مال موقوفه را از ملکیّت آزاد نموده است، به منظور این که منافعش بر افراد آن عنوان ریزش کند و از آن بهره‌مند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مال موقوفه پس از وقف مالکی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رها کردن و فکّ ملک است؛ در پاره‌ای از موارد ناگزیریم این مطلب را بپذیریم؛ مانند زمین و ساختمانی که به عنوان مسجد وقف می‌گردد مالکی ندارد،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ملک خداوند است؛ زیرا خداوند مالک حقیقی اشیاء است، بحث ما در ملکیّت اعتباری در فقه است که به استناد آن معاملات و تصرّفات محقّق می‌گردد، مسجدی که وقف می‌گردد، مالک و اعتبار ملکیّتی برایش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وقف عام، احتمال عدم مالکیّت عنوان اقوای از ملکیّت آن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در وقف عامّ یا خاص، فردی غیر از موقوف علیهم از مال وقفی سرقت کند، مرحوم امام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ملکیّت موقوف علیهم قطع دست هست؛ مانند وقف بر اولاد یا در حبس؛ و با فرض عدم ملکیّت قطع دست نیست مانند وقف عامّ که فکّ ملک</w:t>
      </w:r>
      <w:bookmarkStart w:id="282" w:name="pg16923_220197"/>
    </w:p>
    <w:p>
      <w:pPr>
        <w:pStyle w:val="BookText"/>
        <w:rPr/>
      </w:pPr>
      <w:bookmarkEnd w:id="282"/>
      <w:r>
        <w:rPr>
          <w:rFonts w:ascii="IRNazanin" w:hAnsi="IRNazanin" w:eastAsia="IRNazanin"/>
          <w:color w:val="111111"/>
          <w:sz w:val="28"/>
          <w:sz w:val="28"/>
          <w:szCs w:val="28"/>
          <w:rtl w:val="true"/>
          <w:lang w:bidi="fa-IR"/>
        </w:rPr>
        <w:t>است نه نقل مِلک به موقوف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عدم قطع این است که برای ثبوت حدّ قطع شرایطی لازم است؛ از جمله‌ی آن‌ها این است که باید مال مسروقه مال غیر باشد؛ یعنی هم مالیّت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سرقت حرّ حدّی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مالیّت مضافِ به غیر باشد؛ یعنی اضافه‌ی ملکیّت به غیر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بر سرقت مال بدون مالک حدّی مترتّب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وقف عامّ، وقف را فکّ ملکیّت گرفتیم، پس، از دایره ملکیّت خارج و مالکی ندارد تا به او اضافه گردد؛ لذا، سرقت مال غیر محقّق نشده تا حدّش ثابت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تحقیق این مطلب که آیا در وقف خاصّ و عامّ فکّ ملکیّت است یا انتقال ملکیّت به موقوف علیه، باید در کتاب وقف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نحو قضیّه‌ی شرطیه مطرح می‌کنیم، اگر ملکیّتی پس از وقف هست، دست سارق را قطع می‌کنند؛ و اگر ملکیّتی وجود ندارد، قطع دست نیست</w:t>
      </w:r>
      <w:r>
        <w:rPr>
          <w:rFonts w:eastAsia="IRNazanin" w:cs="IRNazanin"/>
          <w:color w:val="111111"/>
          <w:sz w:val="28"/>
          <w:szCs w:val="28"/>
          <w:rtl w:val="true"/>
          <w:lang w:bidi="fa-IR"/>
        </w:rPr>
        <w:t>.</w:t>
      </w:r>
    </w:p>
    <w:p>
      <w:pPr>
        <w:pStyle w:val="Heading6"/>
        <w:numPr>
          <w:ilvl w:val="5"/>
          <w:numId w:val="1"/>
        </w:numPr>
        <w:rPr/>
      </w:pPr>
      <w:bookmarkStart w:id="283" w:name="__RefHeading___Toc162283_3244359995"/>
      <w:bookmarkStart w:id="284" w:name="_Toc108"/>
      <w:bookmarkEnd w:id="283"/>
      <w:r>
        <w:rPr>
          <w:rtl w:val="true"/>
        </w:rPr>
        <w:t>حکم سرقت واقف یا موقوف علیه</w:t>
      </w:r>
      <w:bookmarkEnd w:id="284"/>
    </w:p>
    <w:p>
      <w:pPr>
        <w:pStyle w:val="BookText"/>
        <w:rPr/>
      </w:pPr>
      <w:r>
        <w:rPr>
          <w:rFonts w:ascii="IRNazanin" w:hAnsi="IRNazanin" w:eastAsia="IRNazanin"/>
          <w:color w:val="111111"/>
          <w:sz w:val="28"/>
          <w:sz w:val="28"/>
          <w:szCs w:val="28"/>
          <w:rtl w:val="true"/>
          <w:lang w:bidi="fa-IR"/>
        </w:rPr>
        <w:t>اگر قائل به ملکیّت موقوف علیه شدیم و واقف را مالک ندانستیم، فرقی بین مالک و اجنبی نیست؛ امّا اگر واقف، مالک باشد، سرقت مال غیر محقّق نشده تا حدّ قطع ثابت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یکی از موقوف علیه، با فرض ملکیّت موقوف علیه، از مال وقفی سرقت کند، بحثی که در مورد سرقت شریک از شریک داشتیم، در این‌جا نیز مطرح است؛ لذا، قطع دست در موردش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فرع اول و در فرع دیگر به مواردی اختصاص دارد که سارق در مال مسروقه سهیم نباشد</w:t>
      </w:r>
      <w:r>
        <w:rPr>
          <w:rFonts w:eastAsia="IRNazanin" w:cs="IRNazanin"/>
          <w:color w:val="111111"/>
          <w:sz w:val="28"/>
          <w:szCs w:val="28"/>
          <w:rtl w:val="true"/>
          <w:lang w:bidi="fa-IR"/>
        </w:rPr>
        <w:t>.</w:t>
      </w:r>
    </w:p>
    <w:p>
      <w:pPr>
        <w:pStyle w:val="Heading5"/>
        <w:numPr>
          <w:ilvl w:val="4"/>
          <w:numId w:val="1"/>
        </w:numPr>
        <w:rPr/>
      </w:pPr>
      <w:bookmarkStart w:id="285" w:name="__RefHeading___Toc162285_3244359995"/>
      <w:bookmarkStart w:id="286" w:name="_Toc109"/>
      <w:bookmarkEnd w:id="285"/>
      <w:r>
        <w:rPr>
          <w:rtl w:val="true"/>
        </w:rPr>
        <w:t>فرع دوّم</w:t>
      </w:r>
      <w:r>
        <w:rPr>
          <w:rtl w:val="true"/>
        </w:rPr>
        <w:t xml:space="preserve">: </w:t>
      </w:r>
      <w:r>
        <w:rPr>
          <w:rtl w:val="true"/>
        </w:rPr>
        <w:t>حکم سرقت از زکات</w:t>
      </w:r>
      <w:bookmarkEnd w:id="286"/>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زکات دو قول وجود دارد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آیه‌ی شریفه‌ی إِنَّمَا الصَّدَقتُ لِلْفُقَرَآءِ وَالْمَسکِینِ وَالْعمِلِینَ عَلَیْهَا وَالْمُؤَلَّفَةِ قُلُوبُهُمْ وَفِی الرّقَابِ وَالْغرِمِینَ وَفِی سَبِیلِ اللَّهِ وَابْنِ السَّبِیلِ فَرِیضَةً مّنَ اللَّهِ وَاللَّهُ عَلِیمٌ</w:t>
      </w:r>
      <w:bookmarkStart w:id="287" w:name="pg16923_220198"/>
    </w:p>
    <w:p>
      <w:pPr>
        <w:pStyle w:val="BookText"/>
        <w:rPr/>
      </w:pPr>
      <w:bookmarkEnd w:id="287"/>
      <w:r>
        <w:rPr>
          <w:rFonts w:ascii="Amiri" w:hAnsi="Amiri" w:eastAsia="Amiri" w:cs="Amiri"/>
          <w:color w:val="111111"/>
          <w:sz w:val="28"/>
          <w:sz w:val="28"/>
          <w:szCs w:val="28"/>
          <w:rtl w:val="true"/>
          <w:lang w:bidi="ar-SA"/>
        </w:rPr>
        <w:t>حَکِیمٌ</w:t>
      </w:r>
      <w:r>
        <w:rPr>
          <w:rStyle w:val="FootnoteAnchor"/>
          <w:rtl w:val="true"/>
        </w:rPr>
        <w:footnoteReference w:id="187"/>
      </w:r>
      <w:r>
        <w:rPr>
          <w:rFonts w:ascii="IRNazanin" w:hAnsi="IRNazanin" w:eastAsia="IRNazanin"/>
          <w:color w:val="111111"/>
          <w:sz w:val="28"/>
          <w:sz w:val="28"/>
          <w:szCs w:val="28"/>
          <w:rtl w:val="true"/>
          <w:lang w:bidi="fa-IR"/>
        </w:rPr>
        <w:t xml:space="preserve">دلالت دارد بر این که اصناف هشت‌گانه به نحو اشاعه مالک زکات هستند،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ملکیت بیانگر این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زکات مالک دارد و مالکش اصناف مذکور در آیه به نحو اشاعه می‌باشند؛ بنابراین، اگر فردی از غیر این گروه از مال زکات که در انباری محافظت و نگهداری می‌شود، سرقت کرد، بنا بر قاعده باید دست سارق را 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معتقد باشیم آیه‌ی شریفه در مقام بیان موارد مصرف زکات است و برای زکات مالکی وجود ندارد، دست سارق زکات را اگرچه از حرز هم برده باشد، قطع نمی‌کنند؛ زیرا، هر چند زکات مالیّت دارد امّا این مال اضافه‌ی ملکیّت به غیر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این مطلب که مفاد آیه و روایات باب زکات، ملکیّت است یا بیان مورد مصرف، در محل خودش در باب زکات می‌باشد</w:t>
      </w:r>
      <w:r>
        <w:rPr>
          <w:rFonts w:eastAsia="IRNazanin" w:cs="IRNazanin"/>
          <w:color w:val="111111"/>
          <w:sz w:val="28"/>
          <w:szCs w:val="28"/>
          <w:rtl w:val="true"/>
          <w:lang w:bidi="fa-IR"/>
        </w:rPr>
        <w:t>.</w:t>
      </w:r>
    </w:p>
    <w:p>
      <w:pPr>
        <w:pStyle w:val="Heading5"/>
        <w:numPr>
          <w:ilvl w:val="4"/>
          <w:numId w:val="1"/>
        </w:numPr>
        <w:rPr/>
      </w:pPr>
      <w:bookmarkStart w:id="288" w:name="__RefHeading___Toc162287_3244359995"/>
      <w:bookmarkStart w:id="289" w:name="_Toc110"/>
      <w:bookmarkEnd w:id="288"/>
      <w:r>
        <w:rPr>
          <w:rtl w:val="true"/>
        </w:rPr>
        <w:t>فرع سوّم</w:t>
      </w:r>
      <w:r>
        <w:rPr>
          <w:rtl w:val="true"/>
        </w:rPr>
        <w:t xml:space="preserve">: </w:t>
      </w:r>
      <w:r>
        <w:rPr>
          <w:rtl w:val="true"/>
        </w:rPr>
        <w:t>حکم سرقت از مال امام علیه السلام</w:t>
      </w:r>
      <w:bookmarkEnd w:id="289"/>
    </w:p>
    <w:p>
      <w:pPr>
        <w:pStyle w:val="BookText"/>
        <w:rPr/>
      </w:pPr>
      <w:r>
        <w:rPr>
          <w:rFonts w:ascii="IRNazanin" w:hAnsi="IRNazanin" w:eastAsia="IRNazanin"/>
          <w:color w:val="111111"/>
          <w:sz w:val="28"/>
          <w:sz w:val="28"/>
          <w:szCs w:val="28"/>
          <w:rtl w:val="true"/>
          <w:lang w:bidi="fa-IR"/>
        </w:rPr>
        <w:t>در مورد سهم امام علیه السلام نیز دو مبنا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علیه السلام نیمی از خمس را مالک است، و تصرّف فقیه در آن، از باب این است که با عدم دسترسی به امام معصوم علیه السلام، سهم امام را در مواردی که یقین و قطع به رضایت امام معصوم علیه السلام دارد، مصرف کند؛ مانند شئون دین، ترویج مسائل شرعی، اقامه‌ی حوزه‌های علمیّه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مبنای مالک بودن امام علیه السلام، اگر کسی مقداری از سهم امام را از حرز سرقت کرد و تمام شرایط ثبوت حدّ وجود داشت، مالی را که مالک دارد به سرقت برده است و باید دستش قطع گردد؛ امّا در آینده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حدّ سرقت منوط و وابسته‌ی به تقاضای مالک مال مسروقه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مسروق منه اجرای حدّ را مطالبه نکند یا سارق را عفو کند، حاکم نمی‌تواند دست سارق را قطع کند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فقیه جامع شرایط که از طرف امام علیه السلام نمایندگی دارد، می‌تواند به جای او مطالبه‌ی قطع دست کند؟ امام راحل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مطلب تردید و اشکال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نمی‌دانیم آیا دایره‌ی نمایندگی فقیه از امام علیه السلام تا این حدّ توسعه دارد به طوری که شامل</w:t>
      </w:r>
    </w:p>
    <w:p>
      <w:pPr>
        <w:pStyle w:val="BookText"/>
        <w:rPr/>
      </w:pPr>
      <w:r>
        <w:rPr>
          <w:rFonts w:ascii="IRNazanin" w:hAnsi="IRNazanin" w:eastAsia="IRNazanin"/>
          <w:color w:val="111111"/>
          <w:sz w:val="28"/>
          <w:sz w:val="28"/>
          <w:szCs w:val="28"/>
          <w:rtl w:val="true"/>
          <w:lang w:bidi="fa-IR"/>
        </w:rPr>
        <w:t>مطالبه‌ی قطع دست هم می‌شود؟</w:t>
      </w:r>
    </w:p>
    <w:p>
      <w:pPr>
        <w:pStyle w:val="BookText"/>
        <w:rPr/>
      </w:pPr>
      <w:r>
        <w:rPr>
          <w:rFonts w:ascii="IRNazanin" w:hAnsi="IRNazanin" w:eastAsia="IRNazanin"/>
          <w:color w:val="111111"/>
          <w:sz w:val="28"/>
          <w:sz w:val="28"/>
          <w:szCs w:val="28"/>
          <w:rtl w:val="true"/>
          <w:lang w:bidi="fa-IR"/>
        </w:rPr>
        <w:t xml:space="preserve">به دیگر سخن، اگر فردی از لوازم شخصی امام معصوم علیه السلام سرقت کرد، آیا نیابت عامّه‌ی فقیه جامع شرایط تا حدّ مطالبه‌ی قطع دست سارق مال شخصی امام علیه السلام هم شمول دارد؟ و آیا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الحوادث الواقعة فارجعوا فیها إلی رواة حدیثنا</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این مورد را می‌گیرد؟ آیا این مورد نیز یکی از مسائل و حوادثی است که امام علیه السلام به فقها ارجاع داده است؟</w:t>
      </w:r>
    </w:p>
    <w:p>
      <w:pPr>
        <w:pStyle w:val="BookText"/>
        <w:rPr/>
      </w:pPr>
      <w:r>
        <w:rPr>
          <w:rFonts w:ascii="IRNazanin" w:hAnsi="IRNazanin" w:eastAsia="IRNazanin"/>
          <w:color w:val="111111"/>
          <w:sz w:val="28"/>
          <w:sz w:val="28"/>
          <w:szCs w:val="28"/>
          <w:rtl w:val="true"/>
          <w:lang w:bidi="fa-IR"/>
        </w:rPr>
        <w:t>در شمول و توسعه‌ی نیابت فقیه تا به این حدّ که حتّی مسائل شخصی و خصوصی زندگی امام معصوم علیه السلام را شامل شود، تردّد و اشکال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قائل به ملکیّت امام علیه السلام در سهم امام باشیم و از طرفی در اجرای حدّ، مطالبه‌ی مسروق منه واقعی را لازم بدانیم، فقیه نمی‌تواند به نمایندگی از امام معصوم علیه السلام، مطالبه‌ی اجرای حدّ کند؛ زیرا، با شکّ در مطالبه و عدم مطالبه، مشروعیّت اجرای حدّ ثابت نمی‌گردد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ملکیّت امام علیه السلام معتقد نباشیم، بلکه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به عنوان ولایت در اختیار امام علیه السلام یا نایبش قرار می‌گیرد تا در مصالح اسلام و مسلمانان و ترویج دین و تبلیغ اسلام مصرف کنند و پیامبر خدا و ائمّه علیهم السلام هیچ کدام مالک آن نیستند، در این صورت، قطع دست خود به خود منتفی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این که مرحوم امام برخلاف دو فرع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و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ضرس قاطع فتوا به عدم قطع در مورد سرقت از سهم امام علیه السلام نداده‌اند، این است که روایت صحیحه در این باب داریم که با وجود آن، فتوا به عدم قطع مشکل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علیّ، عن أبیه، عن الوشّاء، عن عاصم بن حمید، عن محمّد بن قیس،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 المؤمنین علیه السلام فی رجلین قد سرقا من مال اللَّه أحدهما عبدٌ مال اللَّه والآخر من عرض النّاس</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فمن مال اللَّه، لیس علیه شی‌ء، مال اللَّه أکل بعضُه بعضاً، وأمّا الآخر فقدّمه وقطع یده، ثمّ أمر أن یطعم اللّحم والسّمن حتّی برئت یده</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درباره‌ی دو عبدی که از مال‌اللَّه سرقت کردند حکم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که از مال اللَّه و بیت‌المال است، چیزی بر عهده او نیست؛ قسمتی از بیت‌المال قسمتی دیگر از آن را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 عبد دوّم را قطع کرد و دستور داد گوشت و روغن بخورد تا بهبودی حاصل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اللَّه، خواه معنای وسیعی داشته باشد یا نه، شامل سهم امام می‌گردد، زیرا در آیه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أَنَّمَا غَنِمْتُم مّن شَیْ‌ءٍ فَأَنَّ لِلَّهِ خُمُسَهُ‌و وَلِلرَّسُولِ وَلِذِی الْقُرْبَی وَالْیَتمَی وَالْمَسکِینِ وَابْنِ السَّبِیلِ إِن کُنتُمْ ءَامَنتُم بِاللَّهِ</w:t>
      </w:r>
      <w:r>
        <w:rPr>
          <w:rStyle w:val="FootnoteAnchor"/>
          <w:rtl w:val="true"/>
        </w:rPr>
        <w:footnoteReference w:id="190"/>
      </w:r>
      <w:r>
        <w:rPr>
          <w:rFonts w:ascii="IRNazanin" w:hAnsi="IRNazanin" w:eastAsia="IRNazanin"/>
          <w:color w:val="111111"/>
          <w:sz w:val="28"/>
          <w:sz w:val="28"/>
          <w:szCs w:val="28"/>
          <w:rtl w:val="true"/>
          <w:lang w:bidi="fa-IR"/>
        </w:rPr>
        <w:t>نصف خمس، ریشه‌اش ارتباط به خداوند تبارک و تعالی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موردی به روشنی سهم امام علیه السلام، مصداق مال اللَّه نیست؛ زیرا، در زکات هشت صنف را مطرح می‌کند و مالک یا مورد مصرفش همین هشت گروه‌اند و اگر بخواهیم به خدا نسبت دهیم، فقط از باب این که زکات را خداوند واجب کرده است،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که سهم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امام درباره‌ی دو فرد سارق از مال اللَّه، نسبت به یکی که عبد بیت‌المال بود، حکمی و حدّی را جاری نساخت؛ ولی سارق دیگر را که احتمال دارد فرد آزادی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به قرینه‌ی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عبد مردم بودنش قوی‌تر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برید؛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گوشت و روغن به او بخورانید تا دستش بهبودی حاصل کند و به دنبال کار و زندگی‌اش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روایت صحیح السند که دلالتش نیز تام است، امام راحل قدس سره به شکّ و تردید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سرقت از وقف و زکات به طور صریح امر قطع دست را دائر مدار ملکیّت و عدم آن کردند، ولی در این‌جا بنا بر ملکیّت در فتوای به عدم قطع، احتیاط می‌کند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رحمه الله روایت را به عنوان مؤیّد مطرح کرده است؛</w:t>
      </w:r>
      <w:r>
        <w:rPr>
          <w:rStyle w:val="FootnoteAnchor"/>
          <w:rtl w:val="true"/>
        </w:rPr>
        <w:footnoteReference w:id="191"/>
      </w:r>
      <w:r>
        <w:rPr>
          <w:rFonts w:ascii="IRNazanin" w:hAnsi="IRNazanin" w:eastAsia="IRNazanin"/>
          <w:color w:val="111111"/>
          <w:sz w:val="28"/>
          <w:sz w:val="28"/>
          <w:szCs w:val="28"/>
          <w:rtl w:val="true"/>
          <w:lang w:bidi="fa-IR"/>
        </w:rPr>
        <w:t>گویا در سندش اشکال</w:t>
      </w:r>
    </w:p>
    <w:p>
      <w:pPr>
        <w:pStyle w:val="BookText"/>
        <w:rPr/>
      </w:pPr>
      <w:r>
        <w:rPr>
          <w:rFonts w:ascii="IRNazanin" w:hAnsi="IRNazanin" w:eastAsia="IRNazanin"/>
          <w:color w:val="111111"/>
          <w:sz w:val="28"/>
          <w:sz w:val="28"/>
          <w:szCs w:val="28"/>
          <w:rtl w:val="true"/>
          <w:lang w:bidi="fa-IR"/>
        </w:rPr>
        <w:t>دارد؛ و حال آن که سند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صورتی است که در مورد سهم امام به ملکیّت امام علیه السلام قائل نباشیم؛ در این فرض، بر طبق قاعده باید به عدم قطع فتوا داد؛ لیکن با وجود این روایت صحیح السند والدلالة چگونه می‌توان چنین فتوایی داد؟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منشأ احتیاط امام راحل رحمه الله وجود همین روایت است؛ با وجود آن، شکّ در ثبوت حدّ داریم؛ و مقتضای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الحدود تدرأ بالشبهات</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سقوط حدّ است و با چنین روایتی نمی‌توان به حکمی بر خلاف قاعده فتوا داد</w:t>
      </w:r>
      <w:r>
        <w:rPr>
          <w:rFonts w:eastAsia="IRNazanin" w:cs="IRNazanin"/>
          <w:color w:val="111111"/>
          <w:sz w:val="28"/>
          <w:szCs w:val="28"/>
          <w:rtl w:val="true"/>
          <w:lang w:bidi="fa-IR"/>
        </w:rPr>
        <w:t>.</w:t>
      </w:r>
      <w:bookmarkStart w:id="290" w:name="pg16923_220202"/>
    </w:p>
    <w:p>
      <w:pPr>
        <w:pStyle w:val="BookText"/>
        <w:rPr/>
      </w:pPr>
      <w:bookmarkEnd w:id="2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السرقة من باب الحرز أو جداره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الحرز وکذا ما بنی علی الباب والجدار من الخارج لیس محرزاً فلا قطع بها، نعم الظاهر کون الباب الداخل وراء باب الحرز محرزاً بباب الحرز فیقطع به، وکذا ما علی الجدار داخلًا، فإذا کسر الباب ودخل الحرز وأخرج شیئاً من أجزاء الجدار الداخل یقطع</w:t>
      </w:r>
      <w:r>
        <w:rPr>
          <w:rFonts w:eastAsia="IRNazanin" w:cs="IRNazanin"/>
          <w:color w:val="111111"/>
          <w:sz w:val="28"/>
          <w:szCs w:val="28"/>
          <w:rtl w:val="true"/>
          <w:lang w:bidi="fa-IR"/>
        </w:rPr>
        <w:t>.]</w:t>
      </w:r>
    </w:p>
    <w:p>
      <w:pPr>
        <w:pStyle w:val="Heading4"/>
        <w:numPr>
          <w:ilvl w:val="3"/>
          <w:numId w:val="1"/>
        </w:numPr>
        <w:rPr/>
      </w:pPr>
      <w:bookmarkStart w:id="291" w:name="__RefHeading___Toc162289_3244359995"/>
      <w:bookmarkStart w:id="292" w:name="_Toc111"/>
      <w:bookmarkEnd w:id="291"/>
      <w:r>
        <w:rPr>
          <w:rtl w:val="true"/>
        </w:rPr>
        <w:t>سرقت از باب حرز یا جدارش</w:t>
      </w:r>
      <w:bookmarkEnd w:id="292"/>
    </w:p>
    <w:p>
      <w:pPr>
        <w:pStyle w:val="BookText"/>
        <w:rPr/>
      </w:pPr>
      <w:r>
        <w:rPr>
          <w:rFonts w:ascii="IRNazanin" w:hAnsi="IRNazanin" w:eastAsia="IRNazanin"/>
          <w:color w:val="111111"/>
          <w:sz w:val="28"/>
          <w:sz w:val="28"/>
          <w:szCs w:val="28"/>
          <w:rtl w:val="true"/>
          <w:lang w:bidi="fa-IR"/>
        </w:rPr>
        <w:t>باب حرز و آن‌چه بر درب حرز واقع شده و دیوار خارج حرز، محرز نیستند؛ لذا، اگر کسی آن‌ها را به سرقت برد، دستش قطع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خانه‌ای دو درب دارد یکی در طول دیگری، درب دوّم به درب اوّل محرز شده، لذا اگر آن را سرقت کرد، دستش را می‌برند؛ و همین‌طور اگر درب را بشکند، داخل خانه و حرز گردد و چیزی از دیوار داخلی بِبَرد، دستش قطع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طرح این فرع مطلبی است که شیخ طوسی رحمه الله در کتاب مبسوط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بیان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اثاثیه‌ی منزل به واسطه‌ی وجود درب، در حرز واقع شده است، این درب هم در عمارت داخل است و به واسطه‌ی بازوها و گوشه‌های آن که در دیوار قرار گرفته، محرز شده است؛ یعنی نصب در عمارت و ثابت بودنش سبب محرز بودنش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کسی درب را بکند و ببرَد با آن که وارد حرز نشده، لیکن صادق است که مالی را از حرز بیرون آورده و برده است</w:t>
      </w:r>
      <w:r>
        <w:rPr>
          <w:rFonts w:eastAsia="IRNazanin" w:cs="IRNazanin"/>
          <w:color w:val="111111"/>
          <w:sz w:val="28"/>
          <w:szCs w:val="28"/>
          <w:rtl w:val="true"/>
          <w:lang w:bidi="fa-IR"/>
        </w:rPr>
        <w:t>.</w:t>
      </w:r>
      <w:r>
        <w:rPr>
          <w:rStyle w:val="FootnoteAnchor"/>
          <w:rtl w:val="true"/>
        </w:rPr>
        <w:footnoteReference w:id="193"/>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امام در تحریرالوسیله با این مطلب مخالف کرده،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منزل در حرز قرار نمی‌گیرد؛ مگر جایی که منزل دو درب طولی داشته باشد؛ یعنی اگر درب اول را باز کند وارد محوطه‌ای شده و سپس از آن به درب دوّم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درب دوّم به وسیله‌ی درب اول در حرز واقع شده است؛ و بر بُردن آن سرقت صادق است؛ ولی بر ربودن درب اول سرقت موجب حدّ منطبق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اعلام در طیّ این مطلب،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داشته باشیم آیا درب اول محرز هست یا نه؟ قاعده اقتضا دارد دست دزد قطع گردد؛ زیرا، در اصول در باب عامّ و خاصّ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عامی داشتیم و مخصّص منفصلی بیاید که مجمل بوده و امرش دایر بین اقلّ و اکثر است، در مقدار متیقّن خاصّ به همان خاصّ اخذ می‌کنیم و در مقدار مشکوکش به عامّ مراجعه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دلیل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مخصّص منفصل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 و مفهوم فسق مردّد بین مرتکب کبیره و اعمّ از مرتکب کبیره و صغیره باشد، در این‌جا مرتکب کبیره قطعاً فاسق است و مرتکب صغیره مشکوک الفسق می‌باشد؛ عالم مرتکب صغیره را نمی‌دانیم باید اکرام کنیم یا نه، در این صورت، نسبت به مرتکب کبیره یقین به تخصیص عام داریم ولی نسبت به مرتکب صغیره شک در خروج آن داریم، به عموم عام تمسّک می‌کنیم؛ این بحث در مطلق و مقیّد نیز مطرح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مقام ما آیه‌ی وَالسَّارِقُ وَ السَّارِقَةُ فَاقْطَعُواْ أَیْدِیَهُمَا جَزَآءَم بِمَا کَسَبَا نَکلًا مّنَ اللَّهِ</w:t>
      </w:r>
      <w:r>
        <w:rPr>
          <w:rStyle w:val="FootnoteAnchor"/>
          <w:rtl w:val="true"/>
        </w:rPr>
        <w:footnoteReference w:id="194"/>
      </w:r>
      <w:r>
        <w:rPr>
          <w:rFonts w:ascii="IRNazanin" w:hAnsi="IRNazanin" w:eastAsia="IRNazanin"/>
          <w:color w:val="111111"/>
          <w:sz w:val="28"/>
          <w:sz w:val="28"/>
          <w:szCs w:val="28"/>
          <w:rtl w:val="true"/>
          <w:lang w:bidi="fa-IR"/>
        </w:rPr>
        <w:t>مطلقی است که روایات دالّ بر لزوم حرز به صورت منفصل آن را تقیید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 مفهوم حرز تردید داریم و نمی‌دانیم آیا معنای وسیعی دارد که درب بیرونی خانه را شامل گردد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معنای حرز، بین اقلّ و اکثر تردید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از آن جایی است که در خانه باشد نه متّصل به دیوار خانه، امّا آن‌چه متّصل به دیوار است، مشکوک است که محرز می‌باشد یا نه؟ در نتیجه، شکّ می‌کنیم آیا در این صورت، حدّ پیاده می‌شود یا نه، باید مانند مواردی که قطع داریم حدّ را اجرا کنیم</w:t>
      </w:r>
      <w:r>
        <w:rPr>
          <w:rFonts w:eastAsia="IRNazanin" w:cs="IRNazanin"/>
          <w:color w:val="111111"/>
          <w:sz w:val="28"/>
          <w:szCs w:val="28"/>
          <w:rtl w:val="true"/>
          <w:lang w:bidi="fa-IR"/>
        </w:rPr>
        <w:t>.</w:t>
      </w:r>
      <w:r>
        <w:rPr>
          <w:rStyle w:val="FootnoteAnchor"/>
          <w:rtl w:val="true"/>
        </w:rPr>
        <w:footnoteReference w:id="195"/>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بحث در شبهه‌ی مفهومیه است، یعنی نمی‌دانیم مفهوم حرز چه اندازه وسعت دارد، فقط اندرون خانه را شامل می‌گردد یا درب بیرونی را نیز فرا می‌گیرد؟ شبهه‌ی مصداقیه نیز نیست؛ زیرا، شبهه‌ی مصداقیه در جایی است که معنا را می‌دانیم ولی در انطباق معنا بر خارج تردید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 خانه بسته باشد هتک حرز کرده است، امّا اگر باز باشد، هتک حرز نکرده است؛ ولی اگر شکّ باشد که درب خانه باز</w:t>
      </w:r>
    </w:p>
    <w:p>
      <w:pPr>
        <w:pStyle w:val="BookText"/>
        <w:rPr/>
      </w:pPr>
      <w:r>
        <w:rPr>
          <w:rFonts w:ascii="IRNazanin" w:hAnsi="IRNazanin" w:eastAsia="IRNazanin"/>
          <w:color w:val="111111"/>
          <w:sz w:val="28"/>
          <w:sz w:val="28"/>
          <w:szCs w:val="28"/>
          <w:rtl w:val="true"/>
          <w:lang w:bidi="fa-IR"/>
        </w:rPr>
        <w:t>بوده یا نه، در این صورت شبهه‌ی مصداقیه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بعضی از اعلام تمام نیست؛ زیرا، اگر اعتبار حرز در مفاد مفهوم سرقت از باب ورود یک دلیل تعبّدی بود، یعنی مطلقی داشتیم و مقیّدی منفصل بر اعتبار حرز دلالت داشت، این مطلب تمام بود؛ لیکن حقّ این است که مسأله‌ی حرز در ماهیّت سرقت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مقیّدی هم نداشتیم، در مواردی که مال مسروقه در بیرون از حرز باشد، حکم به اجرای حدّ و شمول آیه شریفه نمی‌کردیم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معنای عرفی سرقت، حرز دخالت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محمّد بن مسلم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سرق من مسلم شیئاً قد حواه وأحرزه فهو یقع علیه اسم السارق وهو عنداللَّه سارق، ولکن لا یقطع إلّافی ربع دینار أو أکثر</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از این روایت، استفاده می‌شود حکم قطع دست به نصاب ربع دینار مقیّد می‌گردد و اگر دلیل نصاب نبود، آیه بر قطع دست در سرقت یک ریال نیز دلالت داشت؛ ولی مسأله‌ی حرز، مانند مسأله‌ی نصاب نیست؛ زیرا،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حرز دزدی کند اسم سارق بر او منطبق است؛ یعنی در عرف و شرع به او سارق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معنای سارق و ذات و حقیقتش سرقت از حرز افتاده است، گویا فرموده باشد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السارق عن 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شکّ کنیم آیا درب بیرون خانه محرز هست یا نه؟ نمی‌توان به اطلاق آیه تمسّک کرد؛ زیرا، آیه اطلاقی ندارد</w:t>
      </w:r>
      <w:r>
        <w:rPr>
          <w:rFonts w:eastAsia="IRNazanin" w:cs="IRNazanin"/>
          <w:color w:val="111111"/>
          <w:sz w:val="28"/>
          <w:szCs w:val="28"/>
          <w:rtl w:val="true"/>
          <w:lang w:bidi="fa-IR"/>
        </w:rPr>
        <w:t>.</w:t>
      </w:r>
      <w:bookmarkStart w:id="293" w:name="pg16923_220205"/>
    </w:p>
    <w:p>
      <w:pPr>
        <w:pStyle w:val="BookText"/>
        <w:rPr/>
      </w:pPr>
      <w:bookmarkEnd w:id="2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سارق الکفن مع نبش القبر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یقطع سارق الکفن إذا نبش القبر وسرقه ولو بعض أجزائه المندوبة بشرط بلوغه حدّ النصاب، ولو نبش ولم یسرق الکفن لم یقطع ویعزّر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القبر حرزاً لغیر الکفن، فلو جعل مع المیّت شی‌ء فی القبر فنبش وأخرجه لم یقطع به علی الأحوط، ولو تکرّر منه النبش من غیر أخذ الکفن وهرب من السلطان،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وفیه تردّد</w:t>
      </w:r>
      <w:r>
        <w:rPr>
          <w:rFonts w:eastAsia="IRNazanin" w:cs="IRNazanin"/>
          <w:color w:val="111111"/>
          <w:sz w:val="28"/>
          <w:szCs w:val="28"/>
          <w:rtl w:val="true"/>
          <w:lang w:bidi="fa-IR"/>
        </w:rPr>
        <w:t>.]</w:t>
      </w:r>
    </w:p>
    <w:p>
      <w:pPr>
        <w:pStyle w:val="Heading4"/>
        <w:numPr>
          <w:ilvl w:val="3"/>
          <w:numId w:val="1"/>
        </w:numPr>
        <w:rPr/>
      </w:pPr>
      <w:bookmarkStart w:id="294" w:name="__RefHeading___Toc162291_3244359995"/>
      <w:bookmarkStart w:id="295" w:name="_Toc112"/>
      <w:bookmarkEnd w:id="294"/>
      <w:r>
        <w:rPr>
          <w:rtl w:val="true"/>
        </w:rPr>
        <w:t>حکم سرقت کفن و نبش قبر</w:t>
      </w:r>
      <w:bookmarkEnd w:id="295"/>
    </w:p>
    <w:p>
      <w:pPr>
        <w:pStyle w:val="Heading5"/>
        <w:numPr>
          <w:ilvl w:val="4"/>
          <w:numId w:val="1"/>
        </w:numPr>
        <w:rPr/>
      </w:pPr>
      <w:bookmarkStart w:id="296" w:name="__RefHeading___Toc162293_3244359995"/>
      <w:bookmarkStart w:id="297" w:name="_Toc113"/>
      <w:bookmarkEnd w:id="296"/>
      <w:r>
        <w:rPr>
          <w:rtl w:val="true"/>
        </w:rPr>
        <w:t>اشاره</w:t>
      </w:r>
      <w:bookmarkEnd w:id="297"/>
    </w:p>
    <w:p>
      <w:pPr>
        <w:pStyle w:val="BookText"/>
        <w:rPr/>
      </w:pPr>
      <w:r>
        <w:rPr>
          <w:rFonts w:ascii="IRNazanin" w:hAnsi="IRNazanin" w:eastAsia="IRNazanin"/>
          <w:color w:val="111111"/>
          <w:sz w:val="28"/>
          <w:sz w:val="28"/>
          <w:szCs w:val="28"/>
          <w:rtl w:val="true"/>
          <w:lang w:bidi="fa-IR"/>
        </w:rPr>
        <w:t>این مسأله دو فرع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قبر میّتی را بشکافد و اجزای کفن او را به سرقت برد، خواه اجزای واجب کفن باشد یا اجزای مستحب آن، در صورتی که به حدّ نصاب برسد، دست سارق را قطع می‌کنند؛ امّا اگر قبر را نبش کرد ولی کفنی به سرقت نبرد، دستش را نمی‌برند و فقط تعزیر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فقط برای کفن حرز است و برای غیر آن حرز نیست؛ لذا، اگر همراه میّت چیزی را گذاشتند و شخصی قبر را شکافت و به سرقت برد، بنا بر احتیاط دستش قطع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چند بار نبش قبر کند و از ترس حکومت فرار کند، قولی بر کشتن او داریم</w:t>
      </w:r>
      <w:r>
        <w:rPr>
          <w:rFonts w:eastAsia="IRNazanin" w:cs="IRNazanin"/>
          <w:color w:val="111111"/>
          <w:sz w:val="28"/>
          <w:szCs w:val="28"/>
          <w:rtl w:val="true"/>
          <w:lang w:bidi="fa-IR"/>
        </w:rPr>
        <w:t>.</w:t>
      </w:r>
    </w:p>
    <w:p>
      <w:pPr>
        <w:pStyle w:val="Heading5"/>
        <w:numPr>
          <w:ilvl w:val="4"/>
          <w:numId w:val="1"/>
        </w:numPr>
        <w:rPr/>
      </w:pPr>
      <w:bookmarkStart w:id="298" w:name="__RefHeading___Toc162295_3244359995"/>
      <w:bookmarkStart w:id="299" w:name="_Toc114"/>
      <w:bookmarkEnd w:id="298"/>
      <w:r>
        <w:rPr>
          <w:rtl w:val="true"/>
        </w:rPr>
        <w:t>فرع اوّل</w:t>
      </w:r>
      <w:r>
        <w:rPr>
          <w:rtl w:val="true"/>
        </w:rPr>
        <w:t xml:space="preserve">: </w:t>
      </w:r>
      <w:r>
        <w:rPr>
          <w:rtl w:val="true"/>
        </w:rPr>
        <w:t>سرقت کفن</w:t>
      </w:r>
      <w:bookmarkEnd w:id="299"/>
    </w:p>
    <w:p>
      <w:pPr>
        <w:pStyle w:val="Heading6"/>
        <w:numPr>
          <w:ilvl w:val="5"/>
          <w:numId w:val="1"/>
        </w:numPr>
        <w:rPr/>
      </w:pPr>
      <w:bookmarkStart w:id="300" w:name="__RefHeading___Toc162297_3244359995"/>
      <w:bookmarkStart w:id="301" w:name="_Toc115"/>
      <w:bookmarkEnd w:id="300"/>
      <w:r>
        <w:rPr>
          <w:rtl w:val="true"/>
        </w:rPr>
        <w:t>اشاره</w:t>
      </w:r>
      <w:bookmarkEnd w:id="301"/>
    </w:p>
    <w:p>
      <w:pPr>
        <w:pStyle w:val="BookText"/>
        <w:rPr/>
      </w:pPr>
      <w:r>
        <w:rPr>
          <w:rFonts w:ascii="IRNazanin" w:hAnsi="IRNazanin" w:eastAsia="IRNazanin"/>
          <w:color w:val="111111"/>
          <w:sz w:val="28"/>
          <w:sz w:val="28"/>
          <w:szCs w:val="28"/>
          <w:rtl w:val="true"/>
          <w:lang w:bidi="fa-IR"/>
        </w:rPr>
        <w:t>در صورتی که نبش قبر کند و کفن میّت را به سرقت بَرَد، حکم سرقت از زنده‌ها در مورد سارق پیاده می‌گردد؛ زیرا، قبر به منزله‌ی حرز برای کفن است؛ همان‌طور که درب خانه برای متاع‌های درونش حرز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هتک حرز کند و چیزی را ببرد، سرقت صادق و حکمش مترتّب می‌گردد؛ حال اگر دزدی قبر را نبش کند و کفن میّت را ببرَد، همین حکم پیاده می‌شود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بین فقها همین فتوا است و برخی نیز بر آن ادّعای اجماع</w:t>
      </w:r>
      <w:r>
        <w:rPr>
          <w:rStyle w:val="FootnoteAnchor"/>
          <w:rtl w:val="true"/>
        </w:rPr>
        <w:footnoteReference w:id="197"/>
      </w:r>
      <w:r>
        <w:rPr>
          <w:rFonts w:ascii="IRNazanin" w:hAnsi="IRNazanin" w:eastAsia="IRNazanin"/>
          <w:color w:val="111111"/>
          <w:sz w:val="28"/>
          <w:sz w:val="28"/>
          <w:szCs w:val="28"/>
          <w:rtl w:val="true"/>
          <w:lang w:bidi="fa-IR"/>
        </w:rPr>
        <w:t>کرده‌اند؛ در مقابل</w:t>
      </w:r>
      <w:bookmarkStart w:id="302" w:name="pg16923_220206"/>
    </w:p>
    <w:p>
      <w:pPr>
        <w:pStyle w:val="BookText"/>
        <w:rPr/>
      </w:pPr>
      <w:bookmarkEnd w:id="302"/>
      <w:r>
        <w:rPr>
          <w:rFonts w:ascii="IRNazanin" w:hAnsi="IRNazanin" w:eastAsia="IRNazanin"/>
          <w:color w:val="111111"/>
          <w:sz w:val="28"/>
          <w:sz w:val="28"/>
          <w:szCs w:val="28"/>
          <w:rtl w:val="true"/>
          <w:lang w:bidi="fa-IR"/>
        </w:rPr>
        <w:t>مشهور، فتوای شیخ صدوق رحمه الله در مقنع</w:t>
      </w:r>
      <w:r>
        <w:rPr>
          <w:rStyle w:val="FootnoteAnchor"/>
          <w:rtl w:val="true"/>
        </w:rPr>
        <w:footnoteReference w:id="198"/>
      </w:r>
      <w:r>
        <w:rPr>
          <w:rFonts w:ascii="IRNazanin" w:hAnsi="IRNazanin" w:eastAsia="IRNazanin"/>
          <w:color w:val="111111"/>
          <w:sz w:val="28"/>
          <w:sz w:val="28"/>
          <w:szCs w:val="28"/>
          <w:rtl w:val="true"/>
          <w:lang w:bidi="fa-IR"/>
        </w:rPr>
        <w:t>و من لایحضره الفقیه</w:t>
      </w:r>
      <w:r>
        <w:rPr>
          <w:rStyle w:val="FootnoteAnchor"/>
          <w:rtl w:val="true"/>
        </w:rPr>
        <w:footnoteReference w:id="199"/>
      </w:r>
      <w:r>
        <w:rPr>
          <w:rFonts w:ascii="IRNazanin" w:hAnsi="IRNazanin" w:eastAsia="IRNazanin"/>
          <w:color w:val="111111"/>
          <w:sz w:val="28"/>
          <w:sz w:val="28"/>
          <w:szCs w:val="28"/>
          <w:rtl w:val="true"/>
          <w:lang w:bidi="fa-IR"/>
        </w:rPr>
        <w:t>است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نبش قبر مکرّر باشد، قطع دست هست ولی بر یک بار نبش قبر دست را نمی‌برند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عبارت مرحوم صدوق به این مطلب تصریح نشده است که چند مرتبه باید قبر را بشکافد؟ و آیا همراه با نبش باید چیزی را نیز به سرقت برده باشد تا دستش قطع گردد یا نه؟ زیرا، دو عنوان محرّم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نبش قبر مؤمن مگر در مواردی که استثنا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سرقت 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صدوق رحمه الله همین معنا را در نظر دارد؛ یعنی نبش قبر به انضمام سرقت کفن، با وجود شرایط ثبوت حدّ به دو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مرحوم صدوق را در مقابل فتوای مشهور آورده‌اند و سخن مشهور در مورد سرقت کفن همراه با نبش قبر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هدف نبّاش از نبش قبر بردن کفن است؛ وگرنه صرف شکافتن قبر یک کار عقلایی نیست تا بر آن اثری عاقلانه مترتّب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نبش قبر مانند باز کردن قفل خانه‌ی مردم است که برای بردن اموالش این کار را می‌کند و الّا صرف باز گذاشتن درب خانه‌ی مردم، یک امر عقلایی به شمار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هر چند به دنبال کلام صدوق رحمه الله سخنی از سرقت نیامده است، ولی مراد ایشان نبش قبر با سرقت کفن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در این مورد داریم دو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بر قول مشهور دلالت دارد و یک طایفه می‌تواند مستند قول مرحوم صدوق باشد</w:t>
      </w:r>
      <w:r>
        <w:rPr>
          <w:rFonts w:eastAsia="IRNazanin" w:cs="IRNazanin"/>
          <w:color w:val="111111"/>
          <w:sz w:val="28"/>
          <w:szCs w:val="28"/>
          <w:rtl w:val="true"/>
          <w:lang w:bidi="fa-IR"/>
        </w:rPr>
        <w:t>.</w:t>
      </w:r>
    </w:p>
    <w:p>
      <w:pPr>
        <w:pStyle w:val="Heading6"/>
        <w:numPr>
          <w:ilvl w:val="5"/>
          <w:numId w:val="1"/>
        </w:numPr>
        <w:rPr/>
      </w:pPr>
      <w:bookmarkStart w:id="303" w:name="__RefHeading___Toc162299_3244359995"/>
      <w:bookmarkStart w:id="304" w:name="_Toc116"/>
      <w:bookmarkEnd w:id="303"/>
      <w:r>
        <w:rPr>
          <w:rtl w:val="true"/>
        </w:rPr>
        <w:t>مستند قول مشهور</w:t>
      </w:r>
      <w:bookmarkEnd w:id="304"/>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علیّ بن ابراهیم، عن أبیه، وعن محمّد بن اسماعیل، عن الفضل بن شاذان جمیعاً، عن ابن أبی عمیر، عن حفص بن البختری،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النبّاش حدّ السّارق</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صحیحه،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نبّاش همان حدّ سارق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ظاهر روایت دلالت دارد حدّ نبش قبر خواه سرقتی به دنبال داشته باشد یا نه، همان حدّ سارق است؛ و امکان این مطلب که در شریعت اسلام برای نبش قبر حدّی معین شده باشد، هست؛ لیکن به قرینه‌ی روایات دیگر و به قرینه‌ی غرض نوعی از نبش قبر، مطلب مقیّد به سرقت است؛ زیرا، در نبش قبر به خودی خود غرضی عقلایی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شکافتن قبر هدفی دارد و آن دزدیدن کفن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این که مردّد باشیم، آیا بر مطلق نبش قبر، حدّ سرقت جاری است یا وقتی که با سرقت کفن توأم باشد، از باب قدر متیقّن، مورد و بحث ما را شامل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وبإسناده عن الصفّار، عن الحسن بن موسی الخشّاب، عن غیاث بن کلوب، عن إسحاق بن عمّار، إنَّ علیّاً علیه السلام قطع نبّاش القبر،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أتقطع فی الموتی؟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نقطع لأمواتنا کما نقطع لأحیائنا</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معتبره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دست نبّاش قبر را بریدند،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سرقت از اموات نیز دست می‌بُرید؟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بر سرقت از زندگان دست می‌بریم، بر سرقت از مردگان نیز دست قطع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به‌نظر می‌رسد روایت مرسله باشد، لیکن اسحاق بن عمّار در بیشتر روایاتش از امام صادق علیه السلام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اشتباهی رُخ داده و نام امام معصوم علیه السلام افتاده باشد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درب خانه‌ای را بشکند و از آن به اندازه‌ی نصاب سرقت کند، دستش را قطع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اموات نیز همین حکم جاری است، فرقی بین مرده و زنده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همان‌گونه که با تحقّق سرقت با تمام شرایط در مورد</w:t>
      </w:r>
    </w:p>
    <w:p>
      <w:pPr>
        <w:pStyle w:val="BookText"/>
        <w:rPr/>
      </w:pPr>
      <w:r>
        <w:rPr>
          <w:rFonts w:ascii="IRNazanin" w:hAnsi="IRNazanin" w:eastAsia="IRNazanin"/>
          <w:color w:val="111111"/>
          <w:sz w:val="28"/>
          <w:sz w:val="28"/>
          <w:szCs w:val="28"/>
          <w:rtl w:val="true"/>
          <w:lang w:bidi="fa-IR"/>
        </w:rPr>
        <w:t>سرقت از زندگان دست قطع می‌گردد، در خصوص اموات نیز باید سرقت با تمام شرایطش محقّق گردد تا بتوان دست سارق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هرچند در روایت به سرقت نبّاش تصریح نشده است ولی ذیل روایت بیانگر این است که امام علیه السلام حکم را در مورد نبّاش دزد اجرا کرده است؛ وگرنه نبّاش را عنوان مسأله قرار دادن، و بعد از آن، به مسأله‌ی سرقت تعلیل آوردن، با هم تناسب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مؤیّد روایت گذشته است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النبّاش حدّ السارق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نبّاشِ سارقِ کفن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تردیدی نداریم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نقطع لأحیائنا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به خاطر سرقت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علیه السلام، اموات را به احیا تشبیه می‌کند، معلوم می‌شود در مشبّه نیز مسألت سرقت مطرح است؛ لیکن سرقتی که در رابطه‌ی با اموات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حبیب بن الحسن، عن محمّد بن الولید، عن عمرو بن ثابت، عن أبی الجارود،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یقطع سارق الموتی کما یقطع سارق الأحیاء</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سارق از اموات همانند دست سارق از احیا قطع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قویّ است و جلوی هر گونه توهّمی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اضافه شدن، کمترین ملابستی کافی است؛ وقتی سارق را به مردگان نسبت می‌دهد، یعنی سارق از اموات نه سارق خود مُرده‌ها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عن أبیه، عن آدم بن إسحاق، عن عبداللَّه بن محمّد الجعفی،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أبی جعفر علیه السلام وجاءه کتاب هشام بن عبدالملک فی رجل نبش امرأة فسلبها ثیابها ثمَّ نکحها فإنَّ النّاس قد اختلفوا علینا، طائفة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اقتلوه، وطائفة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أحرقوه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 إلیه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حرمة المیّت کحرمة الحیّ، تقطع یده لنبشه وسلبه الثیاب ویقام علیه الحدّ فی الزنا، إن احصن رجم وإن لم یکن احصن جلد مائة</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باقر علیه السلام نشسته بودم، نامه‌ی هشام بن عبدالملک به دست آن حضرت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قبر زنی را شکافت و لباسش را دزدید و با او مقاربت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فرد چیست؟ علمایی که در این‌جا هستند اختلاف کرده‌اند، گروهی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بکشید، و جمعی به سوزاندنش فتوا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میّت همانند احترام 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را به خاطر نبش قبر و کفن دزدی می‌برند و حدّ زنا بر او اقامه می‌شود؛ اگر محصن است رجم، وگرنه صد ضربه تازیانه به او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روایت بر قطع دست همراه با بیان علّت تمام است؛ و از آن معلوم می‌شود مجرّد نبش کافی نیست، بلکه قبر به منزله‌ی حرز، و کفن مانند متاع داخل حرز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عن محمّد عبدالحمید العطّار، عن سیّار، عن زید الشحّام،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نبّاش فی زمن معاویة،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ترون؟</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نعاقبه ونخلّی سبیله، فقال رجل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هکذا فعل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یقطع النبّاش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سارق وهتّاک للموتی</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معاویه نبّاشی را گرفتند، از اصحابش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حکمش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عقوبتی می‌کنیم و رهایش می‌سازیم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نبّاش علی بن ابیطالب این طور حکم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عمل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را می‌برید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 نسبت به مردگان سارق و هتّاک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دلالت دارد که نبش به تنهایی کافی نیست، بلکه سارق و هتّاک</w:t>
      </w:r>
      <w:bookmarkStart w:id="305" w:name="pg16923_220210"/>
    </w:p>
    <w:p>
      <w:pPr>
        <w:pStyle w:val="BookText"/>
        <w:rPr/>
      </w:pPr>
      <w:bookmarkEnd w:id="305"/>
      <w:r>
        <w:rPr>
          <w:rFonts w:ascii="IRNazanin" w:hAnsi="IRNazanin" w:eastAsia="IRNazanin"/>
          <w:color w:val="111111"/>
          <w:sz w:val="28"/>
          <w:sz w:val="28"/>
          <w:szCs w:val="28"/>
          <w:rtl w:val="true"/>
          <w:lang w:bidi="fa-IR"/>
        </w:rPr>
        <w:t>بودن در قطع دست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هتّاک، هتک حرز است نه هتک حیثیّت؛ هرچند هتک حرز، هتک احترام و حیثیّت میّت را نیز به دنبال دارد؛ لیکن کلمه‌ی سارق که قبل از آن آمده، بر هتک حرز، از هتّاک قرینه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روایات بر فتوای مشهور تامّ و تمام است؛ اگر در مقابل آن‌ها روایت دیگری نداشتیم، می‌توانستیم به آن‌ها فتوا دهیم؛ زیرا، در بین آن‌ها روایت صحیح و معتبر وجود دارد؛ ولی باید روایات منافی با آن را نیز ببینیم</w:t>
      </w:r>
      <w:r>
        <w:rPr>
          <w:rFonts w:eastAsia="IRNazanin" w:cs="IRNazanin"/>
          <w:color w:val="111111"/>
          <w:sz w:val="28"/>
          <w:szCs w:val="28"/>
          <w:rtl w:val="true"/>
          <w:lang w:bidi="fa-IR"/>
        </w:rPr>
        <w:t>.</w:t>
      </w:r>
    </w:p>
    <w:p>
      <w:pPr>
        <w:pStyle w:val="Heading6"/>
        <w:numPr>
          <w:ilvl w:val="5"/>
          <w:numId w:val="1"/>
        </w:numPr>
        <w:rPr/>
      </w:pPr>
      <w:bookmarkStart w:id="306" w:name="__RefHeading___Toc162301_3244359995"/>
      <w:bookmarkStart w:id="307" w:name="_Toc117"/>
      <w:bookmarkEnd w:id="306"/>
      <w:r>
        <w:rPr>
          <w:rtl w:val="true"/>
        </w:rPr>
        <w:t>مستند قول شیخ صدوق رحمه الله</w:t>
      </w:r>
      <w:bookmarkEnd w:id="3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وبالإسناد عن الفضیل،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النبّاش إذا کان معروفاً بذلک قطع</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صحیحه،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 اگر به این عمل مشهور باشد، دستش قطع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حدیث بخواهد دلیل نظر صدوق رحمه الله باشد، باید به دو چیز در این روایت ملتزم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مفهوم دارد؛ یعنی اگر نبّاشی معروف به نبّاشی نبود، دستش را نباید قطع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را به معنای متعدّد و مکرّر بگیریم؛ یعنی نبّاش اگر به طور مکرّر به این عمل دست زد، باید دستش را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 دو مطلب را منکریم،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قضیّه‌ی شرطیّه مفهوم قائل نیستیم تا چه برسد به قضیّه‌ی وصفیّه و قضایای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این بحث باب مفاهیم در اصول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معروف، تکرّر فعل نیست؛ زیرا، ممکن است کسی صدها بار به نبش قبر پرداخته باشد ولی معروف و مشهور نباشد از جهت این که محرمانه و مخفیانه به این کار دست می‌زده است؛ و یک نفر یک بار مرتکب نبش شده باشد و او را شناسایی کنند و در جامعه به این عمل معروف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بین دو عنوان نسبت عموم و خصوص مطلق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می‌دهیم روایت در مقام بیان مطلب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معروفاً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ثبت کونه نبّاشاً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زیرا، قطع دست بر روی سرقت واقعی نرفته است؛ بلکه سرقتی که اثبات گردد؛ یعنی نبّاشی به اقرار یا بیّنه ثابت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روایت از ادلّه‌ی مشهور خواهد بود نه صدوق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عن فضالة، عن موسی، عن علیّ بن سعید،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اخذ وهو ینبش،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أری علیه قطعاً إلّاأن یؤخذ وقد نبش مراراً فأقطعه</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سعید مجهول و مدح و ذمّی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را در حالی که نبش قبر می‌کرد، دستگیر کردند؛ حکمش چیست؟ 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او قطع دست نمی‌بینم مگر آن که چندین مرتبه نبش قبر کرده باشد؛ در این صورت، دستش را قطع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وبإسناده، عن أحمد بن محمّد بن عیسی، عن الحسین بن سعید، عن ابن أبی عمیر، عن محمّد بن أبی حمزة، عن علی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النّبش له بعادة لم یقطع ویعزّر</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وحدت یا 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صاحب وسائل رحمه الله این روایت و روایت قبل را به عنوان دو روایت مطرح کرده است، ولی در حقیقت یک روایت و از یک راوی هستند؛ راوی یک بار این مطلب را از امام پرسیده و آن حضرت جواب داده است؛ لیکن علیّ بن سعید مطلب را یک بار بر محمّد بن ابی‌حمزه بازگو کرده و یک بار بر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دو روایت، یعنی دو بار سؤال کردن و جواب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سعید از امام صادق علیه السلام از حکم نبّاش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نبّاشی، کار و عادت او نباشد، یعنی چندین مرتبه تکرار نشده باشد، دستش را نمی‌بُرند</w:t>
      </w:r>
    </w:p>
    <w:p>
      <w:pPr>
        <w:pStyle w:val="BookText"/>
        <w:rPr/>
      </w:pPr>
      <w:r>
        <w:rPr>
          <w:rFonts w:ascii="IRNazanin" w:hAnsi="IRNazanin" w:eastAsia="IRNazanin"/>
          <w:color w:val="111111"/>
          <w:sz w:val="28"/>
          <w:sz w:val="28"/>
          <w:szCs w:val="28"/>
          <w:rtl w:val="true"/>
          <w:lang w:bidi="fa-IR"/>
        </w:rPr>
        <w:t>و فقط او را تعزیر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از جهت ضعف سند کنار می‌گذاریم؛ لذا، نوبت به تعارض و جمع دلالی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جمع دلالی و اعمال قواعد باب تعارض و مانند آن در صورتی است که دو طایفه از روایات معتبر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روایتی با قطع‌نظر از معارضه حجّیت نداشت، دیگر جایی برای این بحث که تعارض دارد یا نه، باقی نمی‌ماند؛ زیرا، اگر معارضی هم نبود، نمی‌توانستیم به آن استناد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وبإسناده، عن أحمد بن محمّد، عن ابن فضّال، عن الحسن بن الجهم، عن إبن بکیر، عن بعض أصحابنا، عن أبی عبداللَّه علیه السلام فی النبّاش إذا اخذ أوَّل مرّة عزّر فإن عاد قطع</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مرسل،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 را در دفعه‌ی اوّل تعزیر می‌کنند؛ اگر بار دیگر انجام داد، دستش را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با فتوای مرحوم صدوق موافق نیست؛ زیرا، ظاهر روایت، قطع دست در مرتبه‌ی دوّم است؛ ولی ظاهر عبارت صدوق رحمه الله در کتاب مقنع و من لایحضره الفقیه، قطع دست در مرتبه‌ی سوّم به بعد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تکرّر نهفته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صیغه‌ی مبالغه است؛ همان طور که صاحب جواهر رحمه الله این مطلب را فرموده است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 همان معنای فاعلی را دارد؛ به دلیل این که اسم فاعلی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نبش ینبش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ندیدیم؛ و جایی استعمال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نبّاش به همان معنای اسم فاعلی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استعمال نبّاش در همین روایت مرسله در مورد کسی که دفعه‌ی اوّل به نبش قبر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نیز به جهت ضعف سند کنار می‌گذاریم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وبإسناده، عن محمّد بن علیّ بن محبوب، عن أحمد بن محمّد، عن</w:t>
      </w:r>
    </w:p>
    <w:p>
      <w:pPr>
        <w:pStyle w:val="BookText"/>
        <w:rPr/>
      </w:pPr>
      <w:r>
        <w:rPr>
          <w:rFonts w:ascii="IRNazanin" w:hAnsi="IRNazanin" w:eastAsia="IRNazanin"/>
          <w:color w:val="111111"/>
          <w:sz w:val="28"/>
          <w:sz w:val="28"/>
          <w:szCs w:val="28"/>
          <w:rtl w:val="true"/>
          <w:lang w:bidi="fa-IR"/>
        </w:rPr>
        <w:t>الحسن بن محبوب، عن أبی ایّوب، عن الفضیل، عن أبی عبد اللَّه علیه السلام عن الطرّار والنبّاش والمختلس،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یقطع</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از حکم طرّار و نبّاش و مختلس پرسیده می‌شود؛ و آن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هیچ کدام را قطع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حاشیه‌ی وسائل الشیعة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هیچ ربطی به روایت فضیل ندارد؛ بلکه روایت عیسی بن صبیح است که به عنوان روایت دهم این باب و روایت چهارم باب سیزدهم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معلوم می‌شود روایت عیسی بن صبیح دوگونه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چهاردهم این باب با روایت چهارم باب سیزدهم از نظر متن روایت یکی است؛ ولی روایت دهم باب سیزدهم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وبإسناده، عن الحسین بن سعید، عن ابن محبوب، عن عیسی بن صبیح،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عبداللَّه علیه السلام عن الطرّار والنبّاش والمختلس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یقطع الطرّار والنبّاش ولا یقطع المختلس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دو روایت در این است که در یکی بین طرّار و نبّاش با مختلس فرق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عنوان اوّل به قطع دست حکم می‌کند، ولی در عنوان اخیر به عدم آن فرمان می‌دهد؛ امّا در روایت چهاردهم این باب و چهارم باب سیزدهم در هر سه عنوان، حکم را عدم قطع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جهت، معلوم می‌شود اشتباهی رخ داده و در دو روایت اخیر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جمله‌ای افتاده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نکردن به این مطلب، سبب بروز اشکال مهمّی شده است؛ زیرا، روایت صحیحه اگر از فضیل بن یسار باشد و بر عدم قطع دست دلالت کند، با روایات صحیحه‌ای که بر قطع دست دلالت داشت، تعارض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راه حلّ تعارض را به این دانسته که این روایت را بر موردی که فقط قبر را شکافته ولی چیزی نبرده است، حمل می‌کنیم</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با توجّه به آن‌چه گفتیم، نیازی به این وجه جمع نیست؛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ربطی به فضیل بن یسار ندارد؛ زیرا، در تهذیب از عیسی بن صبیح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جمله‌ای افتاده است و یک طرف قصّه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مطلب روایت صحیحه‌ی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محمّد بن جعفر الکوفی، عن محمّد بن عبدالحمید، عن سیف بن عمیرة، عن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یقطع النبّاش والطرّار ولا یقطع المختلس</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روایت این است که در همان جلسه‌ای که عیسی بن صبیح مطلب را می‌پرسیده، منصور بن حازم حکم را از امام علیه السلام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دو عنوان اوّل به قطع دست و در عنوان سوّم به عدمش حکم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روایت عیسی بن صبیح و روایت منصور بن حازم، از ادلّه‌ی قول مشهور هستند؛ و نه قول صدوق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ما روایت صحیحه‌ای نداریم که بر عدم قطع در دفعه‌ی اول دلالت کند تا به جمع دلالی یا اعمال قواعد باب تعارض نیاز داشته باشیم؛ زیرا، اعمال قواعد باب تعارض یا جمع دلالی فرع حجّیت روایت از حیث 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تا این‌جا مقتضی برای فتوای مشهور تمام شد، لیکن روایاتی در این مقام داریم که حکم نبّاش را پایمال کردن او زیر پای مردم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عن أبیه، عن ابن أبی عمیر، عن غیر واحد من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أمیر المؤمنین علیه السلام برجل نبّاش فأخذ أمیر المؤمنین علیه السلام بشعره فضرب به الأرض ثمّ أمر النّاس أن یطؤوه بأرجلهم فوطؤوه حتّی مات</w:t>
      </w:r>
      <w:r>
        <w:rPr>
          <w:rFonts w:eastAsia="IRNazanin" w:cs="IRNazanin"/>
          <w:color w:val="111111"/>
          <w:sz w:val="28"/>
          <w:szCs w:val="28"/>
          <w:rtl w:val="true"/>
          <w:lang w:bidi="fa-IR"/>
        </w:rPr>
        <w:t>.</w:t>
      </w:r>
      <w:r>
        <w:rPr>
          <w:rStyle w:val="FootnoteAnchor"/>
          <w:rtl w:val="true"/>
        </w:rPr>
        <w:footnoteReference w:id="213"/>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نبّاشی را دستگیر و نزد امیرمؤمنان علیه السلام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موی سر او را گرفت و به زمین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دادند مردم بر روی او راه بروند و لگدکوبش</w:t>
      </w:r>
    </w:p>
    <w:p>
      <w:pPr>
        <w:pStyle w:val="BookText"/>
        <w:rPr/>
      </w:pPr>
      <w:r>
        <w:rPr>
          <w:rFonts w:ascii="IRNazanin" w:hAnsi="IRNazanin" w:eastAsia="IRNazanin"/>
          <w:color w:val="111111"/>
          <w:sz w:val="28"/>
          <w:sz w:val="28"/>
          <w:szCs w:val="28"/>
          <w:rtl w:val="true"/>
          <w:lang w:bidi="fa-IR"/>
        </w:rPr>
        <w:t>کنند؛ و او در زیر قدم‌های مردم جان سپرد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بإسناده إلی قضایا أمیر المؤمنین علیه السلام إنّه قطع نبّاش القبر،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أتقطع فی الموتی؟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لنقطع لأمواتنا کما نقطع لأحیائنا،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واتی بنبّاش فأخذ بشعره وجلد به الأرض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طؤوا عباد اللَّه، فوطی‌ء حتّی مات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صدوق رحمه الله به قضایای امیرمؤمنان علیه السلام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دست نبّاش قبری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اموات همانند احیا دست قطع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نبّاشی را نزد امام امیرمؤمنان علیه السلام آوردند، آن حضرت موی او را گرفت و به زمینش زد؛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لگدکوبش کنید؛ پس، در اثر پایمال شدن زیر پای مردم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رحمه الله است و این قسمت از روایت مرسل است؛ لیکن مرحوم صدوق یک بار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اعتباری برای آن روایت نیست و یک بار گویا ناظر و حاضر در آن مسأله و جریان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به این صورت فرموده؛ یعنی واقعیتی را حکایت می‌کند و مسأله را به‌طور مستقیم به امام امیرمؤمنان علیه السلام 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نحوه از مرسلات صدوق رحمه الله، توثیق تمام واسطه‌های محذوف در 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روایت از نظر ما معتبر است و نمی‌توانیم در سندش اشکال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عن أبی یحیی الواسطی، عن بعض أصحابنا، عن أبی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اتی أمیر المؤمنین علیه السلام بنبّاش فأخّر عذابه إلی یوم الجمعة، فلمّا کان یوم الجمعة ألقاه تحت أقدام النّاس فما زالوا یتوطؤنه بأرجلهم حتّی مات</w:t>
      </w:r>
      <w:r>
        <w:rPr>
          <w:rFonts w:eastAsia="IRNazanin" w:cs="IRNazanin"/>
          <w:color w:val="111111"/>
          <w:sz w:val="28"/>
          <w:szCs w:val="28"/>
          <w:rtl w:val="true"/>
          <w:lang w:bidi="fa-IR"/>
        </w:rPr>
        <w:t>.</w:t>
      </w:r>
      <w:r>
        <w:rPr>
          <w:rStyle w:val="FootnoteAnchor"/>
          <w:rtl w:val="true"/>
        </w:rPr>
        <w:footnoteReference w:id="215"/>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مرسله همان قضیّه را به این صورت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قصّه و داستان متعدّد نبوده است؛ هرچند این روایت مرسل از ابی‌یحیی واسطی،</w:t>
      </w:r>
      <w:bookmarkStart w:id="308" w:name="pg16923_220216"/>
    </w:p>
    <w:p>
      <w:pPr>
        <w:pStyle w:val="BookText"/>
        <w:rPr/>
      </w:pPr>
      <w:bookmarkEnd w:id="308"/>
      <w:r>
        <w:rPr>
          <w:rFonts w:ascii="IRNazanin" w:hAnsi="IRNazanin" w:eastAsia="IRNazanin"/>
          <w:color w:val="111111"/>
          <w:sz w:val="28"/>
          <w:sz w:val="28"/>
          <w:szCs w:val="28"/>
          <w:rtl w:val="true"/>
          <w:lang w:bidi="fa-IR"/>
        </w:rPr>
        <w:t>اعتباری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نبّاشی را گرفتند نزد امیرمؤمنان علیه السلام آوردند، عقوبتش را تا روز جمعه به تأخیر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او را زیر قدم‌های مردم قرار داد؛ مرتّب روی او راه رفتند تا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قضیّه از طریق ابن ابی عمیر نیز نقل شده بود 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واحد من أصحابنا</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بود؛ چنین مرسلی را نیز نمی‌توان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صدوق رحمه الله هم که مرسل معتبر بود؛ لذا این قضیه سند قابل اعتماد دارد، لیکن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در این دو روایت معتبر به امام معصوم علیه السلام اسنادی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فتوایی برخلاف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فتوای مشهور را پذیرفت</w:t>
      </w:r>
      <w:r>
        <w:rPr>
          <w:rFonts w:eastAsia="IRNazanin" w:cs="IRNazanin"/>
          <w:color w:val="111111"/>
          <w:sz w:val="28"/>
          <w:szCs w:val="28"/>
          <w:rtl w:val="true"/>
          <w:lang w:bidi="fa-IR"/>
        </w:rPr>
        <w:t>.</w:t>
      </w:r>
    </w:p>
    <w:p>
      <w:pPr>
        <w:pStyle w:val="Heading6"/>
        <w:numPr>
          <w:ilvl w:val="5"/>
          <w:numId w:val="1"/>
        </w:numPr>
        <w:rPr/>
      </w:pPr>
      <w:bookmarkStart w:id="309" w:name="__RefHeading___Toc162303_3244359995"/>
      <w:bookmarkStart w:id="310" w:name="_Toc118"/>
      <w:bookmarkEnd w:id="309"/>
      <w:r>
        <w:rPr>
          <w:rtl w:val="true"/>
        </w:rPr>
        <w:t>اعتبار نصاب در کفن دزدی</w:t>
      </w:r>
      <w:bookmarkEnd w:id="310"/>
    </w:p>
    <w:p>
      <w:pPr>
        <w:pStyle w:val="Heading6"/>
        <w:numPr>
          <w:ilvl w:val="5"/>
          <w:numId w:val="1"/>
        </w:numPr>
        <w:rPr/>
      </w:pPr>
      <w:bookmarkStart w:id="311" w:name="__RefHeading___Toc162305_3244359995"/>
      <w:bookmarkStart w:id="312" w:name="_Toc119"/>
      <w:bookmarkEnd w:id="311"/>
      <w:r>
        <w:rPr>
          <w:rtl w:val="true"/>
        </w:rPr>
        <w:t>اشاره</w:t>
      </w:r>
      <w:bookmarkEnd w:id="312"/>
    </w:p>
    <w:p>
      <w:pPr>
        <w:pStyle w:val="BookText"/>
        <w:rPr/>
      </w:pPr>
      <w:r>
        <w:rPr>
          <w:rFonts w:ascii="IRNazanin" w:hAnsi="IRNazanin" w:eastAsia="IRNazanin"/>
          <w:color w:val="111111"/>
          <w:sz w:val="28"/>
          <w:sz w:val="28"/>
          <w:szCs w:val="28"/>
          <w:rtl w:val="true"/>
          <w:lang w:bidi="fa-IR"/>
        </w:rPr>
        <w:t>نتیجه‌ی بحث‌های گذشته این شد که اگر کسی نبش قبر کرد و کفن میّت را دزدید، عنوان سارق بر او منطبق است؛ و همان حدّی که در سرقت از احیا مترتّب بود، در این حالت نیز اجرا می‌گردد؛ لیکن بحثی بین فقها در اعتبار بلوغ قیمت کفن به حدّ نصاب می‌باشد، سه قول در این مطلب هست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نصاب، همان طوری که امام راحل رحمه الله در تحریرالوسیله اختیار کرده‌اند، و مختار شیخ مفید،</w:t>
      </w:r>
      <w:r>
        <w:rPr>
          <w:rStyle w:val="FootnoteAnchor"/>
          <w:rtl w:val="true"/>
        </w:rPr>
        <w:footnoteReference w:id="217"/>
      </w:r>
      <w:r>
        <w:rPr>
          <w:rFonts w:ascii="Amiri" w:hAnsi="Amiri" w:eastAsia="Amiri" w:cs="Amiri"/>
          <w:color w:val="111111"/>
          <w:sz w:val="28"/>
          <w:sz w:val="28"/>
          <w:szCs w:val="28"/>
          <w:rtl w:val="true"/>
          <w:lang w:bidi="ar-SA"/>
        </w:rPr>
        <w:t>سلّار</w:t>
      </w:r>
      <w:r>
        <w:rPr>
          <w:rStyle w:val="FootnoteAnchor"/>
          <w:rtl w:val="true"/>
        </w:rPr>
        <w:footnoteReference w:id="218"/>
      </w:r>
      <w:r>
        <w:rPr>
          <w:rFonts w:ascii="IRNazanin" w:hAnsi="IRNazanin" w:eastAsia="IRNazanin"/>
          <w:color w:val="111111"/>
          <w:sz w:val="28"/>
          <w:sz w:val="28"/>
          <w:szCs w:val="28"/>
          <w:rtl w:val="true"/>
          <w:lang w:bidi="fa-IR"/>
        </w:rPr>
        <w:t>و ابن‌حمزه رحمهم الله</w:t>
      </w:r>
      <w:r>
        <w:rPr>
          <w:rStyle w:val="FootnoteAnchor"/>
          <w:rtl w:val="true"/>
        </w:rPr>
        <w:footnoteReference w:id="219"/>
      </w:r>
      <w:r>
        <w:rPr>
          <w:rFonts w:ascii="IRNazanin" w:hAnsi="IRNazanin" w:eastAsia="IRNazanin"/>
          <w:color w:val="111111"/>
          <w:sz w:val="28"/>
          <w:sz w:val="28"/>
          <w:szCs w:val="28"/>
          <w:rtl w:val="true"/>
          <w:lang w:bidi="fa-IR"/>
        </w:rPr>
        <w:t>می‌باشد؛ بلکه به اکثر نسبت داده‌اند</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یعنی شرایط کفن دزدی را با سرقت اموال دیگر یکسان می‌بینند، فقط اختلاف در مرده و زنده بودن است؛ وگرنه کفن، مال غیر و قبر هم حرز برای آن است، شکافتن قبر نیز هتک حرز به شمار می‌آید</w:t>
      </w:r>
      <w:r>
        <w:rPr>
          <w:rFonts w:eastAsia="IRNazanin" w:cs="IRNazanin"/>
          <w:color w:val="111111"/>
          <w:sz w:val="28"/>
          <w:szCs w:val="28"/>
          <w:rtl w:val="true"/>
          <w:lang w:bidi="fa-IR"/>
        </w:rPr>
        <w:t>.</w:t>
      </w:r>
      <w:bookmarkStart w:id="313" w:name="pg16923_220217"/>
    </w:p>
    <w:p>
      <w:pPr>
        <w:pStyle w:val="BookText"/>
        <w:rPr/>
      </w:pPr>
      <w:bookmarkEnd w:id="313"/>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طوسی</w:t>
      </w:r>
      <w:r>
        <w:rPr>
          <w:rStyle w:val="FootnoteAnchor"/>
          <w:rtl w:val="true"/>
        </w:rPr>
        <w:footnoteReference w:id="221"/>
      </w:r>
      <w:r>
        <w:rPr>
          <w:rFonts w:ascii="IRNazanin" w:hAnsi="IRNazanin" w:eastAsia="IRNazanin"/>
          <w:color w:val="111111"/>
          <w:sz w:val="28"/>
          <w:sz w:val="28"/>
          <w:szCs w:val="28"/>
          <w:rtl w:val="true"/>
          <w:lang w:bidi="fa-IR"/>
        </w:rPr>
        <w:t>و قاضی ابن‌برّاج رحمهما الله</w:t>
      </w:r>
      <w:r>
        <w:rPr>
          <w:rStyle w:val="FootnoteAnchor"/>
          <w:rtl w:val="true"/>
        </w:rPr>
        <w:footnoteReference w:id="222"/>
      </w:r>
      <w:r>
        <w:rPr>
          <w:rFonts w:ascii="IRNazanin" w:hAnsi="IRNazanin" w:eastAsia="IRNazanin"/>
          <w:color w:val="111111"/>
          <w:sz w:val="28"/>
          <w:sz w:val="28"/>
          <w:szCs w:val="28"/>
          <w:rtl w:val="true"/>
          <w:lang w:bidi="fa-IR"/>
        </w:rPr>
        <w:t>و علّامه رحمه الله در ارشاد</w:t>
      </w:r>
      <w:r>
        <w:rPr>
          <w:rStyle w:val="FootnoteAnchor"/>
          <w:rtl w:val="true"/>
        </w:rPr>
        <w:footnoteReference w:id="223"/>
      </w:r>
      <w:r>
        <w:rPr>
          <w:rFonts w:ascii="IRNazanin" w:hAnsi="IRNazanin" w:eastAsia="IRNazanin"/>
          <w:color w:val="111111"/>
          <w:sz w:val="28"/>
          <w:sz w:val="28"/>
          <w:szCs w:val="28"/>
          <w:rtl w:val="true"/>
          <w:lang w:bidi="fa-IR"/>
        </w:rPr>
        <w:t>و مرحوم ابن ادریس</w:t>
      </w:r>
      <w:r>
        <w:rPr>
          <w:rStyle w:val="FootnoteAnchor"/>
          <w:rtl w:val="true"/>
        </w:rPr>
        <w:footnoteReference w:id="224"/>
      </w:r>
      <w:r>
        <w:rPr>
          <w:rFonts w:ascii="IRNazanin" w:hAnsi="IRNazanin" w:eastAsia="IRNazanin"/>
          <w:color w:val="111111"/>
          <w:sz w:val="28"/>
          <w:sz w:val="28"/>
          <w:szCs w:val="28"/>
          <w:rtl w:val="true"/>
          <w:lang w:bidi="fa-IR"/>
        </w:rPr>
        <w:t>در آخر کلامش معتقدند نصابی برای کفن دزدی مطرح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ابن‌ادریس</w:t>
      </w:r>
      <w:r>
        <w:rPr>
          <w:rStyle w:val="FootnoteAnchor"/>
          <w:rtl w:val="true"/>
        </w:rPr>
        <w:footnoteReference w:id="225"/>
      </w:r>
      <w:r>
        <w:rPr>
          <w:rFonts w:ascii="IRNazanin" w:hAnsi="IRNazanin" w:eastAsia="IRNazanin"/>
          <w:color w:val="111111"/>
          <w:sz w:val="28"/>
          <w:sz w:val="28"/>
          <w:szCs w:val="28"/>
          <w:rtl w:val="true"/>
          <w:lang w:bidi="fa-IR"/>
        </w:rPr>
        <w:t>در اوّل کلامش تفصیل می‌دهد به این که اگر مرتبه‌ی اوّلِ کفن دزدی او است، باید به حدّ نصاب برسد؛ و اگر در مرتبه‌های دیگر است؛ نصاب لازم نیست</w:t>
      </w:r>
      <w:r>
        <w:rPr>
          <w:rFonts w:eastAsia="IRNazanin" w:cs="IRNazanin"/>
          <w:color w:val="111111"/>
          <w:sz w:val="28"/>
          <w:szCs w:val="28"/>
          <w:rtl w:val="true"/>
          <w:lang w:bidi="fa-IR"/>
        </w:rPr>
        <w:t>.</w:t>
      </w:r>
    </w:p>
    <w:p>
      <w:pPr>
        <w:pStyle w:val="Heading6"/>
        <w:numPr>
          <w:ilvl w:val="5"/>
          <w:numId w:val="1"/>
        </w:numPr>
        <w:rPr/>
      </w:pPr>
      <w:bookmarkStart w:id="314" w:name="__RefHeading___Toc162307_3244359995"/>
      <w:bookmarkStart w:id="315" w:name="_Toc120"/>
      <w:bookmarkEnd w:id="314"/>
      <w:r>
        <w:rPr>
          <w:rtl w:val="true"/>
        </w:rPr>
        <w:t>دلیل قول مشهور</w:t>
      </w:r>
      <w:r>
        <w:rPr>
          <w:rtl w:val="true"/>
        </w:rPr>
        <w:t xml:space="preserve">: </w:t>
      </w:r>
      <w:r>
        <w:rPr>
          <w:rtl w:val="true"/>
        </w:rPr>
        <w:t>اعتبار نصاب</w:t>
      </w:r>
      <w:bookmarkEnd w:id="315"/>
    </w:p>
    <w:p>
      <w:pPr>
        <w:pStyle w:val="BookText"/>
        <w:rPr/>
      </w:pPr>
      <w:r>
        <w:rPr>
          <w:rFonts w:ascii="IRNazanin" w:hAnsi="IRNazanin" w:eastAsia="IRNazanin"/>
          <w:color w:val="111111"/>
          <w:sz w:val="28"/>
          <w:sz w:val="28"/>
          <w:szCs w:val="28"/>
          <w:rtl w:val="true"/>
          <w:lang w:bidi="fa-IR"/>
        </w:rPr>
        <w:t xml:space="preserve">عمده دلیل مشهور تعبیری است که در بعضی از روایات به این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نقطع لأمواتنا کما نقطع لأحیائنا</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تشبیه فقط شباهت قطع دست در سرقت اموال اموات با قطع دست در سرقت اموال احیا استفاده نمی‌شود؛ یعنی روایت در مقام بیان این مطلب باشد که ما در سرقت از اموات دست را قطع می‌کنیم؛ خواه مال مسروقه به حدّ نصاب برسد یا نه، همان طور که در سرقت از احیا دست دزد را قطع می‌کنیم در صورتی که مال مسروقه به حدّ نصاب برسد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در مقام القای شباهت بین دو مطلب از تمام جهات و خصوصیّات است؛ یعنی به همان کیفیّتی که در باب سرقت از احیا، قطع دست هست، در سرقت از اموات نیز قطع دست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با توجّه به این که در بعضی از روایات، عنوان سارق بر نبّاش منطبق شده بود و اطلاق سارق بر نبّاش یک اطلاق مسامحی و مجازی نیست؛ لذا، در تعبیرات زبان فارسی نیز به او کفن دزد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غصب، اختلاس و مانند آن را در مورد نبّاش بکار نمی‌برند، بلکه در روایتی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سارق وهتّاک للموتی</w:t>
      </w:r>
      <w:r>
        <w:rPr>
          <w:rFonts w:eastAsia="IRNazanin" w:cs="IRNazanin"/>
          <w:color w:val="111111"/>
          <w:sz w:val="28"/>
          <w:szCs w:val="28"/>
          <w:rtl w:val="true"/>
          <w:lang w:bidi="fa-IR"/>
        </w:rPr>
        <w:t>».</w:t>
      </w:r>
      <w:r>
        <w:rPr>
          <w:rStyle w:val="FootnoteAnchor"/>
          <w:rtl w:val="true"/>
        </w:rPr>
        <w:footnoteReference w:id="227"/>
      </w:r>
      <w:bookmarkStart w:id="316" w:name="pg16923_220218"/>
    </w:p>
    <w:p>
      <w:pPr>
        <w:pStyle w:val="BookText"/>
        <w:rPr/>
      </w:pPr>
      <w:bookmarkEnd w:id="316"/>
      <w:r>
        <w:rPr>
          <w:rFonts w:ascii="IRNazanin" w:hAnsi="IRNazanin" w:eastAsia="IRNazanin"/>
          <w:color w:val="111111"/>
          <w:sz w:val="28"/>
          <w:sz w:val="28"/>
          <w:szCs w:val="28"/>
          <w:rtl w:val="true"/>
          <w:lang w:bidi="fa-IR"/>
        </w:rPr>
        <w:t>اگر نبّاش سارق است، ادلّه‌ای که مفادش اعتبار نصاب در ثبوت حدّ سرقت است شاملش می‌گردد؛ زیرا، این ادلّه به سرقت از زنده‌ها انصراف ندارد؛ بلکه اطلاق آن هر سرقت موجب قطعی را مقیّد به حدّ نصاب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قیمت مال مسروقه و کفنی را که دزدیده است به حدّ نصاب نرسد، دست نبّاش را قطع نمی‌کنند</w:t>
      </w:r>
      <w:r>
        <w:rPr>
          <w:rFonts w:eastAsia="IRNazanin" w:cs="IRNazanin"/>
          <w:color w:val="111111"/>
          <w:sz w:val="28"/>
          <w:szCs w:val="28"/>
          <w:rtl w:val="true"/>
          <w:lang w:bidi="fa-IR"/>
        </w:rPr>
        <w:t>.</w:t>
      </w:r>
    </w:p>
    <w:p>
      <w:pPr>
        <w:pStyle w:val="Heading6"/>
        <w:numPr>
          <w:ilvl w:val="5"/>
          <w:numId w:val="1"/>
        </w:numPr>
        <w:rPr/>
      </w:pPr>
      <w:bookmarkStart w:id="317" w:name="__RefHeading___Toc162309_3244359995"/>
      <w:bookmarkStart w:id="318" w:name="_Toc121"/>
      <w:bookmarkEnd w:id="317"/>
      <w:r>
        <w:rPr>
          <w:rtl w:val="true"/>
        </w:rPr>
        <w:t>دلیل قوم دوّم</w:t>
      </w:r>
      <w:r>
        <w:rPr>
          <w:rtl w:val="true"/>
        </w:rPr>
        <w:t xml:space="preserve">: </w:t>
      </w:r>
      <w:r>
        <w:rPr>
          <w:rtl w:val="true"/>
        </w:rPr>
        <w:t>عدم اعتبار نصاب</w:t>
      </w:r>
      <w:bookmarkEnd w:id="318"/>
    </w:p>
    <w:p>
      <w:pPr>
        <w:pStyle w:val="BookText"/>
        <w:rPr/>
      </w:pPr>
      <w:r>
        <w:rPr>
          <w:rFonts w:ascii="IRNazanin" w:hAnsi="IRNazanin" w:eastAsia="IRNazanin"/>
          <w:color w:val="111111"/>
          <w:sz w:val="28"/>
          <w:sz w:val="28"/>
          <w:szCs w:val="28"/>
          <w:rtl w:val="true"/>
          <w:lang w:bidi="fa-IR"/>
        </w:rPr>
        <w:t>دلیل این قول روایاتی است که به‌طور مطلق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یقطع النبّاش والطرّار ولا یقطع المختلس</w:t>
      </w:r>
      <w:r>
        <w:rPr>
          <w:rFonts w:eastAsia="IRNazanin" w:cs="IRNazanin"/>
          <w:color w:val="111111"/>
          <w:sz w:val="28"/>
          <w:szCs w:val="28"/>
          <w:rtl w:val="true"/>
          <w:lang w:bidi="fa-IR"/>
        </w:rPr>
        <w:t>»</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بزرگان یک نظر ابتدایی به روایات کرده‌اند و از عدم تقیید این دسته روایات به نصاب حدّ سرقت، عدم دخل نصاب را فهمیده‌اند؛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یقطع النبّاش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کفن به اندازه‌ی نصاب برسد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نقد این فتوا واضح است؛ زیرا، باید مجموعه‌ی روایات را با هم ملاحظه کرد، از روایاتی که مشتمل بر تشبیه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نقطع لأمواتنا کما نقطع لأحیائنا</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 xml:space="preserve">و روایاتی که مفادش تعلیل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سارق وهتّاک للموتی</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منطبق بر نبّاشی که واجب است دستش را قطع کنیم، عنوان سارق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این عنوان هم به نحو مجاز و مسامحه نیست، بلکه از نظر عرف و عقلا به نحو حقیقت به کفن دزد نبّاش، سارق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قطع دست به خاطر تطبیق عنوان سارق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تمام خصوصیّات و شرایطی که در ثبوت حدّ نسبت به سارق لازم است، در این‌جا نیز باید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جمله‌ی آن شرایط، اعتبار نصاب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19" w:name="__RefHeading___Toc162311_3244359995"/>
      <w:bookmarkStart w:id="320" w:name="_Toc122"/>
      <w:bookmarkEnd w:id="319"/>
      <w:r>
        <w:rPr>
          <w:rtl w:val="true"/>
        </w:rPr>
        <w:t>قول سوّم</w:t>
      </w:r>
      <w:r>
        <w:rPr>
          <w:rtl w:val="true"/>
        </w:rPr>
        <w:t xml:space="preserve">: </w:t>
      </w:r>
      <w:r>
        <w:rPr>
          <w:rtl w:val="true"/>
        </w:rPr>
        <w:t>تفصیل بین مرتبه‌ی اوّل و غیر آن</w:t>
      </w:r>
      <w:bookmarkStart w:id="321" w:name="pg16923_220219"/>
      <w:bookmarkEnd w:id="320"/>
    </w:p>
    <w:p>
      <w:pPr>
        <w:pStyle w:val="BookText"/>
        <w:rPr/>
      </w:pPr>
      <w:bookmarkEnd w:id="321"/>
      <w:r>
        <w:rPr>
          <w:rFonts w:ascii="IRNazanin" w:hAnsi="IRNazanin" w:eastAsia="IRNazanin"/>
          <w:color w:val="111111"/>
          <w:sz w:val="28"/>
          <w:sz w:val="28"/>
          <w:szCs w:val="28"/>
          <w:rtl w:val="true"/>
          <w:lang w:bidi="fa-IR"/>
        </w:rPr>
        <w:t>ابن‌ادریس رحمه الله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مرتبه‌ی اوّل عنوان سرقت صادق است؛ لذا، باید نصاب سرقت وجود داشته باشد تا حدّ سرقت پیاده گردد، امّا در مراتب بعدی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 و قطع دستی که در باب مفسد فی الارض مطرح است، مشروط به نصاب نیست</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نقد این دلیل نیز روشن است؛ زیرا، دلیلی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 لازم است مقیّد به مرتبه‌ی اول و غیر آن نیست و بلکه مطلق است، شامل مرتبه‌ی دوّم و سوّم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دلیل مقیّد به مرتبه‌ی اول بود، حقّ با اینان بود؛ لیکن با عدم تقیید، هر حدّی که در سرقت از زنده‌ها در مرتبه‌ی دوّم جاری می‌کنند در حقّ سارق از اموات نیز همان را اجرا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را از کدام دلیل استفاده می‌کنید و سرقت در مرتبه‌ی دوّم و سوّم را در باب افساد و مفسد داخل می‌کنید؛ آن‌گاه می‌گویید در باب مفسد، نصاب مطرح نیست؟ لذا، در سرقت مرتبه‌ی اوّل چون عنوان سارق صادق است، باید به حدّ نصاب برسد تا دستش را قطع کنیم؛ ولی در سرقت مرتبه‌ی دوّم و سوّم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مفسد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نیاز به نصاب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 مطالب بدون دلیل است، در مراتب بعد نیز همان دلیل مرتبه‌ی اوّل منطبق می‌گردد</w:t>
      </w:r>
      <w:r>
        <w:rPr>
          <w:rFonts w:eastAsia="IRNazanin" w:cs="IRNazanin"/>
          <w:color w:val="111111"/>
          <w:sz w:val="28"/>
          <w:szCs w:val="28"/>
          <w:rtl w:val="true"/>
          <w:lang w:bidi="fa-IR"/>
        </w:rPr>
        <w:t>.</w:t>
      </w:r>
    </w:p>
    <w:p>
      <w:pPr>
        <w:pStyle w:val="Heading4"/>
        <w:numPr>
          <w:ilvl w:val="3"/>
          <w:numId w:val="1"/>
        </w:numPr>
        <w:rPr/>
      </w:pPr>
      <w:bookmarkStart w:id="322" w:name="__RefHeading___Toc162313_3244359995"/>
      <w:bookmarkStart w:id="323" w:name="_Toc123"/>
      <w:bookmarkEnd w:id="322"/>
      <w:r>
        <w:rPr>
          <w:rtl w:val="true"/>
        </w:rPr>
        <w:t>حکم نبش قبر بدون سرقت کفن</w:t>
      </w:r>
      <w:bookmarkEnd w:id="323"/>
    </w:p>
    <w:p>
      <w:pPr>
        <w:pStyle w:val="Heading5"/>
        <w:numPr>
          <w:ilvl w:val="4"/>
          <w:numId w:val="1"/>
        </w:numPr>
        <w:rPr/>
      </w:pPr>
      <w:bookmarkStart w:id="324" w:name="__RefHeading___Toc162315_3244359995"/>
      <w:bookmarkStart w:id="325" w:name="_Toc124"/>
      <w:bookmarkEnd w:id="324"/>
      <w:r>
        <w:rPr>
          <w:rtl w:val="true"/>
        </w:rPr>
        <w:t>اشاره</w:t>
      </w:r>
      <w:bookmarkEnd w:id="325"/>
    </w:p>
    <w:p>
      <w:pPr>
        <w:pStyle w:val="BookText"/>
        <w:rPr/>
      </w:pPr>
      <w:r>
        <w:rPr>
          <w:rFonts w:ascii="IRNazanin" w:hAnsi="IRNazanin" w:eastAsia="IRNazanin"/>
          <w:color w:val="111111"/>
          <w:sz w:val="28"/>
          <w:sz w:val="28"/>
          <w:szCs w:val="28"/>
          <w:rtl w:val="true"/>
          <w:lang w:bidi="fa-IR"/>
        </w:rPr>
        <w:t>اگر نبّاشی قبر را شکافت ولی کفن میّت را به سرقت نبرد، بلکه برای اهانت به میّت، یا زنای با آن، یا دفن مرده‌ی دیگر و مانند آن دست به این کار زد، امام راحل رحمه الله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حکمش قطع دست نیست، بلکه او را تعزیر می‌کنند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کلمات اصحاب و فقها در این مسأله واضح و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 در جمع بین روایاتی که بر قطع دست دلالت می‌کرد و روایت فضیل</w:t>
      </w:r>
      <w:r>
        <w:rPr>
          <w:rStyle w:val="FootnoteAnchor"/>
          <w:rtl w:val="true"/>
        </w:rPr>
        <w:footnoteReference w:id="232"/>
      </w:r>
      <w:r>
        <w:rPr>
          <w:rFonts w:ascii="IRNazanin" w:hAnsi="IRNazanin" w:eastAsia="IRNazanin"/>
          <w:color w:val="111111"/>
          <w:sz w:val="28"/>
          <w:sz w:val="28"/>
          <w:szCs w:val="28"/>
          <w:rtl w:val="true"/>
          <w:lang w:bidi="fa-IR"/>
        </w:rPr>
        <w:t>که بر عدم قطع دلالت دارد، صاحب ریاض رحمه الله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که عدّه‌ای از اصحاب گفته‌اند، این است که روایات دالّ بر قطع دست را بر مورد سرقت کفن و روایات عدم قطع را بر مورد نبش تنها و مجرّد از سرقت کفن حمل می‌نماییم؛ لذا در خصوص این فرع، نظر اصحاب بر عدم قطع و</w:t>
      </w:r>
    </w:p>
    <w:p>
      <w:pPr>
        <w:pStyle w:val="BookText"/>
        <w:rPr/>
      </w:pPr>
      <w:r>
        <w:rPr>
          <w:rFonts w:ascii="IRNazanin" w:hAnsi="IRNazanin" w:eastAsia="IRNazanin"/>
          <w:color w:val="111111"/>
          <w:sz w:val="28"/>
          <w:sz w:val="28"/>
          <w:szCs w:val="28"/>
          <w:rtl w:val="true"/>
          <w:lang w:bidi="fa-IR"/>
        </w:rPr>
        <w:t>تعزیر است</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نظر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گذشته گفتیم روایت فضیل همان روایت عیسی بن صبیح است و در نقل روایت اشتباهی رخ داده است؛ علاوه بر این که در روایاتی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مطلق به کار رفته است، ظاهراً مقصود از این عنوان، نبّاش سارق است و نه فقط صرف نبّاشی؛ زیرا، غرضِ نوعی عقلایی از نبش قبر، بردن کفن میّت است؛ اگرچه گاه به‌طور نادر اغراض دیگری نیز در این عمل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نقطع لأحیائنا کما نقطع لأمواتنا</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 xml:space="preserve">اگر سرقتی در کار نباشد، صادق نیست؛ و این قطع در مورد نبّاش غیرسارق پیاده نمی‌شود؛ و هم‌چنین است روایتی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سارق وهتّاک للموتی</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درنتیجه، روایاتی که بر قطع دست دلالت دارد، موردی را می‌گوید که نبش قبر همراه با سرقت کفن باشد؛ لیکن در این مقام روایتی نیز وجود دارد که برخلاف مدّعای ما دلالت دارد؛ و آن روایت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محمّد بن النّعمان المفید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علیّ بن ابراهیم بن هاشم،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الرضا علیه السلام حججنا فدخلنا علی أبی جعفر علیه السلام وقد حضر خلق من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جعفر سئل أبی عن رجل نبش قبر امرأة فنکحها، 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یقطع یمینه للنّبش ویضرب حدّ الزّنا، فإنّ حرمة المیّتة کحرمة الحیّة،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سیّدنا تأذن لنا أن نسألک؟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فسألوه فی مجلس عن ثلاثین ألف مسألة فأجابهم فیها وله تسع سنین</w:t>
      </w:r>
      <w:r>
        <w:rPr>
          <w:rFonts w:eastAsia="IRNazanin" w:cs="IRNazanin"/>
          <w:color w:val="111111"/>
          <w:sz w:val="28"/>
          <w:szCs w:val="28"/>
          <w:rtl w:val="true"/>
          <w:lang w:bidi="fa-IR"/>
        </w:rPr>
        <w:t>.</w:t>
      </w:r>
      <w:r>
        <w:rPr>
          <w:rStyle w:val="FootnoteAnchor"/>
          <w:rtl w:val="true"/>
        </w:rPr>
        <w:footnoteReference w:id="236"/>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هاشم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امام هشتم علی بن موسی الرضا علیه السلام به حجّ مشرف شدیم و بر امام جواد علیه السلام وارد 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شیعیان در</w:t>
      </w:r>
    </w:p>
    <w:p>
      <w:pPr>
        <w:pStyle w:val="BookText"/>
        <w:rPr/>
      </w:pPr>
      <w:r>
        <w:rPr>
          <w:rFonts w:ascii="IRNazanin" w:hAnsi="IRNazanin" w:eastAsia="IRNazanin"/>
          <w:color w:val="111111"/>
          <w:sz w:val="28"/>
          <w:sz w:val="28"/>
          <w:szCs w:val="28"/>
          <w:rtl w:val="true"/>
          <w:lang w:bidi="fa-IR"/>
        </w:rPr>
        <w:t>محضر آن بزرگوار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امام رضا علیه السلام درباره‌ی مردی پرسیدند که قبر زنی را نبش و با میّت زنا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برای نبش قبر می‌برند و حدّ زنا بر او می‌زنند؛ زیرا، مردگان از نظر احترام با زندگان برابری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حاضر اجازه خواست تا پرسش‌هایش را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اذن امام در آن جلسه، سی هزار سؤال پرسیدند و جواب گرفتند؛ در حالی که امام جواد علیه السلام بیش از نه سال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سخنی از سرقت کفن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قطع دست را به نبش قبر تعلیل کرد؛ و ظهور روایت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ظهور روایات گذشته نمی‌تواند مقاومت کند؛ زیرا، در آن‌ها عناوین و تعلیل‌هایی بود که بر نبّاش منطبق می‌شود مثلًا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نقطع لأمواتنا کما نقطع لأحیائنا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سارق وهتّاک للموتی</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اگر سرقت کفن در قطع دست دخالت نداشت، تشبیه و تعلیل نادرست بود؛ زیرا، اگر کسی حرز مال زنده‌ها را هتک کند و وارد خانه گردد امّا چیزی نبرد، قطع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 نبش قبر، بر صرف این عمل قطع دست را مترتّب کنیم و سرقت کفن و عدمش را دخیل ندانیم، چگونه تشبیه و تعلیل صحیح خواهد بود؟</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نبش قبر بدون سرقت، عنوان مفسد و افساد منطبق است، و از این رو، دست نبّاش را قطع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گذشته با ظهور قوی دلالت داشت بر این که عنوان سرقت در قطع دست نقش دارد؛ لذا آن روایات قرینه‌ی بر مراد از این حدیث می‌گردد؛ یعنی نبّاش پس از شکافتن قبر و زنا با میّت، کفن او را نیز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نیز داریم که بر کفن دزدی و زنا دلالت می‌کرد</w:t>
      </w:r>
      <w:r>
        <w:rPr>
          <w:rFonts w:eastAsia="IRNazanin" w:cs="IRNazanin"/>
          <w:color w:val="111111"/>
          <w:sz w:val="28"/>
          <w:szCs w:val="28"/>
          <w:rtl w:val="true"/>
          <w:lang w:bidi="fa-IR"/>
        </w:rPr>
        <w:t>.</w:t>
      </w:r>
      <w:r>
        <w:rPr>
          <w:rStyle w:val="FootnoteAnchor"/>
          <w:rtl w:val="true"/>
        </w:rPr>
        <w:footnoteReference w:id="239"/>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که در روایت، مطلبی هست که باور کردن آن مشکل است؛ در یک مجلس چگونه امکان دارد سی هزار سؤال مطرح و پاسخ داده شود؛ هرچند جواب‌ها به صورت</w:t>
      </w:r>
      <w:bookmarkStart w:id="326" w:name="pg16923_220222"/>
    </w:p>
    <w:p>
      <w:pPr>
        <w:pStyle w:val="BookText"/>
        <w:rPr/>
      </w:pPr>
      <w:bookmarkEnd w:id="326"/>
      <w:r>
        <w:rPr>
          <w:rFonts w:ascii="IRNazanin" w:hAnsi="IRNazanin" w:eastAsia="IRNazanin"/>
          <w:color w:val="111111"/>
          <w:sz w:val="28"/>
          <w:sz w:val="28"/>
          <w:szCs w:val="28"/>
          <w:rtl w:val="true"/>
          <w:lang w:bidi="fa-IR"/>
        </w:rPr>
        <w:t>آری و 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نتیجه‌ای که از حاصل روایات گرفته می‌شود، این است که در جایی که نبش قبر همراه با سرقت به حدّ نصاب باشد، قطع دست هست؛ و الّا اگر سرقتی در کار نبود یا به حدّ نصاب نرسید، نبّاش را تعزیر می‌کنند</w:t>
      </w:r>
      <w:r>
        <w:rPr>
          <w:rFonts w:eastAsia="IRNazanin" w:cs="IRNazanin"/>
          <w:color w:val="111111"/>
          <w:sz w:val="28"/>
          <w:szCs w:val="28"/>
          <w:rtl w:val="true"/>
          <w:lang w:bidi="fa-IR"/>
        </w:rPr>
        <w:t>.</w:t>
      </w:r>
    </w:p>
    <w:p>
      <w:pPr>
        <w:pStyle w:val="Heading5"/>
        <w:numPr>
          <w:ilvl w:val="4"/>
          <w:numId w:val="1"/>
        </w:numPr>
        <w:rPr/>
      </w:pPr>
      <w:bookmarkStart w:id="327" w:name="__RefHeading___Toc162317_3244359995"/>
      <w:bookmarkStart w:id="328" w:name="_Toc125"/>
      <w:bookmarkEnd w:id="327"/>
      <w:r>
        <w:rPr>
          <w:rtl w:val="true"/>
        </w:rPr>
        <w:t>فرع دوّم</w:t>
      </w:r>
      <w:r>
        <w:rPr>
          <w:rtl w:val="true"/>
        </w:rPr>
        <w:t xml:space="preserve">: </w:t>
      </w:r>
      <w:r>
        <w:rPr>
          <w:rtl w:val="true"/>
        </w:rPr>
        <w:t>حکم سرقت غیر کفن</w:t>
      </w:r>
      <w:bookmarkEnd w:id="328"/>
    </w:p>
    <w:p>
      <w:pPr>
        <w:pStyle w:val="BookText"/>
        <w:rPr/>
      </w:pPr>
      <w:r>
        <w:rPr>
          <w:rFonts w:ascii="IRNazanin" w:hAnsi="IRNazanin" w:eastAsia="IRNazanin"/>
          <w:color w:val="111111"/>
          <w:sz w:val="28"/>
          <w:sz w:val="28"/>
          <w:szCs w:val="28"/>
          <w:rtl w:val="true"/>
          <w:lang w:bidi="fa-IR"/>
        </w:rPr>
        <w:t>اگر قبر میّت را نبش کرد و چیز دیگری که همراه با میّت است به سرقت برد، امام راحل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فقط برای کفن حرز است، امّا اشیای دیگر محرز به قبر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مانند مسأله‌ی هشتم تحریرالوسیله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دزدی به اصطبلی که حرز برای حیوان است داخل شود و کیف پول صاحب اصطبل که روی زمین افتاده است را بردارد، بر سرقت پول، قطع دست نیست؛ زیرا، اصطبل و طویله حرز برای حیوان است و نه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نیز حرز برای کفن است و برای اشیای دیگر، حرز محسوب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اطلاق فتوای تحریرالوسیله را باید مقیّد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عرف و جامعه‌ی آن محل، متعارف است که همراه با میّت، علاوه بر کفن، اشیای دیگری نیز می‌گذارند، بعید نیست همان‌طور که قبر برای کفن حرز است برای آن اشیا نیز حرز باشد؛ ولی اگر متعارف نباشد و چیزی را برخلاف رسم و عادت، همراه با میّت در قبر گذاشتند، بر سرقت آن قطع دست مترتّب نمی‌گردد؛ زیرا، صرف دفن کردن، حرز به شمار نمی‌آید و در سرقت لازم است سارق هتک حرز کرده و از حرز مالی را به بیرون آورده باشد تا قطع دست به عنوان مجازات در حقّش اجرا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عبارت تحریرالوسیله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همراه با میّت چیزی را بگذارند و نبّاشی قبر را بشکافد و بیرون آورد، اگر بنا بر اقوی نگوییم، لااقل بنا بر احتیاط قطع دست نیست</w:t>
      </w:r>
      <w:r>
        <w:rPr>
          <w:rFonts w:eastAsia="IRNazanin" w:cs="IRNazanin"/>
          <w:color w:val="111111"/>
          <w:sz w:val="28"/>
          <w:szCs w:val="28"/>
          <w:rtl w:val="true"/>
          <w:lang w:bidi="fa-IR"/>
        </w:rPr>
        <w:t>.</w:t>
      </w:r>
    </w:p>
    <w:p>
      <w:pPr>
        <w:pStyle w:val="Heading5"/>
        <w:numPr>
          <w:ilvl w:val="4"/>
          <w:numId w:val="1"/>
        </w:numPr>
        <w:rPr/>
      </w:pPr>
      <w:bookmarkStart w:id="329" w:name="__RefHeading___Toc162319_3244359995"/>
      <w:bookmarkStart w:id="330" w:name="_Toc126"/>
      <w:bookmarkEnd w:id="329"/>
      <w:r>
        <w:rPr>
          <w:rtl w:val="true"/>
        </w:rPr>
        <w:t>فرع سوّم</w:t>
      </w:r>
      <w:r>
        <w:rPr>
          <w:rtl w:val="true"/>
        </w:rPr>
        <w:t xml:space="preserve">: </w:t>
      </w:r>
      <w:r>
        <w:rPr>
          <w:rtl w:val="true"/>
        </w:rPr>
        <w:t>حکم نبش قبر مکرّر با فرار از سلطان</w:t>
      </w:r>
      <w:bookmarkEnd w:id="330"/>
    </w:p>
    <w:p>
      <w:pPr>
        <w:pStyle w:val="Heading6"/>
        <w:numPr>
          <w:ilvl w:val="5"/>
          <w:numId w:val="1"/>
        </w:numPr>
        <w:rPr/>
      </w:pPr>
      <w:bookmarkStart w:id="331" w:name="__RefHeading___Toc162321_3244359995"/>
      <w:bookmarkStart w:id="332" w:name="_Toc127"/>
      <w:bookmarkEnd w:id="331"/>
      <w:r>
        <w:rPr>
          <w:rtl w:val="true"/>
        </w:rPr>
        <w:t>اشاره</w:t>
      </w:r>
      <w:bookmarkEnd w:id="332"/>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در کلام مرحوم شیخ مفید</w:t>
      </w:r>
      <w:r>
        <w:rPr>
          <w:rStyle w:val="FootnoteAnchor"/>
          <w:rtl w:val="true"/>
        </w:rPr>
        <w:footnoteReference w:id="240"/>
      </w:r>
      <w:r>
        <w:rPr>
          <w:rFonts w:ascii="IRNazanin" w:hAnsi="IRNazanin" w:eastAsia="IRNazanin"/>
          <w:color w:val="111111"/>
          <w:sz w:val="28"/>
          <w:sz w:val="28"/>
          <w:szCs w:val="28"/>
          <w:rtl w:val="true"/>
          <w:lang w:bidi="fa-IR"/>
        </w:rPr>
        <w:t>و شیخ طوسی رحمهما الله</w:t>
      </w:r>
      <w:r>
        <w:rPr>
          <w:rStyle w:val="FootnoteAnchor"/>
          <w:rtl w:val="true"/>
        </w:rPr>
        <w:footnoteReference w:id="241"/>
      </w:r>
      <w:r>
        <w:rPr>
          <w:rFonts w:ascii="IRNazanin" w:hAnsi="IRNazanin" w:eastAsia="IRNazanin"/>
          <w:color w:val="111111"/>
          <w:sz w:val="28"/>
          <w:sz w:val="28"/>
          <w:szCs w:val="28"/>
          <w:rtl w:val="true"/>
          <w:lang w:bidi="fa-IR"/>
        </w:rPr>
        <w:t>و دیگران مطرح است</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اگر</w:t>
      </w:r>
      <w:bookmarkStart w:id="333" w:name="pg16923_220223"/>
    </w:p>
    <w:p>
      <w:pPr>
        <w:pStyle w:val="BookText"/>
        <w:rPr/>
      </w:pPr>
      <w:bookmarkEnd w:id="333"/>
      <w:r>
        <w:rPr>
          <w:rFonts w:ascii="IRNazanin" w:hAnsi="IRNazanin" w:eastAsia="IRNazanin"/>
          <w:color w:val="111111"/>
          <w:sz w:val="28"/>
          <w:sz w:val="28"/>
          <w:szCs w:val="28"/>
          <w:rtl w:val="true"/>
          <w:lang w:bidi="fa-IR"/>
        </w:rPr>
        <w:t>فردی به‌طور مکرّر به نبش قبر پرداخت ولی کفنی را به سرقت نبرد، به گفته‌ی شیخ مفید رحمه الله بدون این که گرفتار حکومت و سلطان گردد، به این عمل ادامه داد سلطان می‌تواند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عبارت شیخ مفید رحمه الله مختار بودن سلطان در قتل و عدم آن است</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شیخ طوسی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به‌طور مکرّر نبش قبر کرد و بر او حدّ اقامه کردند، واجب است او را بکشند</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در عبارت تحریرالوسیله مسامحه‌ای هست؛ زیرا،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ظهور در تعیّن قتل دارد؛ و این با عبارت شیخ مفید رحمه الله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أن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عبارت مرحوم شیخ نیز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فرار از حکومت و سلطان را ندارد</w:t>
      </w:r>
      <w:r>
        <w:rPr>
          <w:rFonts w:eastAsia="IRNazanin" w:cs="IRNazanin"/>
          <w:color w:val="111111"/>
          <w:sz w:val="28"/>
          <w:szCs w:val="28"/>
          <w:rtl w:val="true"/>
          <w:lang w:bidi="fa-IR"/>
        </w:rPr>
        <w:t>.</w:t>
      </w:r>
    </w:p>
    <w:p>
      <w:pPr>
        <w:pStyle w:val="Heading6"/>
        <w:numPr>
          <w:ilvl w:val="5"/>
          <w:numId w:val="1"/>
        </w:numPr>
        <w:rPr/>
      </w:pPr>
      <w:bookmarkStart w:id="334" w:name="__RefHeading___Toc162323_3244359995"/>
      <w:bookmarkStart w:id="335" w:name="_Toc128"/>
      <w:bookmarkEnd w:id="334"/>
      <w:r>
        <w:rPr>
          <w:rtl w:val="true"/>
        </w:rPr>
        <w:t>دلیل فرع سوّم</w:t>
      </w:r>
      <w:bookmarkEnd w:id="335"/>
    </w:p>
    <w:p>
      <w:pPr>
        <w:pStyle w:val="BookText"/>
        <w:rPr/>
      </w:pPr>
      <w:r>
        <w:rPr>
          <w:rFonts w:ascii="IRNazanin" w:hAnsi="IRNazanin" w:eastAsia="IRNazanin"/>
          <w:color w:val="111111"/>
          <w:sz w:val="28"/>
          <w:sz w:val="28"/>
          <w:szCs w:val="28"/>
          <w:rtl w:val="true"/>
          <w:lang w:bidi="fa-IR"/>
        </w:rPr>
        <w:t>صاحب جواهر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ادلّه را زیر و رو کردیم، ولی مطلب و دلیلی بر این فرع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همان سه روایتی که در گذشته به آن اشاره کردیم، هست که امام علی علیه السلام نبّاش را زیر قدم مردم انداخت تا در اثر لگدکوبی جان سپرد</w:t>
      </w:r>
      <w:r>
        <w:rPr>
          <w:rStyle w:val="FootnoteAnchor"/>
          <w:rtl w:val="true"/>
        </w:rPr>
        <w:footnoteReference w:id="245"/>
      </w:r>
      <w:r>
        <w:rPr>
          <w:rFonts w:ascii="IRNazanin" w:hAnsi="IRNazanin" w:eastAsia="IRNazanin"/>
          <w:color w:val="111111"/>
          <w:sz w:val="28"/>
          <w:sz w:val="28"/>
          <w:szCs w:val="28"/>
          <w:rtl w:val="true"/>
          <w:lang w:bidi="fa-IR"/>
        </w:rPr>
        <w:t>تکرار فعل را نیز از صیغه‌ی نبّاش که صیغه‌ی مبالغه است، می‌فهمیم</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در نقد این دلیل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 اسم فاعلی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نبش ینبش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و این بیانگر استعمال نبّاش به جای نابش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این کلمه نمی‌توان نبش قبر مکرّر را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 یعنی کسی که قبر را نبش کند؛ خواه مرتبه‌ی اوّلش باشد یا مرتبه‌های مکرّر</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کفایةالاصول</w:t>
      </w:r>
      <w:r>
        <w:rPr>
          <w:rStyle w:val="FootnoteAnchor"/>
          <w:rtl w:val="true"/>
        </w:rPr>
        <w:footnoteReference w:id="247"/>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اسم فاعل جنبه‌ی حرفه و صناعت ملاحظه</w:t>
      </w:r>
    </w:p>
    <w:p>
      <w:pPr>
        <w:pStyle w:val="BookText"/>
        <w:rPr/>
      </w:pPr>
      <w:r>
        <w:rPr>
          <w:rFonts w:ascii="IRNazanin" w:hAnsi="IRNazanin" w:eastAsia="IRNazanin"/>
          <w:color w:val="111111"/>
          <w:sz w:val="28"/>
          <w:sz w:val="28"/>
          <w:szCs w:val="28"/>
          <w:rtl w:val="true"/>
          <w:lang w:bidi="fa-IR"/>
        </w:rPr>
        <w:t>می‌شود؛ بدون این که مسأله‌ی تکرار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یعنی کسی که شغلش تجارت است، نبّاش یعنی کسی که دست به این کار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مفاد این روایات سه‌گانه با روایات گذشته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این تعارض، آن دسته از روایات که با فتوای مشهور مطابقت داشت را اخذ می‌کنیم و علم این دسته از روایات را نیز به اهلش ردّ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محقّق</w:t>
      </w:r>
      <w:r>
        <w:rPr>
          <w:rStyle w:val="FootnoteAnchor"/>
          <w:rtl w:val="true"/>
        </w:rPr>
        <w:footnoteReference w:id="248"/>
      </w:r>
      <w:r>
        <w:rPr>
          <w:rFonts w:ascii="IRNazanin" w:hAnsi="IRNazanin" w:eastAsia="IRNazanin"/>
          <w:color w:val="111111"/>
          <w:sz w:val="28"/>
          <w:sz w:val="28"/>
          <w:szCs w:val="28"/>
          <w:rtl w:val="true"/>
          <w:lang w:bidi="fa-IR"/>
        </w:rPr>
        <w:t>پس از نقل کلام شیخ مفید رحمه الله دلیلی می‌آورد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للردع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سلطان نبّاش را در مرتبه سوّم و چهارم نبّاشی به قتل برساند تا به این وسیله مانع دیگران از ارتکاب این عمل بشود، و با کشتن این نبّاش از فساد و افساد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مرحوم محقّق مطلب را بر عنوان افساد و مفسد مبتنی کرد؛ یعنی اگر کسی یک‌بار یا دوبار نبش قبر کند، به او مفسد فی الارض نمی‌گویند؛ ولی اگر سه مرتبه یا بیشتر دست به این کار زد، مفسد است و احکام مفسد در حقّش جاری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تحقّق عنوان مفسد فی الارض و محارب نسبت به چنین فردی تأمّل داریم؛ و در بحث محارب به این مسأله رسیدگی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تحقّق و انطباق این عنوان، در کدام صورت تحقّقش اقرب است؟ کسی که به‌طور مکرّر نبش قبر کرده و گرفتار سلطان نشده است یا کسی که پس از هر نبش قبری عقوبت و تعزیر شده است و باز دست از این کار برنداشته است؟</w:t>
      </w:r>
    </w:p>
    <w:p>
      <w:pPr>
        <w:pStyle w:val="BookText"/>
        <w:rPr/>
      </w:pPr>
      <w:r>
        <w:rPr>
          <w:rFonts w:ascii="IRNazanin" w:hAnsi="IRNazanin" w:eastAsia="IRNazanin"/>
          <w:color w:val="111111"/>
          <w:sz w:val="28"/>
          <w:sz w:val="28"/>
          <w:szCs w:val="28"/>
          <w:rtl w:val="true"/>
          <w:lang w:bidi="fa-IR"/>
        </w:rPr>
        <w:t xml:space="preserve">لذا، اگر بر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 و افساد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می‌کنید، باید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هرب من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نکنید؛ بلکه به اقامه‌ی تعزیر در مرتبه‌ی اول و دوّم و عدم ردع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وجه از مرحوم محقّق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راه حلّی که ممکن است قتل را در مورد نبّاش پیاده کند، این است که بگوییم بر مطلق نبش قبر، قطع دست مترتّب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مرتبه‌ی اوّل دست راست، در مرتبه‌ی دوّم، دست چپ، و در مرتبه‌ی سوّم بنا بر صحیحه‌ی یونس که اصحاب کبائر را در مرتبه‌ی سوّم می‌کشند، قتلش متعیّن می‌گردد؛ ولی این مطلب با فتوای شیخ مفید رحمه الله ملایمتی ندارد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فله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با فتوای مرحوم شیخ طوسی با در نظر گرفتن دو مقدّمه</w:t>
      </w:r>
    </w:p>
    <w:p>
      <w:pPr>
        <w:pStyle w:val="BookText"/>
        <w:rPr/>
      </w:pPr>
      <w:r>
        <w:rPr>
          <w:rFonts w:ascii="IRNazanin" w:hAnsi="IRNazanin" w:eastAsia="IRNazanin"/>
          <w:color w:val="111111"/>
          <w:sz w:val="28"/>
          <w:sz w:val="28"/>
          <w:szCs w:val="28"/>
          <w:rtl w:val="true"/>
          <w:lang w:bidi="fa-IR"/>
        </w:rPr>
        <w:t>موافقت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نبش قبر به حدّ قطع قائل باشیم و دیگر آن‌که هرجا حدّی اقامه شد آن را گناه کبیره بدانیم؛ زیرا، عنوان روایت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بتوانیم حدّ را پس از دوبار اقامه‌ی حدّ، قتل بدانیم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هریک از این دو مقدّمه اشکال کنیم، خصوصاً در مقدّمه‌ی اول، حدّ قتلی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رحمه الله در مسأله تردید کردند و ما بالاتر از تردید می‌گوییم، یعنی جانب نفی را ترجیح می‌دهیم</w:t>
      </w:r>
      <w:r>
        <w:rPr>
          <w:rFonts w:eastAsia="IRNazanin" w:cs="IRNazanin"/>
          <w:color w:val="111111"/>
          <w:sz w:val="28"/>
          <w:szCs w:val="28"/>
          <w:rtl w:val="true"/>
          <w:lang w:bidi="fa-IR"/>
        </w:rPr>
        <w:t>.</w:t>
      </w:r>
      <w:bookmarkStart w:id="336" w:name="pg16923_220226"/>
    </w:p>
    <w:p>
      <w:pPr>
        <w:pStyle w:val="Heading3"/>
        <w:numPr>
          <w:ilvl w:val="2"/>
          <w:numId w:val="1"/>
        </w:numPr>
        <w:rPr/>
      </w:pPr>
      <w:bookmarkStart w:id="337" w:name="__RefHeading___Toc162325_3244359995"/>
      <w:bookmarkStart w:id="338" w:name="_Toc129"/>
      <w:bookmarkEnd w:id="336"/>
      <w:bookmarkEnd w:id="337"/>
      <w:r>
        <w:rPr>
          <w:rtl w:val="true"/>
        </w:rPr>
        <w:t>فصل سوّم</w:t>
      </w:r>
      <w:r>
        <w:rPr>
          <w:rtl w:val="true"/>
        </w:rPr>
        <w:t xml:space="preserve">: </w:t>
      </w:r>
      <w:r>
        <w:rPr>
          <w:rtl w:val="true"/>
        </w:rPr>
        <w:t>راه‌های اثبات حدّ و انواع آن</w:t>
      </w:r>
      <w:bookmarkEnd w:id="338"/>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9" w:name="__RefHeading___Toc162327_3244359995"/>
      <w:bookmarkStart w:id="340" w:name="_Toc130"/>
      <w:bookmarkEnd w:id="339"/>
      <w:r>
        <w:rPr>
          <w:rtl w:val="true"/>
        </w:rPr>
        <w:t>اشاره</w:t>
      </w:r>
      <w:bookmarkStart w:id="341" w:name="pg16923_220228"/>
      <w:bookmarkEnd w:id="340"/>
    </w:p>
    <w:p>
      <w:pPr>
        <w:pStyle w:val="BookText"/>
        <w:rPr/>
      </w:pPr>
      <w:bookmarkEnd w:id="3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حدّ السرقة بالإقرار والبیّنة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الحدّ بالاقرار بموجبه مرّتین وبشهادة عدلین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أقّر مرّة واحدة لایقطع، ولکن یؤخذ المال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یقطع بشهادة النساء منضمّات ولا منفردات ولا بشاهد ویمین</w:t>
      </w:r>
      <w:r>
        <w:rPr>
          <w:rFonts w:eastAsia="IRNazanin" w:cs="IRNazanin"/>
          <w:color w:val="111111"/>
          <w:sz w:val="28"/>
          <w:szCs w:val="28"/>
          <w:rtl w:val="true"/>
          <w:lang w:bidi="fa-IR"/>
        </w:rPr>
        <w:t>.]</w:t>
      </w:r>
    </w:p>
    <w:p>
      <w:pPr>
        <w:pStyle w:val="Heading4"/>
        <w:numPr>
          <w:ilvl w:val="3"/>
          <w:numId w:val="1"/>
        </w:numPr>
        <w:rPr/>
      </w:pPr>
      <w:bookmarkStart w:id="342" w:name="__RefHeading___Toc162329_3244359995"/>
      <w:bookmarkStart w:id="343" w:name="_Toc131"/>
      <w:bookmarkEnd w:id="342"/>
      <w:r>
        <w:rPr>
          <w:rtl w:val="true"/>
        </w:rPr>
        <w:t>ثبوت حدّ سرقت به اقرار و بیّنه</w:t>
      </w:r>
      <w:bookmarkEnd w:id="343"/>
    </w:p>
    <w:p>
      <w:pPr>
        <w:pStyle w:val="Heading5"/>
        <w:numPr>
          <w:ilvl w:val="4"/>
          <w:numId w:val="1"/>
        </w:numPr>
        <w:rPr/>
      </w:pPr>
      <w:bookmarkStart w:id="344" w:name="__RefHeading___Toc162331_3244359995"/>
      <w:bookmarkStart w:id="345" w:name="_Toc132"/>
      <w:bookmarkEnd w:id="344"/>
      <w:r>
        <w:rPr>
          <w:rtl w:val="true"/>
        </w:rPr>
        <w:t>اشاره</w:t>
      </w:r>
      <w:bookmarkEnd w:id="345"/>
    </w:p>
    <w:p>
      <w:pPr>
        <w:pStyle w:val="BookText"/>
        <w:rPr/>
      </w:pPr>
      <w:r>
        <w:rPr>
          <w:rFonts w:ascii="IRNazanin" w:hAnsi="IRNazanin" w:eastAsia="IRNazanin"/>
          <w:color w:val="111111"/>
          <w:sz w:val="28"/>
          <w:sz w:val="28"/>
          <w:szCs w:val="28"/>
          <w:rtl w:val="true"/>
          <w:lang w:bidi="fa-IR"/>
        </w:rPr>
        <w:t>این مسأله سه فرع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قطع دست با اقرار به سرقتی که شرایط و خصوصیّات را برای حدّ قطع داشته باشد و یا با شهادت دو عادل ثابت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مرتبه اقرار کند، دستش را قطع نمی‌کنند؛ امّا مال مسروقه را از او می‌گیرند و به صاحبش می‌دهند؛ زیرا، در اقرار به مال مردم یک مرتبه اقرار کافی است؛ ولی برای ثبوت حدّ، به دو اقرار نیاز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زنان به تنهایی یا با انضمام به شهادت مردان کافی نیست و به یک شاهد و یمین نیز دست قطع نمی‌گردد</w:t>
      </w:r>
      <w:r>
        <w:rPr>
          <w:rFonts w:eastAsia="IRNazanin" w:cs="IRNazanin"/>
          <w:color w:val="111111"/>
          <w:sz w:val="28"/>
          <w:szCs w:val="28"/>
          <w:rtl w:val="true"/>
          <w:lang w:bidi="fa-IR"/>
        </w:rPr>
        <w:t>.</w:t>
      </w:r>
    </w:p>
    <w:p>
      <w:pPr>
        <w:pStyle w:val="Heading5"/>
        <w:numPr>
          <w:ilvl w:val="4"/>
          <w:numId w:val="1"/>
        </w:numPr>
        <w:rPr/>
      </w:pPr>
      <w:bookmarkStart w:id="346" w:name="__RefHeading___Toc162333_3244359995"/>
      <w:bookmarkStart w:id="347" w:name="_Toc133"/>
      <w:bookmarkEnd w:id="346"/>
      <w:r>
        <w:rPr>
          <w:rtl w:val="true"/>
        </w:rPr>
        <w:t>فرع اوّل</w:t>
      </w:r>
      <w:r>
        <w:rPr>
          <w:rtl w:val="true"/>
        </w:rPr>
        <w:t xml:space="preserve">: </w:t>
      </w:r>
      <w:r>
        <w:rPr>
          <w:rtl w:val="true"/>
        </w:rPr>
        <w:t>ثبوت حدّ به اقرار و بیّنه</w:t>
      </w:r>
      <w:bookmarkEnd w:id="347"/>
    </w:p>
    <w:p>
      <w:pPr>
        <w:pStyle w:val="Heading6"/>
        <w:numPr>
          <w:ilvl w:val="5"/>
          <w:numId w:val="1"/>
        </w:numPr>
        <w:rPr/>
      </w:pPr>
      <w:bookmarkStart w:id="348" w:name="__RefHeading___Toc162335_3244359995"/>
      <w:bookmarkStart w:id="349" w:name="_Toc134"/>
      <w:bookmarkEnd w:id="348"/>
      <w:r>
        <w:rPr>
          <w:rtl w:val="true"/>
        </w:rPr>
        <w:t>اشاره</w:t>
      </w:r>
      <w:bookmarkEnd w:id="349"/>
    </w:p>
    <w:p>
      <w:pPr>
        <w:pStyle w:val="BookText"/>
        <w:rPr/>
      </w:pPr>
      <w:r>
        <w:rPr>
          <w:rFonts w:ascii="IRNazanin" w:hAnsi="IRNazanin" w:eastAsia="IRNazanin"/>
          <w:color w:val="111111"/>
          <w:sz w:val="28"/>
          <w:sz w:val="28"/>
          <w:szCs w:val="28"/>
          <w:rtl w:val="true"/>
          <w:lang w:bidi="fa-IR"/>
        </w:rPr>
        <w:t>از نظر فتوا، این مطلب مسلّم است که برای ثبوت حدّ سرقت بیش از دو اقرار لازم نیست؛</w:t>
      </w:r>
      <w:r>
        <w:rPr>
          <w:rStyle w:val="FootnoteAnchor"/>
          <w:rtl w:val="true"/>
        </w:rPr>
        <w:footnoteReference w:id="249"/>
      </w:r>
      <w:r>
        <w:rPr>
          <w:rFonts w:ascii="IRNazanin" w:hAnsi="IRNazanin" w:eastAsia="IRNazanin"/>
          <w:color w:val="111111"/>
          <w:sz w:val="28"/>
          <w:sz w:val="28"/>
          <w:szCs w:val="28"/>
          <w:rtl w:val="true"/>
          <w:lang w:bidi="fa-IR"/>
        </w:rPr>
        <w:t>یعنی باب سرقت مانند باب زنا نیست که چهاربار اقرار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بحث در این طرف مسأله است که آیا یک‌بار اقرار کافی است یا باید دوبار اقرار کند تا حدّ سرقت ثابت گردد؟</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بین اصحاب، بلکه ادّعای لاخلاف و اجماع</w:t>
      </w:r>
      <w:r>
        <w:rPr>
          <w:rStyle w:val="FootnoteAnchor"/>
          <w:rtl w:val="true"/>
        </w:rPr>
        <w:footnoteReference w:id="250"/>
      </w:r>
      <w:r>
        <w:rPr>
          <w:rFonts w:ascii="IRNazanin" w:hAnsi="IRNazanin" w:eastAsia="IRNazanin"/>
          <w:color w:val="111111"/>
          <w:sz w:val="28"/>
          <w:sz w:val="28"/>
          <w:szCs w:val="28"/>
          <w:rtl w:val="true"/>
          <w:lang w:bidi="fa-IR"/>
        </w:rPr>
        <w:t>و مانند آن هم داریم بر این که به کمتر از دو اقرار حدّ سرقت ثابت نمی‌شود؛ ولی از کتاب مقنع مرحوم صدوق استفاده</w:t>
      </w:r>
      <w:bookmarkStart w:id="350" w:name="pg16923_220229"/>
    </w:p>
    <w:p>
      <w:pPr>
        <w:pStyle w:val="BookText"/>
        <w:rPr/>
      </w:pPr>
      <w:bookmarkEnd w:id="350"/>
      <w:r>
        <w:rPr>
          <w:rFonts w:ascii="IRNazanin" w:hAnsi="IRNazanin" w:eastAsia="IRNazanin"/>
          <w:color w:val="111111"/>
          <w:sz w:val="28"/>
          <w:sz w:val="28"/>
          <w:szCs w:val="28"/>
          <w:rtl w:val="true"/>
          <w:lang w:bidi="fa-IR"/>
        </w:rPr>
        <w:t>می‌شود که یک‌بار اقرار نزد امام کافی است</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مقصود از امام، معصومین علیهم السلام است یا اعمّ از امام معصوم و حاکم شرع است که باید در این موضوع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متابعت از روایت چنین فتوایی داده است</w:t>
      </w:r>
      <w:r>
        <w:rPr>
          <w:rFonts w:eastAsia="IRNazanin" w:cs="IRNazanin"/>
          <w:color w:val="111111"/>
          <w:sz w:val="28"/>
          <w:szCs w:val="28"/>
          <w:rtl w:val="true"/>
          <w:lang w:bidi="fa-IR"/>
        </w:rPr>
        <w:t>.</w:t>
      </w:r>
    </w:p>
    <w:p>
      <w:pPr>
        <w:pStyle w:val="Heading6"/>
        <w:numPr>
          <w:ilvl w:val="5"/>
          <w:numId w:val="1"/>
        </w:numPr>
        <w:rPr/>
      </w:pPr>
      <w:bookmarkStart w:id="351" w:name="__RefHeading___Toc162337_3244359995"/>
      <w:bookmarkStart w:id="352" w:name="_Toc135"/>
      <w:bookmarkEnd w:id="351"/>
      <w:r>
        <w:rPr>
          <w:rtl w:val="true"/>
        </w:rPr>
        <w:t>دلیل مشهور از اجماع و روایات</w:t>
      </w:r>
      <w:bookmarkEnd w:id="352"/>
    </w:p>
    <w:p>
      <w:pPr>
        <w:pStyle w:val="Heading6"/>
        <w:numPr>
          <w:ilvl w:val="5"/>
          <w:numId w:val="1"/>
        </w:numPr>
        <w:rPr/>
      </w:pPr>
      <w:bookmarkStart w:id="353" w:name="__RefHeading___Toc162339_3244359995"/>
      <w:bookmarkStart w:id="354" w:name="_Toc136"/>
      <w:bookmarkEnd w:id="353"/>
      <w:r>
        <w:rPr>
          <w:rtl w:val="true"/>
        </w:rPr>
        <w:t>اشاره</w:t>
      </w:r>
      <w:bookmarkEnd w:id="3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ضابطه و قاعده‌ی کلّی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حدود یک‌بار اقرار کافی نیست؛ و آن‌چه که شنیده‌اید یک مرتبه اقرار کفایت می‌کند، مربوط به حقوق 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 مخالفی همانند صدوق رحمه الله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مخالفی هم نداشته باشد، به‌طور کلّی در باب حدود اجماع نمی‌تواند کاشف از رأی معصوم علیه السلام باشد؛ زیرا، هر بابی که وارد شویم چند روایت دارد که فتوای اصحاب مستند به آن است، لذا اجماعی که مستند به دلیل دیگر است، اصالت ندارد؛ بلکه تابع آن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آن دلیل را پذیرفت، می‌تواند بر طبقش فتوا بدهد و هرکه آن دلیل را رد کرد، اجماع نمی‌تواند برایش مشکل‌ساز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نمی‌توانیم به اجماع به عنوان یک دلیل مستقلّ در ردیف ادلّه‌ی دیگر نگاه کنیم و با آن، حکمی شرعی را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بررسی روایات پرداخت</w:t>
      </w:r>
      <w:r>
        <w:rPr>
          <w:rFonts w:eastAsia="IRNazanin" w:cs="IRNazanin"/>
          <w:color w:val="111111"/>
          <w:sz w:val="28"/>
          <w:szCs w:val="28"/>
          <w:rtl w:val="true"/>
          <w:lang w:bidi="fa-IR"/>
        </w:rPr>
        <w:t>.</w:t>
      </w:r>
    </w:p>
    <w:p>
      <w:pPr>
        <w:pStyle w:val="Heading6"/>
        <w:numPr>
          <w:ilvl w:val="5"/>
          <w:numId w:val="1"/>
        </w:numPr>
        <w:rPr/>
      </w:pPr>
      <w:bookmarkStart w:id="355" w:name="__RefHeading___Toc162341_3244359995"/>
      <w:bookmarkStart w:id="356" w:name="_Toc137"/>
      <w:bookmarkEnd w:id="355"/>
      <w:r>
        <w:rPr>
          <w:rtl w:val="true"/>
        </w:rPr>
        <w:t>روایات مستند مشهور</w:t>
      </w:r>
      <w:bookmarkEnd w:id="3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محمّد بن یحیی، عن أحمد بن محمّد، عن علیّ بن حدید، عن جمیل بن درّاج، عن بعض أصحابنا، عن أحدهما علیهما السلام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یقطع السّارق حتّی یقرّ بالسرقة مرّتین، فإن رجع ضمن السرقة ولم یقطع إذا لم یکن شهود</w:t>
      </w:r>
      <w:r>
        <w:rPr>
          <w:rFonts w:eastAsia="IRNazanin" w:cs="IRNazanin"/>
          <w:color w:val="111111"/>
          <w:sz w:val="28"/>
          <w:szCs w:val="28"/>
          <w:rtl w:val="true"/>
          <w:lang w:bidi="fa-IR"/>
        </w:rPr>
        <w:t>.</w:t>
      </w:r>
      <w:r>
        <w:rPr>
          <w:rStyle w:val="FootnoteAnchor"/>
          <w:rtl w:val="true"/>
        </w:rPr>
        <w:footnoteReference w:id="252"/>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یا امام صادق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سارق قطع نمی‌شود؛ مگر این که دوبار به سرقت اقرار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اقرارش برگشت، مال مسروقه را ضامن است؛ ولی</w:t>
      </w:r>
    </w:p>
    <w:p>
      <w:pPr>
        <w:pStyle w:val="BookText"/>
        <w:rPr/>
      </w:pPr>
      <w:r>
        <w:rPr>
          <w:rFonts w:ascii="IRNazanin" w:hAnsi="IRNazanin" w:eastAsia="IRNazanin"/>
          <w:color w:val="111111"/>
          <w:sz w:val="28"/>
          <w:sz w:val="28"/>
          <w:szCs w:val="28"/>
          <w:rtl w:val="true"/>
          <w:lang w:bidi="fa-IR"/>
        </w:rPr>
        <w:t>دستش را نمی‌بُرند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انکار بعد از اقرار نسبت به اموال دیگران پذیرفته نیست؛ همان‌طور که اگر اقرار کند این کتاب مال زید است، کتاب را از او می‌گیرند و تحویل زید می‌دهند، اگر از اقرارش برگردد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گفتم، اشتباه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انکارش توجّه نمی‌کند و بر آن اثری مترتّب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انکارش قطع دست نیست ولی ضامن مال مسروقه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سرقت به بیّنه ثابت شده باشد، انکارش سبب سقوط حدّ نیز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روایت بر مدّعای مشهور تمام است؛ امّا این روایت مرسله‌ای از جمیل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وبإسناده عن محمّد بن علیّ بن محبوب، عن علیّ بن السّندی، عن ابن أبی عمیر، عن جمیل،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یقطع السّارق حتّی یقرّ بالسرقة مرّتین، ولا یرجم الزّانی حتّی یقرّ أربع مرّات</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سارق را نمی‌بُرند تا دوبار به سرقت اقرار کند و زانی را سنگسار نمی‌کنند تا چهار مرتبه به زنا اقرار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روایت مشتمل بر علی بن السندی است که توثیقی ندارد؛ لذا، هر دو روایت جمیل از درجه‌ی اعتبار ساقط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عن فضالة، عن أبان بن عثمان، 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عیسی بن موسی فاتی بسارق وعنده رجل من آل عمر، فأقبل یسألنی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السّارق إذا أقرّ علی نفسه أنّه سرق؟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فی الزّنا إذا أقّر علی نفسه مرّات؟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یمنعکم من السّارق إذا أقرّ علی نفسه مرّتین أن تقطعوه فیکون بمنزلة الزّانی</w:t>
      </w:r>
      <w:r>
        <w:rPr>
          <w:rFonts w:eastAsia="IRNazanin" w:cs="IRNazanin"/>
          <w:color w:val="111111"/>
          <w:sz w:val="28"/>
          <w:szCs w:val="28"/>
          <w:rtl w:val="true"/>
          <w:lang w:bidi="fa-IR"/>
        </w:rPr>
        <w:t>.</w:t>
      </w:r>
      <w:r>
        <w:rPr>
          <w:rStyle w:val="FootnoteAnchor"/>
          <w:rtl w:val="true"/>
        </w:rPr>
        <w:footnoteReference w:id="254"/>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صحیحه،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عیسی بن موسی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این فرد والی مدینه از طرف خلفای جور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را نزد او آوردند؛ یکی</w:t>
      </w:r>
    </w:p>
    <w:p>
      <w:pPr>
        <w:pStyle w:val="BookText"/>
        <w:rPr/>
      </w:pPr>
      <w:r>
        <w:rPr>
          <w:rFonts w:ascii="IRNazanin" w:hAnsi="IRNazanin" w:eastAsia="IRNazanin"/>
          <w:color w:val="111111"/>
          <w:sz w:val="28"/>
          <w:sz w:val="28"/>
          <w:szCs w:val="28"/>
          <w:rtl w:val="true"/>
          <w:lang w:bidi="fa-IR"/>
        </w:rPr>
        <w:t>از نواده‌های عمر بن خطاب نیز آن‌جا بود؛ می‌خواست از من مطلبی را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کردم چه می‌گویی در مورد سارقی که یک‌بار به سرقت اقرار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زانی چند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در چهار مرتبه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کند، حکمش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سنگسار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درباره‌ی سارق مانند زانی رفتار نمی‌کنید؛ اگر دوبار اقرار کرد، دستش را ببرید؟ چه چیزی مانع شما می‌شود که در باب سرقت با یک اقرار دست می‌بُرید و دو اقرار را لازم نمی‌دانید؛ با دو اقرار دستش را قطع کنید تا به زانی شباهت پیدا کند؟</w:t>
      </w:r>
    </w:p>
    <w:p>
      <w:pPr>
        <w:pStyle w:val="BookText"/>
        <w:rPr/>
      </w:pPr>
      <w:r>
        <w:rPr>
          <w:rFonts w:ascii="IRNazanin" w:hAnsi="IRNazanin" w:eastAsia="IRNazanin"/>
          <w:color w:val="111111"/>
          <w:sz w:val="28"/>
          <w:sz w:val="28"/>
          <w:szCs w:val="28"/>
          <w:rtl w:val="true"/>
          <w:lang w:bidi="fa-IR"/>
        </w:rPr>
        <w:t>امام علیه السلام با این بیان می‌خواهند استدلال کنند و به ارتباط بین باب زنا و سرقت اشاره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صاحب جواهر رحمه الله گویا امام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زنا چهار اقرار را معتبر می‌دانید و از طرفی به چهار شاهد نیز زنا ثابت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هر اقراری جانشین شهادت شاهدی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نکته که از روایات باب زنا استفاده کردیم، هر اقراری به منزله‌ی شهادتی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به دنبال هر اقراری که از آن زن سر می‌زد،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یک شهادت، دو شهادت و در مرتبه‌ی آخر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إنَّه قد ثبت علیها أربع شهادات</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لذا، امام علیه السلام در مقام استدلال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در مسأله‌ی زنا چهار شاهد یا چهار اقراری که به منزله‌ی چهار شاهد است را لازم می‌دانید، چرا در باب سرقت این حساب را پیاده نمی‌کنید؟ همان‌گونه که به دو شاهد در اثبات سرقت لازم است و شهادت یک شاهد کافی نیست، در خصوص اقرار نیز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اقرار لازم است و با یک اقرار حدّ ثابت نمی‌گردد</w:t>
      </w:r>
      <w:r>
        <w:rPr>
          <w:rFonts w:eastAsia="IRNazanin" w:cs="IRNazanin"/>
          <w:color w:val="111111"/>
          <w:sz w:val="28"/>
          <w:szCs w:val="28"/>
          <w:rtl w:val="true"/>
          <w:lang w:bidi="fa-IR"/>
        </w:rPr>
        <w:t>.</w:t>
      </w:r>
      <w:r>
        <w:rPr>
          <w:rStyle w:val="FootnoteAnchor"/>
          <w:rtl w:val="true"/>
        </w:rPr>
        <w:footnoteReference w:id="256"/>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دلالت روایت بر مدّعای مشهور هیچ نقص و قصوری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تعدّد اقرار اشعار دارد، بلکه دلالتش قوی است؛ علاوه بر این که مشتمل بر استدلال نیز می‌باشد</w:t>
      </w:r>
      <w:r>
        <w:rPr>
          <w:rFonts w:eastAsia="IRNazanin" w:cs="IRNazanin"/>
          <w:color w:val="111111"/>
          <w:sz w:val="28"/>
          <w:szCs w:val="28"/>
          <w:rtl w:val="true"/>
          <w:lang w:bidi="fa-IR"/>
        </w:rPr>
        <w:t>.</w:t>
      </w:r>
      <w:bookmarkStart w:id="357" w:name="pg16923_220232"/>
    </w:p>
    <w:p>
      <w:pPr>
        <w:pStyle w:val="BookText"/>
        <w:rPr/>
      </w:pPr>
      <w:bookmarkEnd w:id="357"/>
      <w:r>
        <w:rPr>
          <w:rFonts w:ascii="IRNazanin" w:hAnsi="IRNazanin" w:eastAsia="IRNazanin"/>
          <w:color w:val="111111"/>
          <w:sz w:val="28"/>
          <w:sz w:val="28"/>
          <w:szCs w:val="28"/>
          <w:rtl w:val="true"/>
          <w:lang w:bidi="fa-IR"/>
        </w:rPr>
        <w:t>این توجیه صاحب جواهر رحمه الله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 که کیفیّت استدلال امام علیه السلام را نفهمیدیم، باز در دلالت روایت بر اصل مطلب قصوری نیست؛ زیرا، امام علیه السلام در مقام بیان این است که یکی از آل عمر نظرش بر کفایت یک اقرار برای قطع دست بود و من او را رد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 اقرار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روایت بر این معنا تمام است؛ نمی‌توان اسمِ دلالت را اشعار گذاشت، نفهمیدن تعلیل امام علیه السلام سبب قصور و ضعف در دلالت روایت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روایت که از نظر سند و دلالت، روایت تامّی است، قول مشهور ثابت می‌شود</w:t>
      </w:r>
      <w:r>
        <w:rPr>
          <w:rFonts w:eastAsia="IRNazanin" w:cs="IRNazanin"/>
          <w:color w:val="111111"/>
          <w:sz w:val="28"/>
          <w:szCs w:val="28"/>
          <w:rtl w:val="true"/>
          <w:lang w:bidi="fa-IR"/>
        </w:rPr>
        <w:t>.</w:t>
      </w:r>
    </w:p>
    <w:p>
      <w:pPr>
        <w:pStyle w:val="Heading6"/>
        <w:numPr>
          <w:ilvl w:val="5"/>
          <w:numId w:val="1"/>
        </w:numPr>
        <w:rPr/>
      </w:pPr>
      <w:bookmarkStart w:id="358" w:name="__RefHeading___Toc162343_3244359995"/>
      <w:bookmarkStart w:id="359" w:name="_Toc138"/>
      <w:bookmarkEnd w:id="358"/>
      <w:r>
        <w:rPr>
          <w:rtl w:val="true"/>
        </w:rPr>
        <w:t>مستند قول شیخ صدوق رحمه الله</w:t>
      </w:r>
      <w:bookmarkEnd w:id="359"/>
    </w:p>
    <w:p>
      <w:pPr>
        <w:pStyle w:val="BookText"/>
        <w:rPr/>
      </w:pPr>
      <w:r>
        <w:rPr>
          <w:rFonts w:ascii="IRNazanin" w:hAnsi="IRNazanin" w:eastAsia="IRNazanin"/>
          <w:color w:val="111111"/>
          <w:sz w:val="28"/>
          <w:sz w:val="28"/>
          <w:szCs w:val="28"/>
          <w:rtl w:val="true"/>
          <w:lang w:bidi="fa-IR"/>
        </w:rPr>
        <w:t>محمّد بن الحسن بإسناده عن الحسین بن سعید، عن ابن محبوب، عن أبی أیّوب، عن الفضیل،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أقرّ الرّجل الحرّ علی نفسه مرّة واحدة عند الإمام قطع</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صحیحه،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حرّی یک‌بار به سرقت نزد امام اعتراف کند، دستش قطع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رحمه الله هنگام نقل روایت،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نیاورده است و اوّلین اشکالی که به مرحوم صدوق می‌کند، این است 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اقرار نزد امام کافی است؛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کجا آوردید در حالی که روایت فاقد آن است</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فتوای شیخ صدوق رحمه الله و نسخه‌های صحیحی که این روایت از آن‌جا نقل شده، مشتمل بر این قید است؛ شاید نسخه‌ای که صاحب جواهر رحمه الله داشته، فاقد این کلمه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امام است، آیا مطلب مختصّ به امام معصوم علیه السلام است یا نایب خاصّ و عامّ و به‌طور کلّی حاکم شرع را شامل می‌شود؟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مقصود از امام، اعمّ باشد که امام معصوم و نایبش را نیز شامل گردد، در این صورت،</w:t>
      </w:r>
    </w:p>
    <w:p>
      <w:pPr>
        <w:pStyle w:val="BookText"/>
        <w:rPr/>
      </w:pPr>
      <w:r>
        <w:rPr>
          <w:rFonts w:ascii="IRNazanin" w:hAnsi="IRNazanin" w:eastAsia="IRNazanin"/>
          <w:color w:val="111111"/>
          <w:sz w:val="28"/>
          <w:sz w:val="28"/>
          <w:szCs w:val="28"/>
          <w:rtl w:val="true"/>
          <w:lang w:bidi="fa-IR"/>
        </w:rPr>
        <w:t>ممکن است اشکال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تمام حدود به اقرار مجرم یا شهادت شهود نزد حاکم شرع بستگی دارد، و برای سرقت خصوصیّتی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اشکال مؤیّد این مطلب است که مقصود، امام معصوم 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دیگری در روایت می‌آید؛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 یک‌بار نزد حاکم شرع به سرقت اقرار می‌کند، و یک‌بار هم نزد دیگران؛ در امور مالی فرقی بین این دو اقرار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حاکم شرع به مالی برای زید اقرار کند با جایی که نزد دو عادل چنین اقراری از او سر زند، از نظر حکم مساوی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مؤثّر است و با آن مالکیّت زید نسبت به مال ثابت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روایت در مقام فرق بین این دو اقرار از نظر اجرای حدّ است؛ یعنی یک اقرار به سرقت نزد حاکم شرع برای ثبوت حدّ کافی است، ولی نزد دیگران یک اقرار فایده ندارد و باید اقرار متعدّد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رحمه الله دو احتمال دیگر در معنای روایت می‌دهد که هر دو خلاف ظاهر است؛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برای سرقت باشد نه برای 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تقریب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 حرّی به یک‌بار دزدی اقرار کرد، اقرار مقیّد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روایت در مقام تعدّد و وحدت اقرار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حیث، روایت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مجلس کسانی بوده‌اند که توهّم کرده‌اند برای یک‌بار سرقت نباید دست را برید، بلکه باید چندین مرتبه مرتکب سرقت شده باشد تا بتوان دستش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برای دفع این توهّم،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اقرار به یک سرقت کرد، دستش را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روایات دیگر، لزوم دوبار اقرار ثابت می‌گردد</w:t>
      </w:r>
      <w:r>
        <w:rPr>
          <w:rFonts w:eastAsia="IRNazanin" w:cs="IRNazanin"/>
          <w:color w:val="111111"/>
          <w:sz w:val="28"/>
          <w:szCs w:val="28"/>
          <w:rtl w:val="true"/>
          <w:lang w:bidi="fa-IR"/>
        </w:rPr>
        <w:t>.</w:t>
      </w:r>
      <w:r>
        <w:rPr>
          <w:rStyle w:val="FootnoteAnchor"/>
          <w:rtl w:val="true"/>
        </w:rPr>
        <w:footnoteReference w:id="259"/>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بعید است و وجهی ندارد؛ زیرا، صاحب جواهر رحمه الله در نقل روایت اشتباه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أقرّ علی نفسه بالسرقة مرّة واحده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وسائل الشیعه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ندارد و مقرّ به را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کلمه،</w:t>
      </w:r>
    </w:p>
    <w:p>
      <w:pPr>
        <w:pStyle w:val="BookText"/>
        <w:rPr/>
      </w:pPr>
      <w:r>
        <w:rPr>
          <w:rFonts w:ascii="IRNazanin" w:hAnsi="IRNazanin" w:eastAsia="IRNazanin"/>
          <w:color w:val="111111"/>
          <w:sz w:val="28"/>
          <w:sz w:val="28"/>
          <w:szCs w:val="28"/>
          <w:rtl w:val="true"/>
          <w:lang w:bidi="fa-IR"/>
        </w:rPr>
        <w:t>متن روایت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أقرّ الرجل الحرّ علی نفسه مرّة واحدة عند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از سرقت نیست تا مرّة واحده را قید برای آن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فرض این که کلمه‌ی سرقت نیز در روایت آمده باشد،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برای اقرار است نه برای مقرّبه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دست نباشد؛ بلکه قطع کلام و سخن مقرّ باشد؛ یعنی اگر کسی یک‌بار به سرقت اقرار کرد، جلوی اقرارش را می‌گیریم تا بار دیگر اعتراف نکند؛ زیرا، با تعدّد اقرار، مصیبت به بار می‌آید؛ دستش را باید ببریم</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این احتمال نیز خلاف ظاهر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زیرا، در روایات زیادی کلمه‌ی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و حتّی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دنبالش ذکر نشده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همه‌ی این روایات اشاره‌ای به آیه سرقت وَالسَّارِقُ وَ السَّارِقَةُ فَاقْطَعُواْ أَیْدِیَهُمَا</w:t>
      </w:r>
      <w:r>
        <w:rPr>
          <w:rStyle w:val="FootnoteAnchor"/>
          <w:rtl w:val="true"/>
        </w:rPr>
        <w:footnoteReference w:id="261"/>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ظهور روایت در این معنا است که اگر کسی نزد امام یک مرتبه به سرقت اقرار کند، دستش قطع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نیز از فضیل داریم که بر همین مطلب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بإسناده عن الحسن بن محبوب، عن أبی أیّوب، عن الفضیل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أقرّ علی نفسه عند الإمام بحقّ من حدود اللَّه مرّة واحدة حرّاً کان أو عبداً أو حرّة، کانت أو أمة فعلی الإمام أن یقیم الحدّ علیه للّذی أقرّ به علی نفسه کائناً من کان إلّاالزانی المحصن، فإنّه لا یرجمه حتّی یشهد علیه أربعة شهداء فإذا شهدوا ضربه الحدّ مائة جلدة ثمَّ یرجمه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عبداللَّه علیه السلام من أقرّ علی نفسه عند الإمام بحقّ حدّ من حدود اللَّه حقوق المسلمین فلیس علی الإمام أن یقیم علیه الحدّ الّذی أقرّ به عنده حتّی یحضر صاحب الحقّ أو ولیّه فیطالبه بحقّه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 فما هذه الحدود الّتی إذا أقرّ بها عند الإمام مرّة واحدة علی نفسه اقیم علیه الحدّ فیها؟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أقرّ علی نفسه عند الإمام بسرقة قطعه، فهذا من حقوق اللَّه، وإذا أقرّ علی نفسه أنّه شرب خمراً حدّه، فهذا من حقوق اللَّه، وإذا أقرّ علی نفسه بالزنا وهو غیر محصن فهذا من حقوق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حقوق المسلمین فإذا أقرّ علی نفسه عند الإمام بفریة لم یحدّه حتّی یحضر صاحب الفریة أو ولیّه، وإذا أقرّ بقتل رجل لم یقتله حتّی یحضر أولیاء المقتول فیطالبوا بدم صاحبهم</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روایت صحیحه،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مرتبه به حقّی از حقوق خدا نزد امام اقرار کند، بر امام واجب است آن حدّ را اقامه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 حرّ باشد یا عبد، حرّه باشد یا کنیز، هرکه می‌خواهد باشد، مگر زانی محصن که امام، حقّ رجم او را ندارد تا چهار شاهد بر زنایش شهادت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او صد تازیانه می‌زند؛ آن‌گاه سنگسارش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به حدّی مربوط به حقّ و حقوق مسلمانان نزد امام اعتراف کرد، امام، حقّ ندارد حدّ را بر او جاری سازد تا آن که صاحب حقّ یا ولی او از امام اجرای آن را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یاران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حدودی که با یک مرتبه اقرار باید اجرا شود، برای ما مشخّص کنید، به همان ضابطه‌ی کلّی، اکتفا نفرمایید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سرقت نزد امام اقرار کند، دستش را قطع می‌کند؛ این حدّ از مصادیق حقوق اللَّه است، اگر به شرب خمر اعتراف کند، حدّش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 از حدود خداوند می‌باشد و به مطالبه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مقرّ به زنای غیراحصانی باشد، حدّ زنای غیر احصانی از حقّ اللَّه به شمار می‌آید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حقوق مسلمانان مانند کسی که نزد امام به قذفی اقرار کند، و نسبت زنا به فردی بدهد، امام حقّ ندارد بر او حدّ قذف جاری کند تا آن که صاحب حقّ یا ولیّ او از امام</w:t>
      </w:r>
      <w:bookmarkStart w:id="360" w:name="pg16923_220236"/>
    </w:p>
    <w:p>
      <w:pPr>
        <w:pStyle w:val="BookText"/>
        <w:rPr/>
      </w:pPr>
      <w:bookmarkEnd w:id="360"/>
      <w:r>
        <w:rPr>
          <w:rFonts w:ascii="IRNazanin" w:hAnsi="IRNazanin" w:eastAsia="IRNazanin"/>
          <w:color w:val="111111"/>
          <w:sz w:val="28"/>
          <w:sz w:val="28"/>
          <w:szCs w:val="28"/>
          <w:rtl w:val="true"/>
          <w:lang w:bidi="fa-IR"/>
        </w:rPr>
        <w:t>اجرای حدّ را طلب کند؛ و همین‌طور اگر به قتلی اقرار کرد، حاکم حقّ کشتن قاتل را ندارد؛ مگر آن که اولیای مقتول حاضر شوند و از او مطالبه‌ی خون مقتول را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صدر و ذیل روایت استفاده می‌شود که با یک مرتبه اقرار در باب سرقت حدّ اقامه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روایت به صورت یک ضابطه‌ی کلّی فرموده و ذیل روایت در کلام بعض اصحاب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امام علیه السلام نیز حدّ سرقت را به عنوان نمونه ذکر کرده‌اند؛ لیکن دایره‌ی اجرای حدّ، محدود به امام است، یعنی یک مرتبه اقرار نزد امام</w:t>
      </w:r>
      <w:r>
        <w:rPr>
          <w:rFonts w:eastAsia="IRNazanin" w:cs="IRNazanin"/>
          <w:color w:val="111111"/>
          <w:sz w:val="28"/>
          <w:szCs w:val="28"/>
          <w:rtl w:val="true"/>
          <w:lang w:bidi="fa-IR"/>
        </w:rPr>
        <w:t>.</w:t>
      </w:r>
    </w:p>
    <w:p>
      <w:pPr>
        <w:pStyle w:val="Heading6"/>
        <w:numPr>
          <w:ilvl w:val="5"/>
          <w:numId w:val="1"/>
        </w:numPr>
        <w:rPr/>
      </w:pPr>
      <w:bookmarkStart w:id="361" w:name="__RefHeading___Toc162345_3244359995"/>
      <w:bookmarkStart w:id="362" w:name="_Toc139"/>
      <w:bookmarkEnd w:id="361"/>
      <w:r>
        <w:rPr>
          <w:rtl w:val="true"/>
        </w:rPr>
        <w:t>نقد استدلال به روایت دوّم فضیل</w:t>
      </w:r>
      <w:bookmarkEnd w:id="362"/>
    </w:p>
    <w:p>
      <w:pPr>
        <w:pStyle w:val="BookText"/>
        <w:rPr/>
      </w:pPr>
      <w:r>
        <w:rPr>
          <w:rFonts w:ascii="IRNazanin" w:hAnsi="IRNazanin" w:eastAsia="IRNazanin"/>
          <w:color w:val="111111"/>
          <w:sz w:val="28"/>
          <w:sz w:val="28"/>
          <w:szCs w:val="28"/>
          <w:rtl w:val="true"/>
          <w:lang w:bidi="fa-IR"/>
        </w:rPr>
        <w:t>این روایت را نمی‌توان به عنوان مستند و دلیل اخذ کرد؛ زیرا، مشتمل بر مواردی است که برخلاف روایات دیگر و فتوای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بعضی از آن‌ها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تصریح به عدم فرق بین اقرار عبد و حرّ دارد؛ در حالی که در باب سرقت، فضیل بن یسار روایتی صحیحه دارد که با اقرار عبد، دستش قطع نمی‌گردد و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الحسین بإسناده عن الحسن بن محبوب، عن أبی أیّوب، عن الفضیل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أقرّ المملوک علی نفسه بالسرقة لم یقطع، وإن شهد علیه شاهدان قطع</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برده‌ای به سرقت اقرار کند، دستش را نمی‌بُرند؛ و اگر دو شاهد بر سرقتش شهادت دادند، دستش قطع می‌گردد</w:t>
      </w:r>
      <w:r>
        <w:rPr>
          <w:rFonts w:eastAsia="IRNazanin" w:cs="IRNazanin"/>
          <w:color w:val="111111"/>
          <w:sz w:val="28"/>
          <w:szCs w:val="28"/>
          <w:rtl w:val="true"/>
          <w:lang w:bidi="fa-IR"/>
        </w:rPr>
        <w:t>.</w:t>
      </w:r>
    </w:p>
    <w:p>
      <w:pPr>
        <w:pStyle w:val="Heading6"/>
        <w:numPr>
          <w:ilvl w:val="5"/>
          <w:numId w:val="1"/>
        </w:numPr>
        <w:rPr/>
      </w:pPr>
      <w:bookmarkStart w:id="363" w:name="__RefHeading___Toc162347_3244359995"/>
      <w:bookmarkStart w:id="364" w:name="_Toc140"/>
      <w:bookmarkEnd w:id="363"/>
      <w:r>
        <w:rPr>
          <w:rtl w:val="true"/>
        </w:rPr>
        <w:t>نقد نظر صاحب جواهر رحمه الله</w:t>
      </w:r>
      <w:bookmarkEnd w:id="364"/>
    </w:p>
    <w:p>
      <w:pPr>
        <w:pStyle w:val="Heading6"/>
        <w:numPr>
          <w:ilvl w:val="5"/>
          <w:numId w:val="1"/>
        </w:numPr>
        <w:rPr/>
      </w:pPr>
      <w:bookmarkStart w:id="365" w:name="__RefHeading___Toc162349_3244359995"/>
      <w:bookmarkStart w:id="366" w:name="_Toc141"/>
      <w:bookmarkEnd w:id="365"/>
      <w:r>
        <w:rPr>
          <w:rtl w:val="true"/>
        </w:rPr>
        <w:t>اشاره</w:t>
      </w:r>
      <w:bookmarkEnd w:id="366"/>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صاحب جواهر رحمه الله تعجّب می‌کنیم که چگونه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صحیحه‌ی فضیل، صحیحه‌ی قبلی را تقیید می‌کنیم؛ در حالی که روایت اوّل اطلاقی نداشت، بلکه به عدم</w:t>
      </w:r>
      <w:bookmarkStart w:id="367" w:name="pg16923_220237"/>
    </w:p>
    <w:p>
      <w:pPr>
        <w:pStyle w:val="BookText"/>
        <w:rPr/>
      </w:pPr>
      <w:bookmarkEnd w:id="367"/>
      <w:r>
        <w:rPr>
          <w:rFonts w:ascii="IRNazanin" w:hAnsi="IRNazanin" w:eastAsia="IRNazanin"/>
          <w:color w:val="111111"/>
          <w:sz w:val="28"/>
          <w:sz w:val="28"/>
          <w:szCs w:val="28"/>
          <w:rtl w:val="true"/>
          <w:lang w:bidi="fa-IR"/>
        </w:rPr>
        <w:t>فرق بین حرّ و عبد تصریح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 کان أو عبداً أو حرّةً کانت أو 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صورت یک ضابطه‌ی کلّی در حقوق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اقرار کافی است و فرقی بین حرّ و عبد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بودیم و این ضابطه و ذیل روایت نبود که امام علیه السلام ضابطه را بر سرقت تطبیق داده‌اند،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ضابطه نسبت به باب سرقت تقیید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وقتی اصحاب از امام علیه السلام سؤال کردند این ضابطه‌ی کلّی که شما فرمودید در چه مواردی پیاده می‌گردد؟ امام علیه السلام سرقت را به عنوان اوّلین مصداق و مجرای آن ضابطه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تذییل روایت به منزله‌ی تصریح به کفایت اقرار عبد در اجرای حدّ قطع است؛ لذا، قابل تخصیص و تقیید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عامّی در موردی وارد شد نسبت به آن مورد امکان ندارد تخصیص بخورد، بلکه نسبت به مورد ورودش صراحت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از مولا پرسید زید عالم را اکرام کنم؟ مولا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علما را اکرام کن، نمی‌توان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أکرام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زید عالم تخصیص زد؛ زیرا، در وجوب اکرام زید عالم صراحت دارد؛ اگر بخواهد تخصیص بزند و مورد سؤال خارج از حکم عام باشد، عقلًا نمی‌پذیرند و زیربار چنین تخصیصی نمی‌روند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مسأله‌ی سرقت به عنوان مثال برای آن قاعده‌ی کلّی ذکر نشده بود، می‌توانستیم عبد را از عموم قاعده بیرون کنیم؛ امّا با وجود تصریح امام علیه السلام به سرقت در پاسخ بعض اصحاب، امکان تقیید نیست</w:t>
      </w:r>
      <w:r>
        <w:rPr>
          <w:rFonts w:eastAsia="IRNazanin" w:cs="IRNazanin"/>
          <w:color w:val="111111"/>
          <w:sz w:val="28"/>
          <w:szCs w:val="28"/>
          <w:rtl w:val="true"/>
          <w:lang w:bidi="fa-IR"/>
        </w:rPr>
        <w:t>.</w:t>
      </w:r>
    </w:p>
    <w:p>
      <w:pPr>
        <w:pStyle w:val="Heading6"/>
        <w:numPr>
          <w:ilvl w:val="5"/>
          <w:numId w:val="1"/>
        </w:numPr>
        <w:rPr/>
      </w:pPr>
      <w:bookmarkStart w:id="368" w:name="__RefHeading___Toc162351_3244359995"/>
      <w:bookmarkStart w:id="369" w:name="_Toc142"/>
      <w:bookmarkEnd w:id="368"/>
      <w:r>
        <w:rPr>
          <w:rtl w:val="true"/>
        </w:rPr>
        <w:t>بازگشت به نقد روایت فضیل</w:t>
      </w:r>
      <w:bookmarkEnd w:id="369"/>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ضابطه‌ی کلّی، امام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اقرار به حقّی از حقوق اللَّه بر امام واجب و متعیّن است که حدّ را اقامه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موارد مکرّر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حدّی به واسطه‌ی اقرار ثابت شد، امام در اجرای حدّ یا عفو مجرم مخیّر است؛ لذا، ظاهر روایت با روایات باب تخییر حاکم بین عفو و اجرای حدّ منافات دارد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استثنای زانی محصن دو جهت مخالفت با روایات و فتوا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 از این صحیحه انحصار راه ثبوت زنای احصانی به بیّنه است، به خلاف زنای غیرمحصنه؛ در حالی که بر طبق روایات و فتاوا، فرقی بین دو نوع زنا در اثباتشان به اقرار و بیّنه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زنای احصانی به ثبوت صد تازیانه و رجم حکم می‌کند، در حالی که تازیانه در مقابل رجم است؛ در زنای غیراحصانی فقط تازیانه و در زنای احصانی فقط رجم به عنوان حدّ نزد مشهور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به این مطلب می‌پردازیم که در سرقت نیز مطالبه‌ی مسروق منه برای اجرای حدّ لازم است؛ در حالی که در این روایت به‌طور صریح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مطالبه‌ی مسروق منه یا ولی او در اجرای حدّ دخلی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می‌دهیم روایت فضیل بن یسار که در باب سرقت آورده‌اند، قسمتی از همین روایت مفصّل باشد نه این که روایت مستقلّی باشد؛ لیکن این احتمال مُبعّدی دارد و آن تقیید روایت باب سرقت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أقرّ الرجل الحرّ علی نفسه مرّة واحدة عند الإمام قطع</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در حالی که در این روایت مفصّل به عدم فرق بین حرّ و عبد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بنا به نقل صاحب جواهر رحمه الله که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أقرّ علی نفسه بالسرقة مرّة واحدة قطع</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احتمال یکی بودن قویّ است؛ به خصوص با توجّه به این که راوی در هر دو فضیل بن یسار از امام صادق علیه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احتمال اتّحاد دو روایت تقویت شد، روایت باب سرقت نیز از اعتبار ساقط می‌گردد؛ زیرا، جزئی از روایت مفصّل است و آنهم مشتمل بر موهناتی برخلاف روایات و فتوای فقها است؛ لذا، نمی‌توان به چنین روایتی عمل کرد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احتمال تقویت نشد، روایت مفصّل فضیل با روایت دیگرش در باب سرقت عبد</w:t>
      </w:r>
      <w:r>
        <w:rPr>
          <w:rStyle w:val="FootnoteAnchor"/>
          <w:rtl w:val="true"/>
        </w:rPr>
        <w:footnoteReference w:id="266"/>
      </w:r>
      <w:r>
        <w:rPr>
          <w:rFonts w:ascii="IRNazanin" w:hAnsi="IRNazanin" w:eastAsia="IRNazanin"/>
          <w:color w:val="111111"/>
          <w:sz w:val="28"/>
          <w:sz w:val="28"/>
          <w:szCs w:val="28"/>
          <w:rtl w:val="true"/>
          <w:lang w:bidi="fa-IR"/>
        </w:rPr>
        <w:t>معارضه می‌کند؛ زیرا، به عدم فرق بین حرّ و عبد تصریح دارد و این روایت به بی‌اعتباری اقرار عبد در باب سرقت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اثر تعارض روایت مفصّل</w:t>
      </w:r>
      <w:bookmarkStart w:id="370" w:name="pg16923_220239"/>
    </w:p>
    <w:p>
      <w:pPr>
        <w:pStyle w:val="BookText"/>
        <w:rPr/>
      </w:pPr>
      <w:bookmarkEnd w:id="370"/>
      <w:r>
        <w:rPr>
          <w:rFonts w:ascii="IRNazanin" w:hAnsi="IRNazanin" w:eastAsia="IRNazanin"/>
          <w:color w:val="111111"/>
          <w:sz w:val="28"/>
          <w:sz w:val="28"/>
          <w:szCs w:val="28"/>
          <w:rtl w:val="true"/>
          <w:lang w:bidi="fa-IR"/>
        </w:rPr>
        <w:t xml:space="preserve">ساقط می‌گردد و روایت باب سرقت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أقرّ الرجل الحرّ علی نفسه عند الإمام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می‌ماند</w:t>
      </w:r>
      <w:r>
        <w:rPr>
          <w:rFonts w:eastAsia="IRNazanin" w:cs="IRNazanin"/>
          <w:color w:val="111111"/>
          <w:sz w:val="28"/>
          <w:szCs w:val="28"/>
          <w:rtl w:val="true"/>
          <w:lang w:bidi="fa-IR"/>
        </w:rPr>
        <w:t>.</w:t>
      </w:r>
    </w:p>
    <w:p>
      <w:pPr>
        <w:pStyle w:val="Heading6"/>
        <w:numPr>
          <w:ilvl w:val="5"/>
          <w:numId w:val="1"/>
        </w:numPr>
        <w:rPr/>
      </w:pPr>
      <w:bookmarkStart w:id="371" w:name="__RefHeading___Toc162353_3244359995"/>
      <w:bookmarkStart w:id="372" w:name="_Toc143"/>
      <w:bookmarkEnd w:id="371"/>
      <w:r>
        <w:rPr>
          <w:rtl w:val="true"/>
        </w:rPr>
        <w:t>نقد و توجیه روایت فضیل در باب سرقت</w:t>
      </w:r>
      <w:bookmarkEnd w:id="372"/>
    </w:p>
    <w:p>
      <w:pPr>
        <w:pStyle w:val="BookText"/>
        <w:rPr/>
      </w:pPr>
      <w:r>
        <w:rPr>
          <w:rFonts w:ascii="IRNazanin" w:hAnsi="IRNazanin" w:eastAsia="IRNazanin"/>
          <w:color w:val="111111"/>
          <w:sz w:val="28"/>
          <w:sz w:val="28"/>
          <w:szCs w:val="28"/>
          <w:rtl w:val="true"/>
          <w:lang w:bidi="fa-IR"/>
        </w:rPr>
        <w:t xml:space="preserve">اگر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أقرّ الرجل الحرّ علی نفسه عند الإمام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علیه السلام باشد، برای ما لازم نیست این معنا را دنبال کنیم که آیا یک مرتبه اقرار نزد معصوم علیه السلام کافی است یا نه؟ امام معصوم علیه السلام وظیفه‌ی خود را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هر حاکم شرعی باشد خواه به نیابت خاصّه یا نیابت عامّه، در این صورت، روایت با روایات مشهور معارضه می‌کند و امکان جمع دلالی هم نیست؛ همان طور که اگر مقصود، امام معصوم علیه السلام باشد، جای اطلاق و تقیید است؛ زیرا، روایات مشهور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دو اقرار لازم است و این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معصوم علیه السلام یک اقرار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مقصود از امام، حاکم شرع باشد، بین دو دسته روایت تعارض برقرار، و روایات مشهور از جهت موافقت با شهرت فتواییه یعنی اوّلین مرجّح، بر روایت فضیل مقدّم می‌گردد؛ در نتیجه، در باب سرقت دو مرتبه اقرار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رحمه الله روایت دیگری از کتاب تحصین سیّد بن طاووس رحمه الله نقل می‌کند، خلاصه‌ی روایت این است که اگر عبدی به سه بار سرقت اقرار کند، دستش قطع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الأصبغ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أتی أمیر المؤمنین علیه السلام جماعة بعبد أسود موثّق أکتافاً،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جئناک بسارق،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أسود أنت سارق؟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مولای،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ثانیةً یا أسود أنت سارق؟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مولای، قال</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قلتها ثالثةً قطعت یمینک، یا أسود أنت سارق،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فقطع یمین الأسود</w:t>
      </w:r>
      <w:r>
        <w:rPr>
          <w:rFonts w:eastAsia="IRNazanin" w:cs="IRNazanin"/>
          <w:color w:val="111111"/>
          <w:sz w:val="28"/>
          <w:szCs w:val="28"/>
          <w:rtl w:val="true"/>
          <w:lang w:bidi="fa-IR"/>
        </w:rPr>
        <w:t>.</w:t>
      </w:r>
      <w:r>
        <w:rPr>
          <w:rStyle w:val="FootnoteAnchor"/>
          <w:rtl w:val="true"/>
        </w:rPr>
        <w:footnoteReference w:id="267"/>
      </w:r>
      <w:bookmarkStart w:id="373" w:name="pg16923_220240"/>
    </w:p>
    <w:p>
      <w:pPr>
        <w:pStyle w:val="BookText"/>
        <w:rPr/>
      </w:pPr>
      <w:bookmarkEnd w:id="373"/>
      <w:r>
        <w:rPr>
          <w:rFonts w:ascii="IRNazanin" w:hAnsi="IRNazanin" w:eastAsia="IRNazanin"/>
          <w:color w:val="111111"/>
          <w:sz w:val="28"/>
          <w:sz w:val="28"/>
          <w:szCs w:val="28"/>
          <w:rtl w:val="true"/>
          <w:lang w:bidi="fa-IR"/>
        </w:rPr>
        <w:t>به گفته‌ی صاحب جواهر رحمه الله این روایت به دو دلیل باید کنار گذاشته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تعدّد اقرار فتوا داده‌اند، بیش از دو اقرار را لازم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کسی به این روایت عمل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عبد، اگر ده‌بار هم اقرار کند اثری بر اقرارش مترتّب نمی‌گردد؛ زیرا، به‌طور کلّی اقرار عبد در باب سرقت پذیرفته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قول مشهور به لزوم و کفایت دو اقرار در باب سرقت بر طبق قاعده است</w:t>
      </w:r>
      <w:r>
        <w:rPr>
          <w:rFonts w:eastAsia="IRNazanin" w:cs="IRNazanin"/>
          <w:color w:val="111111"/>
          <w:sz w:val="28"/>
          <w:szCs w:val="28"/>
          <w:rtl w:val="true"/>
          <w:lang w:bidi="fa-IR"/>
        </w:rPr>
        <w:t>.</w:t>
      </w:r>
    </w:p>
    <w:p>
      <w:pPr>
        <w:pStyle w:val="Heading5"/>
        <w:numPr>
          <w:ilvl w:val="4"/>
          <w:numId w:val="1"/>
        </w:numPr>
        <w:rPr/>
      </w:pPr>
      <w:bookmarkStart w:id="374" w:name="__RefHeading___Toc162355_3244359995"/>
      <w:bookmarkStart w:id="375" w:name="_Toc144"/>
      <w:bookmarkEnd w:id="374"/>
      <w:r>
        <w:rPr>
          <w:rtl w:val="true"/>
        </w:rPr>
        <w:t>فرع دوّم</w:t>
      </w:r>
      <w:r>
        <w:rPr>
          <w:rtl w:val="true"/>
        </w:rPr>
        <w:t xml:space="preserve">: </w:t>
      </w:r>
      <w:r>
        <w:rPr>
          <w:rtl w:val="true"/>
        </w:rPr>
        <w:t>عدم قطع دست با یک‌بار اقرار و اخذ مال مسروقه</w:t>
      </w:r>
      <w:bookmarkEnd w:id="375"/>
    </w:p>
    <w:p>
      <w:pPr>
        <w:pStyle w:val="BookText"/>
        <w:rPr/>
      </w:pPr>
      <w:r>
        <w:rPr>
          <w:rFonts w:ascii="IRNazanin" w:hAnsi="IRNazanin" w:eastAsia="IRNazanin"/>
          <w:color w:val="111111"/>
          <w:sz w:val="28"/>
          <w:sz w:val="28"/>
          <w:szCs w:val="28"/>
          <w:rtl w:val="true"/>
          <w:lang w:bidi="fa-IR"/>
        </w:rPr>
        <w:t>تعدّد اقرار در ثبوت حدّ مؤثّر است؛ یعنی اگر بخواهد قطع دست مترتّب گردد، باید دوبار به سرقت اقرار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یک‌بار اقرار کرد، دستش را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حیث، اقرار بی‌اثر است؛ امّا از جهت ضمان و برگرداندن مال مسروقه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موجود است عین آن را باید برگرداند و اگر تلف شده، و مثلی است مثل آن را، و اگر قیمی است، قیمت آن را باید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اقرار در باب سرقت همانند اقرار در حقوق مالی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در دستم هست متعلّق به زید است، 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 زید را تلف کردم، در صورت اوّل کتاب را و در صورت دوّم مثل یا قیمت آن مال را از او گرفته به زید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فرقی بین باب سرقت و دیگر اقرارهای مالی نیست</w:t>
      </w:r>
      <w:r>
        <w:rPr>
          <w:rFonts w:eastAsia="IRNazanin" w:cs="IRNazanin"/>
          <w:color w:val="111111"/>
          <w:sz w:val="28"/>
          <w:szCs w:val="28"/>
          <w:rtl w:val="true"/>
          <w:lang w:bidi="fa-IR"/>
        </w:rPr>
        <w:t>.</w:t>
      </w:r>
    </w:p>
    <w:p>
      <w:pPr>
        <w:pStyle w:val="Heading5"/>
        <w:numPr>
          <w:ilvl w:val="4"/>
          <w:numId w:val="1"/>
        </w:numPr>
        <w:rPr/>
      </w:pPr>
      <w:bookmarkStart w:id="376" w:name="__RefHeading___Toc162357_3244359995"/>
      <w:bookmarkStart w:id="377" w:name="_Toc145"/>
      <w:bookmarkEnd w:id="376"/>
      <w:r>
        <w:rPr>
          <w:rtl w:val="true"/>
        </w:rPr>
        <w:t>فرع سوّم</w:t>
      </w:r>
      <w:r>
        <w:rPr>
          <w:rtl w:val="true"/>
        </w:rPr>
        <w:t xml:space="preserve">: </w:t>
      </w:r>
      <w:r>
        <w:rPr>
          <w:rtl w:val="true"/>
        </w:rPr>
        <w:t>شهادت زنان</w:t>
      </w:r>
      <w:r>
        <w:rPr>
          <w:rtl w:val="true"/>
        </w:rPr>
        <w:t xml:space="preserve">- </w:t>
      </w:r>
      <w:r>
        <w:rPr>
          <w:rtl w:val="true"/>
        </w:rPr>
        <w:t>یک شاهد و قسم</w:t>
      </w:r>
      <w:bookmarkEnd w:id="377"/>
    </w:p>
    <w:p>
      <w:pPr>
        <w:pStyle w:val="BookText"/>
        <w:rPr/>
      </w:pPr>
      <w:r>
        <w:rPr>
          <w:rFonts w:ascii="IRNazanin" w:hAnsi="IRNazanin" w:eastAsia="IRNazanin"/>
          <w:color w:val="111111"/>
          <w:sz w:val="28"/>
          <w:sz w:val="28"/>
          <w:szCs w:val="28"/>
          <w:rtl w:val="true"/>
          <w:lang w:bidi="fa-IR"/>
        </w:rPr>
        <w:t>این فرع را به‌طور مکرّر بحث کرده‌ایم؛ امام راحل رحمه الله در باب زنا به واسطه‌ی دلیل خاص برای شهادت زنان به انضمام شهادت مردان اعتبار قائل شدند و در سایر موارد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زنان به‌طور مستقلّ یا منضمّ به شهادت مردان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استفاده از روایات، برخلافِ این مطلب فتوا دادیم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دو زن از باب قدر متیقّن می‌تواند به مردان منضم گردد؛ لذا، با شهادت دو زن عادل و یک مرد عادل، سرقت ثابت و حدّش مترتّب می‌گردد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 مبنایی است و جای بحث مفصّلش در کتاب شهادات است؛ همان‌گونه که</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از اعتبار یمین در باب حدود نیز در همان کتاب باید مطرح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رحمه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یک شاهد و سوگند مسروق منه، سرقت ثابت نمی‌شود؛ زیرا، به حسب آن‌چه در باب شهادات تحقیق شده و روایات هم دلالت دارد،</w:t>
      </w:r>
      <w:r>
        <w:rPr>
          <w:rStyle w:val="FootnoteAnchor"/>
          <w:rtl w:val="true"/>
        </w:rPr>
        <w:footnoteReference w:id="268"/>
      </w:r>
      <w:r>
        <w:rPr>
          <w:rFonts w:ascii="IRNazanin" w:hAnsi="IRNazanin" w:eastAsia="IRNazanin"/>
          <w:color w:val="111111"/>
          <w:sz w:val="28"/>
          <w:sz w:val="28"/>
          <w:szCs w:val="28"/>
          <w:rtl w:val="true"/>
          <w:lang w:bidi="fa-IR"/>
        </w:rPr>
        <w:t>صاحب حدّ نباید قسم بخورد؛ یعنی سوگندش بی‌اعتبار است</w:t>
      </w:r>
      <w:r>
        <w:rPr>
          <w:rFonts w:eastAsia="IRNazanin" w:cs="IRNazanin"/>
          <w:color w:val="111111"/>
          <w:sz w:val="28"/>
          <w:szCs w:val="28"/>
          <w:rtl w:val="true"/>
          <w:lang w:bidi="fa-IR"/>
        </w:rPr>
        <w:t>.</w:t>
      </w:r>
      <w:bookmarkStart w:id="378" w:name="pg16923_220242"/>
    </w:p>
    <w:p>
      <w:pPr>
        <w:pStyle w:val="BookText"/>
        <w:rPr/>
      </w:pPr>
      <w:bookmarkEnd w:id="3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المقرّ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المقرّ البلوغ والعقل والاختیار والقصد، فلایقطع بإقرار الصبیّ حتّی مع القول بقطعه بالسرقة، ولا بإقرار المجنون ولو أدواراً دور جنونه ولا بالمکره ولا بالهازل والغافل والنائم والساهی والمغمی علیه، فلو أقرّ مکرهاً أو بلا قصد لم یقطع ولم یثبت المال</w:t>
      </w:r>
      <w:r>
        <w:rPr>
          <w:rFonts w:eastAsia="IRNazanin" w:cs="IRNazanin"/>
          <w:color w:val="111111"/>
          <w:sz w:val="28"/>
          <w:szCs w:val="28"/>
          <w:rtl w:val="true"/>
          <w:lang w:bidi="fa-IR"/>
        </w:rPr>
        <w:t>.]</w:t>
      </w:r>
    </w:p>
    <w:p>
      <w:pPr>
        <w:pStyle w:val="Heading4"/>
        <w:numPr>
          <w:ilvl w:val="3"/>
          <w:numId w:val="1"/>
        </w:numPr>
        <w:rPr/>
      </w:pPr>
      <w:bookmarkStart w:id="379" w:name="__RefHeading___Toc162359_3244359995"/>
      <w:bookmarkStart w:id="380" w:name="_Toc146"/>
      <w:bookmarkEnd w:id="379"/>
      <w:r>
        <w:rPr>
          <w:rtl w:val="true"/>
        </w:rPr>
        <w:t>شرایط مقرّ</w:t>
      </w:r>
      <w:bookmarkEnd w:id="380"/>
    </w:p>
    <w:p>
      <w:pPr>
        <w:pStyle w:val="Heading5"/>
        <w:numPr>
          <w:ilvl w:val="4"/>
          <w:numId w:val="1"/>
        </w:numPr>
        <w:rPr/>
      </w:pPr>
      <w:bookmarkStart w:id="381" w:name="__RefHeading___Toc162361_3244359995"/>
      <w:bookmarkStart w:id="382" w:name="_Toc147"/>
      <w:bookmarkEnd w:id="381"/>
      <w:r>
        <w:rPr>
          <w:rtl w:val="true"/>
        </w:rPr>
        <w:t>اشاره</w:t>
      </w:r>
      <w:bookmarkEnd w:id="382"/>
    </w:p>
    <w:p>
      <w:pPr>
        <w:pStyle w:val="BookText"/>
        <w:rPr/>
      </w:pPr>
      <w:r>
        <w:rPr>
          <w:rFonts w:ascii="IRNazanin" w:hAnsi="IRNazanin" w:eastAsia="IRNazanin"/>
          <w:color w:val="111111"/>
          <w:sz w:val="28"/>
          <w:sz w:val="28"/>
          <w:szCs w:val="28"/>
          <w:rtl w:val="true"/>
          <w:lang w:bidi="fa-IR"/>
        </w:rPr>
        <w:t>در مقرّ چهار شرط بلوغ، عقل، اختیار و قصد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حریّت نیز از شرایط مقرّ است که به لحاظ عدم ابتلا مطرح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صحیحه‌ی فضیل بن یسار بر این مطلب تصریح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أقرّ المملوک علی نفسه بالسّرقة لم یقطع وإن شهد علیه شاهدان قطع</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بنابراین، با اقرار کودک بر سرقت، دستش قطع نمی‌گردد؛ حتّی اگر قائل باشیم دست کودک را در سرقت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به اقرار مجنون هرچند جنون ادواری داشته باشد و در زمان جنون اقرار کند، و به اقرار فردی که به اقرار اکراه شده باشد و به اقرار هازل، غافل، نائم، ساهی و بیهوش بر سرقت، دستشان قطع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از روی اکراه یا بدون قصد اقرار کند، قطع دست و مال مسروقه ثابت نمی‌گردد</w:t>
      </w:r>
      <w:r>
        <w:rPr>
          <w:rFonts w:eastAsia="IRNazanin" w:cs="IRNazanin"/>
          <w:color w:val="111111"/>
          <w:sz w:val="28"/>
          <w:szCs w:val="28"/>
          <w:rtl w:val="true"/>
          <w:lang w:bidi="fa-IR"/>
        </w:rPr>
        <w:t>.</w:t>
      </w:r>
    </w:p>
    <w:p>
      <w:pPr>
        <w:pStyle w:val="Heading5"/>
        <w:numPr>
          <w:ilvl w:val="4"/>
          <w:numId w:val="1"/>
        </w:numPr>
        <w:rPr/>
      </w:pPr>
      <w:bookmarkStart w:id="383" w:name="__RefHeading___Toc162363_3244359995"/>
      <w:bookmarkStart w:id="384" w:name="_Toc148"/>
      <w:bookmarkEnd w:id="383"/>
      <w:r>
        <w:rPr/>
        <w:t>1</w:t>
      </w:r>
      <w:r>
        <w:rPr>
          <w:rtl w:val="true"/>
        </w:rPr>
        <w:t xml:space="preserve">- </w:t>
      </w:r>
      <w:r>
        <w:rPr>
          <w:rtl w:val="true"/>
        </w:rPr>
        <w:t>اعتبار بلوغ</w:t>
      </w:r>
      <w:bookmarkEnd w:id="38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 مسلّم فقهی بی‌اثر بودن اقرار غیربالغ است؛ زیرا، غیربالغ از نظر شرعی مسلوب العبارة است؛ یعنی کلام و گفتارش کالعدم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همین مبنا، جمع زیادی از فقها یکی از شرایط متعاقدین را بلوغ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متعاقدین، همان کسی است که</w:t>
      </w:r>
    </w:p>
    <w:p>
      <w:pPr>
        <w:pStyle w:val="BookText"/>
        <w:rPr/>
      </w:pPr>
      <w:r>
        <w:rPr>
          <w:rFonts w:ascii="IRNazanin" w:hAnsi="IRNazanin" w:eastAsia="IRNazanin"/>
          <w:color w:val="111111"/>
          <w:sz w:val="28"/>
          <w:sz w:val="28"/>
          <w:szCs w:val="28"/>
          <w:rtl w:val="true"/>
          <w:lang w:bidi="fa-IR"/>
        </w:rPr>
        <w:t>صیغه‌ی عقد را اجرا می‌کند؛ خواه مجری عقد، بایع واقعی باشد یا از طرف او وکالت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صبیّ صیغه‌ی عقدی را هرچند به وکالت نیز اجرا کند، آن عقد مانند عدم عقد است یعنی گویا سخنی از او سر نزده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لم یصدر منه کلام وکأنّه لم یتحقّق هناک 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وقتی عقد کودک بی‌اثر بود و نفوذی نداشت، اقرارش نیز مانند عقدش نافذ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 جایز</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به عقلای بالغ انصراف دارد؛ لذا، کودک هرچند دیوانه هم نباشد و مرتبه‌ای از عقل را نیز دارا باشد، از این دلیل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عبارت و گفتار، کودک را کالعدم ندانسته‌ایم؛ لذا، در مواردی که به وکالت از طرف مالک، صیغه‌ی عقد را بخواند، عقدش صحیح است؛ لیکن از جهت انصراف دلیل اقرار، از اقرار کودک، در تمام حقوق مالی و غیر آن، اقرارش منشأ اثر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اوّل بحث سرقت، در اولین شرط ثبوت حدّ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معتقدند در سرقت کودک اگر به‌طور مکرّر هم باشد، دستش بریده نمی‌شود؛ در مقابل مشهور، روایات و اقوالی داریم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مرتبه‌ی اول عفو، در مرتبه‌ی دوّم تأدیب، در مرتبه‌ی سوّم، انگشتانش را با فشار بر روی زمین مالش می‌دهند تا خون درآید، در مرتبه‌ی چهارم سرانگشتانش را قطع، و در مرتبه‌ی پنجم همانند افراد بالغ دستش را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مسأله، ممکن است کسی توهّم کند اگر در مرتبه‌ی پنجم دست کودک را می‌بُرند، یا در مراتب قبل او را تأدیب می‌کنند، لازمه‌اش این است که سرقت او به هر راهی ثابت شود این عقوبت‌ها در حقّش اجرا گردد؛ یعنی فرقی بین اقرار کودک یا قیام بیّنه بر سرقتش و یا علم حاکم به این عمل نیست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اگر حدّ و تعزیر در حقّ کودک اقامه می‌گردد؛ پس، معلوم می‌شود بین ترتّب این احکام و نفوذ اقرارش رابطه است</w:t>
      </w:r>
      <w:r>
        <w:rPr>
          <w:rFonts w:eastAsia="IRNazanin" w:cs="IRNazanin"/>
          <w:color w:val="111111"/>
          <w:sz w:val="28"/>
          <w:szCs w:val="28"/>
          <w:rtl w:val="true"/>
          <w:lang w:bidi="fa-IR"/>
        </w:rPr>
        <w:t>.</w:t>
      </w:r>
      <w:bookmarkStart w:id="385" w:name="pg16923_220244"/>
    </w:p>
    <w:p>
      <w:pPr>
        <w:pStyle w:val="BookText"/>
        <w:rPr/>
      </w:pPr>
      <w:bookmarkEnd w:id="385"/>
      <w:r>
        <w:rPr>
          <w:rFonts w:ascii="IRNazanin" w:hAnsi="IRNazanin" w:eastAsia="IRNazanin"/>
          <w:color w:val="111111"/>
          <w:sz w:val="28"/>
          <w:sz w:val="28"/>
          <w:szCs w:val="28"/>
          <w:rtl w:val="true"/>
          <w:lang w:bidi="fa-IR"/>
        </w:rPr>
        <w:t>امام راحل رحمه الله در دفع این توهّم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کودک با اقرارش به سرقت قطع نمی‌گردد؛ حتّی اگر بگوییم در سرقت کودک حدّ قطع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بین ثبوت حدّ و پذیرش اقرار رابطه‌ای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سرقتش با بیّنه یا علم قاضی ثابت گردد، حدّ و تعزیرمی‌شود؛ وگرنه اقرارش نافذ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در سرقت کودک به تعزیر قائل شویم یا مراتب پنج‌گانه را طی کنیم، جریان تعزیر یا مراتب پنج‌گانه ربطی به این مسأله که سرقت صبیّ چگونه ثابت می‌شود،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ما در آن مسأله، به قطع دست کودک فتوا بدهیم، امّا معنای آن فتوا این نیست که اقرار کودک مقبول و نافذ است</w:t>
      </w:r>
      <w:r>
        <w:rPr>
          <w:rFonts w:eastAsia="IRNazanin" w:cs="IRNazanin"/>
          <w:color w:val="111111"/>
          <w:sz w:val="28"/>
          <w:szCs w:val="28"/>
          <w:rtl w:val="true"/>
          <w:lang w:bidi="fa-IR"/>
        </w:rPr>
        <w:t>.</w:t>
      </w:r>
    </w:p>
    <w:p>
      <w:pPr>
        <w:pStyle w:val="Heading5"/>
        <w:numPr>
          <w:ilvl w:val="4"/>
          <w:numId w:val="1"/>
        </w:numPr>
        <w:rPr/>
      </w:pPr>
      <w:bookmarkStart w:id="386" w:name="__RefHeading___Toc162365_3244359995"/>
      <w:bookmarkStart w:id="387" w:name="_Toc149"/>
      <w:bookmarkEnd w:id="386"/>
      <w:r>
        <w:rPr/>
        <w:t>2</w:t>
      </w:r>
      <w:r>
        <w:rPr>
          <w:rtl w:val="true"/>
        </w:rPr>
        <w:t xml:space="preserve">- </w:t>
      </w:r>
      <w:r>
        <w:rPr>
          <w:rtl w:val="true"/>
        </w:rPr>
        <w:t>اقرار مجنون</w:t>
      </w:r>
      <w:bookmarkEnd w:id="387"/>
    </w:p>
    <w:p>
      <w:pPr>
        <w:pStyle w:val="BookText"/>
        <w:rPr/>
      </w:pPr>
      <w:r>
        <w:rPr>
          <w:rFonts w:ascii="IRNazanin" w:hAnsi="IRNazanin" w:eastAsia="IRNazanin"/>
          <w:color w:val="111111"/>
          <w:sz w:val="28"/>
          <w:sz w:val="28"/>
          <w:szCs w:val="28"/>
          <w:rtl w:val="true"/>
          <w:lang w:bidi="fa-IR"/>
        </w:rPr>
        <w:t xml:space="preserve">شخص در زمان جنون، از تحت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 جایز</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خارج است</w:t>
      </w:r>
      <w:r>
        <w:rPr>
          <w:rFonts w:eastAsia="IRNazanin" w:cs="IRNazanin"/>
          <w:color w:val="111111"/>
          <w:sz w:val="28"/>
          <w:szCs w:val="28"/>
          <w:rtl w:val="true"/>
          <w:lang w:bidi="fa-IR"/>
        </w:rPr>
        <w:t>.</w:t>
      </w:r>
    </w:p>
    <w:p>
      <w:pPr>
        <w:pStyle w:val="Heading5"/>
        <w:numPr>
          <w:ilvl w:val="4"/>
          <w:numId w:val="1"/>
        </w:numPr>
        <w:rPr/>
      </w:pPr>
      <w:bookmarkStart w:id="388" w:name="__RefHeading___Toc162367_3244359995"/>
      <w:bookmarkStart w:id="389" w:name="_Toc150"/>
      <w:bookmarkEnd w:id="388"/>
      <w:r>
        <w:rPr/>
        <w:t>3</w:t>
      </w:r>
      <w:r>
        <w:rPr>
          <w:rtl w:val="true"/>
        </w:rPr>
        <w:t xml:space="preserve">- </w:t>
      </w:r>
      <w:r>
        <w:rPr>
          <w:rtl w:val="true"/>
        </w:rPr>
        <w:t>اقرار مکره</w:t>
      </w:r>
      <w:bookmarkEnd w:id="389"/>
    </w:p>
    <w:p>
      <w:pPr>
        <w:pStyle w:val="BookText"/>
        <w:rPr/>
      </w:pPr>
      <w:r>
        <w:rPr>
          <w:rFonts w:ascii="IRNazanin" w:hAnsi="IRNazanin" w:eastAsia="IRNazanin"/>
          <w:color w:val="111111"/>
          <w:sz w:val="28"/>
          <w:sz w:val="28"/>
          <w:szCs w:val="28"/>
          <w:rtl w:val="true"/>
          <w:lang w:bidi="fa-IR"/>
        </w:rPr>
        <w:t xml:space="preserve">به مقتضای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اکره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استکرهوا علیه</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 xml:space="preserve">اقرار شخصی که اکراه شده نافذ نیست؛ بلکه به سبب انصراف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 جایز</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نیز می‌توان اقرار مکره را بی‌اثر دانست؛ زیرا، به تناسب حکم و موضوع، این قاعده می‌گوید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عاقل بر ضرر خودش اقرار کند، باید آن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پذیرش اقرار عاقل این است که او عاقل است و به واقعیّتی اعتراف می‌کند، به این مال برای زید اقرار می‌کند، در معنای این قاعده، اختیار افتاده است؛ یعنی مسأله‌ی پذیرش و نفوذ اقرار را به جایی منحصر می‌کند که عاقل در اقرارش مختار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اگر کسی را با تهدید و ضرب و شتم به اقرار وادار کنند،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 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شامل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ادلّه‌ی رفع اکراه هم نبود، همین قاعده بیانگر عدم نفوذ اقرار در صورت اکراه و استکراه است</w:t>
      </w:r>
      <w:r>
        <w:rPr>
          <w:rFonts w:eastAsia="IRNazanin" w:cs="IRNazanin"/>
          <w:color w:val="111111"/>
          <w:sz w:val="28"/>
          <w:szCs w:val="28"/>
          <w:rtl w:val="true"/>
          <w:lang w:bidi="fa-IR"/>
        </w:rPr>
        <w:t>.</w:t>
      </w:r>
      <w:bookmarkStart w:id="390" w:name="pg16923_220245"/>
    </w:p>
    <w:p>
      <w:pPr>
        <w:pStyle w:val="Heading5"/>
        <w:numPr>
          <w:ilvl w:val="4"/>
          <w:numId w:val="1"/>
        </w:numPr>
        <w:rPr/>
      </w:pPr>
      <w:bookmarkStart w:id="391" w:name="__RefHeading___Toc162369_3244359995"/>
      <w:bookmarkStart w:id="392" w:name="_Toc151"/>
      <w:bookmarkEnd w:id="390"/>
      <w:bookmarkEnd w:id="391"/>
      <w:r>
        <w:rPr/>
        <w:t>4</w:t>
      </w:r>
      <w:r>
        <w:rPr>
          <w:rtl w:val="true"/>
        </w:rPr>
        <w:t xml:space="preserve">- </w:t>
      </w:r>
      <w:r>
        <w:rPr>
          <w:rtl w:val="true"/>
        </w:rPr>
        <w:t>اعتبار قصد</w:t>
      </w:r>
      <w:bookmarkEnd w:id="392"/>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عنوان اقرار افرادی که بدون قصد و توجّه اقرار می‌کنند، خارج می‌شود؛ لذا، شخصی که به شوخی، یا بدون توجّه، یا در حال خواب، یا به اشتباه و یا در حالت بیهوشی اقرار کند، اقرارش نافذ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شخص یا التفات و توجّهی ندارد و یا متوجّه معنا هست امّا آن را به جدّ اراده نکرده، یعنی مقصود جدّی متکلّم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به صورت مکرّر هم چنین اقراری از او سرزند، هیچ کدام از حدّ سرقت و مال مسروقه، ثابت نمی‌شود</w:t>
      </w:r>
      <w:r>
        <w:rPr>
          <w:rFonts w:eastAsia="IRNazanin" w:cs="IRNazanin"/>
          <w:color w:val="111111"/>
          <w:sz w:val="28"/>
          <w:szCs w:val="28"/>
          <w:rtl w:val="true"/>
          <w:lang w:bidi="fa-IR"/>
        </w:rPr>
        <w:t>.</w:t>
      </w:r>
      <w:bookmarkStart w:id="393" w:name="pg16923_220246"/>
    </w:p>
    <w:p>
      <w:pPr>
        <w:pStyle w:val="BookText"/>
        <w:rPr/>
      </w:pPr>
      <w:bookmarkEnd w:id="3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الإکراه علی الإقرار ثمّ الإتیان بالمال المسروقة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أکرهه علی الإقرار بضرب ونحوه فأقرّ ثمّ أتی بالمال بعینه لم یثبت القطع إلّا مع قیام قرائن قطعیّة علی سرقته بما یوجب القطع</w:t>
      </w:r>
      <w:r>
        <w:rPr>
          <w:rFonts w:eastAsia="IRNazanin" w:cs="IRNazanin"/>
          <w:color w:val="111111"/>
          <w:sz w:val="28"/>
          <w:szCs w:val="28"/>
          <w:rtl w:val="true"/>
          <w:lang w:bidi="fa-IR"/>
        </w:rPr>
        <w:t>.]</w:t>
      </w:r>
    </w:p>
    <w:p>
      <w:pPr>
        <w:pStyle w:val="Heading4"/>
        <w:numPr>
          <w:ilvl w:val="3"/>
          <w:numId w:val="1"/>
        </w:numPr>
        <w:rPr/>
      </w:pPr>
      <w:bookmarkStart w:id="394" w:name="__RefHeading___Toc162371_3244359995"/>
      <w:bookmarkStart w:id="395" w:name="_Toc152"/>
      <w:bookmarkEnd w:id="394"/>
      <w:r>
        <w:rPr>
          <w:rtl w:val="true"/>
        </w:rPr>
        <w:t>اکراه بر اقرار و آوردن مال مسروقه</w:t>
      </w:r>
      <w:bookmarkEnd w:id="395"/>
    </w:p>
    <w:p>
      <w:pPr>
        <w:pStyle w:val="Heading5"/>
        <w:numPr>
          <w:ilvl w:val="4"/>
          <w:numId w:val="1"/>
        </w:numPr>
        <w:rPr/>
      </w:pPr>
      <w:bookmarkStart w:id="396" w:name="__RefHeading___Toc162373_3244359995"/>
      <w:bookmarkStart w:id="397" w:name="_Toc153"/>
      <w:bookmarkEnd w:id="396"/>
      <w:r>
        <w:rPr>
          <w:rtl w:val="true"/>
        </w:rPr>
        <w:t>اشاره</w:t>
      </w:r>
      <w:bookmarkEnd w:id="397"/>
    </w:p>
    <w:p>
      <w:pPr>
        <w:pStyle w:val="BookText"/>
        <w:rPr/>
      </w:pPr>
      <w:r>
        <w:rPr>
          <w:rFonts w:ascii="IRNazanin" w:hAnsi="IRNazanin" w:eastAsia="IRNazanin"/>
          <w:color w:val="111111"/>
          <w:sz w:val="28"/>
          <w:sz w:val="28"/>
          <w:szCs w:val="28"/>
          <w:rtl w:val="true"/>
          <w:lang w:bidi="fa-IR"/>
        </w:rPr>
        <w:t>اگر فردی را با کتک یا وسایل دیگر بر اقرار به سرقت مجبور کردند و او به سبب این اکراه، اقرار کرد؛ و پس از اقرار، همان مال مسروقه را آورد و تحویل داد، دستش قطع نمی‌گردد؛ مگر آن که قرائن قطعی بر سرقتش وجود داشته باشد، آن هم سرقتی که عقوبتش قطع دست باشد؛ یعنی قرائن خارجی سبب ایجاد یقین به تحقّق سرقتی گردد که تمام شرایطی که برای قطع دست لازم است را دارا باشد</w:t>
      </w:r>
      <w:r>
        <w:rPr>
          <w:rFonts w:eastAsia="IRNazanin" w:cs="IRNazanin"/>
          <w:color w:val="111111"/>
          <w:sz w:val="28"/>
          <w:szCs w:val="28"/>
          <w:rtl w:val="true"/>
          <w:lang w:bidi="fa-IR"/>
        </w:rPr>
        <w:t>.</w:t>
      </w:r>
    </w:p>
    <w:p>
      <w:pPr>
        <w:pStyle w:val="Heading5"/>
        <w:numPr>
          <w:ilvl w:val="4"/>
          <w:numId w:val="1"/>
        </w:numPr>
        <w:rPr/>
      </w:pPr>
      <w:bookmarkStart w:id="398" w:name="__RefHeading___Toc162375_3244359995"/>
      <w:bookmarkStart w:id="399" w:name="_Toc154"/>
      <w:bookmarkEnd w:id="398"/>
      <w:r>
        <w:rPr>
          <w:rtl w:val="true"/>
        </w:rPr>
        <w:t>اقوال در مسأله</w:t>
      </w:r>
      <w:bookmarkEnd w:id="399"/>
    </w:p>
    <w:p>
      <w:pPr>
        <w:pStyle w:val="BookText"/>
        <w:rPr/>
      </w:pPr>
      <w:r>
        <w:rPr>
          <w:rFonts w:ascii="IRNazanin" w:hAnsi="IRNazanin" w:eastAsia="IRNazanin"/>
          <w:color w:val="111111"/>
          <w:sz w:val="28"/>
          <w:sz w:val="28"/>
          <w:szCs w:val="28"/>
          <w:rtl w:val="true"/>
          <w:lang w:bidi="fa-IR"/>
        </w:rPr>
        <w:t>شیخ طوسی رحمه الله در کتاب نهایه</w:t>
      </w:r>
      <w:r>
        <w:rPr>
          <w:rStyle w:val="FootnoteAnchor"/>
          <w:rtl w:val="true"/>
        </w:rPr>
        <w:footnoteReference w:id="274"/>
      </w:r>
      <w:r>
        <w:rPr>
          <w:rFonts w:ascii="IRNazanin" w:hAnsi="IRNazanin" w:eastAsia="IRNazanin"/>
          <w:color w:val="111111"/>
          <w:sz w:val="28"/>
          <w:sz w:val="28"/>
          <w:szCs w:val="28"/>
          <w:rtl w:val="true"/>
          <w:lang w:bidi="fa-IR"/>
        </w:rPr>
        <w:t>و مرحوم ابن برّاج در مهذّب</w:t>
      </w:r>
      <w:r>
        <w:rPr>
          <w:rStyle w:val="FootnoteAnchor"/>
          <w:rtl w:val="true"/>
        </w:rPr>
        <w:footnoteReference w:id="275"/>
      </w:r>
      <w:r>
        <w:rPr>
          <w:rFonts w:ascii="IRNazanin" w:hAnsi="IRNazanin" w:eastAsia="IRNazanin"/>
          <w:color w:val="111111"/>
          <w:sz w:val="28"/>
          <w:sz w:val="28"/>
          <w:szCs w:val="28"/>
          <w:rtl w:val="true"/>
          <w:lang w:bidi="fa-IR"/>
        </w:rPr>
        <w:t>و یحیی بن سعید رحمه الله در جامع</w:t>
      </w:r>
      <w:r>
        <w:rPr>
          <w:rStyle w:val="FootnoteAnchor"/>
          <w:rtl w:val="true"/>
        </w:rPr>
        <w:footnoteReference w:id="276"/>
      </w:r>
      <w:r>
        <w:rPr>
          <w:rFonts w:ascii="IRNazanin" w:hAnsi="IRNazanin" w:eastAsia="IRNazanin"/>
          <w:color w:val="111111"/>
          <w:sz w:val="28"/>
          <w:sz w:val="28"/>
          <w:szCs w:val="28"/>
          <w:rtl w:val="true"/>
          <w:lang w:bidi="fa-IR"/>
        </w:rPr>
        <w:t>و علّامه رحمه الله در مختلف</w:t>
      </w:r>
      <w:r>
        <w:rPr>
          <w:rStyle w:val="FootnoteAnchor"/>
          <w:rtl w:val="true"/>
        </w:rPr>
        <w:footnoteReference w:id="277"/>
      </w:r>
      <w:r>
        <w:rPr>
          <w:rFonts w:ascii="IRNazanin" w:hAnsi="IRNazanin" w:eastAsia="IRNazanin"/>
          <w:color w:val="111111"/>
          <w:sz w:val="28"/>
          <w:sz w:val="28"/>
          <w:szCs w:val="28"/>
          <w:rtl w:val="true"/>
          <w:lang w:bidi="fa-IR"/>
        </w:rPr>
        <w:t>به قطع دست در این مورد قائل شده‌اند؛ ولی مرحوم ابن ادریس</w:t>
      </w:r>
      <w:r>
        <w:rPr>
          <w:rStyle w:val="FootnoteAnchor"/>
          <w:rtl w:val="true"/>
        </w:rPr>
        <w:footnoteReference w:id="278"/>
      </w:r>
      <w:r>
        <w:rPr>
          <w:rFonts w:ascii="IRNazanin" w:hAnsi="IRNazanin" w:eastAsia="IRNazanin"/>
          <w:color w:val="111111"/>
          <w:sz w:val="28"/>
          <w:sz w:val="28"/>
          <w:szCs w:val="28"/>
          <w:rtl w:val="true"/>
          <w:lang w:bidi="fa-IR"/>
        </w:rPr>
        <w:t>و جمیع متأخّرین از او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دست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ادلّه‌ی دو طرف را رسیدگی کنیم</w:t>
      </w:r>
      <w:r>
        <w:rPr>
          <w:rFonts w:eastAsia="IRNazanin" w:cs="IRNazanin"/>
          <w:color w:val="111111"/>
          <w:sz w:val="28"/>
          <w:szCs w:val="28"/>
          <w:rtl w:val="true"/>
          <w:lang w:bidi="fa-IR"/>
        </w:rPr>
        <w:t>.</w:t>
      </w:r>
    </w:p>
    <w:p>
      <w:pPr>
        <w:pStyle w:val="Heading5"/>
        <w:numPr>
          <w:ilvl w:val="4"/>
          <w:numId w:val="1"/>
        </w:numPr>
        <w:rPr/>
      </w:pPr>
      <w:bookmarkStart w:id="400" w:name="__RefHeading___Toc162377_3244359995"/>
      <w:bookmarkStart w:id="401" w:name="_Toc155"/>
      <w:bookmarkEnd w:id="400"/>
      <w:r>
        <w:rPr>
          <w:rtl w:val="true"/>
        </w:rPr>
        <w:t xml:space="preserve">دلیل قول اوّل </w:t>
      </w:r>
      <w:r>
        <w:rPr>
          <w:rtl w:val="true"/>
        </w:rPr>
        <w:t>(</w:t>
      </w:r>
      <w:r>
        <w:rPr>
          <w:rtl w:val="true"/>
        </w:rPr>
        <w:t>قطع دست</w:t>
      </w:r>
      <w:r>
        <w:rPr>
          <w:rtl w:val="true"/>
        </w:rPr>
        <w:t>)</w:t>
      </w:r>
      <w:bookmarkEnd w:id="401"/>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را که بر اقرار به سرقت اکراه می‌کنند و او پس از اقرارش مال مسروقه را می‌آورد و تحویل می‌دهد، بر تحویل مال مسروقه اکراه نشده است، آوردن مال مسروقه به اختیار</w:t>
      </w:r>
      <w:bookmarkStart w:id="402" w:name="pg16923_220247"/>
    </w:p>
    <w:p>
      <w:pPr>
        <w:pStyle w:val="BookText"/>
        <w:rPr/>
      </w:pPr>
      <w:bookmarkEnd w:id="402"/>
      <w:r>
        <w:rPr>
          <w:rFonts w:ascii="IRNazanin" w:hAnsi="IRNazanin" w:eastAsia="IRNazanin"/>
          <w:color w:val="111111"/>
          <w:sz w:val="28"/>
          <w:sz w:val="28"/>
          <w:szCs w:val="28"/>
          <w:rtl w:val="true"/>
          <w:lang w:bidi="fa-IR"/>
        </w:rPr>
        <w:t>خودش دلیل بر آن است که او سرقت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شبیه موردی است که یکی از دو شاهد، بر شراب خوردن زید و دیگری بر قی کردن شراب شهادت دهند؛ در چنین موردی، فتوا به اقامه‌ی حدّ شرب خمر داده‌اند؛ هرچند یک شاهد بر شراب‌خواری شهادت داده و شاهد دیگر شراب‌خواری را ندیده و بلکه بر قی کردن شراب شهادت داده است؛ لیکن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 کردن شراب، دلیل بر شرب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اگر فرد سرقت نکرده بود، پس چرا مال مسروقه را به اختیار خودش آورد و تحویل داد؟ بنابراین، قاعده اقتضای قطع دست سارق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این نکته توجّه داشت که بحث ما در جایی است که فردی را فقط بر اقرار کردن اکراه می‌کنند؛ امّا نسبت به ردّ مال هیچ اکراهی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نیز امکان دارد که یک فرد یا شخصیّتی را بخواهند لکه‌دار کنند، و به همین جهت او را به اقرار بر دزدی اکراه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اکراه، مال مسروقه نیست، و الّا اگر اکراه به‌گونه‌ای باشد که اکراه بر ردّ مال باشد بر چنین اقرار و ردّ مالی، حدّ سرقت مترتّب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بحث ما مربوط به فردی است که او را بر اقرار به دزدی اکراه می‌کنند و او پس از اقرار با اختیار خود، مال مسروقه را می‌آورد و تحویل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جایی را به مسأله شهادت بر قی شراب تشبیه کرده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باب شراب، روایت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اختلفا فی شهادتهما وما قاءها حتّی شربها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آن دو نفر در شهادت دادن اختلافی ندارند، زیرا این فرد شراب قی نکرد مگر بعد از آن که شرب خمر کرده است؛ لذا اگر روایتی هم در بین نباشد، قاعده اقتضای اجرای حدّ سرقت را دارد</w:t>
      </w:r>
      <w:r>
        <w:rPr>
          <w:rFonts w:eastAsia="IRNazanin" w:cs="IRNazanin"/>
          <w:color w:val="111111"/>
          <w:sz w:val="28"/>
          <w:szCs w:val="28"/>
          <w:rtl w:val="true"/>
          <w:lang w:bidi="fa-IR"/>
        </w:rPr>
        <w:t>.</w:t>
      </w:r>
    </w:p>
    <w:p>
      <w:pPr>
        <w:pStyle w:val="Heading5"/>
        <w:numPr>
          <w:ilvl w:val="4"/>
          <w:numId w:val="1"/>
        </w:numPr>
        <w:rPr/>
      </w:pPr>
      <w:bookmarkStart w:id="403" w:name="__RefHeading___Toc162379_3244359995"/>
      <w:bookmarkStart w:id="404" w:name="_Toc156"/>
      <w:bookmarkEnd w:id="403"/>
      <w:r>
        <w:rPr>
          <w:rtl w:val="true"/>
        </w:rPr>
        <w:t>نقد دلیل اوّل</w:t>
      </w:r>
      <w:bookmarkEnd w:id="404"/>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حکم به ترتّب حدّ در باب شراب حکمی برخلاف قاعده بود و اگر به‌آن فتوا دادیم، به خاطر ورود روایت معتبره در آن باب بود؛ و باید بر مورد خودش نیز متوقّف گردیم، و حقّ تعدّی به موارد مشابه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آن‌جا این بحث مطرح بود که اگر هر دو شاهد بر قی‌ء شراب شهادت دهند آیا می‌توان حدّ را اقامه کرد؟ اگر حکم در روایت روی قاعده بود، به</w:t>
      </w:r>
    </w:p>
    <w:p>
      <w:pPr>
        <w:pStyle w:val="BookText"/>
        <w:rPr/>
      </w:pPr>
      <w:r>
        <w:rPr>
          <w:rFonts w:ascii="IRNazanin" w:hAnsi="IRNazanin" w:eastAsia="IRNazanin"/>
          <w:color w:val="111111"/>
          <w:sz w:val="28"/>
          <w:sz w:val="28"/>
          <w:szCs w:val="28"/>
          <w:rtl w:val="true"/>
          <w:lang w:bidi="fa-IR"/>
        </w:rPr>
        <w:t>این مورد نیز بدون شبهه می‌توانستیم تعدّی کنیم؛ امّا از تردید و تحیّر اصحاب معلوم می‌شود حکم در روایت خلاف قاعده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قی‌ء شراب دلیل بر شراب‌خواری است، امّا هر شرب خمری حدّ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فردی را بر شرب خمر اکراه کرده باشند، یا به عنوان معالجه شراب نوشیده باشد، و یا به عطش شدیدی دچار و ناچار به شرب خمر شده باشد، به هر تقدیر، قی‌ء شراب، دلیل بر شرب آن است؛ امّا دلیل بر شربی که به دنبالش حدّ ثابت می‌شود،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همان طور که حکم به ترتّب حدّ در آن مسأله برخلاف قاعده بود، در این مسأله نیز برخلاف قاعده و ضوابط است؛ زیرا، اگر کسی را بر اقرار اکراه کردند و به سبب تهدید و ترس جان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کرد، پس از آن مال مسروقه را از ترس به اختیار خودش آورد، دلیل بر سرقت مال نیست؛ زیرا، ممکن است این مال توسط صاحبش نزد او به امانت گذاشته شده باشد و اکنون به ردّش اقدام کرده است، هم‌چنین امکان دارد با یک عقد خیاری این مال را خریده باشد و اکنون به فسخ معامله اقدام کرده، آن را 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آن‌چه مهم است اثبات این مطلب است که ردّ مال کشف از سرقتی کند که بر آن سرقت حدّ مترتّب است و با وجود این احتمال‌ها نمی‌توان ردّ مال را کاشف از سرقت دانست؛ یعنی ردّ مال هیچ ربطی به اقرار به سرقت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چه‌بسا فرشی را از زید به عاریه گرفته باشد، در این اثنا او را بر اقرار به سرقت همان فرش اکراه کنند و او از ترس جان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اقرار کرد، آیا پس از این اقرار حقّ دارد مال مردم را بالا بکشد؟ یا به حکم شرع باید آن را به صاحبش برگرداند، این ردّ مال چه کاشفیّتی از سرقت دارد؟ چه ارتباطی بین این دو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سرقت از روی اکراه و ردّ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p>
    <w:p>
      <w:pPr>
        <w:pStyle w:val="BookText"/>
        <w:rPr/>
      </w:pPr>
      <w:r>
        <w:rPr>
          <w:rFonts w:ascii="IRNazanin" w:hAnsi="IRNazanin" w:eastAsia="IRNazanin"/>
          <w:color w:val="111111"/>
          <w:sz w:val="28"/>
          <w:sz w:val="28"/>
          <w:szCs w:val="28"/>
          <w:rtl w:val="true"/>
          <w:lang w:bidi="fa-IR"/>
        </w:rPr>
        <w:t xml:space="preserve">بنا بر این که باب تمام احتمال‌ها بسته شود و فقط احتمال سرقت تثبیت گردد، ردّ مال مسروقه چگونه می‌تواند دلیل بر سرقت موجب حدّ باشد، چه‌بسا او را بر سرقت این مال اکراه کرده باشند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نمی‌توان مسأله را بر طبق قاعده تمام کرد؛ و باید روایت وارد در این باب را ملاحظه کرد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عن علیّ بن إبراهیم، عن أبیه، عن ابن أبی عمیر، عن</w:t>
      </w:r>
    </w:p>
    <w:p>
      <w:pPr>
        <w:pStyle w:val="BookText"/>
        <w:rPr/>
      </w:pPr>
      <w:r>
        <w:rPr>
          <w:rFonts w:ascii="IRNazanin" w:hAnsi="IRNazanin" w:eastAsia="IRNazanin"/>
          <w:color w:val="111111"/>
          <w:sz w:val="28"/>
          <w:sz w:val="28"/>
          <w:szCs w:val="28"/>
          <w:rtl w:val="true"/>
          <w:lang w:bidi="fa-IR"/>
        </w:rPr>
        <w:t>هشام بن سالم، عن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رجل سرق سرقة فکابر عنها فضرب فجاء بها بعینها، هل یجب علیه القطع؟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ولکن لو اعترف ولم یجی‌ء بالسرقة لم تقطع یده لأنّه اعترف علی العذاب</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صحیحه، سلیمان بن خالد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مرتکب سرقت شد و انکار کرد، او را زدند و مال مسروقه را آورد، آیا دستش را باید قطع کنند؟</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اگر اقرار کرد و مالی نیاورد، دستش قطع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این مورد را شامل می‌شود؛ زیرا بحث در موردی بود که فردی را بر اقرار به سرقت وادار می‌کنند، در حقیقت سرقتی ثابت نشده است و با همین اقرار باید ثابت گردد؛ و در این صحیحه نیز شخص سؤال می‌کند از سرقتی که سارق آن را انکار می‌کند و پس از کتک خوردن، به اختیار خودش مال مسروقه را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فرض سؤال حکم به قطع دست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دلالت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سرق سرقةً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است نه مفعول مطلق؛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ضرباً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در روایات بر مال مسروقه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 لذا، معنای روایت سؤال از مردی است که مالی را به سرقت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وجود سرقت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مال می‌پرسند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فکابر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به مال مسروقه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و پس از کتک خوردن مال مسروقه را می‌آورد و تحویل می‌دهد ضرب و کتک برای ثبوت سرقت نیست، بلکه امر سرقت، مسلّم و واضح است ولی تا متوسّل به زور نگردند، حاضر نیست مال مسروقه را بیاورد و به صاحبش بدهد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ضمائر مؤنّث به سرقت برمی‌گردد و سرقت نیز به معنای مال مسروقه است؛ شاهدش ذیل روایت در کلام امام 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لو اعترف ولم یجی‌ء بالسرقة لم تقطع</w:t>
      </w:r>
    </w:p>
    <w:p>
      <w:pPr>
        <w:pStyle w:val="BookText"/>
        <w:rPr/>
      </w:pPr>
      <w:r>
        <w:rPr>
          <w:rFonts w:ascii="IRNazanin" w:hAnsi="IRNazanin" w:eastAsia="IRNazanin"/>
          <w:color w:val="111111"/>
          <w:sz w:val="28"/>
          <w:sz w:val="28"/>
          <w:szCs w:val="28"/>
          <w:rtl w:val="true"/>
          <w:lang w:bidi="fa-IR"/>
        </w:rPr>
        <w:t xml:space="preserve">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موضوع روایت صحیحه، جایی است که سرقتی ثابت شده، و مسلّم است؛ ولی سارق از بازگرداندن مال مسروقه امتناع می‌ورزد، او را می‌زنند، بر اثر کتک خوردن مال مسروقه را می‌آورد و تحویل می‌دهد؛ لیکن موضوع بحث ما، سرقتی است که ثابت نشده و پس از اقرار اکراهی، مال را آورده تحویل می‌دهد؛ لذا، روایت نمی‌تواند دلیلی بر موضوع بحث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که شما روایت را معنا کردید، یعنی در پی سرقت مسلّمی، دزد را برآوردن مال مسروقه اکراه کردند، اگر سرقت مسلّم و ثابت شده است، ترتّب قطع دست بر آن واضح می‌باشد و نیازی به سؤال نبود، چرا سائل از امام علیه السلام پرسیده است؟ با توجّه به این اشکال، معلوم می‌شود روایت بر همان مطلوب مستدلّ دلالت دارد؛ یعنی کسی را بر سرقت اکراه کرده‌اند و او به دنبال اقرارش مال مسروقه را آورد و تحویل داد، لذا راوی سؤال می‌کند آیا قطع دست واجب هست یا نه؟</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پرسش راوی این است که پس از کتک خوردن سارق که به دنبال آن مال مسروقه را می‌آورد و تحویل می‌دهد آیا قطع دست هست یا نه؟ و به عبارت دیگر، آیا کتک زدن سارق جای حدّ سرقت می‌نشیند یا نه؟ امام علیه السلام در جواب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 هم ارتباطی ندارند، اگر سارق را بزنند تا مال مسروقه را از چنگش بیرون آورند، این ضرب رافع حدّ سرقت نیست؛ بلکه حدّ سرقت در جای خودش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ذیل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لو اعترف ولم یجی‌ء بالسرقة لم تقطع یده لأنّه اعترف علی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برخی از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اعترافٌ علی العذاب</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است، با صدر روایت ابهام دارد؛ هرچند ذیل روایت تصریح به این دارد که مراد از سرقت در صدر روایت مال مسروقه است، اما ارتباط بین صدر و ذیل را نمی‌فهمیم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عبارت این است که اگر به اصل تحقّق سرقت اعتراف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دوبار اقراری که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مال مسروقه را نیاورد و تحویل نداد، دستش را نمی‌برند؛ زیرا، اعترافی بر عذاب خودش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به این ظاهر اخذ کنیم، به ملاحظه‌ی</w:t>
      </w:r>
    </w:p>
    <w:p>
      <w:pPr>
        <w:pStyle w:val="BookText"/>
        <w:rPr/>
      </w:pPr>
      <w:r>
        <w:rPr>
          <w:rFonts w:ascii="IRNazanin" w:hAnsi="IRNazanin" w:eastAsia="IRNazanin"/>
          <w:color w:val="111111"/>
          <w:sz w:val="28"/>
          <w:sz w:val="28"/>
          <w:szCs w:val="28"/>
          <w:rtl w:val="true"/>
          <w:lang w:bidi="fa-IR"/>
        </w:rPr>
        <w:t xml:space="preserve">مسائلی که در آینده خواهد آمد، باید حمل بر این مطلب کنیم که اگر سرقت با اقرار ثابت شد بر حاکم شرع قطع دست تحتّم و تعیّن ندارد؛ بلکه بین عفو و اجرای حدّ مخیّر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تقطع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یتعیّن قطع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فرد با پای خودش سراغ عذاب آمده و خود را در معرض اجرای حدّ قطع قرار داده است؛ اسلام برای چنین فردی ارفاق و تسهیلی قائل شده، یعنی حاکم را بین عفو و اجرای حدّ مخیّر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معنای روایت همین باشد که گفتیم، تقیید آن به عدم آوردن مال مسروقه روی چه حسابی است؟ و بین این قسمت روایت با قسمت قبلِ آن که امام علیه السلام به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استدراک می‌کند چه ارتباطی وجود دارد؟ این دو مطلب باید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ندیدم متعرّض آن شده باشد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به هر تقدیر، دو احتمال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اعترف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 به اقرار ثابت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تقیید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یجی‌ء بالسرقة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وجهی ندارد؛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تقطع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قطع دست تحتم و تعیّن ندارد؛ حاکم مخیر به عفو و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یا نیاوردن مال مسروقه دخالتی در عدم قطع ندارد؛ چه‌بسا اگر مال مسروقه را بیاورد، ارفاق بیشتری در حقّش روا دارند تا کسی که آن را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تقیید مبهم می‌ماند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کابر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مکابره و امتناعی از ردّ عین مسروقه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چرا دستش قطع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عدم قطع چیست؟ اگر سرقت کسی با بیّنه ثابت شد و او از ردّ مال مسروقه امتناع نکرد، آیا نباید دستش قطع گردد؟ علاوه بر این که 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اعتراف بالعذاب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احتمال سازگار نیست، زیرا ظاهر تعلیل با اعتراف به سرقت می‌سازد یعنی اصل سرقت با اعتراف و اقرار ثابت شده است</w:t>
      </w:r>
      <w:r>
        <w:rPr>
          <w:rFonts w:eastAsia="IRNazanin" w:cs="IRNazanin"/>
          <w:color w:val="111111"/>
          <w:sz w:val="28"/>
          <w:szCs w:val="28"/>
          <w:rtl w:val="true"/>
          <w:lang w:bidi="fa-IR"/>
        </w:rPr>
        <w:t>.</w:t>
      </w:r>
      <w:bookmarkStart w:id="405" w:name="pg16923_220252"/>
    </w:p>
    <w:p>
      <w:pPr>
        <w:pStyle w:val="BookText"/>
        <w:rPr/>
      </w:pPr>
      <w:bookmarkEnd w:id="405"/>
      <w:r>
        <w:rPr>
          <w:rFonts w:ascii="IRNazanin" w:hAnsi="IRNazanin" w:eastAsia="IRNazanin"/>
          <w:color w:val="111111"/>
          <w:sz w:val="28"/>
          <w:sz w:val="28"/>
          <w:szCs w:val="28"/>
          <w:rtl w:val="true"/>
          <w:lang w:bidi="fa-IR"/>
        </w:rPr>
        <w:t>به هر تقدیری که ذیل را معنا کنیم، مبهم خواهد ماند و نقطه‌ی ابهامش حلّ نمی‌گردد؛ ولی به ظهور صدر روایت ضرر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فردی سرقت مسلّم سرزده و او از ردّ مال مسروقه امتناع می‌کند، امّا بر اثر شکنجه و ضرب مال مسروقه را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ربطی به بحث ما ندارد</w:t>
      </w:r>
      <w:r>
        <w:rPr>
          <w:rFonts w:eastAsia="IRNazanin" w:cs="IRNazanin"/>
          <w:color w:val="111111"/>
          <w:sz w:val="28"/>
          <w:szCs w:val="28"/>
          <w:rtl w:val="true"/>
          <w:lang w:bidi="fa-IR"/>
        </w:rPr>
        <w:t>.</w:t>
      </w:r>
    </w:p>
    <w:p>
      <w:pPr>
        <w:pStyle w:val="Heading5"/>
        <w:numPr>
          <w:ilvl w:val="4"/>
          <w:numId w:val="1"/>
        </w:numPr>
        <w:rPr/>
      </w:pPr>
      <w:bookmarkStart w:id="406" w:name="__RefHeading___Toc162381_3244359995"/>
      <w:bookmarkStart w:id="407" w:name="_Toc157"/>
      <w:bookmarkEnd w:id="406"/>
      <w:r>
        <w:rPr>
          <w:rtl w:val="true"/>
        </w:rPr>
        <w:t>نظر برگزیده و دلیل مشهور</w:t>
      </w:r>
      <w:bookmarkEnd w:id="407"/>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عدم دلالت روایت بر قطع دست، دنبال اقرار اکراهی، با آوردن مال مسروقه، به ناچار باید حکم مسأله را بر طبق قاعده به پایان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گفتیم که اقرار اکراهی با ردّ مال هیچ ارتباطی ندارند؛ زیرا، امکان دارد ردّ از باب ردّ امانت، یا ردّ عاریه، یا ردّ مال غصبی، یا ردّ در باب فسخ عقد و مانند آن باشد و بر ردّ عناوین مذکور، دست قطع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ردّ مال کاشف از تحقّق سرقتی که بر آن حدّ مترتّب است، نمی‌باشد</w:t>
      </w:r>
      <w:r>
        <w:rPr>
          <w:rFonts w:eastAsia="IRNazanin" w:cs="IRNazanin"/>
          <w:color w:val="111111"/>
          <w:sz w:val="28"/>
          <w:szCs w:val="28"/>
          <w:rtl w:val="true"/>
          <w:lang w:bidi="fa-IR"/>
        </w:rPr>
        <w:t>.</w:t>
      </w:r>
      <w:bookmarkStart w:id="408" w:name="pg16923_220253"/>
    </w:p>
    <w:p>
      <w:pPr>
        <w:pStyle w:val="BookText"/>
        <w:rPr/>
      </w:pPr>
      <w:bookmarkEnd w:id="4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الإنکار بعد الإقرار وحکم التوبة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أقرّ مرّتین ثمّ أنکر فهل یقطع أو لا؟ الأحوط الثانی والأرجح الأوّل، ولو أنکر بعد الإقرار مرّة یؤخذ منه المال ولایقطع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ولوتاب أو أنکر بعد قیام البیّنة یقطع، ولو تاب قبل قیام البیّنة وقبل الإقرار سقط عنه الحدّ، ولو تاب بعد الإقرار یتحتمّ القطع،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یتخیّر الإمام علیه السلام بین العفو والقطع</w:t>
      </w:r>
      <w:r>
        <w:rPr>
          <w:rFonts w:eastAsia="IRNazanin" w:cs="IRNazanin"/>
          <w:color w:val="111111"/>
          <w:sz w:val="28"/>
          <w:szCs w:val="28"/>
          <w:rtl w:val="true"/>
          <w:lang w:bidi="fa-IR"/>
        </w:rPr>
        <w:t>.]</w:t>
      </w:r>
    </w:p>
    <w:p>
      <w:pPr>
        <w:pStyle w:val="Heading4"/>
        <w:numPr>
          <w:ilvl w:val="3"/>
          <w:numId w:val="1"/>
        </w:numPr>
        <w:rPr/>
      </w:pPr>
      <w:bookmarkStart w:id="409" w:name="__RefHeading___Toc162383_3244359995"/>
      <w:bookmarkStart w:id="410" w:name="_Toc158"/>
      <w:bookmarkEnd w:id="409"/>
      <w:r>
        <w:rPr>
          <w:rtl w:val="true"/>
        </w:rPr>
        <w:t>حکم انکار بعد از اقرار و توبه</w:t>
      </w:r>
      <w:bookmarkEnd w:id="410"/>
    </w:p>
    <w:p>
      <w:pPr>
        <w:pStyle w:val="Heading5"/>
        <w:numPr>
          <w:ilvl w:val="4"/>
          <w:numId w:val="1"/>
        </w:numPr>
        <w:rPr/>
      </w:pPr>
      <w:bookmarkStart w:id="411" w:name="__RefHeading___Toc162385_3244359995"/>
      <w:bookmarkStart w:id="412" w:name="_Toc159"/>
      <w:bookmarkEnd w:id="411"/>
      <w:r>
        <w:rPr>
          <w:rtl w:val="true"/>
        </w:rPr>
        <w:t>اشاره</w:t>
      </w:r>
      <w:bookmarkEnd w:id="412"/>
    </w:p>
    <w:p>
      <w:pPr>
        <w:pStyle w:val="BookText"/>
        <w:rPr/>
      </w:pPr>
      <w:r>
        <w:rPr>
          <w:rFonts w:ascii="IRNazanin" w:hAnsi="IRNazanin" w:eastAsia="IRNazanin"/>
          <w:color w:val="111111"/>
          <w:sz w:val="28"/>
          <w:sz w:val="28"/>
          <w:szCs w:val="28"/>
          <w:rtl w:val="true"/>
          <w:lang w:bidi="fa-IR"/>
        </w:rPr>
        <w:t>این مسأله پنج فرع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دوبار اقرار کند آن‌گاه منکر سرقت گردد، احتیاط در عدم قطع دست، و ارجح قطع دست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مرتبه اقرار کند، آن‌گاه منکر سرقت شود، مال مسروقه را از او می‌گیرند، ولی دستش را نمی‌برند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قیام بیّنه توبه یا انکار کند، دستش را قطع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قیام بیّنه یا قبل از اقرار توبه کرده باشد، حدّ از او ساقط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توبه‌اش پس از اقرار باشد اقامه‌ی حدّ حتمی است؛ 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مخیّر بین عفو و قطع است</w:t>
      </w:r>
      <w:r>
        <w:rPr>
          <w:rFonts w:eastAsia="IRNazanin" w:cs="IRNazanin"/>
          <w:color w:val="111111"/>
          <w:sz w:val="28"/>
          <w:szCs w:val="28"/>
          <w:rtl w:val="true"/>
          <w:lang w:bidi="fa-IR"/>
        </w:rPr>
        <w:t>.</w:t>
      </w:r>
    </w:p>
    <w:p>
      <w:pPr>
        <w:pStyle w:val="Heading5"/>
        <w:numPr>
          <w:ilvl w:val="4"/>
          <w:numId w:val="1"/>
        </w:numPr>
        <w:rPr/>
      </w:pPr>
      <w:bookmarkStart w:id="413" w:name="__RefHeading___Toc162387_3244359995"/>
      <w:bookmarkStart w:id="414" w:name="_Toc160"/>
      <w:bookmarkEnd w:id="413"/>
      <w:r>
        <w:rPr>
          <w:rtl w:val="true"/>
        </w:rPr>
        <w:t>فرع اوّل</w:t>
      </w:r>
      <w:r>
        <w:rPr>
          <w:rtl w:val="true"/>
        </w:rPr>
        <w:t xml:space="preserve">: </w:t>
      </w:r>
      <w:r>
        <w:rPr>
          <w:rtl w:val="true"/>
        </w:rPr>
        <w:t>حکم انکار پس از دوبار اقرار</w:t>
      </w:r>
      <w:bookmarkEnd w:id="414"/>
    </w:p>
    <w:p>
      <w:pPr>
        <w:pStyle w:val="Heading6"/>
        <w:numPr>
          <w:ilvl w:val="5"/>
          <w:numId w:val="1"/>
        </w:numPr>
        <w:rPr/>
      </w:pPr>
      <w:bookmarkStart w:id="415" w:name="__RefHeading___Toc162389_3244359995"/>
      <w:bookmarkStart w:id="416" w:name="_Toc161"/>
      <w:bookmarkEnd w:id="415"/>
      <w:r>
        <w:rPr>
          <w:rtl w:val="true"/>
        </w:rPr>
        <w:t>اشاره</w:t>
      </w:r>
      <w:bookmarkEnd w:id="416"/>
    </w:p>
    <w:p>
      <w:pPr>
        <w:pStyle w:val="BookText"/>
        <w:rPr/>
      </w:pPr>
      <w:r>
        <w:rPr>
          <w:rFonts w:ascii="IRNazanin" w:hAnsi="IRNazanin" w:eastAsia="IRNazanin"/>
          <w:color w:val="111111"/>
          <w:sz w:val="28"/>
          <w:sz w:val="28"/>
          <w:szCs w:val="28"/>
          <w:rtl w:val="true"/>
          <w:lang w:bidi="fa-IR"/>
        </w:rPr>
        <w:t>کسی که پس از دو اقرار اختیاری، از اقرارش برگردد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سرقتی در کار نبود و من دروغ گفتم، این‌جا توبه نکرده و بلکه از اقرارش رجوع نموده است، آیا با تکذیب اقرار اوّل، قطع دست منتفی می‌شود؟</w:t>
      </w:r>
    </w:p>
    <w:p>
      <w:pPr>
        <w:pStyle w:val="BookText"/>
        <w:rPr/>
      </w:pPr>
      <w:r>
        <w:rPr>
          <w:rFonts w:ascii="IRNazanin" w:hAnsi="IRNazanin" w:eastAsia="IRNazanin"/>
          <w:color w:val="111111"/>
          <w:sz w:val="28"/>
          <w:sz w:val="28"/>
          <w:szCs w:val="28"/>
          <w:rtl w:val="true"/>
          <w:lang w:bidi="fa-IR"/>
        </w:rPr>
        <w:t>در این مسأله سه قول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دست به حال خودش باقی است و با این تکذیب و رجوع از بین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bookmarkStart w:id="417" w:name="pg16923_220254"/>
    </w:p>
    <w:p>
      <w:pPr>
        <w:pStyle w:val="BookText"/>
        <w:rPr/>
      </w:pPr>
      <w:bookmarkEnd w:id="417"/>
      <w:r>
        <w:rPr>
          <w:rFonts w:ascii="IRNazanin" w:hAnsi="IRNazanin" w:eastAsia="IRNazanin"/>
          <w:color w:val="111111"/>
          <w:sz w:val="28"/>
          <w:sz w:val="28"/>
          <w:szCs w:val="28"/>
          <w:rtl w:val="true"/>
          <w:lang w:bidi="fa-IR"/>
        </w:rPr>
        <w:t>قول مختار مرحوم شیخ طوسی</w:t>
      </w:r>
      <w:r>
        <w:rPr>
          <w:rStyle w:val="FootnoteAnchor"/>
          <w:rtl w:val="true"/>
        </w:rPr>
        <w:footnoteReference w:id="283"/>
      </w:r>
      <w:r>
        <w:rPr>
          <w:rFonts w:ascii="IRNazanin" w:hAnsi="IRNazanin" w:eastAsia="IRNazanin"/>
          <w:color w:val="111111"/>
          <w:sz w:val="28"/>
          <w:sz w:val="28"/>
          <w:szCs w:val="28"/>
          <w:rtl w:val="true"/>
          <w:lang w:bidi="fa-IR"/>
        </w:rPr>
        <w:t>در بعضی از کتاب‌هایش و ابن ادریس حلّی</w:t>
      </w:r>
      <w:r>
        <w:rPr>
          <w:rStyle w:val="FootnoteAnchor"/>
          <w:rtl w:val="true"/>
        </w:rPr>
        <w:footnoteReference w:id="284"/>
      </w:r>
      <w:r>
        <w:rPr>
          <w:rFonts w:ascii="IRNazanin" w:hAnsi="IRNazanin" w:eastAsia="IRNazanin"/>
          <w:color w:val="111111"/>
          <w:sz w:val="28"/>
          <w:sz w:val="28"/>
          <w:szCs w:val="28"/>
          <w:rtl w:val="true"/>
          <w:lang w:bidi="fa-IR"/>
        </w:rPr>
        <w:t>و علّامه حلّی رحمهما الله</w:t>
      </w:r>
      <w:r>
        <w:rPr>
          <w:rStyle w:val="FootnoteAnchor"/>
          <w:rtl w:val="true"/>
        </w:rPr>
        <w:footnoteReference w:id="285"/>
      </w:r>
      <w:r>
        <w:rPr>
          <w:rFonts w:ascii="IRNazanin" w:hAnsi="IRNazanin" w:eastAsia="IRNazanin"/>
          <w:color w:val="111111"/>
          <w:sz w:val="28"/>
          <w:sz w:val="28"/>
          <w:szCs w:val="28"/>
          <w:rtl w:val="true"/>
          <w:lang w:bidi="fa-IR"/>
        </w:rPr>
        <w:t>در پاره‌ای از کتاب‌هایش، و مختار شهید اول</w:t>
      </w:r>
      <w:r>
        <w:rPr>
          <w:rStyle w:val="FootnoteAnchor"/>
          <w:rtl w:val="true"/>
        </w:rPr>
        <w:footnoteReference w:id="286"/>
      </w:r>
      <w:r>
        <w:rPr>
          <w:rFonts w:ascii="IRNazanin" w:hAnsi="IRNazanin" w:eastAsia="IRNazanin"/>
          <w:color w:val="111111"/>
          <w:sz w:val="28"/>
          <w:sz w:val="28"/>
          <w:szCs w:val="28"/>
          <w:rtl w:val="true"/>
          <w:lang w:bidi="fa-IR"/>
        </w:rPr>
        <w:t>و ثانی رحمهما الله</w:t>
      </w:r>
      <w:r>
        <w:rPr>
          <w:rStyle w:val="FootnoteAnchor"/>
          <w:rtl w:val="true"/>
        </w:rPr>
        <w:footnoteReference w:id="287"/>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دست در اثر این انکار ساقط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مختار شیخ رحمه الله در کتاب نهایه،</w:t>
      </w:r>
      <w:r>
        <w:rPr>
          <w:rStyle w:val="FootnoteAnchor"/>
          <w:rtl w:val="true"/>
        </w:rPr>
        <w:footnoteReference w:id="288"/>
      </w:r>
      <w:r>
        <w:rPr>
          <w:rFonts w:ascii="IRNazanin" w:hAnsi="IRNazanin" w:eastAsia="IRNazanin"/>
          <w:color w:val="111111"/>
          <w:sz w:val="28"/>
          <w:sz w:val="28"/>
          <w:szCs w:val="28"/>
          <w:rtl w:val="true"/>
          <w:lang w:bidi="fa-IR"/>
        </w:rPr>
        <w:t>تهذیب،</w:t>
      </w:r>
      <w:r>
        <w:rPr>
          <w:rStyle w:val="FootnoteAnchor"/>
          <w:rtl w:val="true"/>
        </w:rPr>
        <w:footnoteReference w:id="289"/>
      </w:r>
      <w:r>
        <w:rPr>
          <w:rFonts w:ascii="IRNazanin" w:hAnsi="IRNazanin" w:eastAsia="IRNazanin"/>
          <w:color w:val="111111"/>
          <w:sz w:val="28"/>
          <w:sz w:val="28"/>
          <w:szCs w:val="28"/>
          <w:rtl w:val="true"/>
          <w:lang w:bidi="fa-IR"/>
        </w:rPr>
        <w:t>استبصار،</w:t>
      </w:r>
      <w:r>
        <w:rPr>
          <w:rStyle w:val="FootnoteAnchor"/>
          <w:rtl w:val="true"/>
        </w:rPr>
        <w:footnoteReference w:id="290"/>
      </w:r>
      <w:r>
        <w:rPr>
          <w:rFonts w:ascii="IRNazanin" w:hAnsi="IRNazanin" w:eastAsia="IRNazanin"/>
          <w:color w:val="111111"/>
          <w:sz w:val="28"/>
          <w:sz w:val="28"/>
          <w:szCs w:val="28"/>
          <w:rtl w:val="true"/>
          <w:lang w:bidi="fa-IR"/>
        </w:rPr>
        <w:t>و قول قاضی ابن‌برّاج،</w:t>
      </w:r>
      <w:r>
        <w:rPr>
          <w:rStyle w:val="FootnoteAnchor"/>
          <w:rtl w:val="true"/>
        </w:rPr>
        <w:footnoteReference w:id="291"/>
      </w:r>
      <w:r>
        <w:rPr>
          <w:rFonts w:ascii="IRNazanin" w:hAnsi="IRNazanin" w:eastAsia="IRNazanin"/>
          <w:color w:val="111111"/>
          <w:sz w:val="28"/>
          <w:sz w:val="28"/>
          <w:szCs w:val="28"/>
          <w:rtl w:val="true"/>
          <w:lang w:bidi="fa-IR"/>
        </w:rPr>
        <w:t>حلبی،</w:t>
      </w:r>
      <w:r>
        <w:rPr>
          <w:rStyle w:val="FootnoteAnchor"/>
          <w:rtl w:val="true"/>
        </w:rPr>
        <w:footnoteReference w:id="292"/>
      </w:r>
      <w:r>
        <w:rPr>
          <w:rFonts w:ascii="IRNazanin" w:hAnsi="IRNazanin" w:eastAsia="IRNazanin"/>
          <w:color w:val="111111"/>
          <w:sz w:val="28"/>
          <w:sz w:val="28"/>
          <w:szCs w:val="28"/>
          <w:rtl w:val="true"/>
          <w:lang w:bidi="fa-IR"/>
        </w:rPr>
        <w:t>ابن‌زهره</w:t>
      </w:r>
      <w:r>
        <w:rPr>
          <w:rStyle w:val="FootnoteAnchor"/>
          <w:rtl w:val="true"/>
        </w:rPr>
        <w:footnoteReference w:id="293"/>
      </w:r>
      <w:r>
        <w:rPr>
          <w:rFonts w:ascii="IRNazanin" w:hAnsi="IRNazanin" w:eastAsia="IRNazanin"/>
          <w:color w:val="111111"/>
          <w:sz w:val="28"/>
          <w:sz w:val="28"/>
          <w:szCs w:val="28"/>
          <w:rtl w:val="true"/>
          <w:lang w:bidi="fa-IR"/>
        </w:rPr>
        <w:t>و علّامه رحمهم الله</w:t>
      </w:r>
      <w:r>
        <w:rPr>
          <w:rStyle w:val="FootnoteAnchor"/>
          <w:rtl w:val="true"/>
        </w:rPr>
        <w:footnoteReference w:id="294"/>
      </w:r>
      <w:r>
        <w:rPr>
          <w:rFonts w:ascii="IRNazanin" w:hAnsi="IRNazanin" w:eastAsia="IRNazanin"/>
          <w:color w:val="111111"/>
          <w:sz w:val="28"/>
          <w:sz w:val="28"/>
          <w:szCs w:val="28"/>
          <w:rtl w:val="true"/>
          <w:lang w:bidi="fa-IR"/>
        </w:rPr>
        <w:t>در کتاب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بین قدما اشهر بوده و مرحوم ابن زهره بر آن ادّعای اجماع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مخیّر است بین این که مجرم را عفو کند یا دستش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نیز مختار مرحوم شیخ در جایی از نهایه</w:t>
      </w:r>
      <w:r>
        <w:rPr>
          <w:rStyle w:val="FootnoteAnchor"/>
          <w:rtl w:val="true"/>
        </w:rPr>
        <w:footnoteReference w:id="295"/>
      </w:r>
      <w:r>
        <w:rPr>
          <w:rFonts w:ascii="IRNazanin" w:hAnsi="IRNazanin" w:eastAsia="IRNazanin"/>
          <w:color w:val="111111"/>
          <w:sz w:val="28"/>
          <w:sz w:val="28"/>
          <w:szCs w:val="28"/>
          <w:rtl w:val="true"/>
          <w:lang w:bidi="fa-IR"/>
        </w:rPr>
        <w:t>و در کتاب خلاف</w:t>
      </w:r>
      <w:r>
        <w:rPr>
          <w:rStyle w:val="FootnoteAnchor"/>
          <w:rtl w:val="true"/>
        </w:rPr>
        <w:footnoteReference w:id="296"/>
      </w:r>
      <w:r>
        <w:rPr>
          <w:rFonts w:ascii="IRNazanin" w:hAnsi="IRNazanin" w:eastAsia="IRNazanin"/>
          <w:color w:val="111111"/>
          <w:sz w:val="28"/>
          <w:sz w:val="28"/>
          <w:szCs w:val="28"/>
          <w:rtl w:val="true"/>
          <w:lang w:bidi="fa-IR"/>
        </w:rPr>
        <w:t>است؛ و عجیب این است که مرحوم شیخ بر آن در کتاب خلاف ادّعای اجماع می‌کند</w:t>
      </w:r>
      <w:r>
        <w:rPr>
          <w:rFonts w:eastAsia="IRNazanin" w:cs="IRNazanin"/>
          <w:color w:val="111111"/>
          <w:sz w:val="28"/>
          <w:szCs w:val="28"/>
          <w:rtl w:val="true"/>
          <w:lang w:bidi="fa-IR"/>
        </w:rPr>
        <w:t>.</w:t>
      </w:r>
    </w:p>
    <w:p>
      <w:pPr>
        <w:pStyle w:val="Heading6"/>
        <w:numPr>
          <w:ilvl w:val="5"/>
          <w:numId w:val="1"/>
        </w:numPr>
        <w:rPr/>
      </w:pPr>
      <w:bookmarkStart w:id="418" w:name="__RefHeading___Toc162391_3244359995"/>
      <w:bookmarkStart w:id="419" w:name="_Toc162"/>
      <w:bookmarkEnd w:id="418"/>
      <w:r>
        <w:rPr>
          <w:rtl w:val="true"/>
        </w:rPr>
        <w:t xml:space="preserve">ادلّه‌ی قول اوّل </w:t>
      </w:r>
      <w:r>
        <w:rPr>
          <w:rtl w:val="true"/>
        </w:rPr>
        <w:t>(</w:t>
      </w:r>
      <w:r>
        <w:rPr>
          <w:rtl w:val="true"/>
        </w:rPr>
        <w:t>قطع دست</w:t>
      </w:r>
      <w:r>
        <w:rPr>
          <w:rtl w:val="true"/>
        </w:rPr>
        <w:t>)</w:t>
      </w:r>
      <w:bookmarkEnd w:id="4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محمّد بن یحیی، عن أحمد بن محمّد، عن أبان، عن الحلبی، عن أبی عبد اللَّه علیه السلام فی رجل أقرّ علی نفسه بحدّ ثمّ جحد بعدُ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أقرّ علی نفسه عند الإمام أنّه سرق ثمّ جحد، قطعت یده وإن رغم</w:t>
      </w:r>
    </w:p>
    <w:p>
      <w:pPr>
        <w:pStyle w:val="BookText"/>
        <w:rPr/>
      </w:pPr>
      <w:r>
        <w:rPr>
          <w:rFonts w:ascii="IRNazanin" w:hAnsi="IRNazanin" w:eastAsia="IRNazanin"/>
          <w:color w:val="111111"/>
          <w:sz w:val="28"/>
          <w:sz w:val="28"/>
          <w:szCs w:val="28"/>
          <w:rtl w:val="true"/>
          <w:lang w:bidi="fa-IR"/>
        </w:rPr>
        <w:t>أنفه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أقرّ علی نفسه أنّه شرب خمراً أو بفریة فاجلدوه ثمانین جلدة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أقرّ علی نفسه بحدّ یجب فیه الرّجم، أکنت راجمه؟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کنت ضاربه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الشیخ بإسناده عن أحمد بن محمّد، وبإسناده عن الحسین بن سعید، عن ابن أبی عمیر، عن حمّاد، عن الحلبی وعن محمّد بن الفضیل، عن الکنانی، وعن فضالة، عن العلاء، عن محمّد بن مسلم، عن أبی عبد اللَّه علیه السلام مثله</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سند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با سند صحیح و شیخ طوسی رحمه الله نیز با یک طریق صحیح از حلبی و با دو طریق صحیح دیگر از محمّد بن مسلم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وسائل رحمه الله با این که دو روایت از دو راوی است، آن‌ها را به صورت یک روایت آورده است، برخلاف موارد دیگر که یک روایت را به صورت روایات متعدّد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مطلبی را حلبی از امام صادق علیه السلام نقل و همان مطلب را محمّد بن مسلم روایت می‌کند؛ معنای این کار، تعدّد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دو روایت صحیحه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علیه خودش به موجِب حدّی اقرار و پس از آن انکار کرد، حکمش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راوی اطلاق دارد، از عنوان کلّی حدّ می‌پرسد و نه خصوص سرقت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سرقت نزد امام علیه السلام اقرار کرده آن‌گاه منکرش شد، دستش را می‌برند و دماغش را به خاک می‌مالند تا خیال نکند با انکار بعد از اقرار می‌تواند از حدّ الهی فرار کند؛ و اگر به شراب‌خواری یا قذف اعتراف داشته، به او هشتاد تازیانه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حدّی اقرار کند که موجب رجم است، آیا او را سنگسار می‌کنید؟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او را حدّ می‌زنم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این دو صحیحه روشن و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روایت موثّقه‌ی سماعة بن مهران را</w:t>
      </w:r>
    </w:p>
    <w:p>
      <w:pPr>
        <w:pStyle w:val="BookText"/>
        <w:rPr/>
      </w:pPr>
      <w:r>
        <w:rPr>
          <w:rFonts w:ascii="IRNazanin" w:hAnsi="IRNazanin" w:eastAsia="IRNazanin"/>
          <w:color w:val="111111"/>
          <w:sz w:val="28"/>
          <w:sz w:val="28"/>
          <w:szCs w:val="28"/>
          <w:rtl w:val="true"/>
          <w:lang w:bidi="fa-IR"/>
        </w:rPr>
        <w:t>مؤیّد این دو صحیحه قرار داده‌اند؛ و حتّی اگر نتواند به عنوان مؤیّد کمکی کند، ضرری به دلالت آن دو روایت نمی‌زند؛ باید ببینیم آیا می‌تواند مؤیّد باشد یا نه؟</w:t>
      </w:r>
    </w:p>
    <w:p>
      <w:pPr>
        <w:pStyle w:val="BookText"/>
        <w:rPr/>
      </w:pPr>
      <w:r>
        <w:rPr>
          <w:rFonts w:ascii="IRNazanin" w:hAnsi="IRNazanin" w:eastAsia="IRNazanin"/>
          <w:color w:val="111111"/>
          <w:sz w:val="28"/>
          <w:sz w:val="28"/>
          <w:szCs w:val="28"/>
          <w:rtl w:val="true"/>
          <w:lang w:bidi="fa-IR"/>
        </w:rPr>
        <w:t>وعن عدّة من أصحابنا، عن أحمد بن محمّد بن خالد، عن عثمان بن عیسی، عن سماعة بن مهران،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أخذ سارقاً فعفی عنه، فذلک له، فإذا رفع إلی الإمام قطعه، فإن قال الّذی سرق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أهبه له لم یدعه إلی الإمام حتّی یقطعه إذا رفعه إلیه، وإنّما الهبة قبل أن یرفع إلی الإمام، وذلک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الْحفِظُونَ لِحُدُودِ اللَّهِ فاذا إنتهی الحدّ إلی الإمام فلیس لأحد أن یترکه</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مسروق منه دزدش را گرفت و او را بخشید، این بخشیدن حقّ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دزد را گرفت و نزد امام آورد و آن‌جا دزدی او ثابت شد، امام دستش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مسروق منه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مال را به سارق می‌بخشم، امام دزد را رها نمی‌کند؛ مگر پس از قطع کردن دستش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هبه‌ی صاحب مال پس از ارجاع امر به امام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آن که مسأله به نزد امام کشیده شود، او را ببخشد، هبه‌اش مؤثر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قول خداوند متعال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الْحفِظُونَ لِحُدُودِ اللَّهِ</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اگر حدّی به امام منتهی شد، هیچ‌کس حقّ ندارد مانع اجرای آن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مورد روایت مسأله عفو مسروق منه است، ولی در ذیل روایت امام علیه السلام به صورت یک ضابطه‌ی کلّی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حدّ به امام منتهی شود، کسی نمی‌تواند مانع اجرای آن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 نیز پس از ارجاع امر به امام و اقرار کردن نزد او حقّ ندارد با انکارش جلوی اجرای حدّ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روایت در مقام بیان یک ضابطه‌ی کلّی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مسأله نزد امام علیه السلام مطرح شد، کار تمام است؛ مطرح شدنش به بیّنه باشد یا اقرار یا به هر راه دیگری</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روایت مسأله‌ی مسروق منه و عفو او است و ربطی به اقرار ندارد</w:t>
      </w:r>
      <w:r>
        <w:rPr>
          <w:rFonts w:eastAsia="IRNazanin" w:cs="IRNazanin"/>
          <w:color w:val="111111"/>
          <w:sz w:val="28"/>
          <w:szCs w:val="28"/>
          <w:rtl w:val="true"/>
          <w:lang w:bidi="fa-IR"/>
        </w:rPr>
        <w:t>.</w:t>
      </w:r>
      <w:bookmarkStart w:id="420" w:name="pg16923_220257"/>
    </w:p>
    <w:p>
      <w:pPr>
        <w:pStyle w:val="BookText"/>
        <w:rPr/>
      </w:pPr>
      <w:bookmarkEnd w:id="420"/>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به عنوان دلیل مطرح نکرده‌اند، بلکه به عنوان مؤیّد گفته‌اند؛ اگر آن را به این عنوان هم نپذیریم، ضربه‌ای به دلالت دو روایت صحیحه‌ی قبلی نمی‌زند</w:t>
      </w:r>
      <w:r>
        <w:rPr>
          <w:rFonts w:eastAsia="IRNazanin" w:cs="IRNazanin"/>
          <w:color w:val="111111"/>
          <w:sz w:val="28"/>
          <w:szCs w:val="28"/>
          <w:rtl w:val="true"/>
          <w:lang w:bidi="fa-IR"/>
        </w:rPr>
        <w:t>.</w:t>
      </w:r>
    </w:p>
    <w:p>
      <w:pPr>
        <w:pStyle w:val="Heading6"/>
        <w:numPr>
          <w:ilvl w:val="5"/>
          <w:numId w:val="1"/>
        </w:numPr>
        <w:rPr/>
      </w:pPr>
      <w:bookmarkStart w:id="421" w:name="__RefHeading___Toc162393_3244359995"/>
      <w:bookmarkStart w:id="422" w:name="_Toc163"/>
      <w:bookmarkEnd w:id="421"/>
      <w:r>
        <w:rPr>
          <w:rtl w:val="true"/>
        </w:rPr>
        <w:t xml:space="preserve">ادّله‌ی قول دوّم </w:t>
      </w:r>
      <w:r>
        <w:rPr>
          <w:rtl w:val="true"/>
        </w:rPr>
        <w:t>(</w:t>
      </w:r>
      <w:r>
        <w:rPr>
          <w:rtl w:val="true"/>
        </w:rPr>
        <w:t>سقوط قطع دست</w:t>
      </w:r>
      <w:r>
        <w:rPr>
          <w:rtl w:val="true"/>
        </w:rPr>
        <w:t>)</w:t>
      </w:r>
      <w:bookmarkEnd w:id="422"/>
    </w:p>
    <w:p>
      <w:pPr>
        <w:pStyle w:val="BookText"/>
        <w:rPr/>
      </w:pPr>
      <w:r>
        <w:rPr>
          <w:rFonts w:ascii="IRNazanin" w:hAnsi="IRNazanin" w:eastAsia="IRNazanin"/>
          <w:color w:val="111111"/>
          <w:sz w:val="28"/>
          <w:sz w:val="28"/>
          <w:szCs w:val="28"/>
          <w:rtl w:val="true"/>
          <w:lang w:bidi="fa-IR"/>
        </w:rPr>
        <w:t>محمّد بن یعقوب، عن محمّد بن یحیی، عن أحمد بن محمّد، عن علیّ بن حدید، عن جمیل بن درّاج، عن بعض أصحابنا، عن أحدهما علیهما السلام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لایقطع السّارق حتّی یقرّ بالسّرقة مرّتین، فإن رجع ضمن السّرقة ولم یقطع إذا لم یکن شهود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یا صادق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سارق را تا وقتی دو بار به سرقت اعتراف نکند، قطع نمی‌کنند؛ اگر از اقرارش رجوع کرد، ضامن مال مسروقه است؛ ولی دستش قطع نمی‌گردد، در صورتی که ثبوت سرقت به بیّنه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قبل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یک‌بار اقرار کند، مال مسروقه را ضامن است امّا دستش را نمی‌برند؛ در این مرسله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اقرارش برگردد، ضامن مال مسروقه هست ولی دستش قطع نمی‌گردد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نقد استدلال به روایت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قسمت روایت می‌فهمید رجوع، بعد از دو اقرار است تا بر بحث ما منطبق باشد؟ احتمال می‌دهیم روایت در مقام بیان و افاده‌ی مطلب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لایقطع السارق حتّی یقرّ بالسرقة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حقیقی نیست؛ زیرا، لازمه‌اش بی‌اعتبار بودن بیّنه است؛ در حالی که در ذیل روایت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یکن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شهود حساب باز کرده است، لذا حصر در روایت، حصر اضافی خواهد بود، و مقصود این است که اگر بخواهد سرقت از راه اقرار ثابت گردد، باید دوبار اقرار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روایت بر تعدّد اقرار تکیه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این مطلب،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تعدّدی نباشد، بلکه به جای اقرار مرتبه‌ی دوّم، انکار کرد، ضامن مال مسروقه هست ولی دستش قطع نمی‌گردد</w:t>
      </w:r>
      <w:r>
        <w:rPr>
          <w:rFonts w:eastAsia="IRNazanin" w:cs="IRNazanin"/>
          <w:color w:val="111111"/>
          <w:sz w:val="28"/>
          <w:szCs w:val="28"/>
          <w:rtl w:val="true"/>
          <w:lang w:bidi="fa-IR"/>
        </w:rPr>
        <w:t>.</w:t>
      </w:r>
      <w:bookmarkStart w:id="423" w:name="pg16923_220258"/>
    </w:p>
    <w:p>
      <w:pPr>
        <w:pStyle w:val="BookText"/>
        <w:rPr/>
      </w:pPr>
      <w:bookmarkEnd w:id="423"/>
      <w:r>
        <w:rPr>
          <w:rFonts w:ascii="IRNazanin" w:hAnsi="IRNazanin" w:eastAsia="IRNazanin"/>
          <w:color w:val="111111"/>
          <w:sz w:val="28"/>
          <w:sz w:val="28"/>
          <w:szCs w:val="28"/>
          <w:rtl w:val="true"/>
          <w:lang w:bidi="fa-IR"/>
        </w:rPr>
        <w:t>عدم دقّت در معنای روایت، اقتضا می‌کند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انکار بعد از دو اقرار دلالت دارد، امّا تأمّل و دقّت در مفاد آن، و در نظر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بیانگر معنایی است که ما استظهار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تنزّل کنیم، احتمالی در مقابل احتمال بوده، و هر دو در عرض یکدیگر هستند؛ لذا دلالت روایت ناتمام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سند، روایت مرسله می‌باشد؛ و ممکن است ضعف سندش را به عمل اکثر قدما به آن جبران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اشکال عمده‌ی ما بر سر سند روایت نیست، بلکه به ضعف دلالت آن را ساقط می‌کنیم</w:t>
      </w:r>
      <w:r>
        <w:rPr>
          <w:rFonts w:eastAsia="IRNazanin" w:cs="IRNazanin"/>
          <w:color w:val="111111"/>
          <w:sz w:val="28"/>
          <w:szCs w:val="28"/>
          <w:rtl w:val="true"/>
          <w:lang w:bidi="fa-IR"/>
        </w:rPr>
        <w:t>.</w:t>
      </w:r>
    </w:p>
    <w:p>
      <w:pPr>
        <w:pStyle w:val="Heading6"/>
        <w:numPr>
          <w:ilvl w:val="5"/>
          <w:numId w:val="1"/>
        </w:numPr>
        <w:rPr/>
      </w:pPr>
      <w:bookmarkStart w:id="424" w:name="__RefHeading___Toc162395_3244359995"/>
      <w:bookmarkStart w:id="425" w:name="_Toc164"/>
      <w:bookmarkEnd w:id="424"/>
      <w:r>
        <w:rPr>
          <w:rtl w:val="true"/>
        </w:rPr>
        <w:t xml:space="preserve">مستند قول سوّم </w:t>
      </w:r>
      <w:r>
        <w:rPr>
          <w:rtl w:val="true"/>
        </w:rPr>
        <w:t>(</w:t>
      </w:r>
      <w:r>
        <w:rPr>
          <w:rtl w:val="true"/>
        </w:rPr>
        <w:t>تخییر امام بین عفو و قطع دست</w:t>
      </w:r>
      <w:r>
        <w:rPr>
          <w:rtl w:val="true"/>
        </w:rPr>
        <w:t>)</w:t>
      </w:r>
      <w:bookmarkEnd w:id="425"/>
    </w:p>
    <w:p>
      <w:pPr>
        <w:pStyle w:val="BookText"/>
        <w:rPr/>
      </w:pPr>
      <w:r>
        <w:rPr>
          <w:rFonts w:ascii="IRNazanin" w:hAnsi="IRNazanin" w:eastAsia="IRNazanin"/>
          <w:color w:val="111111"/>
          <w:sz w:val="28"/>
          <w:sz w:val="28"/>
          <w:szCs w:val="28"/>
          <w:rtl w:val="true"/>
          <w:lang w:bidi="fa-IR"/>
        </w:rPr>
        <w:t>مستند قولی که مختار شیخ طوسی رحمه الله در کتاب خلاف است</w:t>
      </w:r>
      <w:r>
        <w:rPr>
          <w:rStyle w:val="FootnoteAnchor"/>
          <w:rtl w:val="true"/>
        </w:rPr>
        <w:footnoteReference w:id="301"/>
      </w:r>
      <w:r>
        <w:rPr>
          <w:rFonts w:ascii="IRNazanin" w:hAnsi="IRNazanin" w:eastAsia="IRNazanin"/>
          <w:color w:val="111111"/>
          <w:sz w:val="28"/>
          <w:sz w:val="28"/>
          <w:szCs w:val="28"/>
          <w:rtl w:val="true"/>
          <w:lang w:bidi="fa-IR"/>
        </w:rPr>
        <w:t>و بر آن ادّعای اجماع کرده، دو روایت زیر است که باید به بررسی آن‌ها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عن محمّد بن یحیی، عن طلحة بن زید، عن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بعض أهلی أنّ شابّاً أتی أمیر المؤمنین علیه السلام فأقّر عنده بالسّرقة،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علیّ علیه السلام إنّی أراک شابّاً لا بأس بهبتک، فهل تقرأ شیئاً من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سورة البقرة،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وهبت یدک لسورة البقرة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منعه أن یقطعه لأنّه لم یقم علیه بیّنة</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سند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طلحة بن زید است؛ و این فرد هرچند عامی است، لیکن ثقه و روایاتش معتبر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تضعیف این روایت توسط صاحب جواهر رحمه الله صحیح نیست</w:t>
      </w:r>
      <w:r>
        <w:rPr>
          <w:rFonts w:eastAsia="IRNazanin" w:cs="IRNazanin"/>
          <w:color w:val="111111"/>
          <w:sz w:val="28"/>
          <w:szCs w:val="28"/>
          <w:rtl w:val="true"/>
          <w:lang w:bidi="fa-IR"/>
        </w:rPr>
        <w:t>.</w:t>
      </w:r>
      <w:r>
        <w:rPr>
          <w:rStyle w:val="FootnoteAnchor"/>
          <w:rtl w:val="true"/>
        </w:rPr>
        <w:footnoteReference w:id="303"/>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تعبیر کردن از امام صادق علیه السلام بیانگر عامی بودن راوی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بستگانم برایم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خدمت</w:t>
      </w:r>
    </w:p>
    <w:p>
      <w:pPr>
        <w:pStyle w:val="BookText"/>
        <w:rPr/>
      </w:pPr>
      <w:r>
        <w:rPr>
          <w:rFonts w:ascii="IRNazanin" w:hAnsi="IRNazanin" w:eastAsia="IRNazanin"/>
          <w:color w:val="111111"/>
          <w:sz w:val="28"/>
          <w:sz w:val="28"/>
          <w:szCs w:val="28"/>
          <w:rtl w:val="true"/>
          <w:lang w:bidi="fa-IR"/>
        </w:rPr>
        <w:t>امیرمؤمنان علیه السلام آمد و به سرقت اقرار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جوان می‌بینم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مقصود امام علیه السلام فقط جوانی از نظر سن و سال نبوده است، بلکه او را جوانمرد می‌دیده است؛ زیرا، به سرقت اقرار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در حقّ تو بخششی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نسخه‌ی جواهر الکلام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لابأس بهبتک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لابأس بهیئتک</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دارد که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قرآن سروکار داری؟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سوره‌ی بقره را حفظ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به سوره‌ی بقره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قیام بیّنه بر سرقت این جوان مانع از تعیّن حدّ قطع در مورد او شد؛ یعنی اگر بیّنه قائم می‌شد، نمی‌توانستیم از قطع دست صرف‌نظر کنیم؛ امّا اکنون که بیّنه‌ای در کار نیست، دست حاکم و امام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او را مورد عفو قرار بدهد یا دستش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احتمالی که در مرسله‌ی جمیل راه داشت، در این‌جا راه ندارد؛ زیرا، اگر یک‌بار اقرار کرده بود، معصوم علیه السلام در مقام تعلیل نباید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بیّنه بر این سرقت قائم نشده است؛ بلکه باید به دو مطلب تعلیل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عدم قیام بیّنه و دیگری، عدم اقرار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احتمال که صاحب جواهر رحمه الله</w:t>
      </w:r>
      <w:r>
        <w:rPr>
          <w:rStyle w:val="FootnoteAnchor"/>
          <w:rtl w:val="true"/>
        </w:rPr>
        <w:footnoteReference w:id="305"/>
      </w:r>
      <w:r>
        <w:rPr>
          <w:rFonts w:ascii="IRNazanin" w:hAnsi="IRNazanin" w:eastAsia="IRNazanin"/>
          <w:color w:val="111111"/>
          <w:sz w:val="28"/>
          <w:sz w:val="28"/>
          <w:szCs w:val="28"/>
          <w:rtl w:val="true"/>
          <w:lang w:bidi="fa-IR"/>
        </w:rPr>
        <w:t>مطرح کرده، صحیح نیست؛ و سند و دلالت روایت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که بر استدلال به این روایت می‌توان وارد کرد، عدم تطابق روایت با مدّعای مرحوم شیخ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بحث ما در مورد انکار بعد از اقرار است؛ در حالی که در روایت سخنی از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که اقرار می‌کند و حاکم مخیّر بین عفو و اجرای حدّ است با صورتی که از اقرارش برمی‌گردد، یکسان است؟</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اقرار، حاکم مخیّر است، پس در صورت انکار به طریق اولی تخییر دارد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انکار نکند و فقط اقرار باشد، اولویّت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p>
    <w:p>
      <w:pPr>
        <w:pStyle w:val="BookText"/>
        <w:rPr/>
      </w:pPr>
      <w:r>
        <w:rPr>
          <w:rFonts w:ascii="IRNazanin" w:hAnsi="IRNazanin" w:eastAsia="IRNazanin"/>
          <w:color w:val="111111"/>
          <w:sz w:val="28"/>
          <w:sz w:val="28"/>
          <w:szCs w:val="28"/>
          <w:rtl w:val="true"/>
          <w:lang w:bidi="fa-IR"/>
        </w:rPr>
        <w:t>اولویّت برعکس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روایات گذشته خواندیم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اعتراف بالعذاب</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یعنی اگر کسی به عذاب اقرار و اعتراف کند</w:t>
      </w:r>
      <w:r>
        <w:rPr>
          <w:rStyle w:val="FootnoteAnchor"/>
          <w:rtl w:val="true"/>
        </w:rPr>
        <w:footnoteReference w:id="307"/>
      </w:r>
      <w:r>
        <w:rPr>
          <w:rFonts w:ascii="IRNazanin" w:hAnsi="IRNazanin" w:eastAsia="IRNazanin"/>
          <w:color w:val="111111"/>
          <w:sz w:val="28"/>
          <w:sz w:val="28"/>
          <w:szCs w:val="28"/>
          <w:rtl w:val="true"/>
          <w:lang w:bidi="fa-IR"/>
        </w:rPr>
        <w:t>این لایق برای تخفیف است؛ لذا، کسی که از اقرارش برمی‌گردد، چگونه با آن کسی که بر اقرارش پای‌بند است مساوی می‌باشد؟</w:t>
      </w:r>
    </w:p>
    <w:p>
      <w:pPr>
        <w:pStyle w:val="BookText"/>
        <w:rPr/>
      </w:pPr>
      <w:r>
        <w:rPr>
          <w:rFonts w:ascii="IRNazanin" w:hAnsi="IRNazanin" w:eastAsia="IRNazanin"/>
          <w:color w:val="111111"/>
          <w:sz w:val="28"/>
          <w:sz w:val="28"/>
          <w:szCs w:val="28"/>
          <w:rtl w:val="true"/>
          <w:lang w:bidi="fa-IR"/>
        </w:rPr>
        <w:t>امیرمؤمنان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اقرار کرده، دست ما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بیّنه قائم شده بود، نمی‌توانستیم او را ببخشیم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روایت با بحث ما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مقام مقابله بین اقرار و بیّنه است و کاری به رجوع از اقرار ندارد، و نمی‌توان از آن الغای خصوصیّت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محمّد بن أحمد بن یحیی، عن أبی عبداللَّه البرقی، عن بعض أصحابه، عن بعض الصّادقین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أمیر المؤمنین علیه السلام فأقرّ بالسّرقة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أتقرأ شیئاً من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وهبت یدک لسورة البقرة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أتعطّل حدّاً من حدود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یدریک ما هذا؟ إذا قامت البیّنة فلیس للإمام أن یعفو، وإذا أقرّ الرّجل علی نفسه فذاک إلی الإمام إن شاء عفی، وإن شاء قطع</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مرسله‌ای است که برقی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روایت بیان همان قصّه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امیرمؤمنان علیه السلام آمد و به سرقت اعتراف کرد؛ امام علیه السلام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از قرآن را می‌خوانی؟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سوره‌ی بقره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به سوره‌ی بقره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 بن قیس در مقام اعتراض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حدّی از حدود خداوند را تعطیل می‌کنی؟</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می‌فهمی علّت عفو من چیست؟ اگر بیّنه بر وقوع جرم قائم شد، امام</w:t>
      </w:r>
      <w:bookmarkStart w:id="426" w:name="pg16923_220261"/>
    </w:p>
    <w:p>
      <w:pPr>
        <w:pStyle w:val="BookText"/>
        <w:rPr/>
      </w:pPr>
      <w:bookmarkEnd w:id="426"/>
      <w:r>
        <w:rPr>
          <w:rFonts w:ascii="IRNazanin" w:hAnsi="IRNazanin" w:eastAsia="IRNazanin"/>
          <w:color w:val="111111"/>
          <w:sz w:val="28"/>
          <w:sz w:val="28"/>
          <w:szCs w:val="28"/>
          <w:rtl w:val="true"/>
          <w:lang w:bidi="fa-IR"/>
        </w:rPr>
        <w:t>حقّ عفو ندارد؛ ولی اگر مجرم خودش به گناه اقرار کرد، اختیار عفو یا اجرای حدّ به دست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وسائل رحمه الله پس از نقل روایت به طریق شیخ طوسی رحمه الله، طریق مرحوم شیخ صدوق رحمه الله را نیز در ذیل آن آورده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ورواه الصدوق بإسناده إلی قضایا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صدوق رحمه الله به قضایای امیرمؤمنان صحیح و قابل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طریق دیگر مرحوم شیخ به روایت را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وبإسناده عن الحسین بن سعید، عن محمّد بن یحیی، عن طلحة بن زید، عن جعفر بن محمّد علیهما السلام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معلوم می‌شود یک جریان بیشتر نبوده است؛ لیکن بعضی از طرق و اسنادش ارسال دارد و برخی از آن‌ها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همان اشکالی که بر روایت اوّل داشتیم، در این روایت نیز جاری و ساری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موضوع روایت، جایی است که سارق اقرار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جایی که به دنبال اقرارش انکار می‌کند، ربطی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 روایت صحیحه‌ای که بر قول اوّل اقامه کردیم در کار نبود، می‌توانستیم مسأله‌ی تخییر را استصحاب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سارق اقرار کرد، حاکم شرع مخیّر بین عفو و اجرای حدّ بود؛ پس از انکار سارق، آیا تخییر باقی است؟ امّا با وجود آن دو روایت صحیح السند در مورد انکار بعد از اقرار، قطع دست متعیّن و حتمی است</w:t>
      </w:r>
      <w:r>
        <w:rPr>
          <w:rFonts w:eastAsia="IRNazanin" w:cs="IRNazanin"/>
          <w:color w:val="111111"/>
          <w:sz w:val="28"/>
          <w:szCs w:val="28"/>
          <w:rtl w:val="true"/>
          <w:lang w:bidi="fa-IR"/>
        </w:rPr>
        <w:t>.</w:t>
      </w:r>
    </w:p>
    <w:p>
      <w:pPr>
        <w:pStyle w:val="Heading5"/>
        <w:numPr>
          <w:ilvl w:val="4"/>
          <w:numId w:val="1"/>
        </w:numPr>
        <w:rPr/>
      </w:pPr>
      <w:bookmarkStart w:id="427" w:name="__RefHeading___Toc162397_3244359995"/>
      <w:bookmarkStart w:id="428" w:name="_Toc165"/>
      <w:bookmarkEnd w:id="427"/>
      <w:r>
        <w:rPr>
          <w:rtl w:val="true"/>
        </w:rPr>
        <w:t>فرع دوّم</w:t>
      </w:r>
      <w:r>
        <w:rPr>
          <w:rtl w:val="true"/>
        </w:rPr>
        <w:t xml:space="preserve">: </w:t>
      </w:r>
      <w:r>
        <w:rPr>
          <w:rtl w:val="true"/>
        </w:rPr>
        <w:t>حکم انکار پس از یک اقرار</w:t>
      </w:r>
      <w:bookmarkEnd w:id="428"/>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مرسله‌ی جمیل و قواعد اقتضا می‌کند فردی که پس از یک‌بار اقرار انکار کند، ضامن مال مسروقه باشد، ولی دستش قطع نگردد؛ زیرا، با یک اقرار، حدّ ثابت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حدّ متوقّف بر اقرار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انکار بعد از اقرار نیز اشتغال ذمّه را به مال مسروقه از بین نمی‌برد و 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 جایز</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باید عین مال مسروقه را اگر موجود است برگرداند؛ وگرنه مثل یا قیمتش را به صاحب مال بدهد</w:t>
      </w:r>
      <w:r>
        <w:rPr>
          <w:rFonts w:eastAsia="IRNazanin" w:cs="IRNazanin"/>
          <w:color w:val="111111"/>
          <w:sz w:val="28"/>
          <w:szCs w:val="28"/>
          <w:rtl w:val="true"/>
          <w:lang w:bidi="fa-IR"/>
        </w:rPr>
        <w:t>.</w:t>
      </w:r>
      <w:bookmarkStart w:id="429" w:name="pg16923_220262"/>
    </w:p>
    <w:p>
      <w:pPr>
        <w:pStyle w:val="Heading5"/>
        <w:numPr>
          <w:ilvl w:val="4"/>
          <w:numId w:val="1"/>
        </w:numPr>
        <w:rPr/>
      </w:pPr>
      <w:bookmarkStart w:id="430" w:name="__RefHeading___Toc162399_3244359995"/>
      <w:bookmarkStart w:id="431" w:name="_Toc166"/>
      <w:bookmarkEnd w:id="429"/>
      <w:bookmarkEnd w:id="430"/>
      <w:r>
        <w:rPr>
          <w:rtl w:val="true"/>
        </w:rPr>
        <w:t>فرع سوّم</w:t>
      </w:r>
      <w:r>
        <w:rPr>
          <w:rtl w:val="true"/>
        </w:rPr>
        <w:t xml:space="preserve">: </w:t>
      </w:r>
      <w:r>
        <w:rPr>
          <w:rtl w:val="true"/>
        </w:rPr>
        <w:t>حکم توبه قبل از قیام بیّنه و اقرار</w:t>
      </w:r>
      <w:bookmarkEnd w:id="431"/>
    </w:p>
    <w:p>
      <w:pPr>
        <w:pStyle w:val="BookText"/>
        <w:rPr/>
      </w:pPr>
      <w:r>
        <w:rPr>
          <w:rFonts w:ascii="IRNazanin" w:hAnsi="IRNazanin" w:eastAsia="IRNazanin"/>
          <w:color w:val="111111"/>
          <w:sz w:val="28"/>
          <w:sz w:val="28"/>
          <w:szCs w:val="28"/>
          <w:rtl w:val="true"/>
          <w:lang w:bidi="fa-IR"/>
        </w:rPr>
        <w:t>توبه غیر از انکار بوده، و بلکه یکی از مؤیّدات اقرار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دلیل بر تحقّق و وقوع جرم است؛ اگر کسی قبل از اقرار یا قیام بیّنه نزد حاکم شرع توبه کند، توبه‌اش مانع ثبوت حدّ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کسی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سرقت مبتلا شدم و توبه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کاشف از این است که سرقت را قبول دارد ولی اقرار کامل نیست تا موجب ترتّب حدّ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روایاتی که در خصوص این مطلب داریم، تمام فقها در این فتوا اتّفاق نظر دارند و در مسأله مخالفی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عن علیّ بن ابراهیم، عن أبیه، عن ابن محبوب، عن عبداللَّه بن سنان،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السّارق إذا جاء من قبل نفسه تائباً إلی اللَّه عزّ وجلّ تردّ سرقته إلی صاحبها ولاقطع علیه</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صحیحه،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سارق خودش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السارق إذا جاء من قبل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سارق با پای خودش آمد و او را نگرفته‌اند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درگاه خداوند توبه و بازگشت کرده است، مال مسروقه را از او می‌گیرند و به صاحبش 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توبه‌اش متضمّن یک اقرار ضمنی به مال مردم است؛ لذا، به نفس توبه، مال مسروقه بر گردنش ثابت می‌شود و باید آن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قطع دست مترتّب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 و دلالت این روایت هیچ اشکالی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از روایت، موردی است که توبه قبل از اقرار و قیام بیّنه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بعد و فرع چهارم به این جهت اشاره می‌کنیم که آیا روایت صورت توبه‌ی بعد از اقرار و قیام بیّنه را نیز شامل می‌شود یا نه؟</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روایت عدم قطع است در صورتی که توبه قبل از اقرار باشد، ولی اگر پس از آن بر سرقتش بیّنه قائم شد، روایت دلالتی ندارد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 دیگر دو مرتبه اقرار کند، چگونه این اقرار بی‌اثر است؟ توبه اثر</w:t>
      </w:r>
      <w:bookmarkStart w:id="432" w:name="pg16923_220263"/>
    </w:p>
    <w:p>
      <w:pPr>
        <w:pStyle w:val="BookText"/>
        <w:rPr/>
      </w:pPr>
      <w:bookmarkEnd w:id="432"/>
      <w:r>
        <w:rPr>
          <w:rFonts w:ascii="IRNazanin" w:hAnsi="IRNazanin" w:eastAsia="IRNazanin"/>
          <w:color w:val="111111"/>
          <w:sz w:val="28"/>
          <w:sz w:val="28"/>
          <w:szCs w:val="28"/>
          <w:rtl w:val="true"/>
          <w:lang w:bidi="fa-IR"/>
        </w:rPr>
        <w:t>بیّنه‌ی بعدی را هم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قطع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عدم ثبوت سرقت بود، با ثبوت سرقت به اقرار متعدّد، یا قیام بیّنه منافاتی ندارد؛ امّا روایت به این مطلب ناظر نیست؛ بلکه به‌طور کلّی می‌خواهد قطع دست را از چنین مجرمی بردارد به‌گونه‌ای که مانع تأثیر اقرار یا بیّنه‌ای می‌گردد که پس از آن اقامه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محمّد بن یحیی، عن أحمد بن محمّد، عن علی بن حدید وابن أبی عمیر جمیعاً، عن جمیل بن درّاج، عن رجل عن أحدهما علیهما السلام فی رجل سرق أو شرب الخمر أو زنی، فلم یعلم ذلک منه ولم یؤخذ حتّی تاب وصلح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صلح وعرف منه أمر جمیل لم یقم علیه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مرسل، درباره‌ی مردی که مرتکب سرقت یا شرب خمر یا زنا شده است و کسی متوجّه گناهش نشد و او را دستگیر نکردند مگر پس از آن که توبه کرد و انسان صالحی شد،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توبه‌ی حقیقی کرده و انسان صالحی شده و از او کارهای نیکویی معروف شده باشد، حدّ بر او جاری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روایت بر مطلوب تمام است، زیرا امام علیه السلام می‌فرماید پس از توبه نباید بر او حدّ جاری گردد؛ یعنی حدّی که بعد از توبه به اقرار یا بیّنه ثابت می‌شود، در حقّش نافذ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روایت مرسل است و با وجود روایت قبل و فتاوای اصحاب، نیازی به آن نداریم</w:t>
      </w:r>
      <w:r>
        <w:rPr>
          <w:rFonts w:eastAsia="IRNazanin" w:cs="IRNazanin"/>
          <w:color w:val="111111"/>
          <w:sz w:val="28"/>
          <w:szCs w:val="28"/>
          <w:rtl w:val="true"/>
          <w:lang w:bidi="fa-IR"/>
        </w:rPr>
        <w:t>.</w:t>
      </w:r>
    </w:p>
    <w:p>
      <w:pPr>
        <w:pStyle w:val="Heading5"/>
        <w:numPr>
          <w:ilvl w:val="4"/>
          <w:numId w:val="1"/>
        </w:numPr>
        <w:rPr/>
      </w:pPr>
      <w:bookmarkStart w:id="433" w:name="__RefHeading___Toc162401_3244359995"/>
      <w:bookmarkStart w:id="434" w:name="_Toc167"/>
      <w:bookmarkEnd w:id="433"/>
      <w:r>
        <w:rPr>
          <w:rtl w:val="true"/>
        </w:rPr>
        <w:t>فرع چهارم</w:t>
      </w:r>
      <w:r>
        <w:rPr>
          <w:rtl w:val="true"/>
        </w:rPr>
        <w:t xml:space="preserve">: </w:t>
      </w:r>
      <w:r>
        <w:rPr>
          <w:rtl w:val="true"/>
        </w:rPr>
        <w:t>حکم توبه بعد از قیام بیّنه</w:t>
      </w:r>
      <w:bookmarkEnd w:id="434"/>
    </w:p>
    <w:p>
      <w:pPr>
        <w:pStyle w:val="BookText"/>
        <w:rPr/>
      </w:pPr>
      <w:r>
        <w:rPr>
          <w:rFonts w:ascii="IRNazanin" w:hAnsi="IRNazanin" w:eastAsia="IRNazanin"/>
          <w:color w:val="111111"/>
          <w:sz w:val="28"/>
          <w:sz w:val="28"/>
          <w:szCs w:val="28"/>
          <w:rtl w:val="true"/>
          <w:lang w:bidi="fa-IR"/>
        </w:rPr>
        <w:t>اگر سارق بیّنه را تکذیب یا سرقتش را انکار کرد، بدون شبهه، حدّ درباره‌اش جاری می‌شود؛ زیرا، از عدم اجرای حدّ لغویت بیّنه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این مطلب مخالف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جایی است که شخص پس از قیام بیّنه، توبه کند؛ آیا توبه سبب سقوط حدّ می‌شود؟</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سقوط حدّ باید دلیل بیاوریم و الّا ثبوت حدّ محتاج به دلیل نیست؛ اطلاق دلیل</w:t>
      </w:r>
    </w:p>
    <w:p>
      <w:pPr>
        <w:pStyle w:val="BookText"/>
        <w:rPr/>
      </w:pPr>
      <w:r>
        <w:rPr>
          <w:rFonts w:ascii="Amiri" w:hAnsi="Amiri" w:eastAsia="Amiri" w:cs="Amiri"/>
          <w:color w:val="111111"/>
          <w:sz w:val="28"/>
          <w:sz w:val="28"/>
          <w:szCs w:val="28"/>
          <w:rtl w:val="true"/>
          <w:lang w:bidi="ar-SA"/>
        </w:rPr>
        <w:t>حجّیت بیّنه، اقتضای ترتّب اثر و ثبوت حدّ می‌کند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بیان دیگر، در دلیل حجّیت بیّنه اهمال و اجمالی نیست تا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اجمال به قدر متیقّن آن اخذ می‌شود و قدر متیقّنش جایی است که بیّنه اقامه شده و به دنبالش توبه‌ای سر نزده است؛ بلکه اطلاق دلیل اعتبار بیّنه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مقابل این اطلاق، مانع و مقیّدی نداشتیم باید به آن عمل کنیم؛ و اطلاقش صورت عدم توبه و توبه بعد از اقامه‌ی بیّنه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نوبت به شکّ برسد، باز مقتضای استصحاب عدم سقوط حدّ است؛ زیرا، یقین به ثبوت حدّ قبل از توبه داریم؛ شکّ می‌کنیم با توبه ساقط شد یا نه؟ با استصحاب، حکم به بقای حدّ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با توجّه به تمامیّت دلیل ثبوت حدّ پس از توبه، باید برای سقوط حدّ دلیل اقامه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روایت صحیحه‌ی ابن‌سنان تمسّک کرده 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السارق إذا جاء من قبل نفسه تائباً إلی اللَّه عزّ وجلّ تردّ سرقته ولا قطع علیه</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سارقی است که سرقتش به بیّنه یا اقرار ثابت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اگر پس از قیام بیّنه توبه کند، حکم قطع دست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در ردّ این استدلال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سارقی است که سرقتش به اقرار ثابت شده باشد و پس از اقرار، توبه کند؛ زیرا، اطلاقش به مورد ثبوت سرقت به اقرار انصراف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روایت نمی‌تواند دلیل فرع چهارم باشد؛ بلکه دلیل فرع پنجم است؛ یعنی ثبوت سرقت به وسیله‌ی بیّنه از موضوع روایت خارج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و ردّش هر دو نادرست است؛ زیرا، مقصود از کلمه‌ی سارق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ثبت سرقته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مقصود کسی است که نزد حاکم آمده و توبه‌ی از سرقت را مطرح کرده است و هیچ راهی برای اثبات سرقتش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اقرار ضمنی به سرقت است که به سبب این اقرار حدّی ثابت نمی‌شود؛ ولی مال مسروقه را باید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شاهدش نیز روایت مرسله‌ی جمیل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سرق أو شرب الخمر أو زنی فلم</w:t>
      </w:r>
    </w:p>
    <w:p>
      <w:pPr>
        <w:pStyle w:val="BookText"/>
        <w:rPr/>
      </w:pPr>
      <w:r>
        <w:rPr>
          <w:rFonts w:ascii="IRNazanin" w:hAnsi="IRNazanin" w:eastAsia="IRNazanin"/>
          <w:color w:val="111111"/>
          <w:sz w:val="28"/>
          <w:sz w:val="28"/>
          <w:szCs w:val="28"/>
          <w:rtl w:val="true"/>
          <w:lang w:bidi="fa-IR"/>
        </w:rPr>
        <w:t>یعلم ذلک منه ولم یؤخذ حتّی تاب وصلح</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 xml:space="preserve">در عین این که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یعلم ذلک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سرقتش ثابت نشده و در این‌باره هیچ محکومیتی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ثبت سرقته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تا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و جایی که سرقت با بیّنه ثابت شده نیز شامل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توهّم دوّم نیز جا ندارد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سارق یعنی من ثبت سرقته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اطلاقش انصراف دارد به جایی که سرقت با اقرار ثابت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عذاب آخرت نسبت به عذاب دنیا از اهمیّت بیشتری برخوردار است و با توبه‌ی صحیح و واقعی عذاب آخرت با آن اهمیّت از بین می‌رود، چگونه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توبه، عذاب دنیایی از بین نمی‌رود؟ در حالی که مسأله برعکس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نیز نادرست است؛ زیرا، در عذاب آخرت فقط بر گناه و گناهکار تکیه می‌شود و جهات فردی در آن مؤثر است؛ برخلاف عذاب و کیفر در دنیا، اگر دین اسلام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سارق باید قطع گردد، نظر به جنبه‌ی فردی و اجتماعی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دست سارق در امنیّت اجتماعی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ببینند دست دزد بریده می‌شود، کسی به فکر دزدی نمی‌افتد و آرامش و امنیّت بر جامعه حکم‌فرما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آیه‌ی شریفه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لْیَشْهَدْ عَذَابَهُمَا طَآلِفَةٌ مّنَ الْمُؤْمِنِینَ؛</w:t>
      </w:r>
      <w:r>
        <w:rPr>
          <w:rStyle w:val="FootnoteAnchor"/>
          <w:rtl w:val="true"/>
        </w:rPr>
        <w:footnoteReference w:id="314"/>
      </w:r>
      <w:r>
        <w:rPr>
          <w:rFonts w:ascii="IRNazanin" w:hAnsi="IRNazanin" w:eastAsia="IRNazanin"/>
          <w:color w:val="111111"/>
          <w:sz w:val="28"/>
          <w:sz w:val="28"/>
          <w:szCs w:val="28"/>
          <w:rtl w:val="true"/>
          <w:lang w:bidi="fa-IR"/>
        </w:rPr>
        <w:t>حضور گروهی از مؤمنان برای چیست؟ آیا برای تأثیرپذیری آنان و بازگو کردن مطلب برای دیگران نیست تا به این وسیله از فحشا و فساد جلوگیری شود؟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نمی‌توان عذاب‌های دنیا را با عذاب‌های آخرت مقایسه کرد و حدود الهی را همانند آن‌ها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عذاب اخروی با توبه از بین می‌رود، حدود الهی نیز با توبه ساقط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اطلاق دلیل اعتبار بیّنه اقتضای قطع دست دارد و اگر نوبت به شکّ رسید، استصحاب نیز همین مطلب را ثابت می‌کند</w:t>
      </w:r>
      <w:r>
        <w:rPr>
          <w:rFonts w:eastAsia="IRNazanin" w:cs="IRNazanin"/>
          <w:color w:val="111111"/>
          <w:sz w:val="28"/>
          <w:szCs w:val="28"/>
          <w:rtl w:val="true"/>
          <w:lang w:bidi="fa-IR"/>
        </w:rPr>
        <w:t>.</w:t>
      </w:r>
      <w:bookmarkStart w:id="435" w:name="pg16923_220266"/>
    </w:p>
    <w:p>
      <w:pPr>
        <w:pStyle w:val="Heading5"/>
        <w:numPr>
          <w:ilvl w:val="4"/>
          <w:numId w:val="1"/>
        </w:numPr>
        <w:rPr/>
      </w:pPr>
      <w:bookmarkStart w:id="436" w:name="__RefHeading___Toc162403_3244359995"/>
      <w:bookmarkStart w:id="437" w:name="_Toc168"/>
      <w:bookmarkEnd w:id="435"/>
      <w:bookmarkEnd w:id="436"/>
      <w:r>
        <w:rPr>
          <w:rtl w:val="true"/>
        </w:rPr>
        <w:t>فرع پنجم</w:t>
      </w:r>
      <w:r>
        <w:rPr>
          <w:rtl w:val="true"/>
        </w:rPr>
        <w:t xml:space="preserve">: </w:t>
      </w:r>
      <w:r>
        <w:rPr>
          <w:rtl w:val="true"/>
        </w:rPr>
        <w:t>توبه‌ی بعد از اقرار</w:t>
      </w:r>
      <w:bookmarkEnd w:id="437"/>
    </w:p>
    <w:p>
      <w:pPr>
        <w:pStyle w:val="Heading6"/>
        <w:numPr>
          <w:ilvl w:val="5"/>
          <w:numId w:val="1"/>
        </w:numPr>
        <w:rPr/>
      </w:pPr>
      <w:bookmarkStart w:id="438" w:name="__RefHeading___Toc162405_3244359995"/>
      <w:bookmarkStart w:id="439" w:name="_Toc169"/>
      <w:bookmarkEnd w:id="438"/>
      <w:r>
        <w:rPr>
          <w:rtl w:val="true"/>
        </w:rPr>
        <w:t>اشاره</w:t>
      </w:r>
      <w:bookmarkEnd w:id="439"/>
    </w:p>
    <w:p>
      <w:pPr>
        <w:pStyle w:val="BookText"/>
        <w:rPr/>
      </w:pPr>
      <w:r>
        <w:rPr>
          <w:rFonts w:ascii="IRNazanin" w:hAnsi="IRNazanin" w:eastAsia="IRNazanin"/>
          <w:color w:val="111111"/>
          <w:sz w:val="28"/>
          <w:sz w:val="28"/>
          <w:szCs w:val="28"/>
          <w:rtl w:val="true"/>
          <w:lang w:bidi="fa-IR"/>
        </w:rPr>
        <w:t>در این فرع نیز دو قول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رحمه الله</w:t>
      </w:r>
      <w:r>
        <w:rPr>
          <w:rStyle w:val="FootnoteAnchor"/>
          <w:rtl w:val="true"/>
        </w:rPr>
        <w:footnoteReference w:id="315"/>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توبه‌ی بعد از اقرار همانند توبه‌ی بعد از بیّنه هیچ اثری ندارد و حکم قطع را از بین نمی‌برد، وجودش کالعدم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طوسی در کتاب نهایه،</w:t>
      </w:r>
      <w:r>
        <w:rPr>
          <w:rStyle w:val="FootnoteAnchor"/>
          <w:rtl w:val="true"/>
        </w:rPr>
        <w:footnoteReference w:id="316"/>
      </w:r>
      <w:r>
        <w:rPr>
          <w:rFonts w:ascii="IRNazanin" w:hAnsi="IRNazanin" w:eastAsia="IRNazanin"/>
          <w:color w:val="111111"/>
          <w:sz w:val="28"/>
          <w:sz w:val="28"/>
          <w:szCs w:val="28"/>
          <w:rtl w:val="true"/>
          <w:lang w:bidi="fa-IR"/>
        </w:rPr>
        <w:t>ابن‌سعید رحمه الله در کتاب جامع</w:t>
      </w:r>
      <w:r>
        <w:rPr>
          <w:rStyle w:val="FootnoteAnchor"/>
          <w:rtl w:val="true"/>
        </w:rPr>
        <w:footnoteReference w:id="317"/>
      </w:r>
      <w:r>
        <w:rPr>
          <w:rFonts w:ascii="IRNazanin" w:hAnsi="IRNazanin" w:eastAsia="IRNazanin"/>
          <w:color w:val="111111"/>
          <w:sz w:val="28"/>
          <w:sz w:val="28"/>
          <w:szCs w:val="28"/>
          <w:rtl w:val="true"/>
          <w:lang w:bidi="fa-IR"/>
        </w:rPr>
        <w:t>و از اطلاق برخی از کتاب‌ها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مرحوم حلبی</w:t>
      </w:r>
      <w:r>
        <w:rPr>
          <w:rStyle w:val="FootnoteAnchor"/>
          <w:rtl w:val="true"/>
        </w:rPr>
        <w:footnoteReference w:id="318"/>
      </w:r>
      <w:r>
        <w:rPr>
          <w:rFonts w:ascii="IRNazanin" w:hAnsi="IRNazanin" w:eastAsia="IRNazanin"/>
          <w:color w:val="111111"/>
          <w:sz w:val="28"/>
          <w:sz w:val="28"/>
          <w:szCs w:val="28"/>
          <w:rtl w:val="true"/>
          <w:lang w:bidi="fa-IR"/>
        </w:rPr>
        <w:t>و غنیه‌ی ابن‌زهره رحمه الله</w:t>
      </w:r>
      <w:r>
        <w:rPr>
          <w:rStyle w:val="FootnoteAnchor"/>
          <w:rtl w:val="true"/>
        </w:rPr>
        <w:footnoteReference w:id="319"/>
      </w:r>
      <w:r>
        <w:rPr>
          <w:rFonts w:ascii="IRNazanin" w:hAnsi="IRNazanin" w:eastAsia="IRNazanin"/>
          <w:color w:val="111111"/>
          <w:sz w:val="28"/>
          <w:sz w:val="28"/>
          <w:szCs w:val="28"/>
          <w:rtl w:val="true"/>
          <w:lang w:bidi="fa-IR"/>
        </w:rPr>
        <w:t>استفاده می‌شود، اثر توبه‌ی بعد از اقرار، تخییر حاکم بین عفو و اجرای حدّ است</w:t>
      </w:r>
      <w:r>
        <w:rPr>
          <w:rFonts w:eastAsia="IRNazanin" w:cs="IRNazanin"/>
          <w:color w:val="111111"/>
          <w:sz w:val="28"/>
          <w:szCs w:val="28"/>
          <w:rtl w:val="true"/>
          <w:lang w:bidi="fa-IR"/>
        </w:rPr>
        <w:t>.</w:t>
      </w:r>
    </w:p>
    <w:p>
      <w:pPr>
        <w:pStyle w:val="Heading6"/>
        <w:numPr>
          <w:ilvl w:val="5"/>
          <w:numId w:val="1"/>
        </w:numPr>
        <w:rPr/>
      </w:pPr>
      <w:bookmarkStart w:id="440" w:name="__RefHeading___Toc162407_3244359995"/>
      <w:bookmarkStart w:id="441" w:name="_Toc170"/>
      <w:bookmarkEnd w:id="440"/>
      <w:r>
        <w:rPr>
          <w:rtl w:val="true"/>
        </w:rPr>
        <w:t xml:space="preserve">مستند قول اوّل </w:t>
      </w:r>
      <w:r>
        <w:rPr>
          <w:rtl w:val="true"/>
        </w:rPr>
        <w:t>(</w:t>
      </w:r>
      <w:r>
        <w:rPr>
          <w:rtl w:val="true"/>
        </w:rPr>
        <w:t>باقی ماندن حکم قطع دست</w:t>
      </w:r>
      <w:r>
        <w:rPr>
          <w:rtl w:val="true"/>
        </w:rPr>
        <w:t>)</w:t>
      </w:r>
      <w:bookmarkEnd w:id="441"/>
    </w:p>
    <w:p>
      <w:pPr>
        <w:pStyle w:val="BookText"/>
        <w:rPr/>
      </w:pPr>
      <w:r>
        <w:rPr>
          <w:rFonts w:ascii="IRNazanin" w:hAnsi="IRNazanin" w:eastAsia="IRNazanin"/>
          <w:color w:val="111111"/>
          <w:sz w:val="28"/>
          <w:sz w:val="28"/>
          <w:szCs w:val="28"/>
          <w:rtl w:val="true"/>
          <w:lang w:bidi="fa-IR"/>
        </w:rPr>
        <w:t>دلیل حجّیت اقرار همانند دلیل حجّیت بیّنه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 جایز</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در باب سرقت به دو مرتبه اقرار تقیید شد؛ دلیل مقیّد از این حیث ضربه‌ای به اطلاق از حیث دیگر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تحقّق دو اقرار، نمی‌دانیم آیا توبه از نفوذ اقرار می‌کاهد و آن را از بین می‌برد یا نه؟ به اطلاق دلیل نفوذ اقرار تمسّک می‌کنیم و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توبه اثری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تنزّل، اگر نوبت به شکّ رسید، باز مقتضای استصحاب، ترتّب قطع و تحتّم آن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رحمه الله دلیل دوّمی اضافه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صحیحه‌ی حلبی</w:t>
      </w:r>
      <w:r>
        <w:rPr>
          <w:rStyle w:val="FootnoteAnchor"/>
          <w:rtl w:val="true"/>
        </w:rPr>
        <w:footnoteReference w:id="321"/>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دوبار اقرار کند و سپس از اقرارش برگردد، حدّ در حقّش حتمی و متعیّن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حکم توبه نیز استفاده می‌شود</w:t>
      </w:r>
      <w:r>
        <w:rPr>
          <w:rFonts w:eastAsia="IRNazanin" w:cs="IRNazanin"/>
          <w:color w:val="111111"/>
          <w:sz w:val="28"/>
          <w:szCs w:val="28"/>
          <w:rtl w:val="true"/>
          <w:lang w:bidi="fa-IR"/>
        </w:rPr>
        <w:t>.</w:t>
      </w:r>
      <w:r>
        <w:rPr>
          <w:rStyle w:val="FootnoteAnchor"/>
          <w:rtl w:val="true"/>
        </w:rPr>
        <w:footnoteReference w:id="322"/>
      </w:r>
      <w:bookmarkStart w:id="442" w:name="pg16923_220267"/>
    </w:p>
    <w:p>
      <w:pPr>
        <w:pStyle w:val="BookText"/>
        <w:rPr/>
      </w:pPr>
      <w:bookmarkEnd w:id="442"/>
      <w:r>
        <w:rPr>
          <w:rFonts w:ascii="IRNazanin" w:hAnsi="IRNazanin" w:eastAsia="IRNazanin"/>
          <w:color w:val="111111"/>
          <w:sz w:val="28"/>
          <w:sz w:val="28"/>
          <w:szCs w:val="28"/>
          <w:rtl w:val="true"/>
          <w:lang w:bidi="fa-IR"/>
        </w:rPr>
        <w:t>نقد دلیل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نادرست است؛ زیرا، نمی‌توان روایتی را که در خصوص انکار بعد از اقرار رسیده به مورد ما که توبه‌ی بعد از اقرار است، سرایت داد؛ زیرا، با انکار می‌خواهد اقرارش را متزلزل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مانع تزلزل اقرار شد؛ ولی توبه، مفاد اقرار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مورد انکار، شارع می‌گوید به رغم انف او باید حدّ بخورد؛ امّا در توبه ممکن است ارفاق و تخفیفی قائل شده باشد، همانند باب زنا که اگر زانی بعد از اقرارش توبه می‌کرد، اسلام به او تخفیفی می‌داد، پس انکار یک داستان دارد و توبه داستانی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مسأله‌ی بیّنه، اطلاق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السارق إذا جاء من قبل نفسه تائباً</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را منصرف از صورت قیام بیّنه می‌دانست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این روایت جایی است که سرقت با اقرار ثابت گردد، در چند سطر بعد در مسأله توبه‌ی بعد از اقرار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دلیلی بر عدم قطع نداریم</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اگر روایت مذکور به اثبات سرقت به اقرار منصرف است، چگونه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عدم قطع نداریم؟ این روایت به صراحت دلالت بر عدم قطع دست دارد</w:t>
      </w:r>
      <w:r>
        <w:rPr>
          <w:rFonts w:eastAsia="IRNazanin" w:cs="IRNazanin"/>
          <w:color w:val="111111"/>
          <w:sz w:val="28"/>
          <w:szCs w:val="28"/>
          <w:rtl w:val="true"/>
          <w:lang w:bidi="fa-IR"/>
        </w:rPr>
        <w:t>.</w:t>
      </w:r>
    </w:p>
    <w:p>
      <w:pPr>
        <w:pStyle w:val="Heading6"/>
        <w:numPr>
          <w:ilvl w:val="5"/>
          <w:numId w:val="1"/>
        </w:numPr>
        <w:rPr/>
      </w:pPr>
      <w:bookmarkStart w:id="443" w:name="__RefHeading___Toc162409_3244359995"/>
      <w:bookmarkStart w:id="444" w:name="_Toc171"/>
      <w:bookmarkEnd w:id="443"/>
      <w:r>
        <w:rPr>
          <w:rtl w:val="true"/>
        </w:rPr>
        <w:t xml:space="preserve">مستند قول دوّم </w:t>
      </w:r>
      <w:r>
        <w:rPr>
          <w:rtl w:val="true"/>
        </w:rPr>
        <w:t>(</w:t>
      </w:r>
      <w:r>
        <w:rPr>
          <w:rtl w:val="true"/>
        </w:rPr>
        <w:t>تخیییر حاکم</w:t>
      </w:r>
      <w:r>
        <w:rPr>
          <w:rtl w:val="true"/>
        </w:rPr>
        <w:t>)</w:t>
      </w:r>
      <w:bookmarkEnd w:id="444"/>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مستند این قول روایت طلحة بن زید است که مربوط به اقرار جوانی نزد امیرمؤمنان علیه السلام به سرقت است؛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قرآن چیزی می‌دانی؟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بقره را حفظ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به سوره‌ی بقره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این روایت نمی‌توان اشکال کرد؛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معتبره است؛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شیخ صدوق رحمه الله به قضایای امیرمؤمنان علیه السلام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تضعیف مرحوم محقّق رحمه الله در شرایع</w:t>
      </w:r>
      <w:r>
        <w:rPr>
          <w:rStyle w:val="FootnoteAnchor"/>
          <w:rtl w:val="true"/>
        </w:rPr>
        <w:footnoteReference w:id="325"/>
      </w:r>
      <w:r>
        <w:rPr>
          <w:rFonts w:ascii="IRNazanin" w:hAnsi="IRNazanin" w:eastAsia="IRNazanin"/>
          <w:color w:val="111111"/>
          <w:sz w:val="28"/>
          <w:sz w:val="28"/>
          <w:szCs w:val="28"/>
          <w:rtl w:val="true"/>
          <w:lang w:bidi="fa-IR"/>
        </w:rPr>
        <w:t>وجهی</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معتبره با مرسله‌ی برقی که در آن اشعث بر امام اعتراض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حدّ الهی را تعطیل می‌کنی؟ بر تخییر امام علیه السلام بین عفو و اجرای حدّ دلالت دارد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نقد دلیل این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حکم توبه‌ی بعد از اقرار است؛ امّا در این دو روایت، مسأله‌ی توبه مطرح نشده و هیچ ذکری از توبه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توبه نباشد امام مخیّر بین عفو و اجرای حدّ است، با توبه‌ی مجرم، به طریق اولی دست حاکم شرع برای عفو باز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تمام است؛ لیکن این دو روایت در مورد خودش که اقرار بدون توبه باشد، مورد عمل اصحاب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فقها به تخییر امام در باب سرقت، در جایی که به اقرار ثابت شده ولی همراه با توبه نباشد، فتوا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روایتی که در مورد خودش قبول نشده، چگونه می‌توان حکمش را به موارد دیگر سرایت داد؟</w:t>
      </w:r>
    </w:p>
    <w:p>
      <w:pPr>
        <w:pStyle w:val="BookText"/>
        <w:rPr/>
      </w:pPr>
      <w:r>
        <w:rPr>
          <w:rFonts w:ascii="IRNazanin" w:hAnsi="IRNazanin" w:eastAsia="IRNazanin"/>
          <w:color w:val="111111"/>
          <w:sz w:val="28"/>
          <w:sz w:val="28"/>
          <w:szCs w:val="28"/>
          <w:rtl w:val="true"/>
          <w:lang w:bidi="fa-IR"/>
        </w:rPr>
        <w:t>به دیگر سخن، اگر به روایت در مورد خودش عمل کرده بودند، می‌توانستیم آن را به موردی که مجرم پس از اقرار توبه کند، تعمیم دهیم؛ لیکن هیچ فقیهی به تخییر امام و حکم بدون توبه قائل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مهم‌تر این که اگر در مورد اقرار به سرقت، حاکم مخیّر و این معنا ثابت بود، نیازی به مطرح کردن توبه‌ی بعد از اقرار نداشتیم؛ زیرا، اگر توبه، حکم مسأله را آسان‌تر نکند، مشکل‌تر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مسأله توبه‌ی بعد از اقرار، کاشف از این است که در اقرار بدون توبه، امام مخیّر نیست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عدم دلالت این دو روایت بر تخییر امام و حاکم شرع در توبه‌ی بعد از اقرار باید از قاعده کمک گرفت؛ مقتضای قاعده عدم تخییر حاکم و ثبوت حکم قطع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توبه بعد از بیّنه با توبه‌ی بعد از اقرار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تنزّل، اگر نوبت به شکّ برسد، مقتضای استصحاب نیز بقای حدّ و تعیّن آن است</w:t>
      </w:r>
      <w:r>
        <w:rPr>
          <w:rFonts w:eastAsia="IRNazanin" w:cs="IRNazanin"/>
          <w:color w:val="111111"/>
          <w:sz w:val="28"/>
          <w:szCs w:val="28"/>
          <w:rtl w:val="true"/>
          <w:lang w:bidi="fa-IR"/>
        </w:rPr>
        <w:t>.</w:t>
      </w:r>
      <w:bookmarkStart w:id="445" w:name="pg16923_220269"/>
    </w:p>
    <w:p>
      <w:pPr>
        <w:pStyle w:val="BookText"/>
        <w:rPr/>
      </w:pPr>
      <w:bookmarkEnd w:id="4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حدّ السارق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السارق فی المرّة الاولی قطع الأصابع الأربع من اصولها من الید الیمنی ویترک له الراحة والإبهام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سرق ثانیاً قطعت رجله الیسری من تحت قبّة القدم حتّی یبقی له النصف من القدم ومقدار قلیل من محلّ المسح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سرق ثالثاً حبس دائماً حتّی یموت ویجری علیه من بیت المال إن کان فقیراً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عاد وسرق رابعاً ولو فی السجن قتل</w:t>
      </w:r>
      <w:r>
        <w:rPr>
          <w:rFonts w:eastAsia="IRNazanin" w:cs="IRNazanin"/>
          <w:color w:val="111111"/>
          <w:sz w:val="28"/>
          <w:szCs w:val="28"/>
          <w:rtl w:val="true"/>
          <w:lang w:bidi="fa-IR"/>
        </w:rPr>
        <w:t>.]</w:t>
      </w:r>
    </w:p>
    <w:p>
      <w:pPr>
        <w:pStyle w:val="Heading4"/>
        <w:numPr>
          <w:ilvl w:val="3"/>
          <w:numId w:val="1"/>
        </w:numPr>
        <w:rPr/>
      </w:pPr>
      <w:bookmarkStart w:id="446" w:name="__RefHeading___Toc162411_3244359995"/>
      <w:bookmarkStart w:id="447" w:name="_Toc172"/>
      <w:bookmarkEnd w:id="446"/>
      <w:r>
        <w:rPr>
          <w:rtl w:val="true"/>
        </w:rPr>
        <w:t>مراتب حدّ سارق</w:t>
      </w:r>
      <w:bookmarkEnd w:id="447"/>
    </w:p>
    <w:p>
      <w:pPr>
        <w:pStyle w:val="Heading5"/>
        <w:numPr>
          <w:ilvl w:val="4"/>
          <w:numId w:val="1"/>
        </w:numPr>
        <w:rPr/>
      </w:pPr>
      <w:bookmarkStart w:id="448" w:name="__RefHeading___Toc162413_3244359995"/>
      <w:bookmarkStart w:id="449" w:name="_Toc173"/>
      <w:bookmarkEnd w:id="448"/>
      <w:r>
        <w:rPr>
          <w:rtl w:val="true"/>
        </w:rPr>
        <w:t>اشاره</w:t>
      </w:r>
      <w:bookmarkEnd w:id="449"/>
    </w:p>
    <w:p>
      <w:pPr>
        <w:pStyle w:val="BookText"/>
        <w:rPr/>
      </w:pPr>
      <w:r>
        <w:rPr>
          <w:rFonts w:ascii="IRNazanin" w:hAnsi="IRNazanin" w:eastAsia="IRNazanin"/>
          <w:color w:val="111111"/>
          <w:sz w:val="28"/>
          <w:sz w:val="28"/>
          <w:szCs w:val="28"/>
          <w:rtl w:val="true"/>
          <w:lang w:bidi="fa-IR"/>
        </w:rPr>
        <w:t>این مسأله چهار فرع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سرقت، برای بار اوّل چهار انگشت دست راست دزد از ریشه و اصول بریده می‌شود، و انگشت ابهام و کف دست رها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اجرای حدّ سرقت، باز مرتکب دزدی شد، در این مرتبه از زیر برآمدگی پای چپ می‌برند؛ به‌گونه‌ای که نصف قدم و مقدار اندکی از محل مسح باقی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دوبار اجرای حدّ سرقت، اگر بار دیگر مرتکب سرقت شد، او را زندانی می‌کنند و تا پایان عمرش در زندان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فقیر باشد، نفقه‌اش را از بیت‌المال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بار چهارم در زندان یا غیر آن دست به سرقت زد، حدّش قتل است</w:t>
      </w:r>
      <w:r>
        <w:rPr>
          <w:rFonts w:eastAsia="IRNazanin" w:cs="IRNazanin"/>
          <w:color w:val="111111"/>
          <w:sz w:val="28"/>
          <w:szCs w:val="28"/>
          <w:rtl w:val="true"/>
          <w:lang w:bidi="fa-IR"/>
        </w:rPr>
        <w:t>.</w:t>
      </w:r>
    </w:p>
    <w:p>
      <w:pPr>
        <w:pStyle w:val="Heading5"/>
        <w:numPr>
          <w:ilvl w:val="4"/>
          <w:numId w:val="1"/>
        </w:numPr>
        <w:rPr/>
      </w:pPr>
      <w:bookmarkStart w:id="450" w:name="__RefHeading___Toc162415_3244359995"/>
      <w:bookmarkStart w:id="451" w:name="_Toc174"/>
      <w:bookmarkEnd w:id="450"/>
      <w:r>
        <w:rPr>
          <w:rtl w:val="true"/>
        </w:rPr>
        <w:t>فرع اوّل</w:t>
      </w:r>
      <w:r>
        <w:rPr>
          <w:rtl w:val="true"/>
        </w:rPr>
        <w:t xml:space="preserve">: </w:t>
      </w:r>
      <w:r>
        <w:rPr>
          <w:rtl w:val="true"/>
        </w:rPr>
        <w:t>حدّ سرقت در مرتبه‌ی اوّل</w:t>
      </w:r>
      <w:bookmarkEnd w:id="451"/>
    </w:p>
    <w:p>
      <w:pPr>
        <w:pStyle w:val="Heading6"/>
        <w:numPr>
          <w:ilvl w:val="5"/>
          <w:numId w:val="1"/>
        </w:numPr>
        <w:rPr/>
      </w:pPr>
      <w:bookmarkStart w:id="452" w:name="__RefHeading___Toc162417_3244359995"/>
      <w:bookmarkStart w:id="453" w:name="_Toc175"/>
      <w:bookmarkEnd w:id="452"/>
      <w:r>
        <w:rPr>
          <w:rtl w:val="true"/>
        </w:rPr>
        <w:t>اشاره</w:t>
      </w:r>
      <w:bookmarkEnd w:id="453"/>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در توضیح مسأله گفتیم، برای سرقت چهار حدّ مختلف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حدّ مرتبه‌ی اوّل قطع انگشتان دست راست است؛ حدّ مرتبه‌ی دوّم قطع پای چپ با توضیحی که گذشت و خواهد آمد؛ حدّ مرتبه‌ی سوّم حبس ابد؛ و حدّ مرتبه‌ی چهارم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سرقت قطع دست است، بلکه اطلاق آیه‌ی شریفه‌ی وَالسَّارِقُ</w:t>
      </w:r>
    </w:p>
    <w:p>
      <w:pPr>
        <w:pStyle w:val="BookText"/>
        <w:rPr/>
      </w:pPr>
      <w:r>
        <w:rPr>
          <w:rFonts w:ascii="Amiri" w:hAnsi="Amiri" w:eastAsia="Amiri" w:cs="Amiri"/>
          <w:color w:val="111111"/>
          <w:sz w:val="28"/>
          <w:sz w:val="28"/>
          <w:szCs w:val="28"/>
          <w:rtl w:val="true"/>
          <w:lang w:bidi="ar-SA"/>
        </w:rPr>
        <w:t>وَ السَّارِقَةُ فَاقْطَعُواْ أَیْدِیَهُمَا</w:t>
      </w:r>
      <w:r>
        <w:rPr>
          <w:rStyle w:val="FootnoteAnchor"/>
          <w:rtl w:val="true"/>
        </w:rPr>
        <w:footnoteReference w:id="327"/>
      </w:r>
      <w:r>
        <w:rPr>
          <w:rFonts w:ascii="IRNazanin" w:hAnsi="IRNazanin" w:eastAsia="IRNazanin"/>
          <w:color w:val="111111"/>
          <w:sz w:val="28"/>
          <w:sz w:val="28"/>
          <w:szCs w:val="28"/>
          <w:rtl w:val="true"/>
          <w:lang w:bidi="fa-IR"/>
        </w:rPr>
        <w:t>توسط روایات به حدّ در مرتبه‌ی اوّل تقیید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 این نکته، اجماع فقهای شیعه</w:t>
      </w:r>
      <w:r>
        <w:rPr>
          <w:rStyle w:val="FootnoteAnchor"/>
          <w:rtl w:val="true"/>
        </w:rPr>
        <w:footnoteReference w:id="328"/>
      </w:r>
      <w:r>
        <w:rPr>
          <w:rFonts w:ascii="IRNazanin" w:hAnsi="IRNazanin" w:eastAsia="IRNazanin"/>
          <w:color w:val="111111"/>
          <w:sz w:val="28"/>
          <w:sz w:val="28"/>
          <w:szCs w:val="28"/>
          <w:rtl w:val="true"/>
          <w:lang w:bidi="fa-IR"/>
        </w:rPr>
        <w:t>بر قطع چهار انگشت دست راست سارق و باقی گذاشتن کف دست و انگشت ابهام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این نکته لازم است که کف یک معنای عامّ و گسترده‌ای دارد که بر مجموعه باطن انگشتان و راحه اطلاق می‌گردد؛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نصف کف، و آن قسمتی که به مچ متّصل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 فتوای فقها روایات متعدّدی است که به بعضی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علیّ الأشعری، عن محمّد بن عبد الجبّار، عن صفوان، عن إسحاق بن عمّار، عن أبی إبراهیم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تقطع ید السّارق ویترک إبهامه وصدر راحته، وتقطع رجله ویترک له عقبه یمشی علیها</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موثّقه، امام کاظم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سارق را قطع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از این 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تقطع ید السارق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آورده‌اند، در مقام اشاره به آیه‌ی حدّ سرقت بوده‌اند؛ لذا، به دنبالش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انگشت شصت و کف دست او را رها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کلّ دست را تا مچ قطع کنند، دیگر معقول نبود انگشت ابهام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ابهام و کف دست باید باقی بماند پس مقداری که به عنوان حدّ سرقت قطع می‌گردد، همان انگشتان سارق، البتّه نه از سر انگشت؛ بلکه از بیخ و ریشه بریده می‌شود تا صدر راحه و انگشت ابهام فقط باقی بماند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راحه و ابهام را باقی می‌گذارند؛ امّا در این روایت،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راحه و ابهام را رها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صدر راحه بعضی از کف نیست؛ بلکه صدر در مقابل ذیل است؛ زیرا، دست بالا و پایین دارد، صدرش بالای انگشتان و ذیلش کف انگشتان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معنای این روایت با روایات دیگر متّحد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محمّد بن یحیی، عن محمّد بن الحسین، عن محمّد بن عبداللَّه بن هلال، عن أبیه،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السّارق لِمَ یقطع یده الیُمنی ورجله الیسری ولاتقطع یده الیمنی ورجله الیمنی؟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ما سألت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قطعت یده الیمنی ورجله الیمنی سقط علی جانبه الأیسر ولم یقدر علی القیام، فإذا قطعت یده الیمنی ورجله الیسری، اعتدل واستوی قائماً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وکیف یقوم وقد قطعت رجله؟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القطع لیس من حیث رأیت یقطع، إنّما یقطع الرجل من الکعب ویترک من قدمه ما یقوم علیه ویصلّی ویعبد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تقطع الید؟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تقطع الأربع أصابع ویترک الإبهام یعتمد علیها فی الصّلاة ویغسل بها وجهه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القطع من أوّل من قطع؟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عثمان بن عفّان حسّن ذلک لمعاویة</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موثّقه، عبداللَّه بن هلال از امام صادق علیه السلام پرسش‌هایی پیرامون حدّ سرقت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دست راست و پای چپ سارق را می‌برند؛ و دست راست و پای راستش را نمی‌برند؟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نیکویی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را از طرف راست قطع کنند، سارق بر جانب چپ می‌افتد و قدرت بر قیام و ایستادن پیدا نمی‌کند؛ ولی اگر از دو طرف بریده شود، اعتدال برقرار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می‌تواند قیام کند در حالی که پایش را قطع کرده‌اند؟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پا به این صورت که رایج است، صحیح نیست؛ بلکه باید از کعب قدم قطع کنند تا از قدمش مقداری باقی بماند که با آن قیام کند و نماز به‌جا آورد و عبادت خدا را انجام دهد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سارق را از کجا می‌بُرند؟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چهار انگشت را می‌برند و انگشت ابهام را رها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بدیهی است که در چنین صورتی کف دست نیز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تعلیل این حکم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راحه و انگشت ابهام را باقی می‌گذارند تا در نماز به آن تکیه کند و صورتش را با آن برای نماز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امام در مقابل اهل سنّت است که دست را از مچ قطع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کف دست باقی باشد، برای بلند شدن و سجده کردن و وضو گرفتن وسیله‌ای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وعنهم، عن أحمد بن محمّد بن خالد، عن عثمان بن عیسی، عن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اخذ السّارق قطعت یده من وسط الکف، فإن عاد قطعت رجله من وسط القدم، فإن عاد استودع السّجن فإن سرق فی السّجن قتل</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مضمره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امام را معیّن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سارق را دستگیر کنند، دستش را از وسط کف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به دزدی ادامه داد، پایش را از وسط قدم قطع می‌کنند؛ اگر بار سوّم مرتکب سرقت شد، زندانی می‌شود؛ و اگر در زندان دزدی کرد او را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وسطی که در روایت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قطعت یده من وسط الکف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کف دست دو قسمت بیشتر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و ذیل کف، به انگشتان ذیل، و به بقیه تا مچ، صدر کف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مقصود از وسط، وسط حقیقی و هندسی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الحسین بن محمّد، عن معلّی بن محمّد، عن علیّ بن مرداس، عن سعدان بن مسلم، عن بعض أصحابنا عن الحارث بن حضیرة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بحبشیّ وهو یستقی بالمدینة فإذا هو أقطع، فقلت له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قطعک؟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قطعنی خیر النّاس، إنّا أخذنا فی سرقة ونحن ثمانیة نفر، فذهب بنا</w:t>
      </w:r>
      <w:bookmarkStart w:id="454" w:name="pg16923_220273"/>
    </w:p>
    <w:p>
      <w:pPr>
        <w:pStyle w:val="BookText"/>
        <w:rPr/>
      </w:pPr>
      <w:bookmarkEnd w:id="454"/>
      <w:r>
        <w:rPr>
          <w:rFonts w:ascii="IRNazanin" w:hAnsi="IRNazanin" w:eastAsia="IRNazanin"/>
          <w:color w:val="111111"/>
          <w:sz w:val="28"/>
          <w:sz w:val="28"/>
          <w:szCs w:val="28"/>
          <w:rtl w:val="true"/>
          <w:lang w:bidi="fa-IR"/>
        </w:rPr>
        <w:t>إلی علیّ بن أبی‌طالب علیه السلام فأقررنا بالسرقة،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تعرفون أنّها حرام؟</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بنا فقطعت أصابعنا من الراحة وخلّیت الإبهام، ثمّ أمر بنا فحبسنا فی بیت یطعمنا فیه السمن والعسل حتّی برئت أیدینا، ثمّ أمر بنا فأخرَجنا وکسانا فأحسن کسوتنا، ثمّ 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تتوبوا وتصلحوا فهو خیر لکم یلحقکم اللَّه بأیدیکم فی الجنّة، وإلّا تفعلوا یلحقکم اللَّه بأیدیکم فی النّار</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مرسل، حارث بن حضیره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به یک فرد حبشی برخوردم که دستش قطع شده بود،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دستت را برید؟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مردم دستم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هشت نفر بودیم که در رابطه‌ی سرقتی دستگیر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نزد علی بن ابیطالب علیه السلام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آن بزرگوار به سرقت اقرار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می‌دانستید سرقت حرام است و مرتکب آن شدید؟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انگشتانمان را از آن قسمت که متّصل به راحه است، بریدند؛ و راحه را با انگشت ابهام باقی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 را در خانه‌ای حبس کرده، به ما روغن و عسل خورانیدند تا این بریدگی و جراحت بهبودی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فرمان داد ما را بیاورند؛ به ما لباس‌های نیکو پوشانید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کنید و تصمیم بگیرید دیگر مرتکب سرقت نشوید برای شما بهتر است؛ خداوند بین شما و انگشتانتان در بهشت جمع می‌کند؛ و اگر توبه نکردید، شما را به انگشتانتان در جهنّم ملحق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دیگری نیز در این باب و ابواب دیگر وجود دارد؛ امّا همین مقدار برای اثبات مطلب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تعبیری که امام راحل رحمه الله در تحریرالوسیله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الأصابع من مفصل أصولها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دیده نمی‌شود و تعبیر جالبی است؛ یعنی چهار انگشت از بیخ بریده شود</w:t>
      </w:r>
      <w:r>
        <w:rPr>
          <w:rFonts w:eastAsia="IRNazanin" w:cs="IRNazanin"/>
          <w:color w:val="111111"/>
          <w:sz w:val="28"/>
          <w:szCs w:val="28"/>
          <w:rtl w:val="true"/>
          <w:lang w:bidi="fa-IR"/>
        </w:rPr>
        <w:t>.</w:t>
      </w:r>
    </w:p>
    <w:p>
      <w:pPr>
        <w:pStyle w:val="Heading6"/>
        <w:numPr>
          <w:ilvl w:val="5"/>
          <w:numId w:val="1"/>
        </w:numPr>
        <w:rPr/>
      </w:pPr>
      <w:bookmarkStart w:id="455" w:name="__RefHeading___Toc162419_3244359995"/>
      <w:bookmarkStart w:id="456" w:name="_Toc176"/>
      <w:bookmarkEnd w:id="455"/>
      <w:r>
        <w:rPr>
          <w:rtl w:val="true"/>
        </w:rPr>
        <w:t>روایت منافی با روایات گذشته</w:t>
      </w:r>
      <w:bookmarkEnd w:id="456"/>
    </w:p>
    <w:p>
      <w:pPr>
        <w:pStyle w:val="Heading6"/>
        <w:numPr>
          <w:ilvl w:val="5"/>
          <w:numId w:val="1"/>
        </w:numPr>
        <w:rPr/>
      </w:pPr>
      <w:bookmarkStart w:id="457" w:name="__RefHeading___Toc162421_3244359995"/>
      <w:bookmarkStart w:id="458" w:name="_Toc177"/>
      <w:bookmarkEnd w:id="457"/>
      <w:r>
        <w:rPr>
          <w:rtl w:val="true"/>
        </w:rPr>
        <w:t>اشاره</w:t>
      </w:r>
      <w:bookmarkEnd w:id="458"/>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عن علیّ بن إبراهیم، عن أبیه، وعن محمّد بن یحیی، عن</w:t>
      </w:r>
    </w:p>
    <w:p>
      <w:pPr>
        <w:pStyle w:val="BookText"/>
        <w:rPr/>
      </w:pPr>
      <w:r>
        <w:rPr>
          <w:rFonts w:ascii="IRNazanin" w:hAnsi="IRNazanin" w:eastAsia="IRNazanin"/>
          <w:color w:val="111111"/>
          <w:sz w:val="28"/>
          <w:sz w:val="28"/>
          <w:szCs w:val="28"/>
          <w:rtl w:val="true"/>
          <w:lang w:bidi="fa-IR"/>
        </w:rPr>
        <w:t>أحمد بن محمّد جمیعاً، عن ابن أبی عمیر، عن حمّاد،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من أین یجب القطع؟ فبسط أصابعه وقال من هیهنا، یعنی من مفصل الکف</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صحیحه، حلبی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کجای دست در باب سرقت می‌برند؟ امام علیه السلام انگشتانش را باز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مفصل کف اشاره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مفصل کف از مچ می‌شود و این روایت موافق با اهل تسنّن</w:t>
      </w:r>
      <w:r>
        <w:rPr>
          <w:rStyle w:val="FootnoteAnchor"/>
          <w:rtl w:val="true"/>
        </w:rPr>
        <w:footnoteReference w:id="334"/>
      </w:r>
      <w:r>
        <w:rPr>
          <w:rFonts w:ascii="IRNazanin" w:hAnsi="IRNazanin" w:eastAsia="IRNazanin"/>
          <w:color w:val="111111"/>
          <w:sz w:val="28"/>
          <w:sz w:val="28"/>
          <w:szCs w:val="28"/>
          <w:rtl w:val="true"/>
          <w:lang w:bidi="fa-IR"/>
        </w:rPr>
        <w:t>و برخلاف فتوای مسلّم شیعه‌ی امامی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را باید بر تقیّه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در دلالت آن نیز تأمّل داریم؛ زیرا، اگر امام علیه السلام می‌خواست مفصل کف را بگوید چه نیازی به باز کردن انگشتان داشت؟ باز و بسته بودن انگشتان دخلی در مطلب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می‌آید در نقل‌های بعد، تفسیر حلبی را اشتباه نقل کرده‌اند؛ زیرا، بسط اصابع با قطع اصابع مناسبت دارد، وقتی اراده داشته باشد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 باید قطع گردد، آن‌ها را باز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گفتید کف صدر و ذیلی دارد، شاید مقصود مفصل ذیل کف یعنی همان محل اتصال انگشتان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کف جایی است که کف را به بقیه‌ی دست متصل می‌کند؛ و به آن‌چه انگشتان را متصل می‌کند مفصل اصابع می‌گویند نه مفصل کف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گشودن انگشتان با بریدن از مفصل کف هیچ تناسب و رابطه‌ای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سقوط این روایت، فتوای قوم بر قطع دست از اصول اصابع دست راست با باقی ماندن راحه و انگشت ابهام، تامّ و تمام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رحمه الله در خلاف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آیه‌ی شریفه وَالسَّارِقُ وَ السَّارِقَةُ فَاقْطَعُواْ أَیْدِیَهُمَا</w:t>
      </w:r>
      <w:r>
        <w:rPr>
          <w:rStyle w:val="FootnoteAnchor"/>
          <w:rtl w:val="true"/>
        </w:rPr>
        <w:footnoteReference w:id="335"/>
      </w:r>
      <w:r>
        <w:rPr>
          <w:rFonts w:ascii="IRNazanin" w:hAnsi="IRNazanin" w:eastAsia="IRNazanin"/>
          <w:color w:val="111111"/>
          <w:sz w:val="28"/>
          <w:sz w:val="28"/>
          <w:szCs w:val="28"/>
          <w:rtl w:val="true"/>
          <w:lang w:bidi="fa-IR"/>
        </w:rPr>
        <w:t>امر به قطع دست چگونه با قطع انگشتان امتثال</w:t>
      </w:r>
      <w:bookmarkStart w:id="459" w:name="pg16923_220275"/>
    </w:p>
    <w:p>
      <w:pPr>
        <w:pStyle w:val="BookText"/>
        <w:rPr/>
      </w:pPr>
      <w:bookmarkEnd w:id="459"/>
      <w:r>
        <w:rPr>
          <w:rFonts w:ascii="IRNazanin" w:hAnsi="IRNazanin" w:eastAsia="IRNazanin"/>
          <w:color w:val="111111"/>
          <w:sz w:val="28"/>
          <w:sz w:val="28"/>
          <w:szCs w:val="28"/>
          <w:rtl w:val="true"/>
          <w:lang w:bidi="fa-IR"/>
        </w:rPr>
        <w:t>می‌شود، و قطع دست بر قطع اصابع تطبیق می‌کند؟</w:t>
      </w:r>
    </w:p>
    <w:p>
      <w:pPr>
        <w:pStyle w:val="BookText"/>
        <w:rPr/>
      </w:pPr>
      <w:r>
        <w:rPr>
          <w:rFonts w:ascii="IRNazanin" w:hAnsi="IRNazanin" w:eastAsia="IRNazanin"/>
          <w:color w:val="111111"/>
          <w:sz w:val="28"/>
          <w:sz w:val="28"/>
          <w:szCs w:val="28"/>
          <w:rtl w:val="true"/>
          <w:lang w:bidi="fa-IR"/>
        </w:rPr>
        <w:t>در پاسخش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لّلَّذِینَ یَکْتُبُونَ الْکِتبَ بِأَیْدِیهِمْ </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برای کتابت از کلمه‌ی أیدی استفاده شده، در حالی که مقصود از آن انگشتان است؛ زیرا کتابت به غیر انگشتان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از شیخ طوسی رحمه الله در مقابل اهل سنّت که به قطع دست از مفصل کف، و خوارج که به قطع دست از منکب قائل‌اند، نیکوست؛ وگرنه ما پیرو روایات اهل بیت علیهم السلام هستیم و ائمّه علیهم السلام آیه‌ی سرقت را به صورتی که بیان شد، 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طرح برخی از مسائل در فرع اوّل لازم است</w:t>
      </w:r>
      <w:r>
        <w:rPr>
          <w:rFonts w:eastAsia="IRNazanin" w:cs="IRNazanin"/>
          <w:color w:val="111111"/>
          <w:sz w:val="28"/>
          <w:szCs w:val="28"/>
          <w:rtl w:val="true"/>
          <w:lang w:bidi="fa-IR"/>
        </w:rPr>
        <w:t>.</w:t>
      </w:r>
    </w:p>
    <w:p>
      <w:pPr>
        <w:pStyle w:val="Heading6"/>
        <w:numPr>
          <w:ilvl w:val="5"/>
          <w:numId w:val="1"/>
        </w:numPr>
        <w:rPr/>
      </w:pPr>
      <w:bookmarkStart w:id="460" w:name="__RefHeading___Toc162423_3244359995"/>
      <w:bookmarkStart w:id="461" w:name="_Toc178"/>
      <w:bookmarkEnd w:id="460"/>
      <w:r>
        <w:rPr>
          <w:rtl w:val="true"/>
        </w:rPr>
        <w:t>مسأله‌ی اوّل</w:t>
      </w:r>
      <w:r>
        <w:rPr>
          <w:rtl w:val="true"/>
        </w:rPr>
        <w:t xml:space="preserve">: </w:t>
      </w:r>
      <w:r>
        <w:rPr>
          <w:rtl w:val="true"/>
        </w:rPr>
        <w:t>حکم نقص در انگشتان</w:t>
      </w:r>
      <w:bookmarkEnd w:id="461"/>
    </w:p>
    <w:p>
      <w:pPr>
        <w:pStyle w:val="BookText"/>
        <w:rPr/>
      </w:pPr>
      <w:r>
        <w:rPr>
          <w:rFonts w:ascii="IRNazanin" w:hAnsi="IRNazanin" w:eastAsia="IRNazanin"/>
          <w:color w:val="111111"/>
          <w:sz w:val="28"/>
          <w:sz w:val="28"/>
          <w:szCs w:val="28"/>
          <w:rtl w:val="true"/>
          <w:lang w:bidi="fa-IR"/>
        </w:rPr>
        <w:t>اگر کسی غیر از انگشت ابهامش، چهار انگشت ندارد، بلکه کمتر از این مقدار مثلًا سه انگشت یا دو انگشت یا یک انگشت دارد، حکمش چیست؟</w:t>
      </w:r>
    </w:p>
    <w:p>
      <w:pPr>
        <w:pStyle w:val="BookText"/>
        <w:rPr/>
      </w:pPr>
      <w:r>
        <w:rPr>
          <w:rFonts w:ascii="IRNazanin" w:hAnsi="IRNazanin" w:eastAsia="IRNazanin"/>
          <w:color w:val="111111"/>
          <w:sz w:val="28"/>
          <w:sz w:val="28"/>
          <w:szCs w:val="28"/>
          <w:rtl w:val="true"/>
          <w:lang w:bidi="fa-IR"/>
        </w:rPr>
        <w:t>از روایات استفاده می‌شود برای اجرای حدّ سرقت باید انگشتان غیر از ابهام قطع گردد و انگشت ابهام و راحه باقی بماند؛ لذا، با وجود انگشتی در دست راستش غیر از انگشت ابهام، آن را می‌بریم؛ البتّه اگر هیچ انگشتی در دست راست نداشت، حکمش در مسائل آینده در تحریرالوسیله مطرح می‌شود که در همان‌جا مورد بررسی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نباید بر عدد چهار تکیه کرد؛ مستفاد از روایت، قطع چهار انگشت اصلی است در صورتی که وجود داشته باشد؛ امّا اگر چهار انگشت نبود، هر تعدادی که وجود دارد را قطع می‌کنیم؛ به گونه‌ای که انگشت ابهام و کف دست بماند</w:t>
      </w:r>
      <w:r>
        <w:rPr>
          <w:rFonts w:eastAsia="IRNazanin" w:cs="IRNazanin"/>
          <w:color w:val="111111"/>
          <w:sz w:val="28"/>
          <w:szCs w:val="28"/>
          <w:rtl w:val="true"/>
          <w:lang w:bidi="fa-IR"/>
        </w:rPr>
        <w:t>.</w:t>
      </w:r>
    </w:p>
    <w:p>
      <w:pPr>
        <w:pStyle w:val="Heading6"/>
        <w:numPr>
          <w:ilvl w:val="5"/>
          <w:numId w:val="1"/>
        </w:numPr>
        <w:rPr/>
      </w:pPr>
      <w:bookmarkStart w:id="462" w:name="__RefHeading___Toc162425_3244359995"/>
      <w:bookmarkStart w:id="463" w:name="_Toc179"/>
      <w:bookmarkEnd w:id="462"/>
      <w:r>
        <w:rPr>
          <w:rtl w:val="true"/>
        </w:rPr>
        <w:t>مسأله‌ی دوّم</w:t>
      </w:r>
      <w:r>
        <w:rPr>
          <w:rtl w:val="true"/>
        </w:rPr>
        <w:t xml:space="preserve">: </w:t>
      </w:r>
      <w:r>
        <w:rPr>
          <w:rtl w:val="true"/>
        </w:rPr>
        <w:t>حکم انگشت زائد</w:t>
      </w:r>
      <w:bookmarkEnd w:id="463"/>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در دست راستش انگشت اضافی دارد که آن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انگشتی</w:t>
      </w:r>
    </w:p>
    <w:p>
      <w:pPr>
        <w:pStyle w:val="BookText"/>
        <w:rPr/>
      </w:pPr>
      <w:r>
        <w:rPr>
          <w:rFonts w:ascii="IRNazanin" w:hAnsi="IRNazanin" w:eastAsia="IRNazanin"/>
          <w:color w:val="111111"/>
          <w:sz w:val="28"/>
          <w:sz w:val="28"/>
          <w:szCs w:val="28"/>
          <w:rtl w:val="true"/>
          <w:lang w:bidi="fa-IR"/>
        </w:rPr>
        <w:t>متّصل است و از توابع آن محسوب می‌گردد، و گاه برای خودش انگشت مستقلّی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تبعیّت این است که اگر بخواهیم انگشت اصلی را قطع کنیم، به ناچار این هم قطع می‌گردد؛ چون از اضافات و توابع آن است؛ و مراد از استقلال این است که آن انگشت مانند دیگر انگشتان باشد، به‌گونه‌ای که نتوانیم بین انگشتان، انگشت زاید را تشخیص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علم اجمالی به زیادی یکی از انگشتان داریم؛ بنابراین، سه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تبعیّت، صاحب جواهر رحمه الله از مرحوم علّامه حلّی در قواعد</w:t>
      </w:r>
      <w:r>
        <w:rPr>
          <w:rStyle w:val="FootnoteAnchor"/>
          <w:rtl w:val="true"/>
        </w:rPr>
        <w:footnoteReference w:id="337"/>
      </w:r>
      <w:r>
        <w:rPr>
          <w:rFonts w:ascii="IRNazanin" w:hAnsi="IRNazanin" w:eastAsia="IRNazanin"/>
          <w:color w:val="111111"/>
          <w:sz w:val="28"/>
          <w:sz w:val="28"/>
          <w:szCs w:val="28"/>
          <w:rtl w:val="true"/>
          <w:lang w:bidi="fa-IR"/>
        </w:rPr>
        <w:t>مطلبی را نقل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 دیگر را می‌بریم و به مقداری از انگشت اصلی قطع می‌کنیم که سبب از بین رفتن انگشت اضافی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نداریم آن را از ریشه قطع کنیم؛ زیرا، قطع آن از ریشه سبب از بین رفتن انگشت اضافی می‌شود و قطع انگشت اضافی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حفظ آن از باب مقدّمه، مقداری از انگشت اصلی را باقی 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این که تمام انگشتان اصلی بریده شود، هرچند سبب از بین رفتن انگشت زاید باشد، احتمال ضعیفی است</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نقد نظر صاحب جواهر رحمه الله</w:t>
      </w:r>
    </w:p>
    <w:p>
      <w:pPr>
        <w:pStyle w:val="BookText"/>
        <w:rPr/>
      </w:pPr>
      <w:r>
        <w:rPr>
          <w:rFonts w:ascii="IRNazanin" w:hAnsi="IRNazanin" w:eastAsia="IRNazanin"/>
          <w:color w:val="111111"/>
          <w:sz w:val="28"/>
          <w:sz w:val="28"/>
          <w:szCs w:val="28"/>
          <w:rtl w:val="true"/>
          <w:lang w:bidi="fa-IR"/>
        </w:rPr>
        <w:t>احتمالی که ایشان تضعیف کرد، به نظر می‌رسد قوی باشد؛ زیرا، با ملاحظه‌ی روایات فهمیدیم که أربع بما هو أربع خصوصیّتی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روایات این است که چهار انگشت اصلی بریده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انگشتان تابعی داشت، وجود تابع مانع از اجرای حکم در متبوع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روایت داریم که تابع نباید بریده شود؟ روایات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یترک إبهامه وراحته</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علّت ابقای ابهام و راحه امکان وضو گرفتن، تکیه کردن بر دست برای قیام و عبادت و مانند آن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بر حرمت قطع انگشت زائد چیست؟ روایات حکم به قطع چهار انگشت اصلی کرده و قطع آن‌ها مستلزم از بین رفتن انگشت زاید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نفی این قطع و حرمتش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ملاحظه‌ی روایات و فهم عرفی، احتمالی که صاحب جواهر رحمه الله تضعیف می‌کند، به قواعد نزدیک‌تر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عنوان تبعیّت در کار نباشد و انگشت زائد معلوم و مشخّص باشد، چهار انگشت اصلی را باید برید؛ دلیلی بر این که بیش از چهار انگشت بریده شود،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درست است که در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یترک الراحة والإبهام</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و ما بر این عبارت تکیه کردیم، لیکن معنای عبارت قطع غیر از این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انگشت را قطع و راحه و ابهام را باقی بگذارید</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نسبت به غیر این‌ها ساکت است و تعرّضی ندارد؛ لذا، دلیلی بر جواز قطع نسبت به این انگشت اضافی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ابقای انگشت زائد احتیاج به دلیل ندارد؛ جواز قطع یا وجوبش نیازمند اقامه‌ی برهان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انگشت زائد مشخص نباشد، آیا با قرعه زائد را تعیین کنیم؟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القرعة لکلّ أمر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أمر مشتبه</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با قرعه اصلی را از غیر اصلی تشخیص دهیم و آن را قطع کنیم و دیگری را باقی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نشود هر پنج انگشت مشتبه هستند، بلکه مورد فردی است دو انگشت کوچک داشته باشد، ندانیم کدام یک اصلی و کدام یک زائد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امر بین محذورین است؛ زیرا، یکی از دو انگشت واجب است قطع گردد و دیگری حرام است بریده شود؛ یعنی ما علم اجمالی به وجوب قطع یکی و حرمت قطع دیگری داریم و راهی برای تشخیص واجب از حرام نداریم؛ در این موارد، تخییر عقلی مطرح است و نیازی به قرعه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ابهام و راحه باید بقیه‌ی انگشتان قطع گردد؛ زیرا، مستفاد از روایات ابقای راحه و ابهام و قطع انگشتان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أصابع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به لحاظ غالب افراد است که انگشت اضافی ندارند؛ لذا چهار انگشت هیچ خصوصیّتی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راحه و انگشت ابهام برای وضو و نماز و قیام باقی بماند، بقیّه قطع گردد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احتمالی که مطرح شد، احتمال اوّل یعنی قرعه به قواعد نزدیک‌تر است؛ زیرا، مسأله‌ی دوران امر بین محذورین در جایی است که یک عمل مانند نماز جمعه</w:t>
      </w:r>
      <w:bookmarkStart w:id="464" w:name="pg16923_220278"/>
    </w:p>
    <w:p>
      <w:pPr>
        <w:pStyle w:val="BookText"/>
        <w:rPr/>
      </w:pPr>
      <w:bookmarkEnd w:id="464"/>
      <w:r>
        <w:rPr>
          <w:rFonts w:ascii="IRNazanin" w:hAnsi="IRNazanin" w:eastAsia="IRNazanin"/>
          <w:color w:val="111111"/>
          <w:sz w:val="28"/>
          <w:sz w:val="28"/>
          <w:szCs w:val="28"/>
          <w:rtl w:val="true"/>
          <w:lang w:bidi="fa-IR"/>
        </w:rPr>
        <w:t>را ندانیم در زمان غیبت واجب است یا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تخییر عقلی پیاده می‌شود؛ امّا در مقام ما به لحاظ دو انگشت، دو فعل وجود دارد؛ یکی واجب و دیگری حرام است؛ پس، جای اصالة التخییر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نیز بعید است؛ زیرا، لازمه‌اش وجوب قطع در انگشت اضافی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تقطع الأربع أصابع ویترک الإبهام</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یعنی چهار انگشت اصلی این مجرم قطع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ابهام بقیه‌ی انگشتان را باید برید؛ زائد باشد یا غیر زائد، مشخص باشد یا غیرمشخص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بهترین راه مراجعه‌ی به قرعه است؛ هرچند ما قرعه را در حقوق مردم جاری می‌کنیم؛ و این مورد نیز در حقیقت از حقوق الناس است؛ زیرا، انگشتان انسانی را می‌خواهند قطع کنند</w:t>
      </w:r>
      <w:r>
        <w:rPr>
          <w:rFonts w:eastAsia="IRNazanin" w:cs="IRNazanin"/>
          <w:color w:val="111111"/>
          <w:sz w:val="28"/>
          <w:szCs w:val="28"/>
          <w:rtl w:val="true"/>
          <w:lang w:bidi="fa-IR"/>
        </w:rPr>
        <w:t>.</w:t>
      </w:r>
    </w:p>
    <w:p>
      <w:pPr>
        <w:pStyle w:val="Heading6"/>
        <w:numPr>
          <w:ilvl w:val="5"/>
          <w:numId w:val="1"/>
        </w:numPr>
        <w:rPr/>
      </w:pPr>
      <w:bookmarkStart w:id="465" w:name="__RefHeading___Toc162427_3244359995"/>
      <w:bookmarkStart w:id="466" w:name="_Toc180"/>
      <w:bookmarkEnd w:id="465"/>
      <w:r>
        <w:rPr>
          <w:rtl w:val="true"/>
        </w:rPr>
        <w:t>مسأله سوّم</w:t>
      </w:r>
      <w:r>
        <w:rPr>
          <w:rtl w:val="true"/>
        </w:rPr>
        <w:t xml:space="preserve">: </w:t>
      </w:r>
      <w:r>
        <w:rPr>
          <w:rtl w:val="true"/>
        </w:rPr>
        <w:t>کیفیّت قطع اصابع</w:t>
      </w:r>
      <w:bookmarkEnd w:id="466"/>
    </w:p>
    <w:p>
      <w:pPr>
        <w:pStyle w:val="BookText"/>
        <w:rPr/>
      </w:pPr>
      <w:r>
        <w:rPr>
          <w:rFonts w:ascii="IRNazanin" w:hAnsi="IRNazanin" w:eastAsia="IRNazanin"/>
          <w:color w:val="111111"/>
          <w:sz w:val="28"/>
          <w:sz w:val="28"/>
          <w:szCs w:val="28"/>
          <w:rtl w:val="true"/>
          <w:lang w:bidi="fa-IR"/>
        </w:rPr>
        <w:t>آیا برای بریدن انگشتان باید از آهن و مانند آن استفاده کرد؟ این‌جا مسأله‌ی تزکیه‌ی حیوانات نیست که روایات بر ذبح آن‌ها با آهن تأکید کرده است؛ بلکه باید دست سارق قطع گردد، به هر وسیله و کیفیّتی که باشد؛ حتّی با آلات برقی نیز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رحمه الله در کتاب مبسوط بعد از بیان این مطلب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قطع با آهن پیدا نکردیم</w:t>
      </w:r>
      <w:r>
        <w:rPr>
          <w:rFonts w:eastAsia="IRNazanin" w:cs="IRNazanin"/>
          <w:color w:val="111111"/>
          <w:sz w:val="28"/>
          <w:szCs w:val="28"/>
          <w:rtl w:val="true"/>
          <w:lang w:bidi="fa-IR"/>
        </w:rPr>
        <w:t>.</w:t>
      </w:r>
      <w:r>
        <w:rPr>
          <w:rStyle w:val="FootnoteAnchor"/>
          <w:rtl w:val="true"/>
        </w:rPr>
        <w:footnoteReference w:id="344"/>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اقتضا دارد دست سارق به عنوان عقوبت قطع گردد؛ یعنی انگشتانش را از او بگیرید تا در بسیاری از کارها لنگ شود و در جامعه به عنوان سارق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اندازه دلیل داریم؛ امّا نسبت به شکنجه دادن به سارق و عذابی اضافه‌تر از قطع دست در حقّش دلیلی نداریم؛ لذا اگر دو چاقو باشد، یکی تُند و دیگری کُند، و بخواهیم با چاقوی کُند دستش را ببریم تا عذاب بیشتری بکشد، این کار به گفته‌ی شیخ طوسی رحمه الله مشروعیّت ندارد</w:t>
      </w:r>
      <w:r>
        <w:rPr>
          <w:rFonts w:eastAsia="IRNazanin" w:cs="IRNazanin"/>
          <w:color w:val="111111"/>
          <w:sz w:val="28"/>
          <w:szCs w:val="28"/>
          <w:rtl w:val="true"/>
          <w:lang w:bidi="fa-IR"/>
        </w:rPr>
        <w:t>.</w:t>
      </w:r>
      <w:bookmarkStart w:id="467" w:name="pg16923_220279"/>
    </w:p>
    <w:p>
      <w:pPr>
        <w:pStyle w:val="BookText"/>
        <w:rPr/>
      </w:pPr>
      <w:bookmarkEnd w:id="467"/>
      <w:r>
        <w:rPr>
          <w:rFonts w:ascii="IRNazanin" w:hAnsi="IRNazanin" w:eastAsia="IRNazanin"/>
          <w:color w:val="111111"/>
          <w:sz w:val="28"/>
          <w:sz w:val="28"/>
          <w:szCs w:val="28"/>
          <w:rtl w:val="true"/>
          <w:lang w:bidi="fa-IR"/>
        </w:rPr>
        <w:t>بنابراین، در هر عصری برای قطع دست سارق از قوی‌ترین آلات و سریع‌ترین وسایل باید استفاده کرد تا زجرش کمتر باشد و مقیّد به چاقو و ساطور و مانند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آیه‌ی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فَاقْطَعُوا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کیفیّت قطع اطلاق دارد و روایات وارد در این موضوع نیز مطلق است، و نباید این مسأله را با ذبح و تزکیه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ارتباطی بین این مسائل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در زمان ما که امکان بی‌حسّ کردن و بیهوشی موضعی هست، باید از امکانات موجود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قطع انگشتان که به دنبالش افتضاح و رسوایی وجود دارد، در عقوبت سارق کافی است</w:t>
      </w:r>
      <w:r>
        <w:rPr>
          <w:rFonts w:eastAsia="IRNazanin" w:cs="IRNazanin"/>
          <w:color w:val="111111"/>
          <w:sz w:val="28"/>
          <w:szCs w:val="28"/>
          <w:rtl w:val="true"/>
          <w:lang w:bidi="fa-IR"/>
        </w:rPr>
        <w:t>.</w:t>
      </w:r>
    </w:p>
    <w:p>
      <w:pPr>
        <w:pStyle w:val="Heading5"/>
        <w:numPr>
          <w:ilvl w:val="4"/>
          <w:numId w:val="1"/>
        </w:numPr>
        <w:rPr/>
      </w:pPr>
      <w:bookmarkStart w:id="468" w:name="__RefHeading___Toc162429_3244359995"/>
      <w:bookmarkStart w:id="469" w:name="_Toc181"/>
      <w:bookmarkEnd w:id="468"/>
      <w:r>
        <w:rPr>
          <w:rtl w:val="true"/>
        </w:rPr>
        <w:t>فرع دوّم</w:t>
      </w:r>
      <w:r>
        <w:rPr>
          <w:rtl w:val="true"/>
        </w:rPr>
        <w:t xml:space="preserve">: </w:t>
      </w:r>
      <w:r>
        <w:rPr>
          <w:rtl w:val="true"/>
        </w:rPr>
        <w:t>حد دوّم سرقت</w:t>
      </w:r>
      <w:bookmarkEnd w:id="469"/>
    </w:p>
    <w:p>
      <w:pPr>
        <w:pStyle w:val="Heading6"/>
        <w:numPr>
          <w:ilvl w:val="5"/>
          <w:numId w:val="1"/>
        </w:numPr>
        <w:rPr/>
      </w:pPr>
      <w:bookmarkStart w:id="470" w:name="__RefHeading___Toc162431_3244359995"/>
      <w:bookmarkStart w:id="471" w:name="_Toc182"/>
      <w:bookmarkEnd w:id="470"/>
      <w:r>
        <w:rPr>
          <w:rtl w:val="true"/>
        </w:rPr>
        <w:t>اشاره</w:t>
      </w:r>
      <w:bookmarkEnd w:id="471"/>
    </w:p>
    <w:p>
      <w:pPr>
        <w:pStyle w:val="BookText"/>
        <w:rPr/>
      </w:pPr>
      <w:r>
        <w:rPr>
          <w:rFonts w:ascii="IRNazanin" w:hAnsi="IRNazanin" w:eastAsia="IRNazanin"/>
          <w:color w:val="111111"/>
          <w:sz w:val="28"/>
          <w:sz w:val="28"/>
          <w:szCs w:val="28"/>
          <w:rtl w:val="true"/>
          <w:lang w:bidi="fa-IR"/>
        </w:rPr>
        <w:t>اگر شخصی به‌طور مکرّر دزدی کند و حدّ درباره‌اش اجرا نشده باشد، پس از دستگیری همان حدّ اوّل سرقت در حقّش جاری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جریان حدّ اوّل باز مرتکب سرقت شد، همه‌ی فقها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پای چپش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نیز در این مطلب با ما موافق‌اند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تسنّن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پای چپ از مفصل ساق بریده شود؛ یعنی فقط پاشنه‌ی پا بماند؛ و در روایات و لسان عرب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امامیه در مقدار قطع پا بر دو قول هستند که علّامه‌ی حلّی رحمه الله در کتاب مختلف آورده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در شرایع،</w:t>
      </w:r>
      <w:r>
        <w:rPr>
          <w:rStyle w:val="FootnoteAnchor"/>
          <w:rtl w:val="true"/>
        </w:rPr>
        <w:footnoteReference w:id="345"/>
      </w:r>
      <w:r>
        <w:rPr>
          <w:rFonts w:ascii="IRNazanin" w:hAnsi="IRNazanin" w:eastAsia="IRNazanin"/>
          <w:color w:val="111111"/>
          <w:sz w:val="28"/>
          <w:sz w:val="28"/>
          <w:szCs w:val="28"/>
          <w:rtl w:val="true"/>
          <w:lang w:bidi="fa-IR"/>
        </w:rPr>
        <w:t>و نافع رحمه الله</w:t>
      </w:r>
      <w:r>
        <w:rPr>
          <w:rStyle w:val="FootnoteAnchor"/>
          <w:rtl w:val="true"/>
        </w:rPr>
        <w:footnoteReference w:id="346"/>
      </w:r>
      <w:r>
        <w:rPr>
          <w:rFonts w:ascii="IRNazanin" w:hAnsi="IRNazanin" w:eastAsia="IRNazanin"/>
          <w:color w:val="111111"/>
          <w:sz w:val="28"/>
          <w:sz w:val="28"/>
          <w:szCs w:val="28"/>
          <w:rtl w:val="true"/>
          <w:lang w:bidi="fa-IR"/>
        </w:rPr>
        <w:t>، علّامه رحمه الله در اکثر کتاب‌هایش،</w:t>
      </w:r>
      <w:r>
        <w:rPr>
          <w:rStyle w:val="FootnoteAnchor"/>
          <w:rtl w:val="true"/>
        </w:rPr>
        <w:footnoteReference w:id="347"/>
      </w:r>
      <w:r>
        <w:rPr>
          <w:rFonts w:ascii="IRNazanin" w:hAnsi="IRNazanin" w:eastAsia="IRNazanin"/>
          <w:color w:val="111111"/>
          <w:sz w:val="28"/>
          <w:sz w:val="28"/>
          <w:szCs w:val="28"/>
          <w:rtl w:val="true"/>
          <w:lang w:bidi="fa-IR"/>
        </w:rPr>
        <w:t>مرحوم شیخ مفید در کتاب مقنعه،</w:t>
      </w:r>
      <w:r>
        <w:rPr>
          <w:rStyle w:val="FootnoteAnchor"/>
          <w:rtl w:val="true"/>
        </w:rPr>
        <w:footnoteReference w:id="348"/>
      </w:r>
      <w:r>
        <w:rPr>
          <w:rFonts w:ascii="IRNazanin" w:hAnsi="IRNazanin" w:eastAsia="IRNazanin"/>
          <w:color w:val="111111"/>
          <w:sz w:val="28"/>
          <w:sz w:val="28"/>
          <w:szCs w:val="28"/>
          <w:rtl w:val="true"/>
          <w:lang w:bidi="fa-IR"/>
        </w:rPr>
        <w:t>شیخ طوسی رحمه الله در کتاب نهایه،</w:t>
      </w:r>
      <w:r>
        <w:rPr>
          <w:rStyle w:val="FootnoteAnchor"/>
          <w:rtl w:val="true"/>
        </w:rPr>
        <w:footnoteReference w:id="349"/>
      </w:r>
      <w:r>
        <w:rPr>
          <w:rFonts w:ascii="IRNazanin" w:hAnsi="IRNazanin" w:eastAsia="IRNazanin"/>
          <w:color w:val="111111"/>
          <w:sz w:val="28"/>
          <w:sz w:val="28"/>
          <w:szCs w:val="28"/>
          <w:rtl w:val="true"/>
          <w:lang w:bidi="fa-IR"/>
        </w:rPr>
        <w:t>سلّار رحمه الله در مراسم،</w:t>
      </w:r>
      <w:r>
        <w:rPr>
          <w:rStyle w:val="FootnoteAnchor"/>
          <w:rtl w:val="true"/>
        </w:rPr>
        <w:footnoteReference w:id="350"/>
      </w:r>
      <w:r>
        <w:rPr>
          <w:rFonts w:ascii="IRNazanin" w:hAnsi="IRNazanin" w:eastAsia="IRNazanin"/>
          <w:color w:val="111111"/>
          <w:sz w:val="28"/>
          <w:sz w:val="28"/>
          <w:szCs w:val="28"/>
          <w:rtl w:val="true"/>
          <w:lang w:bidi="fa-IR"/>
        </w:rPr>
        <w:t>و شهید ثانی رحمه الله</w:t>
      </w:r>
    </w:p>
    <w:p>
      <w:pPr>
        <w:pStyle w:val="BookText"/>
        <w:rPr/>
      </w:pPr>
      <w:r>
        <w:rPr>
          <w:rFonts w:ascii="IRNazanin" w:hAnsi="IRNazanin" w:eastAsia="IRNazanin"/>
          <w:color w:val="111111"/>
          <w:sz w:val="28"/>
          <w:sz w:val="28"/>
          <w:szCs w:val="28"/>
          <w:rtl w:val="true"/>
          <w:lang w:bidi="fa-IR"/>
        </w:rPr>
        <w:t>در شرح لمعه</w:t>
      </w:r>
      <w:r>
        <w:rPr>
          <w:rStyle w:val="FootnoteAnchor"/>
          <w:rtl w:val="true"/>
        </w:rPr>
        <w:footnoteReference w:id="351"/>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یقطع من مفصل القدم، ویترک له العقب یعتمد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این بزرگان مفصل قدم است نه مفصل ساق؛ یعنی محل جدایی پا و قدم از ساق که آخر قدم است به‌گونه‌ای که تنها پاشنه‌ی پا برایش باقی بماند که بتواند به آن اعتماد کرده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با فتوای اهل سنّت موافق است؛ شواهدی از روایات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رحمه الله در کتاب مقنع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یقطع من وسط القدم</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یعنی طول قدم را نصف کنید، نیمه‌اش قبه‌ی قدم یا برآمدگی روی پا است که با ساق پا مقداری فاصله دارد و به تعبیر امام رحمه الله در تحریرالوسیله، جایی که مقداری از محل مسح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رحمه الله در کتاب خلاف</w:t>
      </w:r>
      <w:r>
        <w:rPr>
          <w:rStyle w:val="FootnoteAnchor"/>
          <w:rtl w:val="true"/>
        </w:rPr>
        <w:footnoteReference w:id="353"/>
      </w:r>
      <w:r>
        <w:rPr>
          <w:rFonts w:ascii="IRNazanin" w:hAnsi="IRNazanin" w:eastAsia="IRNazanin"/>
          <w:color w:val="111111"/>
          <w:sz w:val="28"/>
          <w:sz w:val="28"/>
          <w:szCs w:val="28"/>
          <w:rtl w:val="true"/>
          <w:lang w:bidi="fa-IR"/>
        </w:rPr>
        <w:t>و مبسوط</w:t>
      </w:r>
      <w:r>
        <w:rPr>
          <w:rStyle w:val="FootnoteAnchor"/>
          <w:rtl w:val="true"/>
        </w:rPr>
        <w:footnoteReference w:id="354"/>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یقطع من عند معقد الشراک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جایی که بند نعلین عربی را می‌بندند، قطع می‌گردد؛ بند نعل عربی روی همان برآمدگی قدم واقع می‌شود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وضو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واسطه‌ی استعمالش در آیه‌ی وضو وَامْسَحُواْ بِرُءُوسِکُمْ وَأَرْجُلَکُمْ إِلَی الْکَعْبَیْنِ</w:t>
      </w:r>
      <w:r>
        <w:rPr>
          <w:rStyle w:val="FootnoteAnchor"/>
          <w:rtl w:val="true"/>
        </w:rPr>
        <w:footnoteReference w:id="355"/>
      </w:r>
      <w:r>
        <w:rPr>
          <w:rFonts w:ascii="IRNazanin" w:hAnsi="IRNazanin" w:eastAsia="IRNazanin"/>
          <w:color w:val="111111"/>
          <w:sz w:val="28"/>
          <w:sz w:val="28"/>
          <w:szCs w:val="28"/>
          <w:rtl w:val="true"/>
          <w:lang w:bidi="fa-IR"/>
        </w:rPr>
        <w:t>قیل و قال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رحمه الله در آن بحث و در این بحث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علما مگر افراد نادر و اهل لغت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برآمدگی روی پا است</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شیخ طوسی رحمه الله در توضیحی اضافه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عند الناتی علی ظهر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پهلوی آن چیزی که روی پا برآمدگی دارد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حلبی در کتاب کافی</w:t>
      </w:r>
      <w:r>
        <w:rPr>
          <w:rStyle w:val="FootnoteAnchor"/>
          <w:rtl w:val="true"/>
        </w:rPr>
        <w:footnoteReference w:id="357"/>
      </w:r>
      <w:r>
        <w:rPr>
          <w:rFonts w:ascii="IRNazanin" w:hAnsi="IRNazanin" w:eastAsia="IRNazanin"/>
          <w:color w:val="111111"/>
          <w:sz w:val="28"/>
          <w:sz w:val="28"/>
          <w:szCs w:val="28"/>
          <w:rtl w:val="true"/>
          <w:lang w:bidi="fa-IR"/>
        </w:rPr>
        <w:t>و ابن‌زهره در غنیه</w:t>
      </w:r>
      <w:r>
        <w:rPr>
          <w:rStyle w:val="FootnoteAnchor"/>
          <w:rtl w:val="true"/>
        </w:rPr>
        <w:footnoteReference w:id="358"/>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 عند مقعد الشراک</w:t>
      </w:r>
    </w:p>
    <w:p>
      <w:pPr>
        <w:pStyle w:val="BookText"/>
        <w:rPr/>
      </w:pPr>
      <w:r>
        <w:rPr>
          <w:rFonts w:ascii="IRNazanin" w:hAnsi="IRNazanin" w:eastAsia="IRNazanin"/>
          <w:color w:val="111111"/>
          <w:sz w:val="28"/>
          <w:sz w:val="28"/>
          <w:szCs w:val="28"/>
          <w:rtl w:val="true"/>
          <w:lang w:bidi="fa-IR"/>
        </w:rPr>
        <w:t>ویترک له مؤخّر القدم والعقب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قدم و پاشنه‌ی پا را برایش باقی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مؤخّر قدم غیر از عقب و پاشنه‌ی پا است؛ بلکه همان فاصله‌ی بین قبّه و مفصل است که بر روی پا واقع است؛ در حالی که عقب در باطن پا و زیر آن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ابن‌سعید رحمه الله در جامع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 الکعب وإنّه یبقی له عقبه</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قطع پا از کعب است و پاشنه‌ی پا را باقی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کعب را در کتاب طهارت</w:t>
      </w:r>
      <w:r>
        <w:rPr>
          <w:rStyle w:val="FootnoteAnchor"/>
          <w:rtl w:val="true"/>
        </w:rPr>
        <w:footnoteReference w:id="360"/>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نکرده بود،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 آخر قدم است؛ امّا با توجّه به آن معنا، مقصودش قطع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 یبقی له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این نیست که چنان قطع کنند تا فقط پاشنه‌ی پا باقی بماند و با قول اوّل یکی باشد؛ زیرا، در این صورت بین قطع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باقی ماندن پاشنه‌ی پا تعارض است؛ ولی با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مرحوم ابن سعید، به قبة القدم ظهوری قوی پیدا می‌شود که مقصودش فقط باقی ماندن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همان مطلبی را می‌گوید که از کتاب کافی حلبی رحمه الله و غنیه نقل کردیم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یترک له مؤخّر القدم والعقب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رحمه الله در کتاب انتصار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یقطع من صدر القدم ویبقی له العقب</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 xml:space="preserve">معنای عبارتش این است که از روی پا قطع کنند؛ پس از ذیل آن باید مقداری باقی بماند؛ وگرنه قطع صدر و ذیل می‌شود و دنباله‌ی کلامش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یبقی له العقب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 توجیهی را دارد که کلام ابن‌سعید رحمه الله را به آن موجّه 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هرچند کلمات این گروه با یکدیگر تفاوت داشت، ولی همه بیانگر یک معنا هستند؛ یعنی باید از وسط قدم و برآمدگی آن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در مقابل قول اوّل که قطع را از مفصل قدم قائل است، در تحریرالوسیله قول دوّم را اختیار کرده‌اند؛ زیرا، فرموده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سرق ثانیاً قطعت رجله الیسری من تحت قبّة القدم حتّی یبقی له النصف من القدم ومقدار قلیل من محلّ المسح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قلیلی از محلّ مسح داخل در نصف قدمی است که باقی مانده است، نه این که غیر از آن باشد</w:t>
      </w:r>
      <w:r>
        <w:rPr>
          <w:rFonts w:eastAsia="IRNazanin" w:cs="IRNazanin"/>
          <w:color w:val="111111"/>
          <w:sz w:val="28"/>
          <w:szCs w:val="28"/>
          <w:rtl w:val="true"/>
          <w:lang w:bidi="fa-IR"/>
        </w:rPr>
        <w:t>.</w:t>
      </w:r>
      <w:bookmarkStart w:id="472" w:name="pg16923_220282"/>
    </w:p>
    <w:p>
      <w:pPr>
        <w:pStyle w:val="BookText"/>
        <w:rPr/>
      </w:pPr>
      <w:bookmarkEnd w:id="472"/>
      <w:r>
        <w:rPr>
          <w:rFonts w:ascii="IRNazanin" w:hAnsi="IRNazanin" w:eastAsia="IRNazanin"/>
          <w:color w:val="111111"/>
          <w:sz w:val="28"/>
          <w:sz w:val="28"/>
          <w:szCs w:val="28"/>
          <w:rtl w:val="true"/>
          <w:lang w:bidi="fa-IR"/>
        </w:rPr>
        <w:t>از آن‌جا که این مسأله بین علمای شیعه اختلافی است، باید ادلّه‌ی هر دو قول را بررسی کنیم</w:t>
      </w:r>
      <w:r>
        <w:rPr>
          <w:rFonts w:eastAsia="IRNazanin" w:cs="IRNazanin"/>
          <w:color w:val="111111"/>
          <w:sz w:val="28"/>
          <w:szCs w:val="28"/>
          <w:rtl w:val="true"/>
          <w:lang w:bidi="fa-IR"/>
        </w:rPr>
        <w:t>.</w:t>
      </w:r>
    </w:p>
    <w:p>
      <w:pPr>
        <w:pStyle w:val="Heading6"/>
        <w:numPr>
          <w:ilvl w:val="5"/>
          <w:numId w:val="1"/>
        </w:numPr>
        <w:rPr/>
      </w:pPr>
      <w:bookmarkStart w:id="473" w:name="__RefHeading___Toc162433_3244359995"/>
      <w:bookmarkStart w:id="474" w:name="_Toc183"/>
      <w:bookmarkEnd w:id="473"/>
      <w:r>
        <w:rPr>
          <w:rtl w:val="true"/>
        </w:rPr>
        <w:t xml:space="preserve">دلیل قول اوّل </w:t>
      </w:r>
      <w:r>
        <w:rPr>
          <w:rtl w:val="true"/>
        </w:rPr>
        <w:t>(</w:t>
      </w:r>
      <w:r>
        <w:rPr>
          <w:rtl w:val="true"/>
        </w:rPr>
        <w:t>قطع از مفصل قدم</w:t>
      </w:r>
      <w:r>
        <w:rPr>
          <w:rtl w:val="true"/>
        </w:rPr>
        <w:t>)</w:t>
      </w:r>
      <w:bookmarkEnd w:id="4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علیّ الأشعری، عن محمّد بن عبد الجبّار، عن صفوان، عن إسحاق بن عمّار، عن أبی ابراهیم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تقطع ید السّارق ویترک إبهامه وصدر راحته وتقطع رجله ویترک له عقبه یمشی علیها</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موثّقه 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سارق را می‌برند و انگشت ابهام و صدر راحه‌ی او را رها می‌کنند؛ پایش را جدا می‌کنند و عقب را برایش می‌گذارند تا با آن راه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دلالت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روایت معیّن نکرده قطع پا از کجا باشد؛ آیا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از مفصل ساق بریده شود و فقط پاشنه‌ی پا باقی بماند، به خصوص با توجّه به ذیل روایت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یترک له عقبه یمشی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پاشنه‌ی پا که نمی‌توان راه رفت؛ اگر پا را از مفصل ساق جدا کنند، شاید بتواند بر روی آن بایستد؛ ولی راه رفتن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روایت مانند کلام محقّق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یترک له العقب یعتمد علیها</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بود، ممکن بود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یعتمد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بتواند روی پا بایستد؛ لیکن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یمشی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نصف پا به زحمت می‌توان راه رفت تا چه رسد فقط با پاشنه‌ی پا بخواهد حرکتی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شریفه،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یترک له عقبه یمشی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منزله‌ی تعلیل است، لذا باید مقداری باقی بماند که راه رفتن با آن مقدار امکان داشته باشد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محمّد بن یحیی، عن أحمد بن محمّد، عن علیّ بن الحکم، عن علیّ بن أبی حمزة، عن أبی بصیر،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 من وسط الکفّ</w:t>
      </w:r>
      <w:bookmarkStart w:id="475" w:name="pg16923_220283"/>
    </w:p>
    <w:p>
      <w:pPr>
        <w:pStyle w:val="BookText"/>
        <w:rPr/>
      </w:pPr>
      <w:bookmarkEnd w:id="475"/>
      <w:r>
        <w:rPr>
          <w:rFonts w:ascii="IRNazanin" w:hAnsi="IRNazanin" w:eastAsia="IRNazanin"/>
          <w:color w:val="111111"/>
          <w:sz w:val="28"/>
          <w:sz w:val="28"/>
          <w:szCs w:val="28"/>
          <w:rtl w:val="true"/>
          <w:lang w:bidi="fa-IR"/>
        </w:rPr>
        <w:t>ولایقطع الإبهام، وإذا قطعت الرِّجل ترک العقب لم یقطع</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 از وسط می‌برند و ابهام را جدا نمی‌کنند؛ و در صورت بریدن پا، عقب و پاشنه‌ی پا قطع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این روایت از دلالت روایت گذشته ظاهرتر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مقابلش، روایات قول دوّم را نداشتیم، می‌توانستیم به آن اخذ کنیم</w:t>
      </w:r>
      <w:r>
        <w:rPr>
          <w:rFonts w:eastAsia="IRNazanin" w:cs="IRNazanin"/>
          <w:color w:val="111111"/>
          <w:sz w:val="28"/>
          <w:szCs w:val="28"/>
          <w:rtl w:val="true"/>
          <w:lang w:bidi="fa-IR"/>
        </w:rPr>
        <w:t>.</w:t>
      </w:r>
    </w:p>
    <w:p>
      <w:pPr>
        <w:pStyle w:val="Heading6"/>
        <w:numPr>
          <w:ilvl w:val="5"/>
          <w:numId w:val="1"/>
        </w:numPr>
        <w:rPr/>
      </w:pPr>
      <w:bookmarkStart w:id="476" w:name="__RefHeading___Toc162435_3244359995"/>
      <w:bookmarkStart w:id="477" w:name="_Toc184"/>
      <w:bookmarkEnd w:id="476"/>
      <w:r>
        <w:rPr>
          <w:rtl w:val="true"/>
        </w:rPr>
        <w:t xml:space="preserve">مستند قول دوّم </w:t>
      </w:r>
      <w:r>
        <w:rPr>
          <w:rtl w:val="true"/>
        </w:rPr>
        <w:t>(</w:t>
      </w:r>
      <w:r>
        <w:rPr>
          <w:rtl w:val="true"/>
        </w:rPr>
        <w:t>قطع از وسط قدم</w:t>
      </w:r>
      <w:r>
        <w:rPr>
          <w:rtl w:val="true"/>
        </w:rPr>
        <w:t>)</w:t>
      </w:r>
      <w:bookmarkEnd w:id="4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عدّة من أصحابنا، عن أحمد بن محمّد بن خالد، عن عثمان بن عیسی، عن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السّارق قطعت یده من وسط الکفّ، فإن عاد قطعت رجله من وسط القدم، فإن عاد استودع السّجن، فإن سرق فی السّجن قتل</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موثّقه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سارق را دستگیر کردند، دستش را از وسط می‌برند؛ اگر بار دوّم مرتکب سرقت شد، پا را از وسط قدم قطع می‌کنند؛ اگر بار سوّم دزدی کرد، زندانی می‌شود و اگر در زندان سرقتی داشت، او را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تعبیری که در روایت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وسط القدم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تعبیری است که شیخ صدوق رحمه الله در کتاب مقنع</w:t>
      </w:r>
      <w:r>
        <w:rPr>
          <w:rStyle w:val="FootnoteAnchor"/>
          <w:rtl w:val="true"/>
        </w:rPr>
        <w:footnoteReference w:id="366"/>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او را از وسط قدم می‌برند یعنی نصفش را جدا می‌سازند، نصف را به لحاظ کف پا حساب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قدم و نیم، به لحاظ کف پا و باطنش آن را به کار برده‌اید نه به لحاظ ظاهر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وقتی نصف قدم را به لحاظ باطن پا قطع کنند، مقداری از محلّ مسح باقی خواهد ماند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بإسناده عن الحسن بن محبوب، عن علیّ بن رئاب، عن زرارة، عن أبی جعفر علیه السلام فی حدیث السّرقة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إذا قطع</w:t>
      </w:r>
    </w:p>
    <w:p>
      <w:pPr>
        <w:pStyle w:val="BookText"/>
        <w:rPr/>
      </w:pPr>
      <w:r>
        <w:rPr>
          <w:rFonts w:ascii="IRNazanin" w:hAnsi="IRNazanin" w:eastAsia="IRNazanin"/>
          <w:color w:val="111111"/>
          <w:sz w:val="28"/>
          <w:sz w:val="28"/>
          <w:szCs w:val="28"/>
          <w:rtl w:val="true"/>
          <w:lang w:bidi="fa-IR"/>
        </w:rPr>
        <w:t>الید قطعها دون المفصل، فإذا قطع الرّجل قطعها من الکعب،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لایری أن یعفی عن شی‌ء من الحدود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کیفیّت قطع دست و پای سارق توسط 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دست دزد را می‌برید، از پایین‌تر از 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قرینه‌ی روایات دیگرساق مراد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زمانی که پایش را می‌برید، از کعب جدا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روایت بر قطع از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تعبیری که ابن‌سعید</w:t>
      </w:r>
      <w:r>
        <w:rPr>
          <w:rStyle w:val="FootnoteAnchor"/>
          <w:rtl w:val="true"/>
        </w:rPr>
        <w:footnoteReference w:id="368"/>
      </w:r>
      <w:r>
        <w:rPr>
          <w:rFonts w:ascii="IRNazanin" w:hAnsi="IRNazanin" w:eastAsia="IRNazanin"/>
          <w:color w:val="111111"/>
          <w:sz w:val="28"/>
          <w:sz w:val="28"/>
          <w:szCs w:val="28"/>
          <w:rtl w:val="true"/>
          <w:lang w:bidi="fa-IR"/>
        </w:rPr>
        <w:t>داشت یعنی از قبّه و برآمدگی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 و تمام است؛ زیرا، کعب آخر قدم نیست، بلکه همان برآمدگی روی پا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عن محمّد بن الحسین، عن محمّد بن عبداللَّه بن هلال، عن أبیه، عن أبی عبداللَّه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وکیف یقوم وقد قطعت رجله؟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القطع لیس من حیث رأیت یقطع، إنّما یقطع الرّجل من الکعب ویترک من قدمه مایقوم علیه ویصلّی ویعبد اللَّه</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هلال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پای سارق را می‌برند، چه طور می‌ایستد و راه می‌رود؟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سارق را از جایی که تو دیده‌ای در جامعه قطع می‌کنند، نباید برید؛ بلکه آن را از کعب قطع می‌کنند و به مقداری که بتواند بر آن بایستد و نماز بخواهد و عبادت پروردگار را انجام دهد، برایش باقی می‌گذارند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کلام صاحب جواهر رحمه الله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علما مگر افراد نادری کعب را به قبّة القدم معنا کرده‌اند،</w:t>
      </w:r>
      <w:r>
        <w:rPr>
          <w:rStyle w:val="FootnoteAnchor"/>
          <w:rtl w:val="true"/>
        </w:rPr>
        <w:footnoteReference w:id="370"/>
      </w:r>
      <w:r>
        <w:rPr>
          <w:rFonts w:ascii="IRNazanin" w:hAnsi="IRNazanin" w:eastAsia="IRNazanin"/>
          <w:color w:val="111111"/>
          <w:sz w:val="28"/>
          <w:sz w:val="28"/>
          <w:szCs w:val="28"/>
          <w:rtl w:val="true"/>
          <w:lang w:bidi="fa-IR"/>
        </w:rPr>
        <w:t>دلالت روایت بر قول دوّم تمام است؛ و ذیل روایت نیز</w:t>
      </w:r>
      <w:bookmarkStart w:id="478" w:name="pg16923_220285"/>
    </w:p>
    <w:p>
      <w:pPr>
        <w:pStyle w:val="BookText"/>
        <w:rPr/>
      </w:pPr>
      <w:bookmarkEnd w:id="478"/>
      <w:r>
        <w:rPr>
          <w:rFonts w:ascii="IRNazanin" w:hAnsi="IRNazanin" w:eastAsia="IRNazanin"/>
          <w:color w:val="111111"/>
          <w:sz w:val="28"/>
          <w:sz w:val="28"/>
          <w:szCs w:val="28"/>
          <w:rtl w:val="true"/>
          <w:lang w:bidi="fa-IR"/>
        </w:rPr>
        <w:t>آن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مقداری باقی بماند که بتواند درست قیام کند، با بقای پاشنه‌ی پا فقط قدرت بر قیام ندارد تا چه برسد به این که بتواند راه برود</w:t>
      </w:r>
      <w:r>
        <w:rPr>
          <w:rFonts w:eastAsia="IRNazanin" w:cs="IRNazanin"/>
          <w:color w:val="111111"/>
          <w:sz w:val="28"/>
          <w:szCs w:val="28"/>
          <w:rtl w:val="true"/>
          <w:lang w:bidi="fa-IR"/>
        </w:rPr>
        <w:t>.</w:t>
      </w:r>
    </w:p>
    <w:p>
      <w:pPr>
        <w:pStyle w:val="Heading6"/>
        <w:numPr>
          <w:ilvl w:val="5"/>
          <w:numId w:val="1"/>
        </w:numPr>
        <w:rPr/>
      </w:pPr>
      <w:bookmarkStart w:id="479" w:name="__RefHeading___Toc162437_3244359995"/>
      <w:bookmarkStart w:id="480" w:name="_Toc185"/>
      <w:bookmarkEnd w:id="479"/>
      <w:r>
        <w:rPr>
          <w:rtl w:val="true"/>
        </w:rPr>
        <w:t>کیفیّت جمع بین دو طایفه از روایات</w:t>
      </w:r>
      <w:bookmarkEnd w:id="480"/>
    </w:p>
    <w:p>
      <w:pPr>
        <w:pStyle w:val="BookText"/>
        <w:rPr/>
      </w:pPr>
      <w:r>
        <w:rPr>
          <w:rFonts w:ascii="IRNazanin" w:hAnsi="IRNazanin" w:eastAsia="IRNazanin"/>
          <w:color w:val="111111"/>
          <w:sz w:val="28"/>
          <w:sz w:val="28"/>
          <w:szCs w:val="28"/>
          <w:rtl w:val="true"/>
          <w:lang w:bidi="fa-IR"/>
        </w:rPr>
        <w:t xml:space="preserve">این دسته از روایات که بر قول دوّم دلالت ظاهر و روشن داشت، در آن‌ها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شده بود و در برخی از آن‌ها علّت نیز آمده بود، قرینه‌ای بر مراد از روایت ابوبصیر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قطعت الرجل ترک عقبه لم یقطع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روایتی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یقطع من وسط القدم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نقطه‌ی ابهامی در دلالتش نداریم؛ روایت دیگر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یقطع من الکعب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کعب را نیز می‌دانیم که قبّة القدم است؛ روایت ابوبصیر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عقبه لم یقطع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نمی‌کند از کجا قطع گردد، فقط متعرّض ترک پاشنه‌ی پا و عدم قطع آن شده است؛ امّا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پاشنه‌ی پا را باقی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مقام جمع بین دو دسته روایات، طایفه‌ی دوّم قرینه‌ی بر مراد از طایفه‌ی اوّل است و ظهور طایفه‌ی اوّل به حدّی نیست که اگر معارض نداشت می‌توانستیم بر آن اعتماد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وجود چنین معارضی نوبت به ظهور روایات طایفه‌ی اوّل نمی‌رسد و قول دوّم مطابق با قواعد است و در تحریر اختیار شده است</w:t>
      </w:r>
      <w:r>
        <w:rPr>
          <w:rFonts w:eastAsia="IRNazanin" w:cs="IRNazanin"/>
          <w:color w:val="111111"/>
          <w:sz w:val="28"/>
          <w:szCs w:val="28"/>
          <w:rtl w:val="true"/>
          <w:lang w:bidi="fa-IR"/>
        </w:rPr>
        <w:t>.</w:t>
      </w:r>
    </w:p>
    <w:p>
      <w:pPr>
        <w:pStyle w:val="Heading5"/>
        <w:numPr>
          <w:ilvl w:val="4"/>
          <w:numId w:val="1"/>
        </w:numPr>
        <w:rPr/>
      </w:pPr>
      <w:bookmarkStart w:id="481" w:name="__RefHeading___Toc162439_3244359995"/>
      <w:bookmarkStart w:id="482" w:name="_Toc186"/>
      <w:bookmarkEnd w:id="481"/>
      <w:r>
        <w:rPr>
          <w:rtl w:val="true"/>
        </w:rPr>
        <w:t>فرع سوّم و چهارم</w:t>
      </w:r>
      <w:r>
        <w:rPr>
          <w:rtl w:val="true"/>
        </w:rPr>
        <w:t xml:space="preserve">: </w:t>
      </w:r>
      <w:r>
        <w:rPr>
          <w:rtl w:val="true"/>
        </w:rPr>
        <w:t>حدّ سوّم و چهارم سرقت</w:t>
      </w:r>
      <w:bookmarkEnd w:id="482"/>
    </w:p>
    <w:p>
      <w:pPr>
        <w:pStyle w:val="BookText"/>
        <w:rPr/>
      </w:pPr>
      <w:r>
        <w:rPr>
          <w:rFonts w:ascii="IRNazanin" w:hAnsi="IRNazanin" w:eastAsia="IRNazanin"/>
          <w:color w:val="111111"/>
          <w:sz w:val="28"/>
          <w:sz w:val="28"/>
          <w:szCs w:val="28"/>
          <w:rtl w:val="true"/>
          <w:lang w:bidi="fa-IR"/>
        </w:rPr>
        <w:t>اگر سارقی مرتکب سرقت شد و حدّ قطع دست درباره‌اش اجرا شد، بار دوّم دزدی کرد و پای او را بریدند، امّا در مرتبه‌ی سوّم سرقت کرد، علما بر این حدّ در این مرتبه توافق و اتّفاق‌نظر دارند؛ و چندین روایت صحیحه نیز بر این مطلب دلالت دارد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عدّة من أصحابنا، عن أحمد بن محمّد، عن الحسین بن سعید، عن النّضر بن سوید، عن القاسم،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سرق،</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علیّ علیه السلام فی زمانه برجل قد سرق فقطع یده ثمّ اتی به ثانیة فقطع رجله من خلاف ثمّ اتی به ثالثة فخلّده فی السّجن وأنفق علیه من بیت مال المسلمین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صنع رسول اللَّه صلی الله علیه و آله لا اخالفه</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صحیحه، از امام صادق علیه السلام درباره‌ی حکم دزد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در زمان امیرمؤمنان علیه السلام نزد آن حضرت آوردند که دزدی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علیه السلام دستش را قطع کرد؛ بار دوّم سرقت کرد و او را آوردند پایش را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دست راستش را که بریده بود، در مرتبه‌ی دوّم پای چپش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در بحث حدّ محارب، در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را مطرح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مرتبه‌ی سوّم که مرتکب دزدی شد او را زندانی کرد و از بیت‌المال مسلمانان به او نفقه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این‌گونه عمل کرد و من برخلاف آن حضرت کاری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این روایت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نفقه دادن از بیت‌المال به روایات دیگر که به صورت فقر مقیّد است، تقیید می‌گردد؛ زیرا اگر کسی از مال شخصی مشروع خودش می‌تواند مخارجش را تأمین کند، معنا ندارد از بیت‌المال به او انفاق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علیّ بن ابراهیم، عن أبیه، وعن عدّة من أصحابنا، عن سهل بن زیاد جمیعاً، عن ابن أبی نجران، عن عاصم بن حمید، عن محمّد بن قیس،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 المؤمنین علیه السلام فی‌السّارق إذا سرق قطعت یمینه، وإذا سرق مرّة اخری قطعت رجله الیسری، ثمّ إذا سرق مرّة اخری سجنه، وترکت رجله الیمنی یمشی علیها إلی الغائط ویده الیسری یأکل بها ویستنجی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لأستحیی من اللَّه أن أترکه لاینتفع بشی‌ء ولکنّی أسجنه حتّی یموت فی السّجن،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قطع رسول اللَّه صلی الله علیه و آله من سارق بعد یده ورجله</w:t>
      </w:r>
      <w:r>
        <w:rPr>
          <w:rFonts w:eastAsia="IRNazanin" w:cs="IRNazanin"/>
          <w:color w:val="111111"/>
          <w:sz w:val="28"/>
          <w:szCs w:val="28"/>
          <w:rtl w:val="true"/>
          <w:lang w:bidi="fa-IR"/>
        </w:rPr>
        <w:t>.</w:t>
      </w:r>
      <w:r>
        <w:rPr>
          <w:rStyle w:val="FootnoteAnchor"/>
          <w:rtl w:val="true"/>
        </w:rPr>
        <w:footnoteReference w:id="372"/>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صحیحه،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دزدی کند،</w:t>
      </w:r>
    </w:p>
    <w:p>
      <w:pPr>
        <w:pStyle w:val="BookText"/>
        <w:rPr/>
      </w:pPr>
      <w:r>
        <w:rPr>
          <w:rFonts w:ascii="IRNazanin" w:hAnsi="IRNazanin" w:eastAsia="IRNazanin"/>
          <w:color w:val="111111"/>
          <w:sz w:val="28"/>
          <w:sz w:val="28"/>
          <w:szCs w:val="28"/>
          <w:rtl w:val="true"/>
          <w:lang w:bidi="fa-IR"/>
        </w:rPr>
        <w:t>امیر مؤمنان علیه السلام به قطع دست راستش قضاوت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 دوّم مرتکب سرقت گردد، باید پای چپش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بار سوّم دست به دزدی زد، او را زندانی می‌کنند و پای راستش را قطع نمی‌کنند تا برای تطهیر بتواند از آن استفاده برد، و دست چپش را نیز نمی‌برند تا با آن غذا بخورد و استنجا و تطهیر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خداوند حیا می‌کنم که دست چپ و پای راستش را نیز قطع کنم؛ و او را موجودی رها کنم که نتواند از هیچ چیزی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زندانی می‌کنم تا در زندان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نیز چنین عمل می‌کرد و از بدن سارق، بعد از قطع دست و پایش چیز دیگری را نبرید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علیّ بن إبراهیم، عن أبیه، عن ابن أبی عمیر، عن حمّاد، عن الحلبی، عن أبی عبداللَّه علیه السلام فی حدیث السّرقة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تقطع الید والرّجل، ثمّ لایقطع بعد، ولکن إن عاد حبس وانفق من بیت مال المسلمین</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صحیحه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 دزد را 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قرینه‌ی روایات دیگر بریدن دست را به دست راست در مرتبه‌ی اوّل و بریدن پا را به پای چپ در مرتبه‌ی دوّم مقیّد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اگر مرتکب دزدی شد، چیزی از بدنش را نمی‌بُرند؛ بلکه او را زندانی کرده و از بیت‌المال به او نفقه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زمانی برای زندان معیّن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بگوییم عدم تقیید حبس و زندان به مدّتی، ظهور در حبس ابد دارد، و اگر این ظهور را نپذیرفتیم و روایت را مطلق دانستیم، آن را به روایاتی که بر حبس ابد دلالت دارد، تقیید می‌کنیم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بإسناده إلی قضایا أمیر المؤمنین علیه السلام، أنّه کان إذا سرق الرّجل أوّلًا قطع یمینه، فإن عاد قطع رجله الیسری، فان عاد ثالثة خلّده السّجن وأنفق علیه من بیت‌المال</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صدوق رحمه الله به قضاوت‌های امیر مؤمنان علیه السلام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در مرتبه‌ی اوّل حدّ، دست راست سارق را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دوباره سرقت می‌کرد، پای چپش را قطع می‌کرد؛ و در مرتبه‌ی سوّم، او را به زندان ابد محکوم و از بیت‌المال نفقه‌اش را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وعنهم، عن أحمد بن محمّد بن خالد، عن عثمان بن عیسی، عن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اخذ السّارق قطعت یده من وسط الکفّ، فإن عاد قطعت رجله من وسط القدم، فإن عاد استودع السّجن، فإن سرق فی السّجن قتل</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سارق دستگیر شد، دستش را از وسط کفّ می‌برند؛ در بار دوّم پایش را از وسط قدم قطع می‌کنند؛ در بار سوّم زندانی می‌شود؛ و اگر در زندان سرقت کرد، او را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در روایت، سرقت در بار چهارم را مقیّد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لیکن این تقیید از باب مثال است؛ لذا، اگر از زندان فرار کند و در بیرون زندان مرتکب دزدی شود، باز همین حدّ در موردش اجرا می‌شود؛ فقها بین دو حالت فرقی نگذاشته‌اند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 أنّه من سرق فی السّجن قُتل</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از مرسلات صدوق رحمه الله است که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لذا، فی نفسه اعتباری ندارد؛ مگر این که با عمل مشهور ضعفش را جبران کنیم؛ لیکن با وجود روایات معتبر نیازی به آن نیست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روایات گذشته، حدّ سوّم یعنی زندان ابد، و حدّ چهارم یعنی قتل ثابت شد؛ لذا،</w:t>
      </w:r>
    </w:p>
    <w:p>
      <w:pPr>
        <w:pStyle w:val="BookText"/>
        <w:rPr/>
      </w:pPr>
      <w:r>
        <w:rPr>
          <w:rFonts w:ascii="Amiri" w:hAnsi="Amiri" w:eastAsia="Amiri" w:cs="Amiri"/>
          <w:color w:val="111111"/>
          <w:sz w:val="28"/>
          <w:sz w:val="28"/>
          <w:szCs w:val="28"/>
          <w:rtl w:val="true"/>
          <w:lang w:bidi="ar-SA"/>
        </w:rPr>
        <w:t>اطلاق آیه‌ی وَالسَّارِقُ وَ السَّارِقَةُ فَاقْطَعُواْ أَیْدِیَهُمَا</w:t>
      </w:r>
      <w:r>
        <w:rPr>
          <w:rStyle w:val="FootnoteAnchor"/>
          <w:rtl w:val="true"/>
        </w:rPr>
        <w:footnoteReference w:id="377"/>
      </w:r>
      <w:r>
        <w:rPr>
          <w:rFonts w:ascii="IRNazanin" w:hAnsi="IRNazanin" w:eastAsia="IRNazanin"/>
          <w:color w:val="111111"/>
          <w:sz w:val="28"/>
          <w:sz w:val="28"/>
          <w:szCs w:val="28"/>
          <w:rtl w:val="true"/>
          <w:lang w:bidi="fa-IR"/>
        </w:rPr>
        <w:t>را با این روایات معتبر به اوّلین حدّ سرقت مقیّد می‌کنیم؛ آیه نسبت به مرتبه‌ی دوّم و سوّم و چهارم تعرّضی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بر حدّ سوّم سرقت دلالت داشت، حاوی چنین عباراتی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فخلّده فی السّجن</w:t>
      </w:r>
      <w:r>
        <w:rPr>
          <w:rFonts w:eastAsia="IRNazanin" w:cs="IRNazanin"/>
          <w:color w:val="111111"/>
          <w:sz w:val="28"/>
          <w:szCs w:val="28"/>
          <w:rtl w:val="true"/>
          <w:lang w:bidi="fa-IR"/>
        </w:rPr>
        <w:t>»</w:t>
      </w:r>
      <w:r>
        <w:rPr>
          <w:rStyle w:val="FootnoteAnchor"/>
          <w:rtl w:val="true"/>
        </w:rPr>
        <w:footnoteReference w:id="37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خلّده فی السّجن</w:t>
      </w:r>
      <w:r>
        <w:rPr>
          <w:rFonts w:eastAsia="Amiri" w:cs="Amiri" w:ascii="Amiri" w:hAnsi="Amiri"/>
          <w:color w:val="111111"/>
          <w:sz w:val="28"/>
          <w:szCs w:val="28"/>
          <w:rtl w:val="true"/>
          <w:lang w:bidi="ar-SA"/>
        </w:rPr>
        <w:t>»</w:t>
      </w:r>
      <w:r>
        <w:rPr>
          <w:rStyle w:val="FootnoteAnchor"/>
          <w:rtl w:val="true"/>
        </w:rPr>
        <w:footnoteReference w:id="37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عاد استودع السّجن</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از مجموع این روایات حبس ابد استفاده می‌شود، لیکن صاحب جواهر رحمه الله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سرق ثالثة حبس دائماً حتّی یموت أو یتوب</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اگر در مرتبه‌ی سوّم دزدی کرد، او را حبس ابد می‌کنند تا بمیرد یا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نفهمیدیم از کدام دلیل توبه را استفاده کرده است؟</w:t>
      </w:r>
    </w:p>
    <w:p>
      <w:pPr>
        <w:pStyle w:val="BookText"/>
        <w:rPr/>
      </w:pPr>
      <w:r>
        <w:rPr>
          <w:rFonts w:ascii="IRNazanin" w:hAnsi="IRNazanin" w:eastAsia="IRNazanin"/>
          <w:color w:val="111111"/>
          <w:sz w:val="28"/>
          <w:sz w:val="28"/>
          <w:szCs w:val="28"/>
          <w:rtl w:val="true"/>
          <w:lang w:bidi="fa-IR"/>
        </w:rPr>
        <w:t>زندان به عنوان حدّ از حدود الهی نسبت به سارق است؛ چه دلیلی قائم است بر این که اگر توبه کرد، از زندان آزاد می‌گردد؟ ایشان دلیلی ذکر نکرده و ما نیز دلیلی پیدا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مواردی که حبس ابد داریم، در مورد زن مرتدّ است که او را زندانی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کرد، آزاد می‌شود؛ اگر توبه در این مورد خاصّ سبب آزادی است، دلیل نمی‌شود در باب سرقت نیز همین‌طور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توبه با عفو تفاوت دارد و دو عنوان هستند که نباید با هم اشتباه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سبب سقوط حدّ نمی‌شود مگر در موارد خاصّی که دلیل داشتیم و گذشت؛ و الّا اگر توبه را سبب سقوط حدّ بدانیم، لازمه‌اش عدم اجرای اکثر 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مجرمی که می‌بیند الآن او را می‌کشند یا تازیانه می‌زنند، چه‌بسا توبه‌ی واقعی هم انجام دهد؛ زیرا، وقتی مشاهده می‌کند به دنبال عمل و جنایتش چنین عقوبتی هست، داعی بر تکرار پیدا نمی‌کند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ما نمی‌توانیم به این تخییر فتوا دهیم؛ زیرا، دلیلی بر آن پیدا نکردیم؛ امّا امکانش را نیز نفی نمی‌کنیم</w:t>
      </w:r>
      <w:r>
        <w:rPr>
          <w:rFonts w:eastAsia="IRNazanin" w:cs="IRNazanin"/>
          <w:color w:val="111111"/>
          <w:sz w:val="28"/>
          <w:szCs w:val="28"/>
          <w:rtl w:val="true"/>
          <w:lang w:bidi="fa-IR"/>
        </w:rPr>
        <w:t>.</w:t>
      </w:r>
      <w:bookmarkStart w:id="483" w:name="pg16923_220290"/>
    </w:p>
    <w:p>
      <w:pPr>
        <w:pStyle w:val="BookText"/>
        <w:rPr/>
      </w:pPr>
      <w:bookmarkEnd w:id="4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تکرار السرقة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لوتکرّرت منه السرقة ولم یتخلّل الحدّ کفی حدّ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تکرّرت منه السرقة بعد الحدّ قطعت رجله ثمّ لو تکرّرت منه حبس ثمّ لو تکرّرت قتل</w:t>
      </w:r>
      <w:r>
        <w:rPr>
          <w:rFonts w:eastAsia="IRNazanin" w:cs="IRNazanin"/>
          <w:color w:val="111111"/>
          <w:sz w:val="28"/>
          <w:szCs w:val="28"/>
          <w:rtl w:val="true"/>
          <w:lang w:bidi="fa-IR"/>
        </w:rPr>
        <w:t>.]</w:t>
      </w:r>
    </w:p>
    <w:p>
      <w:pPr>
        <w:pStyle w:val="Heading4"/>
        <w:numPr>
          <w:ilvl w:val="3"/>
          <w:numId w:val="1"/>
        </w:numPr>
        <w:rPr/>
      </w:pPr>
      <w:bookmarkStart w:id="484" w:name="__RefHeading___Toc162441_3244359995"/>
      <w:bookmarkStart w:id="485" w:name="_Toc187"/>
      <w:bookmarkEnd w:id="484"/>
      <w:r>
        <w:rPr>
          <w:rtl w:val="true"/>
        </w:rPr>
        <w:t>حکم تکرار سرقت</w:t>
      </w:r>
      <w:bookmarkEnd w:id="485"/>
    </w:p>
    <w:p>
      <w:pPr>
        <w:pStyle w:val="BookText"/>
        <w:rPr/>
      </w:pPr>
      <w:r>
        <w:rPr>
          <w:rFonts w:ascii="IRNazanin" w:hAnsi="IRNazanin" w:eastAsia="IRNazanin"/>
          <w:color w:val="111111"/>
          <w:sz w:val="28"/>
          <w:sz w:val="28"/>
          <w:szCs w:val="28"/>
          <w:rtl w:val="true"/>
          <w:lang w:bidi="fa-IR"/>
        </w:rPr>
        <w:t>اگر کسی چند بار مرتکب سرقت شد و پس از آن دستگیر شد، یک حدّ کافی است؛ امّا اگر پس از اجرای حدّ دزدی کرد، پایش را می‌برند؛ اگر باز به دزدی پرداخت، او را زندانی می‌کنند؛ و اگر در مرتبه‌ی چهارم دزدی کرد او را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عدم تخلّل حدّ بین سرقت‌ها یک حدّ بیشتر اجرا نمی‌شود، لذا اگر کسی ده‌بار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کرد و شهود بر ده‌بار سرقتش شهادت دادند، فقط حدّ مرتبه‌ی اوّل درباره‌اش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قطع انگشتان دست راست، چندین‌بار دزدی کرد و دوباره دستگیر شد، حدّ دوّم یعنی پای چپش به تفصیلی که گذشت بریده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آن نیز چندین‌بار دزدی کرد، او را به زندان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زندان هم به‌طور مکرّر سرقت کند، او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بین سرقت‌ها حدی متخلّل نشد، سرقت‌های مکرّر حکم یک سرقت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مطلب روایت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یعقوب، عن عدّة من أصحابنا، عن سهل بن زیاد وعن علیّ بن إبراهیم، عن أبیه جمیعاً، عن ابن محبوب، عن عبدالرّحمن بن الحجّاج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بن أعین، عن أبی جعفر علیه السلام فی رجل سرق فلم یقدر علیه، ثمّ سرق مرّة اخری ولم یقدر علیه وسرق مرّة اخری فاخذ فجائت البیّنة فشهدوا علیه بالسّرقة الاولی والسّرقة الأخیرة</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تقطع یده بالسرقة الاولی ولا تقطع رجله بالسّرقة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الشّهود شهدوا جمیعاً فی مقام واحد بالسّرقة الاولی والأخیرة قبل أن یقطع بالسرقة الاولی، ولو أنّ الشّهود شهدوا علیه بالسّرقة الاولی ثمّ أمسکوا یقطع ثمّ شهدوا علیه بالسّرقة الأخیرة</w:t>
      </w:r>
    </w:p>
    <w:p>
      <w:pPr>
        <w:pStyle w:val="BookText"/>
        <w:rPr/>
      </w:pPr>
      <w:r>
        <w:rPr>
          <w:rFonts w:ascii="IRNazanin" w:hAnsi="IRNazanin" w:eastAsia="IRNazanin"/>
          <w:color w:val="111111"/>
          <w:sz w:val="28"/>
          <w:sz w:val="28"/>
          <w:szCs w:val="28"/>
          <w:rtl w:val="true"/>
          <w:lang w:bidi="fa-IR"/>
        </w:rPr>
        <w:t>قطعت رجله الیسری</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سند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عبدالرحمان بن حجّاج این روایت را از بکیر بن اعین روایت کرده باشد، همان طور که بعضی از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الحجّاج عن بکیر بن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یک روایت محسوب می‌شود؛ ولی اگر عبدالرحمان به‌طور مستقیم از امام باقر علیه السلام نقل کرده دو روایت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روایت، به تمام معنا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درباره‌ی مردی که دزدی کرد و نتوانستند او را دستگیر کنند، فرار کرد و بار دوّم نیز مرتکب دزدی شد و فرار کرد، پس از سرقت در مرتبه‌ی سوّم او را گرفتند، بیّنه نزد حاکم شرع بر سرقت مرتبه‌ی اول و مرتبه‌ی سوّم شهادت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سه‌بار دزدی کرده بود لیکن نزد حاکم مرتبه‌ی اول و آخر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برای سرقت اوّل می‌برند، ولی پایش را برای سرقت دوّم قطع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شد، دلیلش چیست؟ بیّنه بر دو سرقت شهادت داده است؟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در یک مجلس بر هر دو سرقتش شهادت دادند، تخلّل حدّی بین دو شهادت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شهود پس از شهادت اوّلشان صبر می‌کردند تا حدّ درباره‌اش اجرا گردد سپس بر سرقت اخیر شهادت می‌دادند، پای چپش نیز قطع می‌شد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غیر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شهود پس از شهادت بر سرقت اوّل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نگاه دارید شهادت ندهید با آن که در آن مجلس حاضر بودند، پس از قطع دست سارق به آن‌ها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بر سرقت دیگرش شهادت دهید، به همین مقدار در تخلّل حدّ کافی است، و حدّ مرتبه‌ی دوّم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در متون فقهی و تحریرالوسیله مطرح نشده است</w:t>
      </w:r>
      <w:r>
        <w:rPr>
          <w:rFonts w:eastAsia="IRNazanin" w:cs="IRNazanin"/>
          <w:color w:val="111111"/>
          <w:sz w:val="28"/>
          <w:szCs w:val="28"/>
          <w:rtl w:val="true"/>
          <w:lang w:bidi="fa-IR"/>
        </w:rPr>
        <w:t>.</w:t>
      </w:r>
      <w:bookmarkStart w:id="486" w:name="pg16923_220292"/>
    </w:p>
    <w:p>
      <w:pPr>
        <w:pStyle w:val="BookText"/>
        <w:rPr/>
      </w:pPr>
      <w:bookmarkEnd w:id="4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قطع الیسار مع الخوف فی قطع الیمین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تقطع الیسار مع وجود الیمین، سواء کانت الیمین شلّاء والیسار صحیحة أو العکس أو هما شلّاء، نعم لوخیف الموت بقطع الشلّاء لاحتمال عقلائی له منشأ عقلایی کإخبار الطبیب بذلک لم تقطع احتیاطاً علی حیاة السارق، فهل تقطع الیسار الصحیحة فی هذا الفرض أو الیسار الشلّاء مع الخوف فی الیمین دون الیسار، الأشبه عدم القطع</w:t>
      </w:r>
      <w:r>
        <w:rPr>
          <w:rFonts w:eastAsia="IRNazanin" w:cs="IRNazanin"/>
          <w:color w:val="111111"/>
          <w:sz w:val="28"/>
          <w:szCs w:val="28"/>
          <w:rtl w:val="true"/>
          <w:lang w:bidi="fa-IR"/>
        </w:rPr>
        <w:t>.]</w:t>
      </w:r>
    </w:p>
    <w:p>
      <w:pPr>
        <w:pStyle w:val="Heading4"/>
        <w:numPr>
          <w:ilvl w:val="3"/>
          <w:numId w:val="1"/>
        </w:numPr>
        <w:rPr/>
      </w:pPr>
      <w:bookmarkStart w:id="487" w:name="__RefHeading___Toc162443_3244359995"/>
      <w:bookmarkStart w:id="488" w:name="_Toc188"/>
      <w:bookmarkEnd w:id="487"/>
      <w:r>
        <w:rPr>
          <w:rtl w:val="true"/>
        </w:rPr>
        <w:t>حکم قطع دست چپ و احتمال خطر جانی در قطع دست راست</w:t>
      </w:r>
      <w:bookmarkEnd w:id="488"/>
    </w:p>
    <w:p>
      <w:pPr>
        <w:pStyle w:val="Heading5"/>
        <w:numPr>
          <w:ilvl w:val="4"/>
          <w:numId w:val="1"/>
        </w:numPr>
        <w:rPr/>
      </w:pPr>
      <w:bookmarkStart w:id="489" w:name="__RefHeading___Toc162445_3244359995"/>
      <w:bookmarkStart w:id="490" w:name="_Toc189"/>
      <w:bookmarkEnd w:id="489"/>
      <w:r>
        <w:rPr>
          <w:rtl w:val="true"/>
        </w:rPr>
        <w:t>اشاره</w:t>
      </w:r>
      <w:bookmarkEnd w:id="490"/>
    </w:p>
    <w:p>
      <w:pPr>
        <w:pStyle w:val="BookText"/>
        <w:rPr/>
      </w:pPr>
      <w:r>
        <w:rPr>
          <w:rFonts w:ascii="IRNazanin" w:hAnsi="IRNazanin" w:eastAsia="IRNazanin"/>
          <w:color w:val="111111"/>
          <w:sz w:val="28"/>
          <w:sz w:val="28"/>
          <w:szCs w:val="28"/>
          <w:rtl w:val="true"/>
          <w:lang w:bidi="fa-IR"/>
        </w:rPr>
        <w:t>بریدن دست راست به عنوان مرتبه‌ی اوّل حدّ سرقت آیا اطلاق دارد یا در بعضی از فروض اجرا نمی‌گردد؟</w:t>
      </w:r>
    </w:p>
    <w:p>
      <w:pPr>
        <w:pStyle w:val="BookText"/>
        <w:rPr/>
      </w:pPr>
      <w:r>
        <w:rPr>
          <w:rFonts w:ascii="IRNazanin" w:hAnsi="IRNazanin" w:eastAsia="IRNazanin"/>
          <w:color w:val="111111"/>
          <w:sz w:val="28"/>
          <w:sz w:val="28"/>
          <w:szCs w:val="28"/>
          <w:rtl w:val="true"/>
          <w:lang w:bidi="fa-IR"/>
        </w:rPr>
        <w:t>ابتدا فرض‌های متصوّر آن را مطرح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سارقی از دست چپ و راست صحیح و سالم برخوردار است، قدر متیقّن از اجرای مرتبه‌ی اول حدّ سرقت، بریدن دست راست اوست؛ در این فرض، هیچ تردید و اشکالی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راست سالم و طبیعی است، ولی دست چپ شلّ و ناسالم، یعنی نمی‌تواند از آن استفاده‌ای ببرد، فرض کنید فردی که سکته کرده و دست چپش از کار افتاده است، با بریدن دست راست این فرد به عنوان حدّ اول سرقت، از کارآیی هر دو دست محروم می‌شود، آیا با چنین فرضی می‌توان دست راستش را برید؟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چپش صحیح و سالم ولی دست راست شلّ و ناسالم باشد، در صورتی که مرتکب سرقت شد، باید همان دست ناسالم را قطع کرد؟</w:t>
      </w:r>
    </w:p>
    <w:p>
      <w:pPr>
        <w:pStyle w:val="BookText"/>
        <w:rPr/>
      </w:pPr>
      <w:r>
        <w:rPr>
          <w:rFonts w:ascii="IRNazanin" w:hAnsi="IRNazanin" w:eastAsia="IRNazanin"/>
          <w:color w:val="111111"/>
          <w:sz w:val="28"/>
          <w:sz w:val="28"/>
          <w:szCs w:val="28"/>
          <w:rtl w:val="true"/>
          <w:lang w:bidi="fa-IR"/>
        </w:rPr>
        <w:t>طرح این فرض به جهت این شبهه است که در قطع دست راست اثری مترتّب نیست؛ زیرا، سارق قبل از بریدن آن هم نمی‌توانسته از این دست معیوب استفاده‌ای ببرد؛ گویا این قطع کالعدم است و برای او عقوبتی نیست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دست معیوب باشد، باز جای این اشکال هست که چه اثر و فایده‌ای بر</w:t>
      </w:r>
    </w:p>
    <w:p>
      <w:pPr>
        <w:pStyle w:val="BookText"/>
        <w:rPr/>
      </w:pPr>
      <w:r>
        <w:rPr>
          <w:rFonts w:ascii="IRNazanin" w:hAnsi="IRNazanin" w:eastAsia="IRNazanin"/>
          <w:color w:val="111111"/>
          <w:sz w:val="28"/>
          <w:sz w:val="28"/>
          <w:szCs w:val="28"/>
          <w:rtl w:val="true"/>
          <w:lang w:bidi="fa-IR"/>
        </w:rPr>
        <w:t>قطع دست راست مترتّب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سه فرض، باید به اطلاق آیه و روایات تمسّک کرده و به قطع دست راست حکم کنیم؛ بر فرض این که در اطلاق آیه شبهه شود، روایات مطلق تعدادشان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این است که آیه و روایات اطلاق دارند و قطع دست را به سالم بودن هردو دست یا شلّ نبودشان یا شلّ نبودن دست راست و مانند آن مقیّد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اشکال در اطلاقات، روایاتی در خصوص این مورد داریم که هر شکّ و شبهه‌ای را زائل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محمّد بن یحیی، عن أحمد بن محمّد بن عیسی، عن ابن محبوب، عن ابن سنان، عن أبی عبداللَّه علیه السلام فی رجل أشلّ الید الیمنی أو أشلّ الشّمال، سرق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تقطع یده الیمنی علی کلّ حال</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صحیحه، ابن‌سنان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دست راستش یا دست چپش شلّ و معیوب است، سرقت می‌کند؛ حکمش چیست؟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راستش به هر حال قطع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می‌فهمیم هر دو دست شلّ باشد یا دست راست یا دست چپ، فرقی نمی‌کند؛ به هر تقدیر، در حدّ سرقت باید دست راستش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روایت بیانگر همان مطلبی است که از اطلاقات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بإسناده عن الحسن بن محبوب، عن علاء، عن محمّد بن مسلم، عن زرارة،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ابن محبوب، عن عبداللَّه بن سنان، عن أبی عبداللَّه علیه السلام، أنّ الأشلّ إذا سرق قطعت یمینه علی کلّ حال، شلّاءً کانت أو صحیحة، فإن عاد فسرق قطعت رجله الیسری فإن عاد خلّد فی السجن واجری علیه من بیت المال وکفّ عن النّاس</w:t>
      </w:r>
      <w:r>
        <w:rPr>
          <w:rFonts w:eastAsia="IRNazanin" w:cs="IRNazanin"/>
          <w:color w:val="111111"/>
          <w:sz w:val="28"/>
          <w:szCs w:val="28"/>
          <w:rtl w:val="true"/>
          <w:lang w:bidi="fa-IR"/>
        </w:rPr>
        <w:t>.</w:t>
      </w:r>
      <w:r>
        <w:rPr>
          <w:rStyle w:val="FootnoteAnchor"/>
          <w:rtl w:val="true"/>
        </w:rPr>
        <w:footnoteReference w:id="384"/>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به یک سندش از طریق زراره به امام باقر علیه السلام منتهی می‌شود؛ و</w:t>
      </w:r>
    </w:p>
    <w:p>
      <w:pPr>
        <w:pStyle w:val="BookText"/>
        <w:rPr/>
      </w:pPr>
      <w:r>
        <w:rPr>
          <w:rFonts w:ascii="IRNazanin" w:hAnsi="IRNazanin" w:eastAsia="IRNazanin"/>
          <w:color w:val="111111"/>
          <w:sz w:val="28"/>
          <w:sz w:val="28"/>
          <w:szCs w:val="28"/>
          <w:rtl w:val="true"/>
          <w:lang w:bidi="fa-IR"/>
        </w:rPr>
        <w:t>سند دیگرش از طریق عبداللَّه بن سنان به امام صادق علیه السلام می‌رسد؛ و هر دو سند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اشلّ به هر حال قطع می‌گردد؛ خواه این دست سالم باشد یا معیوب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 دوّم مرتکب سرقت شد، پای چپش را می‌برند؛ و بر دزدی مرتبه‌ی سوّم او را زندان کرده، از بیت‌المال مخارجش را می‌پردازند و شرّش را از سر مردم کم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روایت، بلکه به تعبیری سه روایت، صحیح و معتبر بوده و با دلالت واضح و روشن بر فتوای مشهور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ابوعلی اسکافی رحمه الله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دستش شلّ باشد، نباید آن را برید</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دلیل ایشان روایت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وبإسناده، عن یونس بن عبدالرّحمن، عن المفضّل بن صالح، عن بعض 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 إذا سرق الرّجل ویده الیسری شلّاء لم تقطع یمینه ولا رجله وإن کان أشلّ ثمّ قطع ید رجل قصّ منه، یعنی لا تقطع فی السّرقة ولکن یقطع فی القصاص</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مرسل است و در وثاقت مفضّل بن صالح نیز اشکال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مناقشه را نپذیریم، ارسال روایت را نمی‌توان نادیده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که دست چپش شلّ و معیوب است، دزدی کند، دست راستش بریده نمی‌شود؛ برای این که کسی خیال نکند حالا که دست راست را نمی‌برند، پس در همین مرتبه، حدّ دوّم سرقت را جاری، و پای او را قطع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دفع این توهّم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پایش نیز قطع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این مرحله بر سرقت هیچ اثری بار نمی‌شود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فرد اشلّ، دست راست کسی را قطع کند، در مقام قصاص دست راستش را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باب سرقت، دست راست کسی که دست چپش معیوب است بریده نمی‌شود، به خلاف باب قصاص</w:t>
      </w:r>
      <w:r>
        <w:rPr>
          <w:rFonts w:eastAsia="IRNazanin" w:cs="IRNazanin"/>
          <w:color w:val="111111"/>
          <w:sz w:val="28"/>
          <w:szCs w:val="28"/>
          <w:rtl w:val="true"/>
          <w:lang w:bidi="fa-IR"/>
        </w:rPr>
        <w:t>.</w:t>
      </w:r>
      <w:bookmarkStart w:id="491" w:name="pg16923_220295"/>
    </w:p>
    <w:p>
      <w:pPr>
        <w:pStyle w:val="BookText"/>
        <w:rPr/>
      </w:pPr>
      <w:bookmarkEnd w:id="491"/>
      <w:r>
        <w:rPr>
          <w:rFonts w:ascii="IRNazanin" w:hAnsi="IRNazanin" w:eastAsia="IRNazanin"/>
          <w:color w:val="111111"/>
          <w:sz w:val="28"/>
          <w:sz w:val="28"/>
          <w:szCs w:val="28"/>
          <w:rtl w:val="true"/>
          <w:lang w:bidi="fa-IR"/>
        </w:rPr>
        <w:t>نقد دلالت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سندش ارسال دارد و اگر از این جهت صرف‌نظر کنیم، این روایت فقط یک فرض از فروض سه‌گانه را می‌گوید؛ یعنی صورتی که دست چپ سارق شلّ و دست راستش سالم است؛ با قطع دست راستش مانند افراد بی‌دست می‌گردد؛ و برای غذا خوردن، تطهیر و استنجا به مشکل برخورد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روایت صحیحه‌ی عبدالرحمان بن حجّاج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علیّ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لأستحیی من ربّی أن لا أدع له یداً یستنجی بها أو رجلًا یمشی علیها</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امیرمؤمنان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خداوند حیا می‌کنم برای او دستی نگذارم تا با آن استنجا و تطهیر کند یا پایی نگذارم که با آن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روایت تأیید کلام مرحوم اسکافی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که دست چپش معیوب است اگر دست راستش بریده شود، با چه وسیله‌ای نیازهای خود را برطرف کند؟</w:t>
      </w:r>
    </w:p>
    <w:p>
      <w:pPr>
        <w:pStyle w:val="BookText"/>
        <w:rPr/>
      </w:pPr>
      <w:r>
        <w:rPr>
          <w:rFonts w:ascii="IRNazanin" w:hAnsi="IRNazanin" w:eastAsia="IRNazanin"/>
          <w:color w:val="111111"/>
          <w:sz w:val="28"/>
          <w:sz w:val="28"/>
          <w:szCs w:val="28"/>
          <w:rtl w:val="true"/>
          <w:lang w:bidi="fa-IR"/>
        </w:rPr>
        <w:t>لیکن بیان ایشان بر فرض اغماض از ارسال روایت، در جایی که دست راست شلّ و دست چپ سالم و یا هر دو دست شلّ باشد، جا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صحیحه‌ی عبدالرّحمان بر فرض این که بیان امام امیرالمؤمنین علیه السلام به منزله‌ی تعلیل باشد، نمی‌تواند در مقابل روایات صحیحه‌ای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تقطع یمینه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نیز بر طبقش فتوا داده‌اند، مقاومتی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نمی‌توانیم از چند روایت صحیحه که صریح در مطلب است و مورد عمل و فتوای غیر اسکافی است در مقابل روایت مرسل یا شبه تعلیلی دست برداریم</w:t>
      </w:r>
      <w:r>
        <w:rPr>
          <w:rFonts w:eastAsia="IRNazanin" w:cs="IRNazanin"/>
          <w:color w:val="111111"/>
          <w:sz w:val="28"/>
          <w:szCs w:val="28"/>
          <w:rtl w:val="true"/>
          <w:lang w:bidi="fa-IR"/>
        </w:rPr>
        <w:t>.</w:t>
      </w:r>
    </w:p>
    <w:p>
      <w:pPr>
        <w:pStyle w:val="Heading5"/>
        <w:numPr>
          <w:ilvl w:val="4"/>
          <w:numId w:val="1"/>
        </w:numPr>
        <w:rPr/>
      </w:pPr>
      <w:bookmarkStart w:id="492" w:name="__RefHeading___Toc162447_3244359995"/>
      <w:bookmarkStart w:id="493" w:name="_Toc190"/>
      <w:bookmarkEnd w:id="492"/>
      <w:r>
        <w:rPr>
          <w:rtl w:val="true"/>
        </w:rPr>
        <w:t>عدم قطع دست راست با احتمال خطر جانی</w:t>
      </w:r>
      <w:bookmarkEnd w:id="493"/>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راحل رحمه الله در ادامه‌ی این مسأله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خطر جانی در قطع دست راست ناسالم سارق دهیم، و این احتمال عقلایی با منشأ و اساس عقلایی باشد، مانند این که طبیب به 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دستش را قطع کنید، می‌میرد و یا احتمال مردنش قوی است؛ در این صورت، به خاطر این که بر حیات و جان سارق محافظت کرده باشیم، دستش را نمی‌بریم؛ لیکن آیا دست چپ سالم یا دست چپ ناسالم که در قطعش احتمال خطری نیست، قطع</w:t>
      </w:r>
    </w:p>
    <w:p>
      <w:pPr>
        <w:pStyle w:val="BookText"/>
        <w:rPr/>
      </w:pPr>
      <w:r>
        <w:rPr>
          <w:rFonts w:ascii="IRNazanin" w:hAnsi="IRNazanin" w:eastAsia="IRNazanin"/>
          <w:color w:val="111111"/>
          <w:sz w:val="28"/>
          <w:sz w:val="28"/>
          <w:szCs w:val="28"/>
          <w:rtl w:val="true"/>
          <w:lang w:bidi="fa-IR"/>
        </w:rPr>
        <w:t>می‌گردد؟ اشبه به قواعد عدم قطع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کلام، استثنایی از حکم فرع سابق است که شیخ طوسی رحمه الله در کتاب مبسوط</w:t>
      </w:r>
      <w:r>
        <w:rPr>
          <w:rStyle w:val="FootnoteAnchor"/>
          <w:rtl w:val="true"/>
        </w:rPr>
        <w:footnoteReference w:id="388"/>
      </w:r>
      <w:r>
        <w:rPr>
          <w:rFonts w:ascii="IRNazanin" w:hAnsi="IRNazanin" w:eastAsia="IRNazanin"/>
          <w:color w:val="111111"/>
          <w:sz w:val="28"/>
          <w:sz w:val="28"/>
          <w:szCs w:val="28"/>
          <w:rtl w:val="true"/>
          <w:lang w:bidi="fa-IR"/>
        </w:rPr>
        <w:t>به آن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افراد سالم پس از قطع دست، اگر از غذاهای مقوّی مانند عسل و روغن و گوشت استفاده کنند، پس از گذشت زمانی محل بریدگی بهبود یافته، به‌گونه‌ای که گویا در این‌جا انگشتی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پاره‌ای از روایات گذشته نیز دیدیم امیرمؤمنان علیه السلام پس از قطع دست سارق دستور می‌دادند به آنان گوشت و عسل و روغن بدهند تا جراحت مندمل گشته، التیام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افراد که شَل هستند، اگر دست معیوب را قطع کنند به علّت نقص و عیبی که وجود دارد، دهانه‌ی رگ‌های بریده شده مسدود نمی‌شود و به هم نمی‌آید؛ و با قطع این رگ‌ها تمام خون بدن سارق خارج شده و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صورتی که پس از قطع دست امکان التیام و بهبودی نیست و خوف مرگ و هلاکت سارق وجود دارد، نمی‌توان گفت اطلاقات قطع دست راست شامل این فرد نیز می‌شود؛ بلکه به‌طور حتم و یقین ادله‌ی مطلق از این مورد منصرف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ترس باید منشأ عقلایی داشته باشد؛ یعنی طبیب و متخصّصی خبر دهد؛ که در این صورت، دست راست سارق را قطع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او را رها سازیم یا دست چپش را اگر سالم است یا برفرض ناسالم بودن اگر مبتلا به چنین عارضه و خوفی نیست، قطع کنیم؟</w:t>
      </w:r>
    </w:p>
    <w:p>
      <w:pPr>
        <w:pStyle w:val="BookText"/>
        <w:rPr/>
      </w:pPr>
      <w:r>
        <w:rPr>
          <w:rFonts w:ascii="IRNazanin" w:hAnsi="IRNazanin" w:eastAsia="IRNazanin"/>
          <w:color w:val="111111"/>
          <w:sz w:val="28"/>
          <w:sz w:val="28"/>
          <w:szCs w:val="28"/>
          <w:rtl w:val="true"/>
          <w:lang w:bidi="fa-IR"/>
        </w:rPr>
        <w:t>اگر در بریدن دست چپ نیز همین خوف و احتمال عقلایی باشد، مسأله روشن است که حقّ بریدنش را نداریم؛ بحث در جایی است که یا دست چپ صحیح است یا دکتر و طبیب خبر می‌دهد که قطع دست راست خطر جانی دارد؛ ولی در قطع دست چپ چنین عارضه‌ای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حاکم شرع چیست؟</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این است که ما نمی‌توانیم دست چپش را ببریم؛ زیرا، دلیلی بر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دلیل کلّی داشتیم که دست دزد باید در مرتبه‌ی اوّل بریده شود، در درجه‌ی اوّل دست راست و در درجه‌ی دوّم دست چپ،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عدم امکان اجرای قطع در دست</w:t>
      </w:r>
    </w:p>
    <w:p>
      <w:pPr>
        <w:pStyle w:val="BookText"/>
        <w:rPr/>
      </w:pPr>
      <w:r>
        <w:rPr>
          <w:rFonts w:ascii="IRNazanin" w:hAnsi="IRNazanin" w:eastAsia="IRNazanin"/>
          <w:color w:val="111111"/>
          <w:sz w:val="28"/>
          <w:sz w:val="28"/>
          <w:szCs w:val="28"/>
          <w:rtl w:val="true"/>
          <w:lang w:bidi="fa-IR"/>
        </w:rPr>
        <w:t>راست، نوبت به دست چپ می‌رسد؛ ولی چنین دلیلی در مقام ما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مرسله‌ای که در آینده مطرح می‌کنیم، امام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تقطع یمینه ولا رجله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بنابراین، با عدم امکان قطع دست راست، نوبت به قطع دست چپ یا پا نمی‌رسد، و سارق در این سرقتش بلا حدّ است، و دلیلی نداریم که سارق در مرتبه‌ی اول نمی‌تواند بدون حدّ باشد، یا باید به چیز دیگری منتقل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مباحث گذشته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فردی یک انگشت اصلی و انگشت ابهام داشته باشد، فقط همان انگشت اصلی را می‌برند و نباید انگشت شصت را جدا کنند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نتیجه‌ی این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اوّل، دست راست هرگونه باشد از صحیح و معیوب بریده می‌شود؛ مگر در صورتی که در قطع دست راست خطر جانی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حدّی ندارد</w:t>
      </w:r>
      <w:r>
        <w:rPr>
          <w:rFonts w:eastAsia="IRNazanin" w:cs="IRNazanin"/>
          <w:color w:val="111111"/>
          <w:sz w:val="28"/>
          <w:szCs w:val="28"/>
          <w:rtl w:val="true"/>
          <w:lang w:bidi="fa-IR"/>
        </w:rPr>
        <w:t>.</w:t>
      </w:r>
      <w:bookmarkStart w:id="494" w:name="pg16923_220298"/>
    </w:p>
    <w:p>
      <w:pPr>
        <w:pStyle w:val="BookText"/>
        <w:rPr/>
      </w:pPr>
      <w:bookmarkEnd w:id="4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مقطوع الیسار ومقطوع الیمین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للسارق یسار قطعت یمناه علی المشهور، وفی روایة صحیحة لا تقطع، والعمل علی المشهور، ولو کان له یمین حین ثبوت السرقة، فذهبت بعده لم تقطع الیسار</w:t>
      </w:r>
      <w:r>
        <w:rPr>
          <w:rFonts w:eastAsia="IRNazanin" w:cs="IRNazanin"/>
          <w:color w:val="111111"/>
          <w:sz w:val="28"/>
          <w:szCs w:val="28"/>
          <w:rtl w:val="true"/>
          <w:lang w:bidi="fa-IR"/>
        </w:rPr>
        <w:t>.]</w:t>
      </w:r>
    </w:p>
    <w:p>
      <w:pPr>
        <w:pStyle w:val="Heading4"/>
        <w:numPr>
          <w:ilvl w:val="3"/>
          <w:numId w:val="1"/>
        </w:numPr>
        <w:rPr/>
      </w:pPr>
      <w:bookmarkStart w:id="495" w:name="__RefHeading___Toc162449_3244359995"/>
      <w:bookmarkStart w:id="496" w:name="_Toc191"/>
      <w:bookmarkEnd w:id="495"/>
      <w:r>
        <w:rPr>
          <w:rtl w:val="true"/>
        </w:rPr>
        <w:t>حکم مقطوع الیسار ومقطوع الیمین</w:t>
      </w:r>
      <w:bookmarkEnd w:id="496"/>
    </w:p>
    <w:p>
      <w:pPr>
        <w:pStyle w:val="Heading5"/>
        <w:numPr>
          <w:ilvl w:val="4"/>
          <w:numId w:val="1"/>
        </w:numPr>
        <w:rPr/>
      </w:pPr>
      <w:bookmarkStart w:id="497" w:name="__RefHeading___Toc162451_3244359995"/>
      <w:bookmarkStart w:id="498" w:name="_Toc192"/>
      <w:bookmarkEnd w:id="497"/>
      <w:r>
        <w:rPr>
          <w:rtl w:val="true"/>
        </w:rPr>
        <w:t>اشاره</w:t>
      </w:r>
      <w:bookmarkEnd w:id="498"/>
    </w:p>
    <w:p>
      <w:pPr>
        <w:pStyle w:val="BookText"/>
        <w:rPr/>
      </w:pPr>
      <w:r>
        <w:rPr>
          <w:rFonts w:ascii="IRNazanin" w:hAnsi="IRNazanin" w:eastAsia="IRNazanin"/>
          <w:color w:val="111111"/>
          <w:sz w:val="28"/>
          <w:sz w:val="28"/>
          <w:szCs w:val="28"/>
          <w:rtl w:val="true"/>
          <w:lang w:bidi="fa-IR"/>
        </w:rPr>
        <w:t>این مسأله دو فرع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دزدی دست چپ نداشت، دست راستش به جهت سرقت قطع می‌گردد؛ هرچند در روایت صحیحه‌ای، عدم قطع آمده است، لیکن عمل بر قول مشهور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دزدی در هنگام سرقت، دست راست داشت ولی پس از سرقت، به سبب غیر حدّ سرقت قطع شده باشد، دست چپش به عنوان حدّ سرقت بریده نمی‌شود</w:t>
      </w:r>
      <w:r>
        <w:rPr>
          <w:rFonts w:eastAsia="IRNazanin" w:cs="IRNazanin"/>
          <w:color w:val="111111"/>
          <w:sz w:val="28"/>
          <w:szCs w:val="28"/>
          <w:rtl w:val="true"/>
          <w:lang w:bidi="fa-IR"/>
        </w:rPr>
        <w:t>.</w:t>
      </w:r>
    </w:p>
    <w:p>
      <w:pPr>
        <w:pStyle w:val="Heading5"/>
        <w:numPr>
          <w:ilvl w:val="4"/>
          <w:numId w:val="1"/>
        </w:numPr>
        <w:rPr/>
      </w:pPr>
      <w:bookmarkStart w:id="499" w:name="__RefHeading___Toc162453_3244359995"/>
      <w:bookmarkStart w:id="500" w:name="_Toc193"/>
      <w:bookmarkEnd w:id="499"/>
      <w:r>
        <w:rPr>
          <w:rtl w:val="true"/>
        </w:rPr>
        <w:t>فرع اوّل</w:t>
      </w:r>
      <w:r>
        <w:rPr>
          <w:rtl w:val="true"/>
        </w:rPr>
        <w:t xml:space="preserve">: </w:t>
      </w:r>
      <w:r>
        <w:rPr>
          <w:rtl w:val="true"/>
        </w:rPr>
        <w:t>حکم مقطوع الیسار</w:t>
      </w:r>
      <w:bookmarkEnd w:id="500"/>
    </w:p>
    <w:p>
      <w:pPr>
        <w:pStyle w:val="BookText"/>
        <w:rPr/>
      </w:pPr>
      <w:r>
        <w:rPr>
          <w:rFonts w:ascii="IRNazanin" w:hAnsi="IRNazanin" w:eastAsia="IRNazanin"/>
          <w:color w:val="111111"/>
          <w:sz w:val="28"/>
          <w:sz w:val="28"/>
          <w:szCs w:val="28"/>
          <w:rtl w:val="true"/>
          <w:lang w:bidi="fa-IR"/>
        </w:rPr>
        <w:t>مسأله سوّم تحریرالوسیله در موردی بود که سارق از نعمت دو دست بهره‌مند است، لیکن هر دو دست صحیح یا ناسالم بود و یا یکی معیوب و دیگری سالم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چهار صورت، باید دست راست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فرع مربوط به کسی است که دست چپ ندارد و دزدی کرده است، آیا دست راستش را می‌برند؟ فقدان دست چپ از جهت نقصان در خلقت باشد یا به خاطر قصاص بریده باشند، یا به سبب عارض دیگری جدا شده است، فرقی در حکم مسأله ندارد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رحمه الله در مبسوط</w:t>
      </w:r>
      <w:r>
        <w:rPr>
          <w:rStyle w:val="FootnoteAnchor"/>
          <w:rtl w:val="true"/>
        </w:rPr>
        <w:footnoteReference w:id="390"/>
      </w:r>
      <w:r>
        <w:rPr>
          <w:rFonts w:ascii="IRNazanin" w:hAnsi="IRNazanin" w:eastAsia="IRNazanin"/>
          <w:color w:val="111111"/>
          <w:sz w:val="28"/>
          <w:sz w:val="28"/>
          <w:szCs w:val="28"/>
          <w:rtl w:val="true"/>
          <w:lang w:bidi="fa-IR"/>
        </w:rPr>
        <w:t>و بیشتر فقها، بلکه به تعبیر صاحب جواهر علیه السلام</w:t>
      </w:r>
      <w:r>
        <w:rPr>
          <w:rStyle w:val="FootnoteAnchor"/>
          <w:rtl w:val="true"/>
        </w:rPr>
        <w:footnoteReference w:id="391"/>
      </w:r>
      <w:r>
        <w:rPr>
          <w:rFonts w:ascii="IRNazanin" w:hAnsi="IRNazanin" w:eastAsia="IRNazanin"/>
          <w:color w:val="111111"/>
          <w:sz w:val="28"/>
          <w:sz w:val="28"/>
          <w:szCs w:val="28"/>
          <w:rtl w:val="true"/>
          <w:lang w:bidi="fa-IR"/>
        </w:rPr>
        <w:t>و مرحوم امام، مشهور به قطع دست راست قائل‌اند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دست چپ مانع شمول اطلاق آیه‌ی وَالسَّارِقُ وَ السَّارِقَةُ فَاقْطَعُواْ أَیْدِیَهُمَا</w:t>
      </w:r>
      <w:r>
        <w:rPr>
          <w:rStyle w:val="FootnoteAnchor"/>
          <w:rtl w:val="true"/>
        </w:rPr>
        <w:footnoteReference w:id="392"/>
      </w:r>
      <w:r>
        <w:rPr>
          <w:rFonts w:ascii="IRNazanin" w:hAnsi="IRNazanin" w:eastAsia="IRNazanin"/>
          <w:color w:val="111111"/>
          <w:sz w:val="28"/>
          <w:sz w:val="28"/>
          <w:szCs w:val="28"/>
          <w:rtl w:val="true"/>
          <w:lang w:bidi="fa-IR"/>
        </w:rPr>
        <w:t xml:space="preserve">نمی‌گردد، درست است آیه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w:t>
      </w:r>
    </w:p>
    <w:p>
      <w:pPr>
        <w:pStyle w:val="BookText"/>
        <w:rPr/>
      </w:pPr>
      <w:r>
        <w:rPr>
          <w:rFonts w:ascii="IRNazanin" w:hAnsi="IRNazanin" w:eastAsia="IRNazanin"/>
          <w:color w:val="111111"/>
          <w:sz w:val="28"/>
          <w:sz w:val="28"/>
          <w:szCs w:val="28"/>
          <w:rtl w:val="true"/>
          <w:lang w:bidi="fa-IR"/>
        </w:rPr>
        <w:t>کردیم، ولی پس از این تقیید، اطلاقش نسبت به دست راست محفوظ است؛ یعنی خواه دست چپ داشته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مشهور، روایت صحیح و معتبری است که بر عدم قطع دست راست در این صورت دلالت دارد و اسکافی رحمه الله بر آن فتوا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وبإسناده عن یونس بن عبدالرّحمن، عن عبدالرحمن بن الحجّاج،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عبداللَّه علیه السلام عن السّارق سرق فتقطع یده، ثمّ یسرق فقطع رجله، ثمّ یسرق، هل علیه قطع؟ فقال فی کتاب علیّ علیه السلام إنّ رسول اللَّه صلی الله علیه و آله مضی قبل أن یقطع أکثر من ید ورجل، وکان علیّ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لأستحیی من ربّی أن لا أدع له یداً یستنجی بها أو رجلًا یمشی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قطعت یده الیسری فی قصاص فسرق ما یصنع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یقطع، ولا یترک بغیر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أنّ رجلًا قطعت یده الیمنی فی قصاص ثمّ قطع ید رجل أیقتصّ منه، أم 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یترک فی حقّ اللَّه عزّ وجلّ، فأمّا فی حقوق النّاس فیقتصّ منه فی الأربع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صحیحه‌ی به تمام معنا، راوی از امام صادق علیه السلام در مورد سارقی که دست راست و پای چپش را بریدند، و بار دیگر مرتکب سرقت شد، می‌پرسد که حکمش چیست؟ آیا باز قطع دست و پا درباره‌ی او هست؟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علیه السلام این جمله وجود دارد که رسول خدا صلی الله علیه و آله از دنیا رفت در حالی که در مورد سارق بیش از یک دست و یک پا قطع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 که وحی فقط در محدوده‌ی قطع دست و پا بوده است نه بیشتر، در مرتبه‌ی سوّم قطعی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حیا می‌کنم سارق را بدون دستی که با آن تطهیر و پایی که بر آن راه برود رها سازم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چپ سارقی را به جهت قصاص بریدند، سپس دزدی کرد، با او</w:t>
      </w:r>
    </w:p>
    <w:p>
      <w:pPr>
        <w:pStyle w:val="BookText"/>
        <w:rPr/>
      </w:pPr>
      <w:r>
        <w:rPr>
          <w:rFonts w:ascii="IRNazanin" w:hAnsi="IRNazanin" w:eastAsia="IRNazanin"/>
          <w:color w:val="111111"/>
          <w:sz w:val="28"/>
          <w:sz w:val="28"/>
          <w:szCs w:val="28"/>
          <w:rtl w:val="true"/>
          <w:lang w:bidi="fa-IR"/>
        </w:rPr>
        <w:t>چه می‌کنند؟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راستش را نمی‌برند و او را بدون ساق رها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لایترک بغیر ساق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در مورد سرقت و مرتبه‌ی اوّل حدّ است؛ در صورتی که مسأله پا و ساق مربوط به مرتبه‌ی دوّم حدّ سرقت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این جمله چیست؟</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مرتبه‌ی دوّم پا را از کعب و برآمدگی روی پا می‌برند، و کاری به ساق ندارند؛ حتّی اگر از مفصل ساق نیز قطع کنند، باز ساق در جای خودش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این که در مرتبه‌ی اوّل از ساق بریده شود،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 بغیر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بر فرض که ساق دست چپ را بریدیم، ساق در دست راست محفوظ است؛ بنابراین، روایت اجمال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ساق به معنای پا نیست، بلکه به معنای امر مشکل، سخت و غیرآسان است؛ لذا، معنای روایت این است که اگر کسی دست چپ ندارد و سرقت کرده است، دست راستش را نمی‌برند؛ ولی او را بدون عقوبت رها نمی‌کنند؛ بلکه به یک امر مشکل و سخت مانند تعزیر او را تأدیب می‌کنند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به هر حال، روایت نسبت به این جمله مجمل باقی می‌ماند؛ ولی این اجمال ضرری به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نمی‌زند؛ به‌خصوص به قرینه‌ی ذیل روایت که راوی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مردی دست راستش به سبب قصاص قطع شده بود و او جنایتی انجام داد، دست دیگری را برید، آیا بار دیگر قصاص می‌شود؟ یعنی دست چپش را می‌برند و او را بدون دست می‌گذارند؟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مورد رعایت این فرد گفتیم مربوط به حقّ خدا است که باید دستی باقی بماند تا تطهیر کند، پایی بماند تا بر آن راه برود؛ ولی قصاص حق الناس است، و کاری ندارند دست و پایی باقی می‌ماند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قصاص هر چهار دست و پا نیز قطع می‌گردد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ذیل روایت به صورت یک ضابطه و قاعده‌ی کلّی در تأیید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صدر روایت است؛ و از آن استفاده می‌شود کسی که دست چپ ندارد، نباید دست راستش را</w:t>
      </w:r>
      <w:bookmarkStart w:id="501" w:name="pg16923_220301"/>
    </w:p>
    <w:p>
      <w:pPr>
        <w:pStyle w:val="BookText"/>
        <w:rPr/>
      </w:pPr>
      <w:bookmarkEnd w:id="501"/>
      <w:r>
        <w:rPr>
          <w:rFonts w:ascii="IRNazanin" w:hAnsi="IRNazanin" w:eastAsia="IRNazanin"/>
          <w:color w:val="111111"/>
          <w:sz w:val="28"/>
          <w:sz w:val="28"/>
          <w:szCs w:val="28"/>
          <w:rtl w:val="true"/>
          <w:lang w:bidi="fa-IR"/>
        </w:rPr>
        <w:t>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آن‌چه گفتیم، اجمال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لایترک بغیر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ضربه‌ای به این دلالت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دلالتش ظاهر و مورد اعتماد نزد عقلا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استدلال به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که به این روایت عمل کرده، ابوعلی اسکافی رحمه الله است و مشهور از آن اعراض کرده‌اند؛ اگر کسی اعراض مشهور را موهن و قادح در حجّیت بداند، باید روایت را همان‌گونه که امام راحل رحمه الله کنار گذاشتند، طرح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اعراض مشهور را سبب سقوط روایت از حجّیت نداند، باید بر طبق آن، به عدم قطع دست راست سارق در موردی که دست چپ ندارد، فتوا دهد؛ در این صورت، به جای اجرای حدّ، سارق را تعزیر می‌کنند</w:t>
      </w:r>
      <w:r>
        <w:rPr>
          <w:rFonts w:eastAsia="IRNazanin" w:cs="IRNazanin"/>
          <w:color w:val="111111"/>
          <w:sz w:val="28"/>
          <w:szCs w:val="28"/>
          <w:rtl w:val="true"/>
          <w:lang w:bidi="fa-IR"/>
        </w:rPr>
        <w:t>.</w:t>
      </w:r>
    </w:p>
    <w:p>
      <w:pPr>
        <w:pStyle w:val="Heading5"/>
        <w:numPr>
          <w:ilvl w:val="4"/>
          <w:numId w:val="1"/>
        </w:numPr>
        <w:rPr/>
      </w:pPr>
      <w:bookmarkStart w:id="502" w:name="__RefHeading___Toc162455_3244359995"/>
      <w:bookmarkStart w:id="503" w:name="_Toc194"/>
      <w:bookmarkEnd w:id="502"/>
      <w:r>
        <w:rPr>
          <w:rtl w:val="true"/>
        </w:rPr>
        <w:t>فرع دوّم</w:t>
      </w:r>
      <w:r>
        <w:rPr>
          <w:rtl w:val="true"/>
        </w:rPr>
        <w:t xml:space="preserve">: </w:t>
      </w:r>
      <w:r>
        <w:rPr>
          <w:rtl w:val="true"/>
        </w:rPr>
        <w:t>حکم مقطوع الیمین</w:t>
      </w:r>
      <w:bookmarkEnd w:id="503"/>
    </w:p>
    <w:p>
      <w:pPr>
        <w:pStyle w:val="BookText"/>
        <w:rPr/>
      </w:pPr>
      <w:r>
        <w:rPr>
          <w:rFonts w:ascii="IRNazanin" w:hAnsi="IRNazanin" w:eastAsia="IRNazanin"/>
          <w:color w:val="111111"/>
          <w:sz w:val="28"/>
          <w:sz w:val="28"/>
          <w:szCs w:val="28"/>
          <w:rtl w:val="true"/>
          <w:lang w:bidi="fa-IR"/>
        </w:rPr>
        <w:t>اگر سارقی در زمان سرقت دست راست داشت ولی پیش از اجرای حدّ، دست راستش قطع شد، آیا دست چپش قطع می‌گردد؟</w:t>
      </w:r>
    </w:p>
    <w:p>
      <w:pPr>
        <w:pStyle w:val="BookText"/>
        <w:rPr/>
      </w:pPr>
      <w:r>
        <w:rPr>
          <w:rFonts w:ascii="IRNazanin" w:hAnsi="IRNazanin" w:eastAsia="IRNazanin"/>
          <w:color w:val="111111"/>
          <w:sz w:val="28"/>
          <w:sz w:val="28"/>
          <w:szCs w:val="28"/>
          <w:rtl w:val="true"/>
          <w:lang w:bidi="fa-IR"/>
        </w:rPr>
        <w:t>دلیلی بر ثبوت قطع نسبت به دست چپ نداریم؛ زیرا، دست راست موضوع اجرای حدّ بود که حالا از بین رفته و مجرّد حکم حاکم علّت جاری شدن حکم در دست چپ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حاکم شرعی حکم کرد زید را به علّت زنای با محارم به قتل برسانند، قبل از اجرای حدّ، در راه سکته کرد و مرد، آیا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به جای او بکشند تا حکم حاکم اجرا شده باشد؟ از این رو، در این بحث، به علّت نبودن موضوع اجرای حدّ، حدّ قطع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دیگر آن است که آیا پس از سقوط حدّ، تعزیر ثابت می‌گردد؟</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 مخصوص به موردی است که قبل از آن حکمی از حاکم نداشته باشیم؛ اما اگر حاکم حکم داد و به علّتی آن حکم اجرا نشد، برای حکم جدید و تعزیر وجهی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احتمال قوی در این مورد، نه انتقال به دست چپ هست و نه تعزیر</w:t>
      </w:r>
      <w:r>
        <w:rPr>
          <w:rFonts w:eastAsia="IRNazanin" w:cs="IRNazanin"/>
          <w:color w:val="111111"/>
          <w:sz w:val="28"/>
          <w:szCs w:val="28"/>
          <w:rtl w:val="true"/>
          <w:lang w:bidi="fa-IR"/>
        </w:rPr>
        <w:t>.</w:t>
      </w:r>
      <w:bookmarkStart w:id="504" w:name="pg16923_220302"/>
    </w:p>
    <w:p>
      <w:pPr>
        <w:pStyle w:val="BookText"/>
        <w:rPr/>
      </w:pPr>
      <w:bookmarkEnd w:id="5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مقطوع الیمین فی حال السرقة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سرق ولیس له الیمنی،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مقطوعة فی القصاص أو غیر ذلک وکانت له الیسری قطعت یسراه، فإن لم تکن له أیضاً الیسری قطعت رجله الیسری، فإن لم یکن له رجل لم یکن علیه أکثر من الحبس، والأشبه فی جمیع ذلک سقوط الحدّ والانتقال إلی التعزیر</w:t>
      </w:r>
      <w:r>
        <w:rPr>
          <w:rFonts w:eastAsia="IRNazanin" w:cs="IRNazanin"/>
          <w:color w:val="111111"/>
          <w:sz w:val="28"/>
          <w:szCs w:val="28"/>
          <w:rtl w:val="true"/>
          <w:lang w:bidi="fa-IR"/>
        </w:rPr>
        <w:t>.]</w:t>
      </w:r>
    </w:p>
    <w:p>
      <w:pPr>
        <w:pStyle w:val="Heading4"/>
        <w:numPr>
          <w:ilvl w:val="3"/>
          <w:numId w:val="1"/>
        </w:numPr>
        <w:rPr/>
      </w:pPr>
      <w:bookmarkStart w:id="505" w:name="__RefHeading___Toc162457_3244359995"/>
      <w:bookmarkStart w:id="506" w:name="_Toc195"/>
      <w:bookmarkEnd w:id="505"/>
      <w:r>
        <w:rPr>
          <w:rtl w:val="true"/>
        </w:rPr>
        <w:t>حکم مقطوع الیمین در حال سرقت</w:t>
      </w:r>
      <w:bookmarkEnd w:id="506"/>
    </w:p>
    <w:p>
      <w:pPr>
        <w:pStyle w:val="Heading5"/>
        <w:numPr>
          <w:ilvl w:val="4"/>
          <w:numId w:val="1"/>
        </w:numPr>
        <w:rPr/>
      </w:pPr>
      <w:bookmarkStart w:id="507" w:name="__RefHeading___Toc162459_3244359995"/>
      <w:bookmarkStart w:id="508" w:name="_Toc196"/>
      <w:bookmarkEnd w:id="507"/>
      <w:r>
        <w:rPr>
          <w:rtl w:val="true"/>
        </w:rPr>
        <w:t>اشاره</w:t>
      </w:r>
      <w:bookmarkEnd w:id="508"/>
    </w:p>
    <w:p>
      <w:pPr>
        <w:pStyle w:val="BookText"/>
        <w:rPr/>
      </w:pPr>
      <w:r>
        <w:rPr>
          <w:rFonts w:ascii="IRNazanin" w:hAnsi="IRNazanin" w:eastAsia="IRNazanin"/>
          <w:color w:val="111111"/>
          <w:sz w:val="28"/>
          <w:sz w:val="28"/>
          <w:szCs w:val="28"/>
          <w:rtl w:val="true"/>
          <w:lang w:bidi="fa-IR"/>
        </w:rPr>
        <w:t>مورد این فرع، سارقی است که در حین سرقت، فاقد دست راست باشد، خواه در اصل خلقت فاقد بوده یا به خاطر حادثه یا قصاصی دست راست او قطع شده باشد و بخواهند حدّ اول سرقت را درباره‌اش اجرا کنند، قائل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فاقد دست راست، دست چپ داشته باشد، آن را قطع می‌کنند؛ و اگر فاقد هر دو دست است، پای چپش را می‌برند؛ و اگر پا ندارد، حکمش فقط حبس و زندان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راحل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حدّ و انتقال به تعزیر به قواعد شبیه‌تر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کلام امام راحل رحمه الله این است که قائل واحدی گفته است با عدم وجود دست راست به قطع دست چپ و با عدم هر دو به قطع پای چپ منتقل می‌گردیم، در حالی که با مراجعه‌ی به منابع می‌بینیم برای ایشان در نقل اقوال اشتباهی رخ داده است؛ در حالی که اقوال مختلفی در قسمت اوّل یعنی فاقد دست راست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رحمه الله در کتاب نهایه،</w:t>
      </w:r>
      <w:r>
        <w:rPr>
          <w:rStyle w:val="FootnoteAnchor"/>
          <w:rtl w:val="true"/>
        </w:rPr>
        <w:footnoteReference w:id="394"/>
      </w:r>
      <w:r>
        <w:rPr>
          <w:rFonts w:ascii="IRNazanin" w:hAnsi="IRNazanin" w:eastAsia="IRNazanin"/>
          <w:color w:val="111111"/>
          <w:sz w:val="28"/>
          <w:sz w:val="28"/>
          <w:szCs w:val="28"/>
          <w:rtl w:val="true"/>
          <w:lang w:bidi="fa-IR"/>
        </w:rPr>
        <w:t>ابن‌حمزه رحمه الله در کتاب وسیله،</w:t>
      </w:r>
      <w:r>
        <w:rPr>
          <w:rStyle w:val="FootnoteAnchor"/>
          <w:rtl w:val="true"/>
        </w:rPr>
        <w:footnoteReference w:id="395"/>
      </w:r>
      <w:r>
        <w:rPr>
          <w:rFonts w:ascii="IRNazanin" w:hAnsi="IRNazanin" w:eastAsia="IRNazanin"/>
          <w:color w:val="111111"/>
          <w:sz w:val="28"/>
          <w:sz w:val="28"/>
          <w:szCs w:val="28"/>
          <w:rtl w:val="true"/>
          <w:lang w:bidi="fa-IR"/>
        </w:rPr>
        <w:t>قاضی ابن برّاج رحمه الله در کتاب کامل</w:t>
      </w:r>
      <w:r>
        <w:rPr>
          <w:rStyle w:val="FootnoteAnchor"/>
          <w:rtl w:val="true"/>
        </w:rPr>
        <w:footnoteReference w:id="396"/>
      </w:r>
      <w:r>
        <w:rPr>
          <w:rFonts w:ascii="IRNazanin" w:hAnsi="IRNazanin" w:eastAsia="IRNazanin"/>
          <w:color w:val="111111"/>
          <w:sz w:val="28"/>
          <w:sz w:val="28"/>
          <w:szCs w:val="28"/>
          <w:rtl w:val="true"/>
          <w:lang w:bidi="fa-IR"/>
        </w:rPr>
        <w:t>معتقدند حدّ در این صورت بر دست چپ پیاده می‌شود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رحمه الله در کتاب مبسوط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نزد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این است که اصحاب به این معنا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به پای چپ است؛ یعنی حدّ مرتبه‌ی دوّم جانشین حدّ</w:t>
      </w:r>
      <w:bookmarkStart w:id="509" w:name="pg16923_220303"/>
    </w:p>
    <w:p>
      <w:pPr>
        <w:pStyle w:val="BookText"/>
        <w:rPr/>
      </w:pPr>
      <w:bookmarkEnd w:id="509"/>
      <w:r>
        <w:rPr>
          <w:rFonts w:ascii="IRNazanin" w:hAnsi="IRNazanin" w:eastAsia="IRNazanin"/>
          <w:color w:val="111111"/>
          <w:sz w:val="28"/>
          <w:sz w:val="28"/>
          <w:szCs w:val="28"/>
          <w:rtl w:val="true"/>
          <w:lang w:bidi="fa-IR"/>
        </w:rPr>
        <w:t>اول سرقت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قول اول یعنی انتقال به دست چپ نیز روایت شده است</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قاضی ابن برّاج رحمه الله نیز در مهذّب از شیخ طوسی رحمه الله تبعیّت کرده است</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حدّ به‌طور کلّی و انتقال به تعزیر؛ زیرا، با عدم دست راست، دلیلی بر انتقال به دست یا پای چپ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شارع در حقّ این سارق ارفاق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در شرایع این نظر را اختیار می‌کند</w:t>
      </w:r>
      <w:r>
        <w:rPr>
          <w:rStyle w:val="FootnoteAnchor"/>
          <w:rtl w:val="true"/>
        </w:rPr>
        <w:footnoteReference w:id="399"/>
      </w:r>
      <w:r>
        <w:rPr>
          <w:rFonts w:ascii="IRNazanin" w:hAnsi="IRNazanin" w:eastAsia="IRNazanin"/>
          <w:color w:val="111111"/>
          <w:sz w:val="28"/>
          <w:sz w:val="28"/>
          <w:szCs w:val="28"/>
          <w:rtl w:val="true"/>
          <w:lang w:bidi="fa-IR"/>
        </w:rPr>
        <w:t>و ابن‌ادریس رحمه الله نیز در پاره از فروض به تعزیر تصریح دارد</w:t>
      </w:r>
      <w:r>
        <w:rPr>
          <w:rFonts w:eastAsia="IRNazanin" w:cs="IRNazanin"/>
          <w:color w:val="111111"/>
          <w:sz w:val="28"/>
          <w:szCs w:val="28"/>
          <w:rtl w:val="true"/>
          <w:lang w:bidi="fa-IR"/>
        </w:rPr>
        <w:t>.</w:t>
      </w:r>
      <w:r>
        <w:rPr>
          <w:rStyle w:val="FootnoteAnchor"/>
          <w:rtl w:val="true"/>
        </w:rPr>
        <w:footnoteReference w:id="400"/>
      </w:r>
    </w:p>
    <w:p>
      <w:pPr>
        <w:pStyle w:val="Heading5"/>
        <w:numPr>
          <w:ilvl w:val="4"/>
          <w:numId w:val="1"/>
        </w:numPr>
        <w:rPr/>
      </w:pPr>
      <w:bookmarkStart w:id="510" w:name="__RefHeading___Toc162461_3244359995"/>
      <w:bookmarkStart w:id="511" w:name="_Toc197"/>
      <w:bookmarkEnd w:id="510"/>
      <w:r>
        <w:rPr>
          <w:rtl w:val="true"/>
        </w:rPr>
        <w:t xml:space="preserve">دلیل قول اوّل </w:t>
      </w:r>
      <w:r>
        <w:rPr>
          <w:rtl w:val="true"/>
        </w:rPr>
        <w:t>(</w:t>
      </w:r>
      <w:r>
        <w:rPr>
          <w:rtl w:val="true"/>
        </w:rPr>
        <w:t>انتقال قطع به دست چپ</w:t>
      </w:r>
      <w:r>
        <w:rPr>
          <w:rtl w:val="true"/>
        </w:rPr>
        <w:t>)</w:t>
      </w:r>
      <w:bookmarkEnd w:id="511"/>
    </w:p>
    <w:p>
      <w:pPr>
        <w:pStyle w:val="Heading6"/>
        <w:numPr>
          <w:ilvl w:val="5"/>
          <w:numId w:val="1"/>
        </w:numPr>
        <w:rPr/>
      </w:pPr>
      <w:bookmarkStart w:id="512" w:name="__RefHeading___Toc162463_3244359995"/>
      <w:bookmarkStart w:id="513" w:name="_Toc198"/>
      <w:bookmarkEnd w:id="512"/>
      <w:r>
        <w:rPr>
          <w:rtl w:val="true"/>
        </w:rPr>
        <w:t>اشاره</w:t>
      </w:r>
      <w:bookmarkEnd w:id="513"/>
    </w:p>
    <w:p>
      <w:pPr>
        <w:pStyle w:val="BookText"/>
        <w:rPr/>
      </w:pPr>
      <w:r>
        <w:rPr>
          <w:rFonts w:ascii="IRNazanin" w:hAnsi="IRNazanin" w:eastAsia="IRNazanin"/>
          <w:color w:val="111111"/>
          <w:sz w:val="28"/>
          <w:sz w:val="28"/>
          <w:szCs w:val="28"/>
          <w:rtl w:val="true"/>
          <w:lang w:bidi="fa-IR"/>
        </w:rPr>
        <w:t>دلیل قول اوّل در ابتدا، قوی به‌نظر می‌رسد؛ زیرا،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آیه‌ی شریفه‌ی وَالسَّارِقُ وَ السَّارِقَةُ فَاقْطَعُواْ أَیْدِیَهُمَا</w:t>
      </w:r>
      <w:r>
        <w:rPr>
          <w:rStyle w:val="FootnoteAnchor"/>
          <w:rtl w:val="true"/>
        </w:rPr>
        <w:footnoteReference w:id="401"/>
      </w:r>
      <w:r>
        <w:rPr>
          <w:rFonts w:ascii="IRNazanin" w:hAnsi="IRNazanin" w:eastAsia="IRNazanin"/>
          <w:color w:val="111111"/>
          <w:sz w:val="28"/>
          <w:sz w:val="28"/>
          <w:szCs w:val="28"/>
          <w:rtl w:val="true"/>
          <w:lang w:bidi="fa-IR"/>
        </w:rPr>
        <w:t>شامل دست راست و چپ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 را به روایاتی که مقصود از دست را در آیه معیّن می‌کرد، مقیّد کردیم؛ لیکن سؤال این است که آیا آیه‌ی شریفه به‌طور مطلق به دست راست تقیید می‌شود یا فقط در خصوص موردی که دست راستی وجود داشته باشد؟</w:t>
      </w:r>
    </w:p>
    <w:p>
      <w:pPr>
        <w:pStyle w:val="BookText"/>
        <w:rPr/>
      </w:pPr>
      <w:r>
        <w:rPr>
          <w:rFonts w:ascii="IRNazanin" w:hAnsi="IRNazanin" w:eastAsia="IRNazanin"/>
          <w:color w:val="111111"/>
          <w:sz w:val="28"/>
          <w:sz w:val="28"/>
          <w:szCs w:val="28"/>
          <w:rtl w:val="true"/>
          <w:lang w:bidi="fa-IR"/>
        </w:rPr>
        <w:t>در صورتی که دست راست وجود دارد،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آیه به دست راست مقیّد شده است، امّا در فرضی که فاقد دست راست باشد، به چه دلیل از اطلاق آیه دست برداریم؟ به اطلاق آیه تمسّک کرده،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دست سارق قطع گردد، لذا دست چپش را می‌بریم</w:t>
      </w:r>
      <w:r>
        <w:rPr>
          <w:rFonts w:eastAsia="IRNazanin" w:cs="IRNazanin"/>
          <w:color w:val="111111"/>
          <w:sz w:val="28"/>
          <w:szCs w:val="28"/>
          <w:rtl w:val="true"/>
          <w:lang w:bidi="fa-IR"/>
        </w:rPr>
        <w:t>.</w:t>
      </w:r>
    </w:p>
    <w:p>
      <w:pPr>
        <w:pStyle w:val="Heading6"/>
        <w:numPr>
          <w:ilvl w:val="5"/>
          <w:numId w:val="1"/>
        </w:numPr>
        <w:rPr/>
      </w:pPr>
      <w:bookmarkStart w:id="514" w:name="__RefHeading___Toc162465_3244359995"/>
      <w:bookmarkStart w:id="515" w:name="_Toc199"/>
      <w:bookmarkEnd w:id="514"/>
      <w:r>
        <w:rPr>
          <w:rtl w:val="true"/>
        </w:rPr>
        <w:t>نقد دلیل قول اوّل</w:t>
      </w:r>
      <w:bookmarkEnd w:id="515"/>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این است که همان طور که دلیل مطلق اطلاق دارد، دلیل مقیّد نیز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مقیّدی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رقبة 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تقیید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رقبة</w:t>
      </w:r>
      <w:r>
        <w:rPr>
          <w:rFonts w:eastAsia="IRNazanin" w:cs="IRNazanin"/>
          <w:color w:val="111111"/>
          <w:sz w:val="28"/>
          <w:szCs w:val="28"/>
          <w:rtl w:val="true"/>
          <w:lang w:bidi="fa-IR"/>
        </w:rPr>
        <w:t>»</w:t>
      </w:r>
      <w:bookmarkStart w:id="516" w:name="pg16923_220304"/>
    </w:p>
    <w:p>
      <w:pPr>
        <w:pStyle w:val="BookText"/>
        <w:rPr/>
      </w:pPr>
      <w:bookmarkEnd w:id="516"/>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مختصّ به موردی است که رقبه‌ی مؤمنه وجود داشته باشد؟ و با عدم آن می‌توان رقبه‌ی کافره را آزاد کرد؟ یا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دلیل مطلق، اطلاق دارد، دلیل مقیّد هم اطلاق دارد؟ یعنی دلیل مقیّد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رقبه‌ی کافره به هیچ دردی نمی‌خورد و اصلًا فایده ندارد، خواه رقبه‌ی مؤمنه‌ای باشد یا نباشد، و اطلاق دلیل مقیّد همانند خود دلیل مقیّد حاکم بر اطلاق دلیل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رقبة 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رقبه‌ی کافره از دایره‌ی حکم دلیل مطلق است، خواه رقبه‌ی مؤمنی در کار باشد یا نه؛ وقتی این دلیل با دلیل مطلق روبرو شد، نتیجه می‌دهد حکم واقعی عتق رقبه‌ی مؤمنه است و نوبت به رقبه‌ی کافر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آیه‌ی شریفه،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فاقطعوا أیدیهما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و چپ را شامل می‌گردد؛ و روایات بسیاری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دست راست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مطلق است یعنی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ندارد سارق دست چپی داشته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مقصود خداوند قطع دست راست است و دست چپ به هیچ وجه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وجود چنین اطلاقی برای دلیل مقیّد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آیه به فرضی که دست راست وجود دارد، تقیید می‌شود و با عدم دست راست نوبت به دست چپ می‌رسد</w:t>
      </w:r>
      <w:r>
        <w:rPr>
          <w:rFonts w:eastAsia="IRNazanin" w:cs="IRNazanin"/>
          <w:color w:val="111111"/>
          <w:sz w:val="28"/>
          <w:szCs w:val="28"/>
          <w:rtl w:val="true"/>
          <w:lang w:bidi="fa-IR"/>
        </w:rPr>
        <w:t>.</w:t>
      </w:r>
    </w:p>
    <w:p>
      <w:pPr>
        <w:pStyle w:val="Heading5"/>
        <w:numPr>
          <w:ilvl w:val="4"/>
          <w:numId w:val="1"/>
        </w:numPr>
        <w:rPr/>
      </w:pPr>
      <w:bookmarkStart w:id="517" w:name="__RefHeading___Toc162467_3244359995"/>
      <w:bookmarkStart w:id="518" w:name="_Toc200"/>
      <w:bookmarkEnd w:id="517"/>
      <w:r>
        <w:rPr>
          <w:rtl w:val="true"/>
        </w:rPr>
        <w:t xml:space="preserve">دلیل قول دوّم </w:t>
      </w:r>
      <w:r>
        <w:rPr>
          <w:rtl w:val="true"/>
        </w:rPr>
        <w:t>(</w:t>
      </w:r>
      <w:r>
        <w:rPr>
          <w:rtl w:val="true"/>
        </w:rPr>
        <w:t>انتقال قطع به پای چپ</w:t>
      </w:r>
      <w:r>
        <w:rPr>
          <w:rtl w:val="true"/>
        </w:rPr>
        <w:t>)</w:t>
      </w:r>
      <w:bookmarkEnd w:id="518"/>
    </w:p>
    <w:p>
      <w:pPr>
        <w:pStyle w:val="Heading6"/>
        <w:numPr>
          <w:ilvl w:val="5"/>
          <w:numId w:val="1"/>
        </w:numPr>
        <w:rPr/>
      </w:pPr>
      <w:bookmarkStart w:id="519" w:name="__RefHeading___Toc162469_3244359995"/>
      <w:bookmarkStart w:id="520" w:name="_Toc201"/>
      <w:bookmarkEnd w:id="519"/>
      <w:r>
        <w:rPr>
          <w:rtl w:val="true"/>
        </w:rPr>
        <w:t>اشاره</w:t>
      </w:r>
      <w:bookmarkEnd w:id="520"/>
    </w:p>
    <w:p>
      <w:pPr>
        <w:pStyle w:val="BookText"/>
        <w:rPr/>
      </w:pPr>
      <w:r>
        <w:rPr>
          <w:rFonts w:ascii="IRNazanin" w:hAnsi="IRNazanin" w:eastAsia="IRNazanin"/>
          <w:color w:val="111111"/>
          <w:sz w:val="28"/>
          <w:sz w:val="28"/>
          <w:szCs w:val="28"/>
          <w:rtl w:val="true"/>
          <w:lang w:bidi="fa-IR"/>
        </w:rPr>
        <w:t>دلیلش یک امر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باب حدّ سرقت، حدّ اوّل، قطع دست راست بود و در مرتبه‌ی دوّم قطع پای چپ و در مرتبه‌ی سوّم حبس، لذا اگر به واسطه عدم دست راست نمی‌توانیم حدّ اول را پیاده کنیم، حدّ مرتبه‌ی دوّم جایگزین آن می‌گردد</w:t>
      </w:r>
      <w:r>
        <w:rPr>
          <w:rFonts w:eastAsia="IRNazanin" w:cs="IRNazanin"/>
          <w:color w:val="111111"/>
          <w:sz w:val="28"/>
          <w:szCs w:val="28"/>
          <w:rtl w:val="true"/>
          <w:lang w:bidi="fa-IR"/>
        </w:rPr>
        <w:t>.</w:t>
      </w:r>
    </w:p>
    <w:p>
      <w:pPr>
        <w:pStyle w:val="Heading6"/>
        <w:numPr>
          <w:ilvl w:val="5"/>
          <w:numId w:val="1"/>
        </w:numPr>
        <w:rPr/>
      </w:pPr>
      <w:bookmarkStart w:id="521" w:name="__RefHeading___Toc162471_3244359995"/>
      <w:bookmarkStart w:id="522" w:name="_Toc202"/>
      <w:bookmarkEnd w:id="521"/>
      <w:r>
        <w:rPr>
          <w:rtl w:val="true"/>
        </w:rPr>
        <w:t>نقد دلیل قول دوّم</w:t>
      </w:r>
      <w:bookmarkEnd w:id="522"/>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حدّی را در مرتبه‌ی دوّم وضع کردند، معنایش این نیست که می‌تواند جانشین حدّ مرتبه‌ی اوّل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باقی می‌ماند که شیخ رحمه الله در مبسوط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قول اوّل روایت شده است</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ظاهر این عبارت، وجود روایت برای هر دو قول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قول اوّل فتوای مرحوم شیخ در کتاب نهایه است</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شیخ طوسی رحمه الله در کتاب نهایه مفاد روایات و نصوصی که از ائمّه علیهم السلام رسیده بود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این کتاب فقهی، معامله‌ی کتاب روایی می‌شود؛ زیرا، بنای شیخ رحمه الله این بوده که احکام موجود در روایات را به عین الفاظی که در روایات هست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وجود فتوای شیخ رحمه الله در نهایه به قول اوّل و گفتارش در مبسوط که قول اوّل روایت شده است، انسان دچار اشکال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کتاب نهایه فتوا نداده بود و در کتاب مبسوط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می‌گفتیم روایتی مرسله بر این مطلب رسیده که حجّت نیست؛ ولی با وجود فتوای او در نهایه نمی‌توان به آسانی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کلام، معامله‌ی روایات صحیح با فتاوای کتاب نهایه نیست؛ لیکن نمی‌توان آن‌ها را نیز به عنوان ارسال کنار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عبارت تحریرالوسیله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سرق ولیس له الیمنی،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کانت مقطوعة فی القصاص أو غیر ذلک وکانت له الیسری قطعت یسراه، فإن لم تکن له أیضاً الیسری قطعت رجله الیسری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تا این‌جا دنباله‌ی کلام قائل است؛ و در این صورت، با فتوای شیخ طوسی رحمه الله در مبسوط</w:t>
      </w:r>
      <w:r>
        <w:rPr>
          <w:rStyle w:val="FootnoteAnchor"/>
          <w:rtl w:val="true"/>
        </w:rPr>
        <w:footnoteReference w:id="404"/>
      </w:r>
      <w:r>
        <w:rPr>
          <w:rFonts w:ascii="IRNazanin" w:hAnsi="IRNazanin" w:eastAsia="IRNazanin"/>
          <w:color w:val="111111"/>
          <w:sz w:val="28"/>
          <w:sz w:val="28"/>
          <w:szCs w:val="28"/>
          <w:rtl w:val="true"/>
          <w:lang w:bidi="fa-IR"/>
        </w:rPr>
        <w:t>موافق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کاشف اللثام</w:t>
      </w:r>
      <w:r>
        <w:rPr>
          <w:rStyle w:val="FootnoteAnchor"/>
          <w:rtl w:val="true"/>
        </w:rPr>
        <w:footnoteReference w:id="405"/>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رحمه الله در نهایه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فاقد دست راست و چپ باشد، نوبت به پای راست می‌رسد؛ و اگر پا هم نداشته باشد، نوبت به حبس می‌رسد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فتوا دلیلی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مقطوع الیدین است، به چه دلیل نوبت به پای راست یا چپ می‌رسد؟ البتّه امکان دارد دلیل اعتباری برایش درست کنیم، و بگوییم قائل به قطع دست و پای راست، اقرب بودن آن را به دست راست در نظر گرفته است؛ و قائل به قطع پای چپ، به سبب این که بعد از دست نوبت به پای چپ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امور اعتباری نمی‌توان فتوا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کدام از روایاتی که داریم این مطلب نیست که در حدّ اوّل سرقت می‌توان</w:t>
      </w:r>
    </w:p>
    <w:p>
      <w:pPr>
        <w:pStyle w:val="BookText"/>
        <w:rPr/>
      </w:pPr>
      <w:r>
        <w:rPr>
          <w:rFonts w:ascii="IRNazanin" w:hAnsi="IRNazanin" w:eastAsia="IRNazanin"/>
          <w:color w:val="111111"/>
          <w:sz w:val="28"/>
          <w:sz w:val="28"/>
          <w:szCs w:val="28"/>
          <w:rtl w:val="true"/>
          <w:lang w:bidi="fa-IR"/>
        </w:rPr>
        <w:t>پا را به جای دست، و در فرض نبودن دو دست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همان‌طور که در صورت عدم دست و پا، ابن‌ادریس رحمه الله</w:t>
      </w:r>
      <w:r>
        <w:rPr>
          <w:rStyle w:val="FootnoteAnchor"/>
          <w:rtl w:val="true"/>
        </w:rPr>
        <w:footnoteReference w:id="406"/>
      </w:r>
      <w:r>
        <w:rPr>
          <w:rFonts w:ascii="IRNazanin" w:hAnsi="IRNazanin" w:eastAsia="IRNazanin"/>
          <w:color w:val="111111"/>
          <w:sz w:val="28"/>
          <w:sz w:val="28"/>
          <w:szCs w:val="28"/>
          <w:rtl w:val="true"/>
          <w:lang w:bidi="fa-IR"/>
        </w:rPr>
        <w:t>به تعزیر و مرحوم شیخ</w:t>
      </w:r>
      <w:r>
        <w:rPr>
          <w:rStyle w:val="FootnoteAnchor"/>
          <w:rtl w:val="true"/>
        </w:rPr>
        <w:footnoteReference w:id="407"/>
      </w:r>
      <w:r>
        <w:rPr>
          <w:rFonts w:ascii="IRNazanin" w:hAnsi="IRNazanin" w:eastAsia="IRNazanin"/>
          <w:color w:val="111111"/>
          <w:sz w:val="28"/>
          <w:sz w:val="28"/>
          <w:szCs w:val="28"/>
          <w:rtl w:val="true"/>
          <w:lang w:bidi="fa-IR"/>
        </w:rPr>
        <w:t>به حبس قائل شده، در این‌جا نیز باید به تعزیر قائل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رحمه الله در کتاب حلبیات که جواب مسائل مردم حلب است در چنین موردی، اوّل مسأله‌ی تعزیر را مطرح می‌کند و به دنبالش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انسان مسأله‌ی حبس را پیاده کند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صاحب جواهر رحمه الله در ردّ نظر شیخ رحمه الله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این معنا از کجا ثابت شده که بتوانیم در حدّ اوّل سرقت برای فاقد دست و پا حبس ابد را پیاده کنیم؟</w:t>
      </w:r>
      <w:r>
        <w:rPr>
          <w:rStyle w:val="FootnoteAnchor"/>
          <w:rtl w:val="true"/>
        </w:rPr>
        <w:footnoteReference w:id="409"/>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ادله‌ی حدّ سرقت، حدّ اوّل سرقت را حبس نمی‌گوید؛ و از طرفی دلیل اقامه نشده که در تمام مراتب سرقت باید حدّ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مانعی از ثبوت تعزیر نسبت به این فرد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اشبه به قواعد، بلکه اقرب ثبوت، تعزیر است؛ همان‌گونه که امام راحل، مرحوم محقّق رحمه الله و صاحب جواهر رحمه الله اختیار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دست راست ندارد، خواه واجد دست چپ باشد یا نه، پای راست و چپ داشته باشد یا نه، حدّ اول سرقت در مورد او ساقط و فقط تعزیر در حقّش ثابت است</w:t>
      </w:r>
      <w:r>
        <w:rPr>
          <w:rFonts w:eastAsia="IRNazanin" w:cs="IRNazanin"/>
          <w:color w:val="111111"/>
          <w:sz w:val="28"/>
          <w:szCs w:val="28"/>
          <w:rtl w:val="true"/>
          <w:lang w:bidi="fa-IR"/>
        </w:rPr>
        <w:t>.</w:t>
      </w:r>
      <w:bookmarkStart w:id="523" w:name="pg16923_220307"/>
    </w:p>
    <w:p>
      <w:pPr>
        <w:pStyle w:val="BookText"/>
        <w:rPr/>
      </w:pPr>
      <w:bookmarkEnd w:id="5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ما لو قطع الحدّاد الیسار مع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قطع الحدّاد یساره مع العلم حکماً وموضوعاً فعلیه القصاص ولا یسقط قطع الیمنی بالسرقة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قطع الیسری لاشتباه فی الحکم أو الموضوع فعلیه الدیة، فهل یسقط قطع الیمین بها؟ الأقوی ذلک</w:t>
      </w:r>
      <w:r>
        <w:rPr>
          <w:rFonts w:eastAsia="IRNazanin" w:cs="IRNazanin"/>
          <w:color w:val="111111"/>
          <w:sz w:val="28"/>
          <w:szCs w:val="28"/>
          <w:rtl w:val="true"/>
          <w:lang w:bidi="fa-IR"/>
        </w:rPr>
        <w:t>.]</w:t>
      </w:r>
    </w:p>
    <w:p>
      <w:pPr>
        <w:pStyle w:val="Heading4"/>
        <w:numPr>
          <w:ilvl w:val="3"/>
          <w:numId w:val="1"/>
        </w:numPr>
        <w:rPr/>
      </w:pPr>
      <w:bookmarkStart w:id="524" w:name="__RefHeading___Toc162473_3244359995"/>
      <w:bookmarkStart w:id="525" w:name="_Toc203"/>
      <w:bookmarkEnd w:id="524"/>
      <w:r>
        <w:rPr>
          <w:rtl w:val="true"/>
        </w:rPr>
        <w:t>حکم قطع دست چپ توسط مجری حدّ</w:t>
      </w:r>
      <w:bookmarkEnd w:id="525"/>
    </w:p>
    <w:p>
      <w:pPr>
        <w:pStyle w:val="Heading5"/>
        <w:numPr>
          <w:ilvl w:val="4"/>
          <w:numId w:val="1"/>
        </w:numPr>
        <w:rPr/>
      </w:pPr>
      <w:bookmarkStart w:id="526" w:name="__RefHeading___Toc162475_3244359995"/>
      <w:bookmarkStart w:id="527" w:name="_Toc204"/>
      <w:bookmarkEnd w:id="526"/>
      <w:r>
        <w:rPr>
          <w:rtl w:val="true"/>
        </w:rPr>
        <w:t>اشاره</w:t>
      </w:r>
      <w:bookmarkEnd w:id="527"/>
    </w:p>
    <w:p>
      <w:pPr>
        <w:pStyle w:val="BookText"/>
        <w:rPr/>
      </w:pPr>
      <w:r>
        <w:rPr>
          <w:rFonts w:ascii="IRNazanin" w:hAnsi="IRNazanin" w:eastAsia="IRNazanin"/>
          <w:color w:val="111111"/>
          <w:sz w:val="28"/>
          <w:sz w:val="28"/>
          <w:szCs w:val="28"/>
          <w:rtl w:val="true"/>
          <w:lang w:bidi="fa-IR"/>
        </w:rPr>
        <w:t>این مسأله دو فرع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ثبوت سرقت و حکم حاکم، مجری حدّ، عالم به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جدا کردن چهار انگشت دست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 به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تشخیص دادن دست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با این حال، دست چپ سارق را جدا کرد، سارق حقّ دارد به عنوان قصاص، انگشتان دست چپ مجری حدّ را قطع کند و قطع دست راست به واسطه‌ی سرقت ساقط نمی‌گردد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قطع دست چپ توسط مجری حدّ به خاطر اشتباه در حکم یا موضوع بود، باید دیه‌ی آن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این است که آیا قطع دست راست به واسطه‌ی این عمل ساقط می‌گردد؟ اقوا سقوط حدّ از دست راست است</w:t>
      </w:r>
      <w:r>
        <w:rPr>
          <w:rFonts w:eastAsia="IRNazanin" w:cs="IRNazanin"/>
          <w:color w:val="111111"/>
          <w:sz w:val="28"/>
          <w:szCs w:val="28"/>
          <w:rtl w:val="true"/>
          <w:lang w:bidi="fa-IR"/>
        </w:rPr>
        <w:t>.</w:t>
      </w:r>
    </w:p>
    <w:p>
      <w:pPr>
        <w:pStyle w:val="Heading5"/>
        <w:numPr>
          <w:ilvl w:val="4"/>
          <w:numId w:val="1"/>
        </w:numPr>
        <w:rPr/>
      </w:pPr>
      <w:bookmarkStart w:id="528" w:name="__RefHeading___Toc162477_3244359995"/>
      <w:bookmarkStart w:id="529" w:name="_Toc205"/>
      <w:bookmarkEnd w:id="528"/>
      <w:r>
        <w:rPr>
          <w:rtl w:val="true"/>
        </w:rPr>
        <w:t>فرع اوّل</w:t>
      </w:r>
      <w:r>
        <w:rPr>
          <w:rtl w:val="true"/>
        </w:rPr>
        <w:t xml:space="preserve">: </w:t>
      </w:r>
      <w:r>
        <w:rPr>
          <w:rtl w:val="true"/>
        </w:rPr>
        <w:t>قطع دست چپ توسّط مجری حدّ با علم به موضوع و حکم</w:t>
      </w:r>
      <w:bookmarkEnd w:id="529"/>
    </w:p>
    <w:p>
      <w:pPr>
        <w:pStyle w:val="BookText"/>
        <w:rPr/>
      </w:pPr>
      <w:r>
        <w:rPr>
          <w:rFonts w:ascii="IRNazanin" w:hAnsi="IRNazanin" w:eastAsia="IRNazanin"/>
          <w:color w:val="111111"/>
          <w:sz w:val="28"/>
          <w:sz w:val="28"/>
          <w:szCs w:val="28"/>
          <w:rtl w:val="true"/>
          <w:lang w:bidi="fa-IR"/>
        </w:rPr>
        <w:t>در این فرع از دو جهت بحث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مجری حدّ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حدّ سرقت از سارق ساقط می‌شود؟</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قصاص در حقّ مجری حدّ ثابت است و سارق می‌تواند انگشتان دست چپ او را به عنوان قصاص قطع کند؛ زیرا، قطع دست چپ سارق عمدی بوده و هیچ خطا و اشتباهی نیز در کار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قطع دست چپ را به جای قطع دست راست پذیرفت؟ زیرا، از سارق باید در مرحله‌ی اوّل دستی جدا شود و آن هم جدا شد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قطع شده به عنوان حدّ سرقت جدا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w:t>
      </w:r>
    </w:p>
    <w:p>
      <w:pPr>
        <w:pStyle w:val="BookText"/>
        <w:rPr/>
      </w:pPr>
      <w:r>
        <w:rPr>
          <w:rFonts w:ascii="IRNazanin" w:hAnsi="IRNazanin" w:eastAsia="IRNazanin"/>
          <w:color w:val="111111"/>
          <w:sz w:val="28"/>
          <w:sz w:val="28"/>
          <w:szCs w:val="28"/>
          <w:rtl w:val="true"/>
          <w:lang w:bidi="fa-IR"/>
        </w:rPr>
        <w:t>حدّ حکم افراد اجنبی را دارد؛ اگر شخصی قبل از اجرای حدّ سرقت، دست چپ سارق را قطع کند، مانعی در راه اجرای حدّ سرقت پدید می‌آید؟ دلیل سقوط حدّ سرقت چیست؟</w:t>
      </w:r>
    </w:p>
    <w:p>
      <w:pPr>
        <w:pStyle w:val="BookText"/>
        <w:rPr/>
      </w:pPr>
      <w:r>
        <w:rPr>
          <w:rFonts w:ascii="IRNazanin" w:hAnsi="IRNazanin" w:eastAsia="IRNazanin"/>
          <w:color w:val="111111"/>
          <w:sz w:val="28"/>
          <w:sz w:val="28"/>
          <w:szCs w:val="28"/>
          <w:rtl w:val="true"/>
          <w:lang w:bidi="fa-IR"/>
        </w:rPr>
        <w:t>در این بحث دست چپ سارق به عمد و علم قطع شده، موضوع ادلّه‌ی قصاص است؛ زیرا جنایتی از حدّاد سرزده است؛ اما دست راستش باید برای اجرای حدّ سرقت قطع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و اقوال آمده است که نباید دزد را بدون دست گذاشت؛ بلکه باید برای او دستی بماند تا با آن غذا بخورد، تطهیر کند و وظایفی که به عهده‌ی دست است را با آن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صحیحه‌ی عبدالرّحمان بن حجّاج امیرمؤمنان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لأستحیی من ربّی أن لا أدع له یداً یستنجی بها أو رجلًا یمشی علیها</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نقد این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این کلام به قدری نیست که با آن بتوان اطلاق ادلّه و آیه‌ی شریفه را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جنایت حدّاد، دست چپ سارق قطع شده است؛ چه ربطی دارد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دزدی حدّ ندارد و نباید مفاد آیه‌ی شریفه در حقّش اجرا گردد؟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امیرمؤمنان علیه السلام به دنبال این مطلب است که رسول خدا صلی الله علیه و آله از دنیا رفت در حالی که بیش از یک دست و پا قطع نکرد؛ لذا، مفاد کلامش این است که از سارق در رابطه با سرقتش بیش از یک دست و پا قطع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یا دو پا در رابطه با سرقت از سارق نمی‌بُرَم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با مقام ما هیچ تناسبی ندارد و ارتباطی بین مسأله قطع دست راست به جهت حدّ سرقت با قطع شدن دست چپ به سبب جنایت جانی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کیفیّتی باید برای سارق یک دست و پا باقی بماند، استدلال به روایت صحیح بود؛ امّا سخن در باب سرقت است، چرا دو دست یا دو پا را قطع نمی‌کنید؟ امام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حیا می‌کنم که دو دست سارق را ببرم و او را بدون دست بگذارم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دست چپ سارق به سبب دیگری قطع شده باشد، کلام امیرمؤمنان علیه السلام در</w:t>
      </w:r>
      <w:bookmarkStart w:id="530" w:name="pg16923_220309"/>
    </w:p>
    <w:p>
      <w:pPr>
        <w:pStyle w:val="BookText"/>
        <w:rPr/>
      </w:pPr>
      <w:bookmarkEnd w:id="530"/>
      <w:r>
        <w:rPr>
          <w:rFonts w:ascii="IRNazanin" w:hAnsi="IRNazanin" w:eastAsia="IRNazanin"/>
          <w:color w:val="111111"/>
          <w:sz w:val="28"/>
          <w:sz w:val="28"/>
          <w:szCs w:val="28"/>
          <w:rtl w:val="true"/>
          <w:lang w:bidi="fa-IR"/>
        </w:rPr>
        <w:t>این صحیحه نمی‌خواهد مانع اجرای حدّ در آن مورد هم باشد؛ وگرنه لازمه‌ی پذیرش و تعمیم این کلام به همه‌ی موارد، تعطیل حدّ الهی است</w:t>
      </w:r>
      <w:r>
        <w:rPr>
          <w:rFonts w:eastAsia="IRNazanin" w:cs="IRNazanin"/>
          <w:color w:val="111111"/>
          <w:sz w:val="28"/>
          <w:szCs w:val="28"/>
          <w:rtl w:val="true"/>
          <w:lang w:bidi="fa-IR"/>
        </w:rPr>
        <w:t>.</w:t>
      </w:r>
    </w:p>
    <w:p>
      <w:pPr>
        <w:pStyle w:val="Heading5"/>
        <w:numPr>
          <w:ilvl w:val="4"/>
          <w:numId w:val="1"/>
        </w:numPr>
        <w:rPr/>
      </w:pPr>
      <w:bookmarkStart w:id="531" w:name="__RefHeading___Toc162479_3244359995"/>
      <w:bookmarkStart w:id="532" w:name="_Toc206"/>
      <w:bookmarkEnd w:id="531"/>
      <w:r>
        <w:rPr>
          <w:rtl w:val="true"/>
        </w:rPr>
        <w:t>فرع دوّم</w:t>
      </w:r>
      <w:r>
        <w:rPr>
          <w:rtl w:val="true"/>
        </w:rPr>
        <w:t xml:space="preserve">: </w:t>
      </w:r>
      <w:r>
        <w:rPr>
          <w:rtl w:val="true"/>
        </w:rPr>
        <w:t>قطع دست چپ توسط مجری حدّ با اشتباه در موضوع یا حکم</w:t>
      </w:r>
      <w:bookmarkEnd w:id="532"/>
    </w:p>
    <w:p>
      <w:pPr>
        <w:pStyle w:val="Heading6"/>
        <w:numPr>
          <w:ilvl w:val="5"/>
          <w:numId w:val="1"/>
        </w:numPr>
        <w:rPr/>
      </w:pPr>
      <w:bookmarkStart w:id="533" w:name="__RefHeading___Toc162481_3244359995"/>
      <w:bookmarkStart w:id="534" w:name="_Toc207"/>
      <w:bookmarkEnd w:id="533"/>
      <w:r>
        <w:rPr>
          <w:rtl w:val="true"/>
        </w:rPr>
        <w:t>اشاره</w:t>
      </w:r>
      <w:bookmarkEnd w:id="534"/>
    </w:p>
    <w:p>
      <w:pPr>
        <w:pStyle w:val="BookText"/>
        <w:rPr/>
      </w:pPr>
      <w:r>
        <w:rPr>
          <w:rFonts w:ascii="IRNazanin" w:hAnsi="IRNazanin" w:eastAsia="IRNazanin"/>
          <w:color w:val="111111"/>
          <w:sz w:val="28"/>
          <w:sz w:val="28"/>
          <w:szCs w:val="28"/>
          <w:rtl w:val="true"/>
          <w:lang w:bidi="fa-IR"/>
        </w:rPr>
        <w:t>اگر حاکم شرع پس از ثبوت سرقت، فرمان به قطع دست راست سارق داد ولی حدّاد در گرفتن حکم یا پیاده کردنش بر دست راست اشتباه کرد و دست چپ دزد را برید، دو سؤال مطرح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مجری حدّ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حدّ سرقت از سارق ساقط می‌شود؟</w:t>
      </w:r>
    </w:p>
    <w:p>
      <w:pPr>
        <w:pStyle w:val="Heading6"/>
        <w:numPr>
          <w:ilvl w:val="5"/>
          <w:numId w:val="1"/>
        </w:numPr>
        <w:rPr/>
      </w:pPr>
      <w:bookmarkStart w:id="535" w:name="__RefHeading___Toc162483_3244359995"/>
      <w:bookmarkStart w:id="536" w:name="_Toc208"/>
      <w:bookmarkEnd w:id="535"/>
      <w:r>
        <w:rPr>
          <w:rtl w:val="true"/>
        </w:rPr>
        <w:t>جهت اوّل</w:t>
      </w:r>
      <w:r>
        <w:rPr>
          <w:rtl w:val="true"/>
        </w:rPr>
        <w:t xml:space="preserve">: </w:t>
      </w:r>
      <w:r>
        <w:rPr>
          <w:rtl w:val="true"/>
        </w:rPr>
        <w:t>عقوبت مجری حدّ</w:t>
      </w:r>
      <w:bookmarkEnd w:id="536"/>
    </w:p>
    <w:p>
      <w:pPr>
        <w:pStyle w:val="BookText"/>
        <w:rPr/>
      </w:pPr>
      <w:r>
        <w:rPr>
          <w:rFonts w:ascii="IRNazanin" w:hAnsi="IRNazanin" w:eastAsia="IRNazanin"/>
          <w:color w:val="111111"/>
          <w:sz w:val="28"/>
          <w:sz w:val="28"/>
          <w:szCs w:val="28"/>
          <w:rtl w:val="true"/>
          <w:lang w:bidi="fa-IR"/>
        </w:rPr>
        <w:t>از آن‌جا که موضوع قصاص، جنایت عمدی است؛ لذا، در رابطه با حدّاد، قصاصی ثابت نیست؛ زیرا در این مورد شبه عمد است که حکم خطا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سارق می‌تواند به مجری حدّ مراجعه و دیه بگیرد</w:t>
      </w:r>
      <w:r>
        <w:rPr>
          <w:rFonts w:eastAsia="IRNazanin" w:cs="IRNazanin"/>
          <w:color w:val="111111"/>
          <w:sz w:val="28"/>
          <w:szCs w:val="28"/>
          <w:rtl w:val="true"/>
          <w:lang w:bidi="fa-IR"/>
        </w:rPr>
        <w:t>.</w:t>
      </w:r>
    </w:p>
    <w:p>
      <w:pPr>
        <w:pStyle w:val="Heading6"/>
        <w:numPr>
          <w:ilvl w:val="5"/>
          <w:numId w:val="1"/>
        </w:numPr>
        <w:rPr/>
      </w:pPr>
      <w:bookmarkStart w:id="537" w:name="__RefHeading___Toc162485_3244359995"/>
      <w:bookmarkStart w:id="538" w:name="_Toc209"/>
      <w:bookmarkEnd w:id="537"/>
      <w:r>
        <w:rPr>
          <w:rtl w:val="true"/>
        </w:rPr>
        <w:t>جهت دوّم</w:t>
      </w:r>
      <w:r>
        <w:rPr>
          <w:rtl w:val="true"/>
        </w:rPr>
        <w:t xml:space="preserve">: </w:t>
      </w:r>
      <w:r>
        <w:rPr>
          <w:rtl w:val="true"/>
        </w:rPr>
        <w:t>سقوط حدّ سرقت از سارق</w:t>
      </w:r>
      <w:bookmarkEnd w:id="538"/>
    </w:p>
    <w:p>
      <w:pPr>
        <w:pStyle w:val="BookText"/>
        <w:rPr/>
      </w:pPr>
      <w:r>
        <w:rPr>
          <w:rFonts w:ascii="IRNazanin" w:hAnsi="IRNazanin" w:eastAsia="IRNazanin"/>
          <w:color w:val="111111"/>
          <w:sz w:val="28"/>
          <w:sz w:val="28"/>
          <w:szCs w:val="28"/>
          <w:rtl w:val="true"/>
          <w:lang w:bidi="fa-IR"/>
        </w:rPr>
        <w:t>اگر بخواهیم بر طبق ضوابط عمل کنیم،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نیز حدّ سرقت اجرا نشده است؛ هرچند حدّاد به خیال اجرای حدّ دست چپ را بریده است؛ لیکن حدّ الهی، قطع دست راست است که در خارج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مقام، روایتی داریم که معتبر و صحیحه است؛ هرچند صاحب جواهر رحمه الله آن را تضعیف کرده و فرموده جابری ندارد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عن علیّ بن إبراهیم، عن أبیه، وعن عدّة من أصحابنا، عن سهل‌بن زیاد جمیعاً، عن ابن أبی نجران، عن عاصم بن حمید، عن محمّد بن قیس،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 المؤمنین علیه السلام فی رجل أمر به أن تقطع یمینه، فقدّمت شماله فقطعوها وحسبوها یمینه،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قطعنا</w:t>
      </w:r>
    </w:p>
    <w:p>
      <w:pPr>
        <w:pStyle w:val="BookText"/>
        <w:rPr/>
      </w:pPr>
      <w:r>
        <w:rPr>
          <w:rFonts w:ascii="IRNazanin" w:hAnsi="IRNazanin" w:eastAsia="IRNazanin"/>
          <w:color w:val="111111"/>
          <w:sz w:val="28"/>
          <w:sz w:val="28"/>
          <w:szCs w:val="28"/>
          <w:rtl w:val="true"/>
          <w:lang w:bidi="fa-IR"/>
        </w:rPr>
        <w:t>شماله، أتقطع یمینه؟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لا تقطع یمینه، قد قطعت شماله </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سند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رحمه الله در کافی این حدیث را به دو سند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محمّد بن یعقوب از علی بن ابراهیم از پدرش ابراهیم بن هاشم از ابن ابی نجران از عاصم بن حمید عن محمّد بن قیس است که این سند صحیح است؛ زیرا، در گذشته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ابراهیم بن هاشم 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دوّم، مرحوم کلینی از عدّه‌ای از سهل بن زیاد از ابن ابی نجران از عاصم بن حمید از محمّد بن قیس نقل می‌کند؛ این سند مشتمل بر سهل بن زیاد است که در وثاقش بحث و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حدیث معتبر و صحیح است و نمی‌توان در سندش اشکال و مناقشه‌ای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به قطع دست راست مردی حکم نمود و فرمان اجرا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قطع دست، مجرم، دست چپ را به جای دست راست گذاشت و مجری خیال کرد دست راست است و آن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روشن شدن مسأله، نزد امام علیه السلام آمدند و واقعه را گفتند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دست راستش را ببریم؟</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اکنون که دست چپش را بریدید، دیگر دست راستش قطع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دلالت روایت</w:t>
      </w:r>
    </w:p>
    <w:p>
      <w:pPr>
        <w:pStyle w:val="BookText"/>
        <w:rPr/>
      </w:pPr>
      <w:r>
        <w:rPr>
          <w:rFonts w:ascii="IRNazanin" w:hAnsi="IRNazanin" w:eastAsia="IRNazanin"/>
          <w:color w:val="111111"/>
          <w:sz w:val="28"/>
          <w:sz w:val="28"/>
          <w:szCs w:val="28"/>
          <w:rtl w:val="true"/>
          <w:lang w:bidi="fa-IR"/>
        </w:rPr>
        <w:t>از این روایت نمی‌توان یک ضابطه‌ی کلّی را برای همه‌جا استفاده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دست چپ به هر صورتی قطع شد، نباید دست راست را به عنوان حدّ سرقت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روایت تصریح دارد که قطع دست برای اجرای حدّ سرقت بوده و در موضوع اشتباه شده است؛ ما حکم را به اشتباه حکم نیز تعمیم می‌دهیم، این مقدار قدر متیقّن از روایت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با وجود این روایت معتبر و صحیح، دست از قواعد و ضوابط برمی‌داریم؛ به‌گونه‌ای که اگر این روایت نبود، به قطع دست راست حکم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حدّ الهی هنوز اجرا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رحمه الله در کتاب مبسوط</w:t>
      </w:r>
      <w:r>
        <w:rPr>
          <w:rStyle w:val="FootnoteAnchor"/>
          <w:rtl w:val="true"/>
        </w:rPr>
        <w:footnoteReference w:id="412"/>
      </w:r>
      <w:r>
        <w:rPr>
          <w:rFonts w:ascii="IRNazanin" w:hAnsi="IRNazanin" w:eastAsia="IRNazanin"/>
          <w:color w:val="111111"/>
          <w:sz w:val="28"/>
          <w:sz w:val="28"/>
          <w:szCs w:val="28"/>
          <w:rtl w:val="true"/>
          <w:lang w:bidi="fa-IR"/>
        </w:rPr>
        <w:t>و علّامه رحمه الله در کتاب تحریر</w:t>
      </w:r>
      <w:r>
        <w:rPr>
          <w:rStyle w:val="FootnoteAnchor"/>
          <w:rtl w:val="true"/>
        </w:rPr>
        <w:footnoteReference w:id="413"/>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باید دستش قطع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رحمه الله روایت را ضعیف می‌داند و شهرت جابری را در کار نمی‌بیند و از این بزرگان تبعیّت کرده است</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مرحوم محقّق نیز مسأله را به صورت تردید واگذاشته است</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از طرفی علّامه‌ی حلّی رحمه الله در کتاب مختلف</w:t>
      </w:r>
      <w:r>
        <w:rPr>
          <w:rStyle w:val="FootnoteAnchor"/>
          <w:rtl w:val="true"/>
        </w:rPr>
        <w:footnoteReference w:id="416"/>
      </w:r>
      <w:r>
        <w:rPr>
          <w:rFonts w:ascii="IRNazanin" w:hAnsi="IRNazanin" w:eastAsia="IRNazanin"/>
          <w:color w:val="111111"/>
          <w:sz w:val="28"/>
          <w:sz w:val="28"/>
          <w:szCs w:val="28"/>
          <w:rtl w:val="true"/>
          <w:lang w:bidi="fa-IR"/>
        </w:rPr>
        <w:t>و دیگران به این روایت عمل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شهرتی بر خلاف روایت و مطابق آن ثابت نمی‌شود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 همان است که امام راحل قدس سره اختیار کرده‌اند؛ یعنی در صورتی که مجری حدّ به اشتباه دست سارق را قطع کند، دست راست را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نیز روایت صحیحه‌ی محمّد بن قیس است که سند و دلالتش تامّ و قابل اعتماد است</w:t>
      </w:r>
      <w:r>
        <w:rPr>
          <w:rFonts w:eastAsia="IRNazanin" w:cs="IRNazanin"/>
          <w:color w:val="111111"/>
          <w:sz w:val="28"/>
          <w:szCs w:val="28"/>
          <w:rtl w:val="true"/>
          <w:lang w:bidi="fa-IR"/>
        </w:rPr>
        <w:t>.</w:t>
      </w:r>
      <w:bookmarkStart w:id="539" w:name="pg16923_220312"/>
    </w:p>
    <w:p>
      <w:pPr>
        <w:pStyle w:val="BookText"/>
        <w:rPr/>
      </w:pPr>
      <w:bookmarkEnd w:id="5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سرایة الحدّ لیست مضمونة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سرایة الحدّ لیست مضمونة، لا علی الحاکم ولا علی الحدّاد، وإن اقیم فی حرّ أو برد، نعم، یستحبّ إقامته فی الصیف فی أطراف النهار، وفی الشتاء فی وسطه لتوقّی شدّة الحرّ والبرد</w:t>
      </w:r>
      <w:r>
        <w:rPr>
          <w:rFonts w:eastAsia="IRNazanin" w:cs="IRNazanin"/>
          <w:color w:val="111111"/>
          <w:sz w:val="28"/>
          <w:szCs w:val="28"/>
          <w:rtl w:val="true"/>
          <w:lang w:bidi="fa-IR"/>
        </w:rPr>
        <w:t>.]</w:t>
      </w:r>
    </w:p>
    <w:p>
      <w:pPr>
        <w:pStyle w:val="Heading4"/>
        <w:numPr>
          <w:ilvl w:val="3"/>
          <w:numId w:val="1"/>
        </w:numPr>
        <w:rPr/>
      </w:pPr>
      <w:bookmarkStart w:id="540" w:name="__RefHeading___Toc162487_3244359995"/>
      <w:bookmarkStart w:id="541" w:name="_Toc210"/>
      <w:bookmarkEnd w:id="540"/>
      <w:r>
        <w:rPr>
          <w:rtl w:val="true"/>
        </w:rPr>
        <w:t>سرایت حدّ به اعضای دیگر</w:t>
      </w:r>
      <w:bookmarkEnd w:id="541"/>
    </w:p>
    <w:p>
      <w:pPr>
        <w:pStyle w:val="Heading5"/>
        <w:numPr>
          <w:ilvl w:val="4"/>
          <w:numId w:val="1"/>
        </w:numPr>
        <w:rPr/>
      </w:pPr>
      <w:bookmarkStart w:id="542" w:name="__RefHeading___Toc162489_3244359995"/>
      <w:bookmarkStart w:id="543" w:name="_Toc211"/>
      <w:bookmarkEnd w:id="542"/>
      <w:r>
        <w:rPr>
          <w:rtl w:val="true"/>
        </w:rPr>
        <w:t>اشاره</w:t>
      </w:r>
      <w:bookmarkEnd w:id="543"/>
    </w:p>
    <w:p>
      <w:pPr>
        <w:pStyle w:val="BookText"/>
        <w:rPr/>
      </w:pPr>
      <w:r>
        <w:rPr>
          <w:rFonts w:ascii="IRNazanin" w:hAnsi="IRNazanin" w:eastAsia="IRNazanin"/>
          <w:color w:val="111111"/>
          <w:sz w:val="28"/>
          <w:sz w:val="28"/>
          <w:szCs w:val="28"/>
          <w:rtl w:val="true"/>
          <w:lang w:bidi="fa-IR"/>
        </w:rPr>
        <w:t>اگر انگشتان سارق را بریدند و جراحت بدنش با مداوا و علاج بهبودی یافت، بحثی نیست؛ امّا اگر این جراحت عفونت کرد و به اعضای دیگر سرایت کرد، گاه به حدّ مرگ نیز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حکم حاکم صحیح و مجری حدّ نیز همان حکم را بدون کم و کاست پیاده کرده باشد، هیچ کس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مسأله مربوط به جایی است که در اجرای حدّ، ترس خطر جانی بر مجرم نباشد؛ همان طور که در باب قطع دست شلّ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احتمال عقلایی با منشأ عقلایی حقّ قطع دست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مطلب، روایات معتبری است که به عدم ضمان تصریح دارد؛ لیکن در مقابل آن‌ها روایات ضعیفی هست که بین حقّ‌اللَّه و حقّ‌الناس تفصیل می‌دهد؛ لذا، به یک روایت از دسته‌ی اوّل اکتفا می‌شود و روایات دسته‌ی دوّم را برای بررسی و حلّ تعارض مطرح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وبإسناده عن علیّ بن إبراهیم، عن أبیه، عن ابن أبی عمیر، عن حمّاد، 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رجل قتله الحدّ أو القصاص فلا دیة له</w:t>
      </w:r>
      <w:r>
        <w:rPr>
          <w:rFonts w:eastAsia="IRNazanin" w:cs="IRNazanin"/>
          <w:color w:val="111111"/>
          <w:sz w:val="28"/>
          <w:szCs w:val="28"/>
          <w:rtl w:val="true"/>
          <w:lang w:bidi="fa-IR"/>
        </w:rPr>
        <w:t>.</w:t>
      </w:r>
      <w:r>
        <w:rPr>
          <w:rStyle w:val="FootnoteAnchor"/>
          <w:rtl w:val="true"/>
        </w:rPr>
        <w:footnoteReference w:id="417"/>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صحیحه،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که اجرای حدّ یا قصاص سبب مرگش شود، دیه‌ای در قتلش وجود ندارد</w:t>
      </w:r>
      <w:r>
        <w:rPr>
          <w:rFonts w:eastAsia="IRNazanin" w:cs="IRNazanin"/>
          <w:color w:val="111111"/>
          <w:sz w:val="28"/>
          <w:szCs w:val="28"/>
          <w:rtl w:val="true"/>
          <w:lang w:bidi="fa-IR"/>
        </w:rPr>
        <w:t>.</w:t>
      </w:r>
      <w:bookmarkStart w:id="544" w:name="pg16923_220313"/>
    </w:p>
    <w:p>
      <w:pPr>
        <w:pStyle w:val="BookText"/>
        <w:rPr/>
      </w:pPr>
      <w:bookmarkEnd w:id="544"/>
      <w:r>
        <w:rPr>
          <w:rFonts w:ascii="IRNazanin" w:hAnsi="IRNazanin" w:eastAsia="IRNazanin"/>
          <w:color w:val="111111"/>
          <w:sz w:val="28"/>
          <w:sz w:val="28"/>
          <w:szCs w:val="28"/>
          <w:rtl w:val="true"/>
          <w:lang w:bidi="fa-IR"/>
        </w:rPr>
        <w:t xml:space="preserve">ظهور عرفی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رجل قتله الحدّ أو القصاص فلا دیة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 که حدّ یا قصاصش قتل نبوده است؛ بلکه یا تازیانه بوده، همان‌طور که در باب زنا و لواط داشتیم و یا قطع دست راست و پای چپ، که در باب سرقت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ظهور و اطلاق روایت از صورتی که ترس خطر جانی باشد، انصراف دارد؛ بلکه مربوط به موردی است که برخلاف عادت و طبیعت اجرای حدّ به سرایت جراحت یا مرض موت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موردی، روایت، طبیعت دیه را از بیت‌المال و حاکم و مجری نفی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دیگری نیز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أبی صباح کنانی وجود دارد که در 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قتله الحدّ فلا دیة له</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روایات در باب موت رسیده و عنوان کلّی مسأله ما سرایت است که یکی از مصادیقش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لیکن وقتی حدّ به مرگ منتهی می‌شود و دیه‌ای ندارد، به طریق اولی اگر حدّی سبب سرایت مرض و جراحت به اعضای دیگر شد، دیه‌ای نخواهد داشت؛ لذا، اگر مجری حدّ انگشتان دست راست را قطع کرد لیکن جراحت عفونت کرد و دست از شانه از بین رفت، دیه‌ای بر هیچ کس ثابت نیست</w:t>
      </w:r>
      <w:r>
        <w:rPr>
          <w:rFonts w:eastAsia="IRNazanin" w:cs="IRNazanin"/>
          <w:color w:val="111111"/>
          <w:sz w:val="28"/>
          <w:szCs w:val="28"/>
          <w:rtl w:val="true"/>
          <w:lang w:bidi="fa-IR"/>
        </w:rPr>
        <w:t>.</w:t>
      </w:r>
    </w:p>
    <w:p>
      <w:pPr>
        <w:pStyle w:val="Heading5"/>
        <w:numPr>
          <w:ilvl w:val="4"/>
          <w:numId w:val="1"/>
        </w:numPr>
        <w:rPr/>
      </w:pPr>
      <w:bookmarkStart w:id="545" w:name="__RefHeading___Toc162491_3244359995"/>
      <w:bookmarkStart w:id="546" w:name="_Toc212"/>
      <w:bookmarkEnd w:id="545"/>
      <w:r>
        <w:rPr>
          <w:rtl w:val="true"/>
        </w:rPr>
        <w:t>بررسی روایات معارض</w:t>
      </w:r>
      <w:bookmarkEnd w:id="546"/>
    </w:p>
    <w:p>
      <w:pPr>
        <w:pStyle w:val="BookText"/>
        <w:rPr/>
      </w:pPr>
      <w:r>
        <w:rPr>
          <w:rFonts w:ascii="IRNazanin" w:hAnsi="IRNazanin" w:eastAsia="IRNazanin"/>
          <w:color w:val="111111"/>
          <w:sz w:val="28"/>
          <w:sz w:val="28"/>
          <w:szCs w:val="28"/>
          <w:rtl w:val="true"/>
          <w:lang w:bidi="fa-IR"/>
        </w:rPr>
        <w:t>وعن محمّد بن یحیی، عن أحمد بن محمّد، عن ابن محبوب، عن الحسن بن صالح الثّوری،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ضربناه حدّاً من حدود اللَّه فمات فلا دیة له علینا، ومن ضربناه حدّاً من حدود النّاس فمات فإنّ دیته علینا</w:t>
      </w:r>
      <w:r>
        <w:rPr>
          <w:rFonts w:eastAsia="IRNazanin" w:cs="IRNazanin"/>
          <w:color w:val="111111"/>
          <w:sz w:val="28"/>
          <w:szCs w:val="28"/>
          <w:rtl w:val="true"/>
          <w:lang w:bidi="fa-IR"/>
        </w:rPr>
        <w:t>.</w:t>
      </w:r>
      <w:r>
        <w:rPr>
          <w:rStyle w:val="FootnoteAnchor"/>
          <w:rtl w:val="true"/>
        </w:rPr>
        <w:footnoteReference w:id="419"/>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صالح ثوری ضعیف است و هیچ توثیقی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کسی حدّی از حدود خدا را بزنیم و در اثر آن</w:t>
      </w:r>
    </w:p>
    <w:p>
      <w:pPr>
        <w:pStyle w:val="BookText"/>
        <w:rPr/>
      </w:pPr>
      <w:r>
        <w:rPr>
          <w:rFonts w:ascii="IRNazanin" w:hAnsi="IRNazanin" w:eastAsia="IRNazanin"/>
          <w:color w:val="111111"/>
          <w:sz w:val="28"/>
          <w:sz w:val="28"/>
          <w:szCs w:val="28"/>
          <w:rtl w:val="true"/>
          <w:lang w:bidi="fa-IR"/>
        </w:rPr>
        <w:t>بمیرد، دیه‌ای بر عهده‌ی ما نیست؛ و اگر حدّی از حدود مردم را نسبت به کسی پیاده کردیم و او مُرد، دیه‌اش به عهده‌ی 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این روایت، عدم ثبوت دیه در حدود اللَّه مانند زنا و لواط و ثبوت آن در حقوق النّاس مانند قذف و سرقت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آینده در یکی از مباحث، مسأله سرقت را مطرح خواهیم کرد و پیرامون حقّ الناس بودنش بحث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این‌جا به‌طور اجمال می‌گوییم این است که تا صاحب مال مسروقه از حاکم شرع تقاضای قطع دست سارق را ننماید، دستش قطع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سرقت مانند حدّ زنا و لواط نیست که به مجرّد اثبات نزد حاکم شرع حدّ باید اجرا گردد؛ بلکه پس از ثبوت با مطالبه‌ی مسروق منه دست سارق را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در باب سرقت جنبه‌ی حقّ الناس دارد؛ و بنابراین، مفاد روایت درباره‌ی آن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خصوص موردی رسیده که حدّ ضرب تازیانه باشد؛ زیرا،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ضربناه حدّاً من حدود اللَّه فمات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بحث ما در حدّ سرقت است که حدّش ضرب نیست، بلکه قطع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جمله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أجرینا علیه حدّاً من حدود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آن حدّ ضرب تازیانه باشد یا قطع دست و پا، معنای عرفی عبارت همین است که گفتیم، و می‌توان مورد روایت را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شکّ بین الثلاث والأربع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که در آن الغای خصوصیّت کرده و حکم را نسبت به زنان نیز جاری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دلالت روایت تمام است؛ ولی در سند آن مشکل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ضربناه حدّاً من حدود اللَّه فمات فلا دیة له علینا، ومن ضربناه حدّاً من حدود النّاس فمات فإنّ دیته علینا</w:t>
      </w:r>
      <w:r>
        <w:rPr>
          <w:rFonts w:eastAsia="IRNazanin" w:cs="IRNazanin"/>
          <w:color w:val="111111"/>
          <w:sz w:val="28"/>
          <w:szCs w:val="28"/>
          <w:rtl w:val="true"/>
          <w:lang w:bidi="fa-IR"/>
        </w:rPr>
        <w:t>.</w:t>
      </w:r>
      <w:r>
        <w:rPr>
          <w:rStyle w:val="FootnoteAnchor"/>
          <w:rtl w:val="true"/>
        </w:rPr>
        <w:footnoteReference w:id="420"/>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از مرسلات مرحوم صدوق است که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p>
    <w:p>
      <w:pPr>
        <w:pStyle w:val="BookText"/>
        <w:rPr/>
      </w:pPr>
      <w:r>
        <w:rPr>
          <w:rFonts w:ascii="IRNazanin" w:hAnsi="IRNazanin" w:eastAsia="IRNazanin"/>
          <w:color w:val="111111"/>
          <w:sz w:val="28"/>
          <w:sz w:val="28"/>
          <w:szCs w:val="28"/>
          <w:rtl w:val="true"/>
          <w:lang w:bidi="fa-IR"/>
        </w:rPr>
        <w:t>است؛ یعنی مطلب را به‌طور جزم به معصوم 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چنین مرسلاتی اعتماد می‌کنیم؛ لذا، سند روایت تمام و دلالتش نیز مانند روایت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قواعد اقتضا دارد این روایت مقیّد روایت حلبی و غیر آن باشد؛ زیرا آن روایت به اطلاقش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دیه‌ای در اجرای حدّ الهی و حقّ‌الناس نیست؛ و این روایت تفصیل می‌دهد که اگر حقّ اللَّه است دیه ندارد و اگر حقّ الناس است دیه ثابت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در این است که هیچ یک از فقها به این روایت عمل نکرده‌اند؛ لذا، شهرت فتوایی، بلکه بالاتر از آن برخلاف روایت منعقد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روایت را مقیّد اطلاقات عدم ثبوت دیه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 صدوق رحمه الله با روایت حسن بن صالح ثوری یکی است، لذا سندش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در متن سبب متّحد بودن روایت نمی‌شود؛ چه‌بسا یک مطلبی را چند راوی از امام علیه السلام شنیده و نقل کرده باشند، مانند روایت محمّد بن قیس که دو سند داشت به یک سند معتبر بود و با سند دیگر غیرمعتبر؛ لذا، نمی‌توان روایت صدوق رحمه الله را به علّت ضعف سند کنار گذاشت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رحمه الله در ذیل مسأله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حدّ را در فصل تابستان در ابتدا یا انتهای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و 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زمستان در وسط روز اقامه کنند تا از شدّت گرما یا سرما کاسته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به‌طور مفصّل در بحث زنا گذشت،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نیاز به تکرار آن نیست</w:t>
      </w:r>
      <w:r>
        <w:rPr>
          <w:rFonts w:eastAsia="IRNazanin" w:cs="IRNazanin"/>
          <w:color w:val="111111"/>
          <w:sz w:val="28"/>
          <w:szCs w:val="28"/>
          <w:rtl w:val="true"/>
          <w:lang w:bidi="fa-IR"/>
        </w:rPr>
        <w:t>.</w:t>
      </w:r>
      <w:bookmarkStart w:id="547" w:name="pg16923_220316"/>
    </w:p>
    <w:p>
      <w:pPr>
        <w:pStyle w:val="Heading3"/>
        <w:numPr>
          <w:ilvl w:val="2"/>
          <w:numId w:val="1"/>
        </w:numPr>
        <w:rPr/>
      </w:pPr>
      <w:bookmarkStart w:id="548" w:name="__RefHeading___Toc162493_3244359995"/>
      <w:bookmarkStart w:id="549" w:name="_Toc213"/>
      <w:bookmarkEnd w:id="547"/>
      <w:bookmarkEnd w:id="548"/>
      <w:r>
        <w:rPr>
          <w:rtl w:val="true"/>
        </w:rPr>
        <w:t>فصل چهارم</w:t>
      </w:r>
      <w:r>
        <w:rPr>
          <w:rtl w:val="true"/>
        </w:rPr>
        <w:t xml:space="preserve">: </w:t>
      </w:r>
      <w:r>
        <w:rPr>
          <w:rtl w:val="true"/>
        </w:rPr>
        <w:t>ملحقات باب سرقت</w:t>
      </w:r>
      <w:bookmarkEnd w:id="549"/>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50" w:name="__RefHeading___Toc162495_3244359995"/>
      <w:bookmarkStart w:id="551" w:name="_Toc214"/>
      <w:bookmarkEnd w:id="550"/>
      <w:r>
        <w:rPr>
          <w:rtl w:val="true"/>
        </w:rPr>
        <w:t>اشاره</w:t>
      </w:r>
      <w:bookmarkStart w:id="552" w:name="pg16923_220318"/>
      <w:bookmarkEnd w:id="551"/>
    </w:p>
    <w:p>
      <w:pPr>
        <w:pStyle w:val="BookText"/>
        <w:rPr/>
      </w:pPr>
      <w:bookmarkEnd w:id="5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الإشتراک فی سرقة النصاب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سرق إثنان نصاباً أو أکثر بما لا یبلغ نصیب کلّ منهما نصاباً، فهل یقطع کلّ واحد منهما أو لایقطع واحدٌ منهما؟ الأشبه الثانی</w:t>
      </w:r>
      <w:r>
        <w:rPr>
          <w:rFonts w:eastAsia="IRNazanin" w:cs="IRNazanin"/>
          <w:color w:val="111111"/>
          <w:sz w:val="28"/>
          <w:szCs w:val="28"/>
          <w:rtl w:val="true"/>
          <w:lang w:bidi="fa-IR"/>
        </w:rPr>
        <w:t>.]</w:t>
      </w:r>
    </w:p>
    <w:p>
      <w:pPr>
        <w:pStyle w:val="Heading4"/>
        <w:numPr>
          <w:ilvl w:val="3"/>
          <w:numId w:val="1"/>
        </w:numPr>
        <w:rPr/>
      </w:pPr>
      <w:bookmarkStart w:id="553" w:name="__RefHeading___Toc162497_3244359995"/>
      <w:bookmarkStart w:id="554" w:name="_Toc215"/>
      <w:bookmarkEnd w:id="553"/>
      <w:r>
        <w:rPr>
          <w:rtl w:val="true"/>
        </w:rPr>
        <w:t>اشتراک در سرقت نصاب</w:t>
      </w:r>
      <w:bookmarkEnd w:id="554"/>
    </w:p>
    <w:p>
      <w:pPr>
        <w:pStyle w:val="Heading5"/>
        <w:numPr>
          <w:ilvl w:val="4"/>
          <w:numId w:val="1"/>
        </w:numPr>
        <w:rPr/>
      </w:pPr>
      <w:bookmarkStart w:id="555" w:name="__RefHeading___Toc162499_3244359995"/>
      <w:bookmarkStart w:id="556" w:name="_Toc216"/>
      <w:bookmarkEnd w:id="555"/>
      <w:r>
        <w:rPr>
          <w:rtl w:val="true"/>
        </w:rPr>
        <w:t>اشاره</w:t>
      </w:r>
      <w:bookmarkEnd w:id="556"/>
    </w:p>
    <w:p>
      <w:pPr>
        <w:pStyle w:val="BookText"/>
        <w:rPr/>
      </w:pPr>
      <w:r>
        <w:rPr>
          <w:rFonts w:ascii="IRNazanin" w:hAnsi="IRNazanin" w:eastAsia="IRNazanin"/>
          <w:color w:val="111111"/>
          <w:sz w:val="28"/>
          <w:sz w:val="28"/>
          <w:szCs w:val="28"/>
          <w:rtl w:val="true"/>
          <w:lang w:bidi="fa-IR"/>
        </w:rPr>
        <w:t>اگر دو یا چند نفر دزدی کردند ولی سهم هر کدام به اندازه‌ی نصاب نرسید، آیا دست همه‌ی آنان قطع می‌گردد یا دست هیچ کدام قطع نمی‌شود؟ آن‌چه به قواعد شبیه‌تر است، عدم قطع دست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فرع سه صورت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نفر با کمک یکدیگر درب خانه‌ای را باز کرده و فرش قیمتی را با هم برداشتند و بردند به‌گونه‌ای که سهم هرکدام از این مال مسروقه به اندازه‌ی ربع دینار رسید، بدون هیچ شکّ و شبهه‌ای باید دست هریک از دزدها بریده شود؛ زیرا، نسبت به هر کدام شرایط اجرای حدّ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ورود به خانه هر کدام برای خود چیزی را برداشت که قیمتش کمتر از حدّ نصاب است، لیکن اگر مجموع مال مسروقه را حساب کنیم به اندازه‌ی نصاب یا بیشتر است؛ در این فرض، دست هیچ کدام را نمی‌برند؛ زیرا، نسبت به هر کدام از آنان شرایط اجرای حدّ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مال مسروقه به اندازه‌ی نصاب است؛ و این معنا دخالتی در تحقّق شرط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نصاب را به لحاظ مجموع حساب کنیم، باید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یک شب در شهر یا در غیرشهری در ده‌جا دزدی شد اگر مجموع اموال مسروقه به حدّ نصاب می‌رسد، باید دست دزدان را قطع کنیم، آیا می‌توان به چنین مطلبی ملتزم شد؟</w:t>
      </w:r>
    </w:p>
    <w:p>
      <w:pPr>
        <w:pStyle w:val="BookText"/>
        <w:rPr/>
      </w:pPr>
      <w:r>
        <w:rPr>
          <w:rFonts w:ascii="IRNazanin" w:hAnsi="IRNazanin" w:eastAsia="IRNazanin"/>
          <w:color w:val="111111"/>
          <w:sz w:val="28"/>
          <w:sz w:val="28"/>
          <w:szCs w:val="28"/>
          <w:rtl w:val="true"/>
          <w:lang w:bidi="fa-IR"/>
        </w:rPr>
        <w:t>بنابراین، اگر هر کدام به نحو استقلال چیزی را برداشتند که کمتر از حدّ نصاب سرقت است، بدون اشکال دستش قطع نمی‌گردد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یا چند نفر به حرزی وارد شوند و با کمک یکدیگر مالی را از آن‌جا خارج کنند که مجموع مال به اندازه‌ی نصاب باشد ولی سهم هر کدام به این حدّ نرسد، در این</w:t>
      </w:r>
    </w:p>
    <w:p>
      <w:pPr>
        <w:pStyle w:val="BookText"/>
        <w:rPr/>
      </w:pPr>
      <w:r>
        <w:rPr>
          <w:rFonts w:ascii="IRNazanin" w:hAnsi="IRNazanin" w:eastAsia="IRNazanin"/>
          <w:color w:val="111111"/>
          <w:sz w:val="28"/>
          <w:sz w:val="28"/>
          <w:szCs w:val="28"/>
          <w:rtl w:val="true"/>
          <w:lang w:bidi="fa-IR"/>
        </w:rPr>
        <w:t>فرض، مسأله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جوهری صورت سوّم با صورت دوّم در این است که در این صورت مال مسروقه را با هم به نحو اشتراک خارج می‌کنند و در فرض دوّم هر کدام به تنهایی چیزی را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اشتراک دو صورت این است که مجموع مال مسروقه به حدّ نصاب می‌رسد ولی سهم هر کدام کمتر از حدّ نصاب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سوّم، دو احتمال، بلکه دو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دست هر کدام از دزدان و عدم قطع؛ البته احتمال سوّمی نیز وجود دارد که عبارت است از قطع دست یکی از دزدان؛ که این احتمال نابجایی است؛ زیرا، به سبب نبودن هیچ امتیازی ترجیح یکی بر دیگری، ترجیح بدون مرجّح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جای اجرای قرعه نیز نیست؛ زیرا، قرعه در جایی راه دارد که واقعیّتی در خارج باشد، آن را نشناسیم و به آن جهل داشته باشیم که به کمک قرعه، آن مجهول را معیّن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واقع مسأله این است که دو نفر به شراکت مالی را از حرز خارج کرده‌اند، و مجموع مال به اندازه‌ی نصاب است ولی سهم هر کدام کمتر از نصاب می‌باشد و تمام شرایط و خصوصیّات در هر دو یکسان است و بر همدیگر ترجیح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امرشان مردّد است بین این که دست هر دو قطع گردد یا دست هیچ‌کدام؛ لذا، قرعه در این موارد کاربردی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در حکم این فرض بر دو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بین قدما،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رحمه الله در نهایه،</w:t>
      </w:r>
      <w:r>
        <w:rPr>
          <w:rStyle w:val="FootnoteAnchor"/>
          <w:rtl w:val="true"/>
        </w:rPr>
        <w:footnoteReference w:id="421"/>
      </w:r>
      <w:r>
        <w:rPr>
          <w:rFonts w:ascii="IRNazanin" w:hAnsi="IRNazanin" w:eastAsia="IRNazanin"/>
          <w:color w:val="111111"/>
          <w:sz w:val="28"/>
          <w:sz w:val="28"/>
          <w:szCs w:val="28"/>
          <w:rtl w:val="true"/>
          <w:lang w:bidi="fa-IR"/>
        </w:rPr>
        <w:t>سیّد مرتضی رحمه الله در انتصار،</w:t>
      </w:r>
      <w:r>
        <w:rPr>
          <w:rStyle w:val="FootnoteAnchor"/>
          <w:rtl w:val="true"/>
        </w:rPr>
        <w:footnoteReference w:id="422"/>
      </w:r>
      <w:r>
        <w:rPr>
          <w:rFonts w:ascii="IRNazanin" w:hAnsi="IRNazanin" w:eastAsia="IRNazanin"/>
          <w:color w:val="111111"/>
          <w:sz w:val="28"/>
          <w:sz w:val="28"/>
          <w:szCs w:val="28"/>
          <w:rtl w:val="true"/>
          <w:lang w:bidi="fa-IR"/>
        </w:rPr>
        <w:t>ابن زهره رحمه الله در غنیه</w:t>
      </w:r>
      <w:r>
        <w:rPr>
          <w:rStyle w:val="FootnoteAnchor"/>
          <w:rtl w:val="true"/>
        </w:rPr>
        <w:footnoteReference w:id="423"/>
      </w:r>
      <w:r>
        <w:rPr>
          <w:rFonts w:ascii="IRNazanin" w:hAnsi="IRNazanin" w:eastAsia="IRNazanin"/>
          <w:color w:val="111111"/>
          <w:sz w:val="28"/>
          <w:sz w:val="28"/>
          <w:szCs w:val="28"/>
          <w:rtl w:val="true"/>
          <w:lang w:bidi="fa-IR"/>
        </w:rPr>
        <w:t>قطع دست سارقان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بین متأخّرین از ابن‌ادریس رحمه الله</w:t>
      </w:r>
      <w:r>
        <w:rPr>
          <w:rStyle w:val="FootnoteAnchor"/>
          <w:rtl w:val="true"/>
        </w:rPr>
        <w:footnoteReference w:id="424"/>
      </w:r>
      <w:r>
        <w:rPr>
          <w:rFonts w:ascii="IRNazanin" w:hAnsi="IRNazanin" w:eastAsia="IRNazanin"/>
          <w:color w:val="111111"/>
          <w:sz w:val="28"/>
          <w:sz w:val="28"/>
          <w:szCs w:val="28"/>
          <w:rtl w:val="true"/>
          <w:lang w:bidi="fa-IR"/>
        </w:rPr>
        <w:t>به بعد که بر عدم قطع دست فتوا داده‌اند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را باید از دو جهت مورد بررسی قرار داد</w:t>
      </w:r>
      <w:r>
        <w:rPr>
          <w:rFonts w:eastAsia="IRNazanin" w:cs="IRNazanin"/>
          <w:color w:val="111111"/>
          <w:sz w:val="28"/>
          <w:szCs w:val="28"/>
          <w:rtl w:val="true"/>
          <w:lang w:bidi="fa-IR"/>
        </w:rPr>
        <w:t>:</w:t>
      </w:r>
      <w:bookmarkStart w:id="557" w:name="pg16923_220320"/>
    </w:p>
    <w:p>
      <w:pPr>
        <w:pStyle w:val="BookText"/>
        <w:rPr/>
      </w:pPr>
      <w:bookmarkEnd w:id="557"/>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قاعده چیست؟ و فتوای کدام گروه با آن موافق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روایاتی که در این خصوص رسیده، چیست؟</w:t>
      </w:r>
    </w:p>
    <w:p>
      <w:pPr>
        <w:pStyle w:val="Heading5"/>
        <w:numPr>
          <w:ilvl w:val="4"/>
          <w:numId w:val="1"/>
        </w:numPr>
        <w:rPr/>
      </w:pPr>
      <w:bookmarkStart w:id="558" w:name="__RefHeading___Toc162501_3244359995"/>
      <w:bookmarkStart w:id="559" w:name="_Toc217"/>
      <w:bookmarkEnd w:id="558"/>
      <w:r>
        <w:rPr>
          <w:rtl w:val="true"/>
        </w:rPr>
        <w:t>مقتضای قاعده در سرقت اشتراکی</w:t>
      </w:r>
      <w:bookmarkEnd w:id="559"/>
    </w:p>
    <w:p>
      <w:pPr>
        <w:pStyle w:val="BookText"/>
        <w:rPr/>
      </w:pPr>
      <w:r>
        <w:rPr>
          <w:rFonts w:ascii="IRNazanin" w:hAnsi="IRNazanin" w:eastAsia="IRNazanin"/>
          <w:color w:val="111111"/>
          <w:sz w:val="28"/>
          <w:sz w:val="28"/>
          <w:szCs w:val="28"/>
          <w:rtl w:val="true"/>
          <w:lang w:bidi="fa-IR"/>
        </w:rPr>
        <w:t>مقصود شارع از مال مسروقه‌ای که باید به حدّ نصاب برسد تا دست دزد در رابطه‌ی با سرقتش قطع گردد، مال مسروقه‌ای است که در یک سرقت به یک سارق ارتباط داشته باشد؛ وگرنه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مجموع مالی است که به سرقت رفته، لازمه‌اش این است که حکم به قطع دست کنید؛ هرچند سارق یا سرقت متعدّد باشد، مانند این که در یک شب، در یک شهر، ده سارق هر کدام کمتر از حدّ نصاب سرقت کنند یا سارقی از ده‌جا و از هرجا کمتر از حدّ نصاب سرقت کند، یا از یک‌جا در شب‌های متوالی کمتر از حدّ نصاب ببرد، آیا اگر مجموع اموال مسروقه به حدّ نصاب برسد، می‌توان دست دزد یا دزدان را برید؟ هرگز کسی به این مطلب ملتزم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می‌فهمیم باید مسأله‌ی اعتبار نصاب را در رابطه‌ی با یک سرقت و یک سارق حساب کنیم؛ یعنی اگر سارقی در یک سرقت به اندازه‌ی نصاب مال مردم را از حرز بیرون آورد و شرایط دیگر وجود داشت، دستش را باید برید؛ امّا اگر چند نفر به شراکت، به اندازه‌ی نصاب یا بیشتر در یک سرقت مالی را برداشتند به‌گونه‌ای که سهم هر کدام به اندازه‌ی نصاب نرسد یا در سرقت‌های متعدّد به اندازه‌ی نصاب را برده‌اند، قطع دستی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ضابطه‌ی مسأله این است که اگر توانستیم سرقت مال مسروقه را به یکی از آنان به نحو استقلال نسبت دهیم و به حدّ نصاب باشد، جای اجرای حدّ هست؛ ولی اگر در مقام اسناد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وعمرو فرش را به‌سرقت بردند اگر سهم هر کدام به اندازه‌ی نصاب نرسد،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به اندازه‌ی نصاب سرقت کرده است، تا این جمله صدق نکند، نباید دست زید را برید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ما بودیم و قواعدی که در باب سرقت به دستمان رسیده است، باید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قواعد عدم قطع دست است و با فتوای مشهور متأخّرین موافق است</w:t>
      </w:r>
      <w:r>
        <w:rPr>
          <w:rFonts w:eastAsia="IRNazanin" w:cs="IRNazanin"/>
          <w:color w:val="111111"/>
          <w:sz w:val="28"/>
          <w:szCs w:val="28"/>
          <w:rtl w:val="true"/>
          <w:lang w:bidi="fa-IR"/>
        </w:rPr>
        <w:t>.</w:t>
      </w:r>
      <w:bookmarkStart w:id="560" w:name="pg16923_220321"/>
    </w:p>
    <w:p>
      <w:pPr>
        <w:pStyle w:val="Heading5"/>
        <w:numPr>
          <w:ilvl w:val="4"/>
          <w:numId w:val="1"/>
        </w:numPr>
        <w:rPr/>
      </w:pPr>
      <w:bookmarkStart w:id="561" w:name="__RefHeading___Toc162503_3244359995"/>
      <w:bookmarkStart w:id="562" w:name="_Toc218"/>
      <w:bookmarkEnd w:id="560"/>
      <w:bookmarkEnd w:id="561"/>
      <w:r>
        <w:rPr>
          <w:rtl w:val="true"/>
        </w:rPr>
        <w:t>مقتضای روایات در سرقت اشتراکی</w:t>
      </w:r>
      <w:bookmarkEnd w:id="562"/>
    </w:p>
    <w:p>
      <w:pPr>
        <w:pStyle w:val="BookText"/>
        <w:rPr/>
      </w:pPr>
      <w:r>
        <w:rPr>
          <w:rFonts w:ascii="IRNazanin" w:hAnsi="IRNazanin" w:eastAsia="IRNazanin"/>
          <w:color w:val="111111"/>
          <w:sz w:val="28"/>
          <w:sz w:val="28"/>
          <w:szCs w:val="28"/>
          <w:rtl w:val="true"/>
          <w:lang w:bidi="fa-IR"/>
        </w:rPr>
        <w:t>محمّد بن الحسن بإسناده، عن محمّد بن أحمد بن یحیی، عن محمّد بن عیسی، عن یوسف بن عقیل، عن محمّد بن قیس،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 أمیر المؤمنین علیه السلام فی نفر نحروا بعیراً فأکلوه فامتحنوا أیّهم نحروا فشهدوا علی أنفسهم أنّهم نحروه جمیعاً لم یخصّوا أحداً دون أحد، فقضی علیه السلام أن تقطع أیمانهم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الصدوق بإسناده عن محمّد بن قیس</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صحیحه را علاوه بر شیخ طوسی رحمه الله مرحوم شیخ صدوق رحمه الله نیز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شتری را دزدیده، نحر کردند و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کنید کدام یک از آنان شتر را کشته است؟</w:t>
      </w:r>
    </w:p>
    <w:p>
      <w:pPr>
        <w:pStyle w:val="BookText"/>
        <w:rPr/>
      </w:pPr>
      <w:r>
        <w:rPr>
          <w:rFonts w:ascii="IRNazanin" w:hAnsi="IRNazanin" w:eastAsia="IRNazanin"/>
          <w:color w:val="111111"/>
          <w:sz w:val="28"/>
          <w:sz w:val="28"/>
          <w:szCs w:val="28"/>
          <w:rtl w:val="true"/>
          <w:lang w:bidi="fa-IR"/>
        </w:rPr>
        <w:t>دزدان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با هم و به کمک هم شتر 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امیرمؤمنان علیه السلام به قطع دستشان فرمان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استدلال به روایت</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هیچ اشعاری به سرقت شتر نیست؛ نحر بعیر با غصب آن نیز امکان دارد؛ یعنی در مقابل دیدگان صاحب شتر، آن را کشته، و خورده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فقضی علیه السلام أن تقطع أیمانهم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قرینه‌ی صدر آن است، زیرا قطع دست فقط در مورد سرقت است؛ از این رو، می‌فهمیم روایت مربوط به شتری است که آن را دزدیده‌اند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استفاده می‌شود که امام علیه السلام قطع دست را بر خوردن شتر مترتّب کرده است، بلکه بالاتر بر نحر شتر؛ زیرا،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کنید کدام یک از آنان مرتکب نحر حیوان شده است؛ در حالی که قطع دست بر سرقت مترتّب است و ربطی به وجود یا عدم مال مسروقه بعد از سرقت ندارد؛ لذا اگر شتری را به سرقت بردند از آن</w:t>
      </w:r>
    </w:p>
    <w:p>
      <w:pPr>
        <w:pStyle w:val="BookText"/>
        <w:rPr/>
      </w:pPr>
      <w:r>
        <w:rPr>
          <w:rFonts w:ascii="IRNazanin" w:hAnsi="IRNazanin" w:eastAsia="IRNazanin"/>
          <w:color w:val="111111"/>
          <w:sz w:val="28"/>
          <w:sz w:val="28"/>
          <w:szCs w:val="28"/>
          <w:rtl w:val="true"/>
          <w:lang w:bidi="fa-IR"/>
        </w:rPr>
        <w:t>هیچ استفاده‌ای هم نبردند و اکنون زنده است، در صورتی که شرایط قطع دست موجود باشد، دست سارق را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نمی‌توان ذیل روایت را قرینه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خصوص سرقت شتر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هیچ اشاره‌ای به سرقت نیست و تمام تکیه‌ی آن بر نحر شتر است؛ قطع دست به خاطر این فعل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باید این قضاوت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فی 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زیرا، ما به خصوصیّات آن واقعه آگاهی نداریم تا بفهمیم چگونه امام علیه السلام فرمان به قطع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در مورد فرش یا چیز دیگری که به شراکت دزدیده‌اند و سهم آنان به حدّ نصاب نمی‌رسد ولی مجموع مال مسروقه اندازه‌ی نصاب یا بیشتر است، و الآن نیز موجود است، حکم به قطع دست را به گردن این روایت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مقام افاده‌ی یک حکم کلّی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چند نفر به شراکت به اندازه‌ی نصاب یا بیشتر سرقت کردند، باید دستشان را برید؛ هرچند سهم هر کدام به حدّ نصاب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صحیحه را حمل می‌کنیم بر سرقت شتری که سهم هر یک از دزدان از آن به اندازه‌ی نصاب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توجیه صحیح نیست؛ زیرا، سه نفر نمی‌توانند یک شتر را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امر این است که جماعتی در حدود بیست یا سی نفر دست به این کار زده‌اند؛ و نه نفر ده نفر که نمی‌توانند یک شتر را بخورند، بر فرض که این تعداد باشند مگر قیمت یک شتر در آن زمان چه مقدار بوده است؟ باید لااقل پنج مثقال طلای مسکوک ارزش داشته باشد، تا سهم هر کدام به حدّ نصاب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الطوسی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أصحابنا أنّه إذا بلغت السرقة نصاباً وأخرجوا بأجمعهم وجب علیهم القطع</w:t>
      </w:r>
      <w:r>
        <w:rPr>
          <w:rFonts w:eastAsia="IRNazanin" w:cs="IRNazanin"/>
          <w:color w:val="111111"/>
          <w:sz w:val="28"/>
          <w:szCs w:val="28"/>
          <w:rtl w:val="true"/>
          <w:lang w:bidi="fa-IR"/>
        </w:rPr>
        <w:t>.</w:t>
      </w:r>
      <w:r>
        <w:rPr>
          <w:rStyle w:val="FootnoteAnchor"/>
          <w:rtl w:val="true"/>
        </w:rPr>
        <w:footnoteReference w:id="426"/>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مسروقه به اندازه‌ی نصاب باشد و همگی در بیرون بردنش از</w:t>
      </w:r>
    </w:p>
    <w:p>
      <w:pPr>
        <w:pStyle w:val="BookText"/>
        <w:rPr/>
      </w:pPr>
      <w:r>
        <w:rPr>
          <w:rFonts w:ascii="IRNazanin" w:hAnsi="IRNazanin" w:eastAsia="IRNazanin"/>
          <w:color w:val="111111"/>
          <w:sz w:val="28"/>
          <w:sz w:val="28"/>
          <w:szCs w:val="28"/>
          <w:rtl w:val="true"/>
          <w:lang w:bidi="fa-IR"/>
        </w:rPr>
        <w:t>حرز دخالت داشته باشند دستشان قطع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استدلال به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مرسله‌ای است که شیخ طوسی رحمه الله در خلاف نقل کرده و به اصحاب نسبت داده است و از قبیل مرسلات صدوق رحمه الله که به نحو جزم به معصوم علیه السلام اسناد می‌دهد، نیست؛ لذا، اعتباری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مسلّم بین قدما بر همین مطلب است؛ بلکه برخی از آنان بر این فتوا ادّعای اجماع کرده‌اند</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این شهرت محقّق و مسلّم بین قدما ضعف و ارسال روایت را جبران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بین متأخّران بر عدم قطع قابل معارضه با شهرت بین قدما نیست؛ زیرا، آن‌چه در بحث شهرت به عنوان جابر مطرح است و به عقیده‌ی بعضی از بزرگان حجّیت روایت نیز به آن اختصاص دارد، شهرت بین قدما است و نه شهرت بین متأخّران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بین متأخّران هیچ ارزشی ندارد؛ زیرا، مدارکی که در دسترس آنان بوده، همین مدارکی است که امروز ما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قدما که آنان از مدارک و کتاب‌هایی بهره‌مند بوده‌اند که به دست متأخران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وجود شهرت مسلّم بین قدما می‌تواند جابر ضعف سند این روایت باشد؛ شاید منشأ توقّف مرحوم محقّق در شرایع همین مطلب بوده است</w:t>
      </w:r>
      <w:r>
        <w:rPr>
          <w:rFonts w:eastAsia="IRNazanin" w:cs="IRNazanin"/>
          <w:color w:val="111111"/>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با وجود چنین شهرتی، مسأله مشکل می‌گردد؛ زیرا، از طرفی قاعده اقتضای عدم قطع دارد، و از سوی دیگر این روایت برخلاف قاعده از چنین پشتوانه‌ای برخوردار است؛ لذا نمی‌توانیم به ضرس قاطع یک طرف را اختیار کنیم و بر طرف دیگر ترجیح دهیم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بر این اشکال می‌افزاید، مخالفت شیخ مفید رحمه الله در مقنعه</w:t>
      </w:r>
      <w:r>
        <w:rPr>
          <w:rStyle w:val="FootnoteAnchor"/>
          <w:rtl w:val="true"/>
        </w:rPr>
        <w:footnoteReference w:id="429"/>
      </w:r>
      <w:r>
        <w:rPr>
          <w:rFonts w:ascii="IRNazanin" w:hAnsi="IRNazanin" w:eastAsia="IRNazanin"/>
          <w:color w:val="111111"/>
          <w:sz w:val="28"/>
          <w:sz w:val="28"/>
          <w:szCs w:val="28"/>
          <w:rtl w:val="true"/>
          <w:lang w:bidi="fa-IR"/>
        </w:rPr>
        <w:t>و شیخ طوسی رحمه الله در کتاب خلاف</w:t>
      </w:r>
      <w:r>
        <w:rPr>
          <w:rStyle w:val="FootnoteAnchor"/>
          <w:rtl w:val="true"/>
        </w:rPr>
        <w:footnoteReference w:id="430"/>
      </w:r>
      <w:r>
        <w:rPr>
          <w:rFonts w:ascii="IRNazanin" w:hAnsi="IRNazanin" w:eastAsia="IRNazanin"/>
          <w:color w:val="111111"/>
          <w:sz w:val="28"/>
          <w:sz w:val="28"/>
          <w:szCs w:val="28"/>
          <w:rtl w:val="true"/>
          <w:lang w:bidi="fa-IR"/>
        </w:rPr>
        <w:t>و مبسوط</w:t>
      </w:r>
      <w:r>
        <w:rPr>
          <w:rStyle w:val="FootnoteAnchor"/>
          <w:rtl w:val="true"/>
        </w:rPr>
        <w:footnoteReference w:id="43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563" w:name="pg16923_220324"/>
    </w:p>
    <w:p>
      <w:pPr>
        <w:pStyle w:val="BookText"/>
        <w:rPr/>
      </w:pPr>
      <w:bookmarkEnd w:id="5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حکم من سرق مکرّراً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سرق ولم یقدر علیه، ثمّ سرق ثانیة فاخذ واقیمت علیه البیّنة بهما جمیعاً معاً دفعةً واحدةً، أو أقّر بهما جمیعاً کذلک قطع بالاولی یده، ولم تقطع بالثانیة رجله، بل لایبعد أن یکون الحکم کذلک لو تفرّق الشهود فشهد إثنان بالسرقة الاولی ثمّ شهد إثنان بالسرقة الثانیة قبل قیام الحدّ، أو أقرّ مرّتین دفعةً بالسرقة الاولی ومرّتین دفعة اخری بالسرقة الثانیة قبل قیام الحدّ، ولو قامت الحجّة بالسّرقة ثمّ أمسکت حتّی اقیم الحدّ وقطع یمینه ثمّ قامت الاخری قطعت رجله</w:t>
      </w:r>
      <w:r>
        <w:rPr>
          <w:rFonts w:eastAsia="IRNazanin" w:cs="IRNazanin"/>
          <w:color w:val="111111"/>
          <w:sz w:val="28"/>
          <w:szCs w:val="28"/>
          <w:rtl w:val="true"/>
          <w:lang w:bidi="fa-IR"/>
        </w:rPr>
        <w:t>.]</w:t>
      </w:r>
    </w:p>
    <w:p>
      <w:pPr>
        <w:pStyle w:val="Heading4"/>
        <w:numPr>
          <w:ilvl w:val="3"/>
          <w:numId w:val="1"/>
        </w:numPr>
        <w:rPr/>
      </w:pPr>
      <w:bookmarkStart w:id="564" w:name="__RefHeading___Toc162505_3244359995"/>
      <w:bookmarkStart w:id="565" w:name="_Toc219"/>
      <w:bookmarkEnd w:id="564"/>
      <w:r>
        <w:rPr>
          <w:rtl w:val="true"/>
        </w:rPr>
        <w:t>حکم ثبوت سرقت مکرّر</w:t>
      </w:r>
      <w:bookmarkEnd w:id="565"/>
    </w:p>
    <w:p>
      <w:pPr>
        <w:pStyle w:val="Heading5"/>
        <w:numPr>
          <w:ilvl w:val="4"/>
          <w:numId w:val="1"/>
        </w:numPr>
        <w:rPr/>
      </w:pPr>
      <w:bookmarkStart w:id="566" w:name="__RefHeading___Toc162507_3244359995"/>
      <w:bookmarkStart w:id="567" w:name="_Toc220"/>
      <w:bookmarkEnd w:id="566"/>
      <w:r>
        <w:rPr>
          <w:rtl w:val="true"/>
        </w:rPr>
        <w:t>اشاره</w:t>
      </w:r>
      <w:bookmarkEnd w:id="567"/>
    </w:p>
    <w:p>
      <w:pPr>
        <w:pStyle w:val="BookText"/>
        <w:rPr/>
      </w:pPr>
      <w:r>
        <w:rPr>
          <w:rFonts w:ascii="IRNazanin" w:hAnsi="IRNazanin" w:eastAsia="IRNazanin"/>
          <w:color w:val="111111"/>
          <w:sz w:val="28"/>
          <w:sz w:val="28"/>
          <w:szCs w:val="28"/>
          <w:rtl w:val="true"/>
          <w:lang w:bidi="fa-IR"/>
        </w:rPr>
        <w:t>این مسأله دو فرع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سرقت کرد و دستگیر نشد، بار دیگر دزدی کرد و او را گرفتند و بیّنه بر هر دو سرقتش یک دفعه قائم شد یا خودش به هر دو سرقت اعتراف کرد، برای سرقت بار اوّل دستش را می‌بُرند؛ ولی پایش را به خاطر سرقت دوّم قطع نمی‌کنند؛ بلکه بعید نیست حکم همین‌طور باشد اگر بیّنه بر سرقت اوّل شهادت داد و قبل از اقامه حدّ در مجلس دیگر بر سرقت دوّم شهادت دهد یا دو مرتبه به سرقت اوّل اقرار کرد و قبل از اقامه‌ی حدّ دو مرتبه به سرقت دوّم اعتراف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ثبوت سرقت حجّت اقامه شد و حدّ در مورد سارق اجرا شد آن‌گاه بر سرقت دوّم حجّت اقامه شد در این فرض، به حجّت دوّم پای او را می‌برند</w:t>
      </w:r>
      <w:r>
        <w:rPr>
          <w:rFonts w:eastAsia="IRNazanin" w:cs="IRNazanin"/>
          <w:color w:val="111111"/>
          <w:sz w:val="28"/>
          <w:szCs w:val="28"/>
          <w:rtl w:val="true"/>
          <w:lang w:bidi="fa-IR"/>
        </w:rPr>
        <w:t>.</w:t>
      </w:r>
    </w:p>
    <w:p>
      <w:pPr>
        <w:pStyle w:val="Heading5"/>
        <w:numPr>
          <w:ilvl w:val="4"/>
          <w:numId w:val="1"/>
        </w:numPr>
        <w:rPr/>
      </w:pPr>
      <w:bookmarkStart w:id="568" w:name="__RefHeading___Toc162509_3244359995"/>
      <w:bookmarkStart w:id="569" w:name="_Toc221"/>
      <w:bookmarkEnd w:id="568"/>
      <w:r>
        <w:rPr>
          <w:rtl w:val="true"/>
        </w:rPr>
        <w:t>فرع اوّل</w:t>
      </w:r>
      <w:r>
        <w:rPr>
          <w:rtl w:val="true"/>
        </w:rPr>
        <w:t xml:space="preserve">: </w:t>
      </w:r>
      <w:r>
        <w:rPr>
          <w:rtl w:val="true"/>
        </w:rPr>
        <w:t>قیام حجّت بر سرقت دوّم قبل از اجرای حدّ</w:t>
      </w:r>
      <w:bookmarkEnd w:id="569"/>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مسائل گذشته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به‌طور مکرّر دست به دزدی زد و گرفتار نشد، پس از</w:t>
      </w:r>
    </w:p>
    <w:p>
      <w:pPr>
        <w:pStyle w:val="BookText"/>
        <w:rPr/>
      </w:pPr>
      <w:r>
        <w:rPr>
          <w:rFonts w:ascii="IRNazanin" w:hAnsi="IRNazanin" w:eastAsia="IRNazanin"/>
          <w:color w:val="111111"/>
          <w:sz w:val="28"/>
          <w:sz w:val="28"/>
          <w:szCs w:val="28"/>
          <w:rtl w:val="true"/>
          <w:lang w:bidi="fa-IR"/>
        </w:rPr>
        <w:t>دستگیری اگر بیّنه به تمام سرقت‌هایش شهادت دهد یا خودش به تمام آن‌ها اقرار کند، یک حدّ بر او پیاده می‌شود؛ هرچند شهادت یا اقرار به دو سرقت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فرع، بحث درباره‌ی این است که آیا این حدّ، بریدن دست است یا قطع کردن پا؟</w:t>
      </w:r>
    </w:p>
    <w:p>
      <w:pPr>
        <w:pStyle w:val="BookText"/>
        <w:rPr/>
      </w:pPr>
      <w:r>
        <w:rPr>
          <w:rFonts w:ascii="IRNazanin" w:hAnsi="IRNazanin" w:eastAsia="IRNazanin"/>
          <w:color w:val="111111"/>
          <w:sz w:val="28"/>
          <w:sz w:val="28"/>
          <w:szCs w:val="28"/>
          <w:rtl w:val="true"/>
          <w:lang w:bidi="fa-IR"/>
        </w:rPr>
        <w:t>یقین داریم دو حدّ جاری نیست؛ لیکن باید معیّن شود حدّ اول سرقت جاری گردد یا حدّ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فقها معتقدند حدّ اول سرقت یعنی بریدن دست باید اجرا گردد؛ لیکن مرحوم محقّق و عدّه‌ای از علما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شهادت به دو سرقت است، حدّ دوّم و اگر شهادت به سه سرقت است، حدّ سوّم یعنی حبس اجرا می‌شود</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لازمه‌ی این قول، اجرای حدّ چهارم یعنی قتل است؛ در صورتی که شهود به چهار سرقت در مجلس واحد شهادت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فرع در کلمات فقها از جمله صاحب جواهر رحمه الله</w:t>
      </w:r>
      <w:r>
        <w:rPr>
          <w:rStyle w:val="FootnoteAnchor"/>
          <w:rtl w:val="true"/>
        </w:rPr>
        <w:footnoteReference w:id="433"/>
      </w:r>
      <w:r>
        <w:rPr>
          <w:rFonts w:ascii="IRNazanin" w:hAnsi="IRNazanin" w:eastAsia="IRNazanin"/>
          <w:color w:val="111111"/>
          <w:sz w:val="28"/>
          <w:sz w:val="28"/>
          <w:szCs w:val="28"/>
          <w:rtl w:val="true"/>
          <w:lang w:bidi="fa-IR"/>
        </w:rPr>
        <w:t>درست بررسی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آیا مسأله را بر طبق قواعد تمام می‌کنند یا بر اساس روایتی که در این باب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روایت را در بحث‌های گذشته مطرح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سند دارد، که در یک سند آن، سهل بن زیاد وجود دارد که مورد اختلاف و مناقشه است؛ در سند دیگر نیز ابراهیم بن هاشم است که ما او را ثقه و روایاتش را صحیح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مرحوم صاحب جواهر</w:t>
      </w:r>
      <w:r>
        <w:rPr>
          <w:rStyle w:val="FootnoteAnchor"/>
          <w:rtl w:val="true"/>
        </w:rPr>
        <w:footnoteReference w:id="434"/>
      </w:r>
      <w:r>
        <w:rPr>
          <w:rFonts w:ascii="IRNazanin" w:hAnsi="IRNazanin" w:eastAsia="IRNazanin"/>
          <w:color w:val="111111"/>
          <w:sz w:val="28"/>
          <w:sz w:val="28"/>
          <w:szCs w:val="28"/>
          <w:rtl w:val="true"/>
          <w:lang w:bidi="fa-IR"/>
        </w:rPr>
        <w:t xml:space="preserve">از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کالصحیح أو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این روایت یا صحیحه است یا حسنه؛ مگر این که مبنا در پذیرش روایات، عمل به خبر صحیح باشد و این روایت را حسنه بدانید؛ یا مبنا عمل به خبر صحیح اعلایی باشد یعنی بر وثاقت هریک از راویان دو نفر شهادت داده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 سخن ما در این‌جا، صاحب جواهر رحمه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اگر روایت را قبول دارد، چرا بحث ضوابط و قواعد را مطرح می‌کند؛ و اگر روایت را نمی‌پذیرد و می‌خواهد بر طبق قاعده عمل کند، چرا مسأله‌ی روایت را به میان می‌آورد؟ کلمات ایشان اضطراب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بحث را مشخّص نمی‌کند؛ گاه بحث را مرتبط به روایت می‌کند و گاه چنان بحث می‌کند که گویا روایتی در این مورد نداریم، و گاه ثمره‌ی نزاع را مطرح ساخته و می‌گوید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سرقت اوّل ترتیب اثر دهیم یا به سرقت دوّم چه ثمره‌ای دارد؟</w:t>
      </w:r>
    </w:p>
    <w:p>
      <w:pPr>
        <w:pStyle w:val="BookText"/>
        <w:rPr/>
      </w:pPr>
      <w:r>
        <w:rPr>
          <w:rFonts w:ascii="IRNazanin" w:hAnsi="IRNazanin" w:eastAsia="IRNazanin"/>
          <w:color w:val="111111"/>
          <w:sz w:val="28"/>
          <w:sz w:val="28"/>
          <w:szCs w:val="28"/>
          <w:rtl w:val="true"/>
          <w:lang w:bidi="fa-IR"/>
        </w:rPr>
        <w:t>به ایشان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ثمره‌اش روشن است؛ اگر حدّ اوّل درباره‌اش جاری گردد دستش را می‌بُرند؛ و اگر حدّ دوّم اجرا شود، پای چپش را قطع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فایده‌ای بالاتر از این مقدار می‌خواهید؟ روایت نیز به صراحت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تقطع یده بالسرقة الاولی ولاتقطع رجله بالسرقة الأخیرة</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به هر تقدیر، اگر بر اساس روایت بحث می‌کنید و آن را صحیحه می‌دانید و در پایان فرع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مفاد روایت است متّجه و پذیرفته است، چرا دنبال این معنا می‌روید که ثمره‌ی اختلاف چیست و دست و پا می‌زنید ثمره‌ی آن را پیدا کنید؟</w:t>
      </w:r>
    </w:p>
    <w:p>
      <w:pPr>
        <w:pStyle w:val="BookText"/>
        <w:rPr/>
      </w:pPr>
      <w:r>
        <w:rPr>
          <w:rFonts w:ascii="IRNazanin" w:hAnsi="IRNazanin" w:eastAsia="IRNazanin"/>
          <w:color w:val="111111"/>
          <w:sz w:val="28"/>
          <w:sz w:val="28"/>
          <w:szCs w:val="28"/>
          <w:rtl w:val="true"/>
          <w:lang w:bidi="fa-IR"/>
        </w:rPr>
        <w:t>صاحب جواهر رحمه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ثمره‌ی نزاع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سارقی از دو نفر سرقت کرده باشد با توجّه به مسأله‌ی آینده که اجرای حدّ سرقت مشروط به مطالبه‌ی مسروق منه است، اگر سرقت ثابت شود ولی مسروق منه مطالبه‌ی اجرای حدّ نکند، حدّ جاری نمی‌شود؛ در صورتی که بیّنه بر هر دو سرقت اقامه شود و یکی از دو مسروق منه اجرای حدّ را مطالبه و دیگری سارق را عفو کند، اگر قطع دست را در رابطه‌ی با سرقت اوّل بدانیم با عفو مسروق منه اوّل، نباید دست دزد را برید؛ هرچند مسروق منه دوّم اجرای حدّ را مطالبه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مسالک رحمه الله در ردّ این قول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دو نفر حدّ را مطالبه کند، اجرا می‌شود؛ زیرا، هر یک از سرقت‌ها برای وجوب قطع سبب مستقلّی هستند</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صاحب جواهر رحمه الله در مقام ردّ نظر مرحوم صاحب مسالک مثل این که حرفی ندارد بزند، پای روایت را به میان می‌آورد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روایت، سرقت اوّل سببیّت دارد نه سرقت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طرح کلام کاشف اللثام رحمه الله</w:t>
      </w:r>
      <w:r>
        <w:rPr>
          <w:rStyle w:val="FootnoteAnchor"/>
          <w:rtl w:val="true"/>
        </w:rPr>
        <w:footnoteReference w:id="437"/>
      </w:r>
      <w:r>
        <w:rPr>
          <w:rFonts w:ascii="IRNazanin" w:hAnsi="IRNazanin" w:eastAsia="IRNazanin"/>
          <w:color w:val="111111"/>
          <w:sz w:val="28"/>
          <w:sz w:val="28"/>
          <w:szCs w:val="28"/>
          <w:rtl w:val="true"/>
          <w:lang w:bidi="fa-IR"/>
        </w:rPr>
        <w:t>نیز دست به دامن روایت می‌زند</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بیان مقتضای روایت</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روایت وارد در این موضوع را قبول داریم، باید در مفادش دقّت کنیم و آن‌چه می‌گوید، بپذیریم؛ اگر آن را ردّ می‌کنیم، باید ببینیم مقتضای قاعده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روایت را بار دیگر</w:t>
      </w:r>
    </w:p>
    <w:p>
      <w:pPr>
        <w:pStyle w:val="BookText"/>
        <w:rPr/>
      </w:pPr>
      <w:r>
        <w:rPr>
          <w:rFonts w:ascii="IRNazanin" w:hAnsi="IRNazanin" w:eastAsia="IRNazanin"/>
          <w:color w:val="111111"/>
          <w:sz w:val="28"/>
          <w:sz w:val="28"/>
          <w:szCs w:val="28"/>
          <w:rtl w:val="true"/>
          <w:lang w:bidi="fa-IR"/>
        </w:rPr>
        <w:t>مورد بحث و بررسی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یعقوب، عن عدّة من أصحابنا، عن سهل بن زیاد، وعن علیّ بن إبراهیم، عن أبیه جمیعاً، عن ابن محبوب، عن عبدالرّحمن بن الحجّاج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بن أعین، عن أبی جعفر علیه السلام فی رجل سرق فلم یقدر علیه، ثمّ سرق مرّة اخری ولم یقدر علیه، وسرق مرّة اخری فاخذ فجائت البیّنة فشهدوا علیه بالسرقة الاولی والسرقة 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تقطع یده بالسرقة الاولی ولا تقطع رجله بالسرقة 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الشّهود شهدوا جمیعاً فی مقام واحد بالسّرقة الأولی والأخیرة قبل أن یقطع بالسّرقة الاولی، ولو أنّ الشهود شهدوا علیه بالسرقة الاولی ثمّ أمسکوا حتّی یقطع ثمّ شهدوا علیه بالسّرقة الأخیرة قطعت رجله الیسری</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سند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فرع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 طریق دارد؛ یک طریقش مشتمل بر سهل بن زیاد است ولی طریق دوّم، مرحوم کلینی از علی بن ابراهیم از ابراهیم بن هاشم است که وثاقش را ترجیح دادیم و در بقیه‌ی سند هم افراد ثقه هستند؛ لذا روایت از طریق علی بن ابراهیم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سرقت کرد و نتوانستند او را بگیرند، بار دوّم مرتکب سرقت شد و گیر نیفتاد، پس از سرقت سوّم او را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بر سرقت اوّل و آخرش شهادت داد، حکمش چیست؟</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به سبب سرقت اوّل می‌برند، اما پایش را به جهت سرقت اخیر قطع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این بیان می‌فهمیم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السرقة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 سوّم نیست؛ زیرا، در سرقت سوّم حدّ قطع پا نداریم؛ بلکه سارق را زندانی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سرقت متأخّر از سرقت اوّل یعنی سرقت دوّم مقصود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شهود پس از شهادت به سرقت اوّل صبر می‌کردند تا حدّ در مورد سارق اجرا گردد آن‌گاه شهادت دوّم اقامه می‌شد، پای چپش نیز قطع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روایت</w:t>
      </w:r>
    </w:p>
    <w:p>
      <w:pPr>
        <w:pStyle w:val="BookText"/>
        <w:rPr/>
      </w:pPr>
      <w:r>
        <w:rPr>
          <w:rFonts w:ascii="IRNazanin" w:hAnsi="IRNazanin" w:eastAsia="IRNazanin"/>
          <w:color w:val="111111"/>
          <w:sz w:val="28"/>
          <w:sz w:val="28"/>
          <w:szCs w:val="28"/>
          <w:rtl w:val="true"/>
          <w:lang w:bidi="fa-IR"/>
        </w:rPr>
        <w:t>اوّلًا بر سرقت اوّل تکیه شده است و ثانیاً به قطع دست و نه قطع پا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دلالت واضح و روشن، جای بحث از ثمره‌ی نزاع نیست؛ چه فایده‌ای مهم‌تر از این که پای دزد را ببریم یا دستش را؟</w:t>
      </w:r>
    </w:p>
    <w:p>
      <w:pPr>
        <w:pStyle w:val="BookText"/>
        <w:rPr/>
      </w:pPr>
      <w:r>
        <w:rPr>
          <w:rFonts w:ascii="IRNazanin" w:hAnsi="IRNazanin" w:eastAsia="IRNazanin"/>
          <w:color w:val="111111"/>
          <w:sz w:val="28"/>
          <w:sz w:val="28"/>
          <w:szCs w:val="28"/>
          <w:rtl w:val="true"/>
          <w:lang w:bidi="fa-IR"/>
        </w:rPr>
        <w:t>به هر حال، در مسأله‌ای که دو قول وجود دارد، گروهی به قطع دست و گروهی به قطع پا فتوا داده‌اند، معنا ندارد فایده‌ی دیگری را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دیگر سخن، اگر هر دو گروه بر قطع دست اتّفاق داشتند و اختلافشان در این بود که قطع دست مستند به سرقت اوّل است یا دوّم، جا داشت بنشینیم و ثمره‌ای برای اختلاف پیدا کنیم؛ مثل این که روایت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تقطع یده بالسرقة الاولی ولاتقطع بالسرقة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تصریح روایت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تقطع یده بالسرقة الاولی ولاتقطع رجله بالسرقة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برای ردّ و ایراد در ثمره‌ی نزاع باقی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چند نکته</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ذیل روایت در مقام تعلیل بیان شده، می‌فهمیم تا زمانی که به سبب سرقت اوّل حدّ جاری نگردد، نوبت به مراتب دیگر نمی‌رسد؛ باید مراتب حفظ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نمی‌توان با جاری نشدن حدّ مرتبه اوّل حدّ مرتبه‌ی دوّم را اجرا کرد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روایت در خصوص موردی رسیده که شهود در یک مجلس به سرقت‌های مکرّر سارقی شهادت داده‌اند، ولی از تعلیل در ذیل روایت می‌فهمیم اگر دو شاهد بر سرقت اوّل شهادت دادند و رفتند، قبل از اجرای حدّ، دو شاهد دیگر نیز بر سرقت دوّم شهادت دهند، فقط یک حدّ، یعنی قطع دست اجرا می‌گردد؛ زیرا، کلام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أن یقطع بالسرقة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ملاک و ضابطه است که اگر شهادت شهود بعدی پس از قطع دست به سبب سرقت اوّل باشد، جای قطع پا هست؛ ولی اگر شهادتشان قبل از اجرای حدّ باشد، با آن که شهود دوّم غیر از شاهدان اوّل هستند، پای سارق قطع نمی‌شود؛</w:t>
      </w:r>
    </w:p>
    <w:p>
      <w:pPr>
        <w:pStyle w:val="BookText"/>
        <w:rPr/>
      </w:pPr>
      <w:r>
        <w:rPr>
          <w:rFonts w:ascii="IRNazanin" w:hAnsi="IRNazanin" w:eastAsia="IRNazanin"/>
          <w:color w:val="111111"/>
          <w:sz w:val="28"/>
          <w:sz w:val="28"/>
          <w:szCs w:val="28"/>
          <w:rtl w:val="true"/>
          <w:lang w:bidi="fa-IR"/>
        </w:rPr>
        <w:t>زیرا، هنوز دستی قطع نشده تا نوبت به قطع پا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خصوص بیّنه است؛ امّا از آن‌جا که حدّ سرقت به بیّنه یا اقرار سارق ثابت می‌شود، پس احکام بیّنه در مورد اقرار نیز جاری است؛ لذا اگر دوبار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دیشب از خانه‌ی زید و عمرو چیزی را به سرقت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دوبار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دیشب به خانه زید دستبرد زدم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قبل از اجرای حدّ،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فلان شب از خانه‌ی عمرو سرقت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مقتضای تعلیل روایت، فقط دستش را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در مقتضای قاعده</w:t>
      </w:r>
    </w:p>
    <w:p>
      <w:pPr>
        <w:pStyle w:val="BookText"/>
        <w:rPr/>
      </w:pPr>
      <w:r>
        <w:rPr>
          <w:rFonts w:ascii="IRNazanin" w:hAnsi="IRNazanin" w:eastAsia="IRNazanin"/>
          <w:color w:val="111111"/>
          <w:sz w:val="28"/>
          <w:sz w:val="28"/>
          <w:szCs w:val="28"/>
          <w:rtl w:val="true"/>
          <w:lang w:bidi="fa-IR"/>
        </w:rPr>
        <w:t>بنا بر این که روایت را معتبر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آن را تضعیف کنیم یا روایات حسنه را برای فتوا کافی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سارقی که در یک مجلس، بیّنه به دو سرقتش شهادت داده است، چرا نزاع می‌کنید که آیا به سرقت اوّل قطع می‌کنند یا به سرقت دوّم؟ بنا بر قاعده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سرقت اول دستش را و به سرقت دوّم پایش را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موردی یک قطع بیشتر نیست، این مطلب مورد تسلّم است؛ لیکن اختلاف در این است که آیا قطع دست است یا قطع پا؟ از کجا و به چه دلیلی این تسلّم پیدا شده است؟</w:t>
      </w:r>
    </w:p>
    <w:p>
      <w:pPr>
        <w:pStyle w:val="BookText"/>
        <w:rPr/>
      </w:pPr>
      <w:r>
        <w:rPr>
          <w:rFonts w:ascii="IRNazanin" w:hAnsi="IRNazanin" w:eastAsia="IRNazanin"/>
          <w:color w:val="111111"/>
          <w:sz w:val="28"/>
          <w:sz w:val="28"/>
          <w:szCs w:val="28"/>
          <w:rtl w:val="true"/>
          <w:lang w:bidi="fa-IR"/>
        </w:rPr>
        <w:t>نکته‌ای که از روایات حدّ سرقت استفاده می‌شود، این است که زمانی نوبت به قطع پا می‌رسد که دست قطع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پا مقدّم بر حبس ابد، و زندان مقدّم بر قتل است؛ یعنی مراتب بر یکدیگر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تقدّم این است که شما حقّ ندارید اول پا را قطع کنید و سپس دست را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کسی را می‌توان برید که دستش را قبلًا بریده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مقام ما که شهود بر دو سرقت شهادت داده‌اند، اوّل دست سارق را قطع کنید و سپس پایش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کنار گذاشتن روایت، دلیلی بر وحدت حدّ نداریم؛ دو مرتبه دزدی ثابت شده و دو سبب برای حدّ آمده است، هر دو را باید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تسلّم این معنا که یک حدّ بیشتر نیست و نزاع در این که قطع در رابطه با سرقت اوّل است یا دوّم با قواعد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سبب با هم تداخل می‌کنند، لذا یک حدّ جاری می‌شود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تداخل در جایی است که امکان تکرار نباشد و در این مقام، یک قطع بر</w:t>
      </w:r>
      <w:bookmarkStart w:id="570" w:name="pg16923_220330"/>
    </w:p>
    <w:p>
      <w:pPr>
        <w:pStyle w:val="BookText"/>
        <w:rPr/>
      </w:pPr>
      <w:bookmarkEnd w:id="570"/>
      <w:r>
        <w:rPr>
          <w:rFonts w:ascii="IRNazanin" w:hAnsi="IRNazanin" w:eastAsia="IRNazanin"/>
          <w:color w:val="111111"/>
          <w:sz w:val="28"/>
          <w:sz w:val="28"/>
          <w:szCs w:val="28"/>
          <w:rtl w:val="true"/>
          <w:lang w:bidi="fa-IR"/>
        </w:rPr>
        <w:t>دست و دیگری بر پا اجرا می‌شود؛ پس قطع قابل تکرار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دلیل به تعدّد سبب، و در نتیجه، به تعدّد مسبّب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سبب برای قطع دست و سبب دوّم برای قطع پا؛ و تداخل جایی است که اسباب مختلف، ولی مسبّب واحد باشد؛ مانند نواقض وضو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سبب واحد است، زیرا یک بیّنه بر دو سرقت شهادت داده است نه دو 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سبب قطع نیست؛ بلکه بیّنه موجب ثبوت سرقت است و جنبه‌ی اثباتی دارد؛ لذا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سرقت دستش را بریدند و نمی‌گویید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بیّنه دستش را قطع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همانند اقرار سارق یا علم حاکم راهی برای ثبوت سرقت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درنتیجه، کسی که روایت را قبول ندارد، چاره‌ای جز پذیرش تعدّد حدّ ندارد؛ لیکن اوّل دست را می‌برند و سپس پا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مبنا نوبت به طرح فرع دوّم نمی‌رسد؛ زیرا، وقتی با عدم تخلّل حدّ به تعدّدش قائل هستیم، با تخلل حدّ به طریق اولی باید قائل شد</w:t>
      </w:r>
      <w:r>
        <w:rPr>
          <w:rFonts w:eastAsia="IRNazanin" w:cs="IRNazanin"/>
          <w:color w:val="111111"/>
          <w:sz w:val="28"/>
          <w:szCs w:val="28"/>
          <w:rtl w:val="true"/>
          <w:lang w:bidi="fa-IR"/>
        </w:rPr>
        <w:t>.</w:t>
      </w:r>
    </w:p>
    <w:p>
      <w:pPr>
        <w:pStyle w:val="Heading5"/>
        <w:numPr>
          <w:ilvl w:val="4"/>
          <w:numId w:val="1"/>
        </w:numPr>
        <w:rPr/>
      </w:pPr>
      <w:bookmarkStart w:id="571" w:name="__RefHeading___Toc162511_3244359995"/>
      <w:bookmarkStart w:id="572" w:name="_Toc222"/>
      <w:bookmarkEnd w:id="571"/>
      <w:r>
        <w:rPr>
          <w:rtl w:val="true"/>
        </w:rPr>
        <w:t>فرع دوّم</w:t>
      </w:r>
      <w:r>
        <w:rPr>
          <w:rtl w:val="true"/>
        </w:rPr>
        <w:t xml:space="preserve">: </w:t>
      </w:r>
      <w:r>
        <w:rPr>
          <w:rtl w:val="true"/>
        </w:rPr>
        <w:t>قیام حجّت پس از اجرای حدّ</w:t>
      </w:r>
      <w:bookmarkEnd w:id="572"/>
    </w:p>
    <w:p>
      <w:pPr>
        <w:pStyle w:val="BookText"/>
        <w:rPr/>
      </w:pPr>
      <w:r>
        <w:rPr>
          <w:rFonts w:ascii="IRNazanin" w:hAnsi="IRNazanin" w:eastAsia="IRNazanin"/>
          <w:color w:val="111111"/>
          <w:sz w:val="28"/>
          <w:sz w:val="28"/>
          <w:szCs w:val="28"/>
          <w:rtl w:val="true"/>
          <w:lang w:bidi="fa-IR"/>
        </w:rPr>
        <w:t>در روایت صحیحه به این فرع تصریح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بیّنه پس از شهادت به سرقت اوّل سکوت کرد تا حدّ اجرا شد، سپس به سرقت دوّم شهادت داد، پایش را می‌بُرند؛ زیرا، شهادت دوّم باید اثر داشته باشد؛ و اثرش، قطع پای چپ سارق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آن‌چه امام راحل در متن تحریرالوسیله در این مسأله بیان کردند، از صریح روایت یا با الغای خصوصیّت فهمیده می‌شود و جای تردید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این مطالب ظهور دارد، و بلکه نصّ است</w:t>
      </w:r>
      <w:r>
        <w:rPr>
          <w:rFonts w:eastAsia="IRNazanin" w:cs="IRNazanin"/>
          <w:color w:val="111111"/>
          <w:sz w:val="28"/>
          <w:szCs w:val="28"/>
          <w:rtl w:val="true"/>
          <w:lang w:bidi="fa-IR"/>
        </w:rPr>
        <w:t>.</w:t>
      </w:r>
      <w:bookmarkStart w:id="573" w:name="pg16923_220331"/>
    </w:p>
    <w:p>
      <w:pPr>
        <w:pStyle w:val="BookText"/>
        <w:rPr/>
      </w:pPr>
      <w:bookmarkEnd w:id="5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إجراء الحدّ علی مطالبة المسروق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اقیمت البیّنة عند الحاکم أو أقرّ بالسرقة عنده أو علم ذلک لم یقطع حتّی یطالبه المسروق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لم یرفعه إلی الحاکم لم یقطعه، ولو عفی عنه قبل الرفع سقط الحدّ، وکذا لو وهبه المال قبل الرفع، ولو رفعه إلیه لم یسقط الحدّ، وکذا لو وهبه بعد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سرق مالًا فملکه بشراء ونحوه قبل الرفع إلی الحاکم وثبوته سقط الحدّ، ولو کان ذلک بعده لم یسقط</w:t>
      </w:r>
      <w:r>
        <w:rPr>
          <w:rFonts w:eastAsia="IRNazanin" w:cs="IRNazanin"/>
          <w:color w:val="111111"/>
          <w:sz w:val="28"/>
          <w:szCs w:val="28"/>
          <w:rtl w:val="true"/>
          <w:lang w:bidi="fa-IR"/>
        </w:rPr>
        <w:t>.]</w:t>
      </w:r>
    </w:p>
    <w:p>
      <w:pPr>
        <w:pStyle w:val="Heading4"/>
        <w:numPr>
          <w:ilvl w:val="3"/>
          <w:numId w:val="1"/>
        </w:numPr>
        <w:rPr/>
      </w:pPr>
      <w:bookmarkStart w:id="574" w:name="__RefHeading___Toc162513_3244359995"/>
      <w:bookmarkStart w:id="575" w:name="_Toc223"/>
      <w:bookmarkEnd w:id="574"/>
      <w:r>
        <w:rPr>
          <w:rtl w:val="true"/>
        </w:rPr>
        <w:t>توقّف اجرای حدّ بر مطالبه‌ی مال‌باخته</w:t>
      </w:r>
      <w:bookmarkEnd w:id="575"/>
    </w:p>
    <w:p>
      <w:pPr>
        <w:pStyle w:val="Heading5"/>
        <w:numPr>
          <w:ilvl w:val="4"/>
          <w:numId w:val="1"/>
        </w:numPr>
        <w:rPr/>
      </w:pPr>
      <w:bookmarkStart w:id="576" w:name="__RefHeading___Toc162515_3244359995"/>
      <w:bookmarkStart w:id="577" w:name="_Toc224"/>
      <w:bookmarkEnd w:id="576"/>
      <w:r>
        <w:rPr>
          <w:rtl w:val="true"/>
        </w:rPr>
        <w:t>اشاره</w:t>
      </w:r>
      <w:bookmarkEnd w:id="577"/>
    </w:p>
    <w:p>
      <w:pPr>
        <w:pStyle w:val="BookText"/>
        <w:rPr/>
      </w:pPr>
      <w:r>
        <w:rPr>
          <w:rFonts w:ascii="IRNazanin" w:hAnsi="IRNazanin" w:eastAsia="IRNazanin"/>
          <w:color w:val="111111"/>
          <w:sz w:val="28"/>
          <w:sz w:val="28"/>
          <w:szCs w:val="28"/>
          <w:rtl w:val="true"/>
          <w:lang w:bidi="fa-IR"/>
        </w:rPr>
        <w:t>این مسأله چهار فرع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سرقت سارقی از راه قیام بیّنه یا اقرار سارق نزد حاکم یا علم حاکم ثابت شود، در صورتی که مال‌باخته بیّنه را نیاورده باشد، دست سارق را بدون مطالبه‌ی مسروق منه نمی‌توان 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مسروق منه جریان سرقت را نزد حاکم مطرح نکند، حاکم نمی‌تواند دست سارق را ببرد؛ ولی اگر مطرح کند، حدّ ساقط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مال از او دزدیده شده، قبل از طرح سرقت نزد حاکم، مال مسروقه را به سارق ببخشد، قطع دست ساقط می‌شود؛ ولی اگر بخشش بعد از طرح باشد، ساقط نمی‌گردد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سارق قبل از طرح سرقت توسط مال‌باخته نزد حاکم، به خریدن یا غیر آن، مالکِ مال مسروقه شود، حدّ ساقط می‌گردد؛ و اگر بعد از طرح باشد، حدّ جاری می‌شود</w:t>
      </w:r>
      <w:r>
        <w:rPr>
          <w:rFonts w:eastAsia="IRNazanin" w:cs="IRNazanin"/>
          <w:color w:val="111111"/>
          <w:sz w:val="28"/>
          <w:szCs w:val="28"/>
          <w:rtl w:val="true"/>
          <w:lang w:bidi="fa-IR"/>
        </w:rPr>
        <w:t>.</w:t>
      </w:r>
    </w:p>
    <w:p>
      <w:pPr>
        <w:pStyle w:val="Heading5"/>
        <w:numPr>
          <w:ilvl w:val="4"/>
          <w:numId w:val="1"/>
        </w:numPr>
        <w:rPr/>
      </w:pPr>
      <w:bookmarkStart w:id="578" w:name="__RefHeading___Toc162517_3244359995"/>
      <w:bookmarkStart w:id="579" w:name="_Toc225"/>
      <w:bookmarkEnd w:id="578"/>
      <w:r>
        <w:rPr>
          <w:rtl w:val="true"/>
        </w:rPr>
        <w:t>فرع اوّل</w:t>
      </w:r>
      <w:r>
        <w:rPr>
          <w:rtl w:val="true"/>
        </w:rPr>
        <w:t xml:space="preserve">: </w:t>
      </w:r>
      <w:r>
        <w:rPr>
          <w:rtl w:val="true"/>
        </w:rPr>
        <w:t>توقّف اجرای حدّ بر مطالبه‌ی مال‌باخته</w:t>
      </w:r>
      <w:bookmarkEnd w:id="579"/>
    </w:p>
    <w:p>
      <w:pPr>
        <w:pStyle w:val="Heading6"/>
        <w:numPr>
          <w:ilvl w:val="5"/>
          <w:numId w:val="1"/>
        </w:numPr>
        <w:rPr/>
      </w:pPr>
      <w:bookmarkStart w:id="580" w:name="__RefHeading___Toc162519_3244359995"/>
      <w:bookmarkStart w:id="581" w:name="_Toc226"/>
      <w:bookmarkEnd w:id="580"/>
      <w:r>
        <w:rPr>
          <w:rtl w:val="true"/>
        </w:rPr>
        <w:t>اشاره</w:t>
      </w:r>
      <w:bookmarkEnd w:id="581"/>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این فرع جایی است که سرقت نزد حاکم به یکی از سه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بیّنه یا اقرار سارق و یا علم حاکم ثابت شده است؛ مسروق منه اصلًا مراجعه‌ای به حاکم نداشت، ولی بیّنه از باب امور حسبیّه به خاطر مصالحی نزد حاکم رفت و به سرقت 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حجیت</w:t>
      </w:r>
      <w:bookmarkStart w:id="582" w:name="pg16923_220332"/>
    </w:p>
    <w:p>
      <w:pPr>
        <w:pStyle w:val="BookText"/>
        <w:rPr/>
      </w:pPr>
      <w:bookmarkEnd w:id="582"/>
      <w:r>
        <w:rPr>
          <w:rFonts w:ascii="IRNazanin" w:hAnsi="IRNazanin" w:eastAsia="IRNazanin"/>
          <w:color w:val="111111"/>
          <w:sz w:val="28"/>
          <w:sz w:val="28"/>
          <w:szCs w:val="28"/>
          <w:rtl w:val="true"/>
          <w:lang w:bidi="fa-IR"/>
        </w:rPr>
        <w:t>بیّنه حسبیّه اختلاف است؛ امّا بیشتر فقها آن را حجّت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بیّنه از طرف مال‌باخته اقامه نشده است، یا سارقی برای تخفیف در گناهانش نزد حاکم به سرقت اقرار کرد، همانند باب زنا و لواط که زانی و لائط اقرار می‌کرد و حدّ درباره‌اش جاری می‌شد و یا حاکم شرع از روی قراین و شواهد، به سرقت علم پیدا کرد، بحث در این است که آیا به مجرّد ثبوت سرقت می‌توان حدّ را در مورد سارق اجرا کرد؟</w:t>
      </w:r>
    </w:p>
    <w:p>
      <w:pPr>
        <w:pStyle w:val="BookText"/>
        <w:rPr/>
      </w:pPr>
      <w:r>
        <w:rPr>
          <w:rFonts w:ascii="IRNazanin" w:hAnsi="IRNazanin" w:eastAsia="IRNazanin"/>
          <w:color w:val="111111"/>
          <w:sz w:val="28"/>
          <w:sz w:val="28"/>
          <w:szCs w:val="28"/>
          <w:rtl w:val="true"/>
          <w:lang w:bidi="fa-IR"/>
        </w:rPr>
        <w:t>مشهور بین فقها توقّف اجرای حدّ بر مطالبه‌ی مال‌باخته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سرقت برخلاف باب زنا، لواط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مجرّد ثبوتش حدّ جاری می‌شد و حالت انتظاری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مال‌باخته مطالبه‌ی حدّ نکند، حدّ سرقت پیاده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مسأله روایاتی است که در این خصوص رسیده است؛ لیکن مبتلا به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هر دو طایفه را مطرح کنیم</w:t>
      </w:r>
      <w:r>
        <w:rPr>
          <w:rFonts w:eastAsia="IRNazanin" w:cs="IRNazanin"/>
          <w:color w:val="111111"/>
          <w:sz w:val="28"/>
          <w:szCs w:val="28"/>
          <w:rtl w:val="true"/>
          <w:lang w:bidi="fa-IR"/>
        </w:rPr>
        <w:t>:</w:t>
      </w:r>
    </w:p>
    <w:p>
      <w:pPr>
        <w:pStyle w:val="Heading6"/>
        <w:numPr>
          <w:ilvl w:val="5"/>
          <w:numId w:val="1"/>
        </w:numPr>
        <w:rPr/>
      </w:pPr>
      <w:bookmarkStart w:id="583" w:name="__RefHeading___Toc162521_3244359995"/>
      <w:bookmarkStart w:id="584" w:name="_Toc227"/>
      <w:bookmarkEnd w:id="583"/>
      <w:r>
        <w:rPr>
          <w:rtl w:val="true"/>
        </w:rPr>
        <w:t>دلیل قول مشهور</w:t>
      </w:r>
      <w:bookmarkEnd w:id="584"/>
    </w:p>
    <w:p>
      <w:pPr>
        <w:pStyle w:val="BookText"/>
        <w:rPr/>
      </w:pPr>
      <w:r>
        <w:rPr>
          <w:rFonts w:ascii="IRNazanin" w:hAnsi="IRNazanin" w:eastAsia="IRNazanin"/>
          <w:color w:val="111111"/>
          <w:sz w:val="28"/>
          <w:sz w:val="28"/>
          <w:szCs w:val="28"/>
          <w:rtl w:val="true"/>
          <w:lang w:bidi="fa-IR"/>
        </w:rPr>
        <w:t>وعن علیّ بن محمّد، عن محمّد بن أحمد المحمودی، عن أبیه، عن یونس، عن الحسین بن خالد،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علی الإمام إذا نظر إلی رجل یزنی أو یشرب الخمر أن یقیم علیه الحدّ، ولا یحتاج إلی بیّنة مع نظره، لأنّه أمین اللَّه فی خلقه، وإذا نظر إلی رجل یسرق أن یزبره وینهاه ویمضی ویدعه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الحقّ إذا کان للّه فالواجب علی الإمام إقامته وإذا کان للنّاس فهو للنّاس</w:t>
      </w:r>
      <w:r>
        <w:rPr>
          <w:rFonts w:eastAsia="IRNazanin" w:cs="IRNazanin"/>
          <w:color w:val="111111"/>
          <w:sz w:val="28"/>
          <w:szCs w:val="28"/>
          <w:rtl w:val="true"/>
          <w:lang w:bidi="fa-IR"/>
        </w:rPr>
        <w:t>.</w:t>
      </w:r>
      <w:r>
        <w:rPr>
          <w:rStyle w:val="FootnoteAnchor"/>
          <w:rtl w:val="true"/>
        </w:rPr>
        <w:footnoteReference w:id="440"/>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مردی را دید که مرتکب زنا یا شرب خمر شده است، بر او واجب است حدّ را در حقّ مجرم پیاده کند و نیازی به اقامه‌ی بیّنه نیست؛ در حالی که خودش دیده است؛ زیرا او امین خدا و نماینده‌ی خدا در بین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w:t>
      </w:r>
    </w:p>
    <w:p>
      <w:pPr>
        <w:pStyle w:val="BookText"/>
        <w:rPr/>
      </w:pPr>
      <w:r>
        <w:rPr>
          <w:rFonts w:ascii="IRNazanin" w:hAnsi="IRNazanin" w:eastAsia="IRNazanin"/>
          <w:color w:val="111111"/>
          <w:sz w:val="28"/>
          <w:sz w:val="28"/>
          <w:szCs w:val="28"/>
          <w:rtl w:val="true"/>
          <w:lang w:bidi="fa-IR"/>
        </w:rPr>
        <w:t>باید مانع اموری گردد که مخالفت با خداوند محسوب می‌شود و حق‌اللَّه را استیفا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اگر شخصی را دید که مشغول سرقت است بر امام واجب است او را نهی از منکر کند و رهایش کند و برود؛ بیش از این مقدار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بین این دو مطلب فرق است؟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حقّ مربوط به خدا باشد، بر امام اقامه‌اش واجب است و اگر در رابطه‌ی با مردم است، مردم نیز باید دخالت داشته باشند و نظر موافق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دیگری نیز در این باب هست که مضمون آن‌ها توقّف قطع بر مطالبه‌ی مال‌باخته است؛ لیکن در مقابل این روایات، روایت صحیحه‌ای داریم که بین حقّ اللَّه و حقّ الناس تفصیل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قسمتی از آن که به بحث ما مربوط است،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بعض أصحابنا یا أبا عبد اللَّه فما هذه الحدود الّتی إذا اقرّ بها عند الإمام مرّة واحدة علی نفسه اقیم علیه الحدّ فیها؟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أقرّ علی نفسه عند الإمام بسرقة قطعه، فهذا من حقوق اللَّه وإذا أقرّ علی نفسه أنّه شرب خمراً حدّه فهذا من حقوق اللَّه</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است آن حدودی که اگر یک‌بار به آن نزد امام اقرار کنند، حدّ را جاری می‌سازد؟</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امام به سرقت اقرار کند، امام دستش را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انتظاری ندارد؛ اذن و مطالبه‌ی مسروق‌منه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شراب‌خواری اقرار کند، او را حدّ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سرقت و شرب خمر را به همدیگر عطف می‌کند در حالی که در روایت حسین بن خالد بین این دو فرق گذاشته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 تعارض</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حسین بن خالد مربوط به موردی است که سرقت با علم و نظر حاکم ثابت شود؛ و روایت فضیل بن یسار در مورد اقرار است؛ لذا، تعارضی نیست؛ زیرا، موضوع در دو</w:t>
      </w:r>
    </w:p>
    <w:p>
      <w:pPr>
        <w:pStyle w:val="BookText"/>
        <w:rPr/>
      </w:pPr>
      <w:r>
        <w:rPr>
          <w:rFonts w:ascii="IRNazanin" w:hAnsi="IRNazanin" w:eastAsia="IRNazanin"/>
          <w:color w:val="111111"/>
          <w:sz w:val="28"/>
          <w:sz w:val="28"/>
          <w:szCs w:val="28"/>
          <w:rtl w:val="true"/>
          <w:lang w:bidi="fa-IR"/>
        </w:rPr>
        <w:t>روایت با هم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این راه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أمین اللَّه فی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است که حق‌اللَّه به مجرّدی که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ثبوتش از هر راهی که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بیّنه، علم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حدّ بدون معطّلی و حالت انتظار پیاده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روایت در مورد علم و نظر حاکم سبب انحصار حکم به نظر حاکم نمی‌شود؛ یعنی مورد، مخصّص و مقیّد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صحیحه‌ی فضیل با قرآن و سنّت موافق است؛ از این رو، در مقام تعارض بر روایت حسین بن خالد مقدّم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این تقدیم، عدم توقّف اجرای حدّ سرقت بر اذن و مطالبه‌ی مسروق‌منه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این راه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اشکالاتی در روایت فضیل دیده می‌شود که با توجّه به آن‌ها شاید از درجه‌ی اعتبار ساقط گردد و نوبت به معارضه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پاره‌ای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یک اقرار را در باب سرقت کافی می‌داند؛ در حالی که مشهور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کمتر از دو اقرار سرقت ثابت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سؤال این است که کدام حدّ با یک اقرار جاری می‌شود و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روایت، حدّ زنای احصانی را که با بیّنه ثابت شود، صد تازیانه و رجم گفته است؛ در صورتی که مشهور فقط به رجم قائل‌اند و صد تازیانه را حدّ زنای غیراحصانی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اشکال‌ها و جهات دیگری که در بحث‌های گذشته به آن اشاره شد، این روایت به عنوان مخالفت با مشهور کنار گذاشته می‌شود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فرض تحقّق تعارض، اوّلین مرجّحی که مقبوله‌ی عمر بن حنظله</w:t>
      </w:r>
      <w:r>
        <w:rPr>
          <w:rStyle w:val="FootnoteAnchor"/>
          <w:rtl w:val="true"/>
        </w:rPr>
        <w:footnoteReference w:id="442"/>
      </w:r>
      <w:r>
        <w:rPr>
          <w:rFonts w:ascii="IRNazanin" w:hAnsi="IRNazanin" w:eastAsia="IRNazanin"/>
          <w:color w:val="111111"/>
          <w:sz w:val="28"/>
          <w:sz w:val="28"/>
          <w:szCs w:val="28"/>
          <w:rtl w:val="true"/>
          <w:lang w:bidi="fa-IR"/>
        </w:rPr>
        <w:t>مطرح می‌کند، شهرت فتوایی است نه موافقت کتاب، لذا با تحقّق شهرت فتوایی بر وفاق صحیحه حسین بن خالد، این صحیحه مقدّم می‌گردد؛ در نتیجه، اگر سرقت به اقرار سارق یا بیّنه حسبیّه یا علم حاکم ثابت شود، بدون مطالبه‌ی مال‌باخته حقّ اجرای حدّ را ندارند</w:t>
      </w:r>
      <w:r>
        <w:rPr>
          <w:rFonts w:eastAsia="IRNazanin" w:cs="IRNazanin"/>
          <w:color w:val="111111"/>
          <w:sz w:val="28"/>
          <w:szCs w:val="28"/>
          <w:rtl w:val="true"/>
          <w:lang w:bidi="fa-IR"/>
        </w:rPr>
        <w:t>.</w:t>
      </w:r>
      <w:bookmarkStart w:id="585" w:name="pg16923_220335"/>
    </w:p>
    <w:p>
      <w:pPr>
        <w:pStyle w:val="Heading6"/>
        <w:numPr>
          <w:ilvl w:val="5"/>
          <w:numId w:val="1"/>
        </w:numPr>
        <w:rPr/>
      </w:pPr>
      <w:bookmarkStart w:id="586" w:name="__RefHeading___Toc162523_3244359995"/>
      <w:bookmarkStart w:id="587" w:name="_Toc228"/>
      <w:bookmarkEnd w:id="585"/>
      <w:bookmarkEnd w:id="586"/>
      <w:r>
        <w:rPr>
          <w:rtl w:val="true"/>
        </w:rPr>
        <w:t>حکم فرع‌های سه‌گانه</w:t>
      </w:r>
      <w:bookmarkEnd w:id="587"/>
    </w:p>
    <w:p>
      <w:pPr>
        <w:pStyle w:val="BookText"/>
        <w:rPr/>
      </w:pPr>
      <w:r>
        <w:rPr>
          <w:rFonts w:ascii="IRNazanin" w:hAnsi="IRNazanin" w:eastAsia="IRNazanin"/>
          <w:color w:val="111111"/>
          <w:sz w:val="28"/>
          <w:sz w:val="28"/>
          <w:szCs w:val="28"/>
          <w:rtl w:val="true"/>
          <w:lang w:bidi="fa-IR"/>
        </w:rPr>
        <w:t>در این سه فرع، امام راحل، بینِ قبل از مراجعه‌ی به حاکم و بعد از آن در امر سرقت تفصیل داده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مراجعه‌ی به حاکم عفو یا هبه یا ملکیّت مال مسروقه حادث شود، سبب سقوط حدّ می‌گردد؛ و اگر بعد از آن باشد، حکم قطع باید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p>
    <w:p>
      <w:pPr>
        <w:pStyle w:val="BookText"/>
        <w:rPr/>
      </w:pPr>
      <w:r>
        <w:rPr>
          <w:rFonts w:ascii="IRNazanin" w:hAnsi="IRNazanin" w:eastAsia="IRNazanin"/>
          <w:color w:val="111111"/>
          <w:sz w:val="28"/>
          <w:sz w:val="28"/>
          <w:szCs w:val="28"/>
          <w:rtl w:val="true"/>
          <w:lang w:bidi="fa-IR"/>
        </w:rPr>
        <w:t>اگر سارقی به عنوان مثال مال مسروقه را به صاحبش عودت داد و مال‌باخته نیز قبل از مراجعه‌ی به حاکم او را عفو کرد، حدّ سرقت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ثمره‌ی این مسأله در جایی ظاهر می‌گردد که صاحب مال غایب بود، سارقی به خانه‌اش زد و به مقدار نصاب برداشت و همسایگان او را گرفتند و تحویل حاکم دادند؛ با وجود این که سرقت ثابت شده است تا زمانی که مسروق منه مطالبه نکند، حدّ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مال، دزد را بخشید، حدّ قطع منتفی می‌شود؛ ولی اگر عفو پس از مراجعه‌ی به حاکم بود، اثری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جریان در مورد هبه‌ی مال مسروقه به سارق مطرح است؛ اگر هبه کردن قبل از مراجعه حاکم باشد، مؤثر است؛ وگرنه تأثیری در سقوط حدّ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سارق لازم نیست مال مسروقه 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در جایی که مال مسروقه به بیع یا هبه و مانند آن به سارق منتقل گردد،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انتقال قبل از مراجعه‌ی به حاکم باشد حدّ را ساقط می‌کند؛ امّا اگر پس از آن باشد، اثری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 حکم این سه فرع، روایات است؛ باید دید آیا این روایات بر این احکام دلالت دارد یا نه؟</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عدّة من أصحابنا، عن أحمد بن محمّد بن خالد، عن عثمان بن عیسی، عن سماعة بن مهران،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أخذ سارقاً فعفی عنه فذلک له، فإذا رفع إلی الإمام قطعه، فإن قال الّذی سرق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أهبه له لم یدعه إلی الإمام یقطعه إذا رفعه إلیه، وإنّما الهبة قبل أن یرفع إلی الإمام وذلک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الْحفِظُونَ لِحُدُودِ اللَّهِ فإذا انتهی الحدّ إلی الإمام</w:t>
      </w:r>
    </w:p>
    <w:p>
      <w:pPr>
        <w:pStyle w:val="BookText"/>
        <w:rPr/>
      </w:pPr>
      <w:r>
        <w:rPr>
          <w:rFonts w:ascii="IRNazanin" w:hAnsi="IRNazanin" w:eastAsia="IRNazanin"/>
          <w:color w:val="111111"/>
          <w:sz w:val="28"/>
          <w:sz w:val="28"/>
          <w:szCs w:val="28"/>
          <w:rtl w:val="true"/>
          <w:lang w:bidi="fa-IR"/>
        </w:rPr>
        <w:t>فلیس لأحد أن یترکه</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موثّقه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سارقش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التماس و درخواست 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بخشید، حقّ دارد که دزد خانه‌اش را عفو کند؛ امّا اگر مسأله به امام و حاکم شرع منتهی شود، باید حدّ قطع اجرا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مال‌باخته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دزدیده‌شده را به او می‌بخشم، این هبه اثری ندارد؛ امام باید حدّ الهی را جاری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 اگر قبل از مراجعه‌ی به امام باشد،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قول پروردگار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حافظ حدود الهی هستند؛ امام حافظ حدود الهی می‌باشد، وقتی مسأله به او منتهی شد، راهی برای عدم اجرای حدّ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حدّ را حفظ کند، هیچ کس نمی‌تواند حدّ الهی را ترک کند و کنار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روایت</w:t>
      </w:r>
    </w:p>
    <w:p>
      <w:pPr>
        <w:pStyle w:val="BookText"/>
        <w:rPr/>
      </w:pPr>
      <w:r>
        <w:rPr>
          <w:rFonts w:ascii="IRNazanin" w:hAnsi="IRNazanin" w:eastAsia="IRNazanin"/>
          <w:color w:val="111111"/>
          <w:sz w:val="28"/>
          <w:sz w:val="28"/>
          <w:szCs w:val="28"/>
          <w:rtl w:val="true"/>
          <w:lang w:bidi="fa-IR"/>
        </w:rPr>
        <w:t>این موثّقه، صورت عفو و هبه را به صراحت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هبه با بیع و صلح و مانند آن فرقی ندارد، سقوط حدّ و عدمش دائر مدار مراجعه‌ی به حاکم و عدم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قبل از مراجعه یکی از این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هبه، 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زند، منافاتی با وَ الْحفِظُونَ لِحُدُودِ اللَّهِ</w:t>
      </w:r>
      <w:r>
        <w:rPr>
          <w:rStyle w:val="FootnoteAnchor"/>
          <w:rtl w:val="true"/>
        </w:rPr>
        <w:footnoteReference w:id="444"/>
      </w:r>
      <w:r>
        <w:rPr>
          <w:rFonts w:ascii="IRNazanin" w:hAnsi="IRNazanin" w:eastAsia="IRNazanin"/>
          <w:color w:val="111111"/>
          <w:sz w:val="28"/>
          <w:sz w:val="28"/>
          <w:szCs w:val="28"/>
          <w:rtl w:val="true"/>
          <w:lang w:bidi="fa-IR"/>
        </w:rPr>
        <w:t>ندارد؛ امّا اگر پس از مراجعه باشد، تنافی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این روایت حکم بیع و صلح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عرف برای هبه خصوصیّتی نمی‌بیند؛ 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هبه یعنی مال به سارق منتقل شده باشد، خواه به انتقال معاوضی یا غیرمعاوضی، هبه باشد یا بیع یا صلح و یا هر عقد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کمک عرف، فرع چهارم نیز از روایت فهمیده می‌شود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علیّ بن إبراهیم، عن أبیه، عن ابن أبی عمیر، عن حمّاد، 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یأخذ اللصّ یرفعه أو یترکه؟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صفوان بن امیّة کان مضطجعاً فی المسجد الحرام، فوضع رداءه وخرج یهریق الماء، فوجد رداءه قد سرق حین رجع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ذهب</w:t>
      </w:r>
    </w:p>
    <w:p>
      <w:pPr>
        <w:pStyle w:val="BookText"/>
        <w:rPr/>
      </w:pPr>
      <w:r>
        <w:rPr>
          <w:rFonts w:ascii="IRNazanin" w:hAnsi="IRNazanin" w:eastAsia="IRNazanin"/>
          <w:color w:val="111111"/>
          <w:sz w:val="28"/>
          <w:sz w:val="28"/>
          <w:szCs w:val="28"/>
          <w:rtl w:val="true"/>
          <w:lang w:bidi="fa-IR"/>
        </w:rPr>
        <w:t>بردائی، فذهب یطلبه، فأخذ صاحبه فرفعه إلی النّبی صلی الله علیه و آله فقال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اقطعوا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تقطع یده من أجل ردائی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أهبه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کان هذا قبل أن ترفعه إلیّ؟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بمنزلته إذا رفع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العفو قبل أن ینتهی إلی الإمام؟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محمّد بن یحیی، عن أحمد بن محمّد بن عیسی، عن علیّ بن الحکم، عن الحسین بن أبی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وذکر نحوه</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دزدش را می‌گیرد؛ او را رها کند یا نزد حاکم ببرد؟ تکلیفش چیست؟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امیه در مسجدالحرام خوابیده بود، ردایش را گذاشت و برای تطهیر از مسجد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مسجد برگشت دید عبایش را دزدیده‌اند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عبایم را برده است؟ به جستجوی آن پرداخت تا سارق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رسول خدا صلی الله علیه و آله آورد، پیامبر خدا صلی الله علیه و آله فرمان داد دست دزد را قطع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ردای من دست این بیچاره را می‌برید؟</w:t>
      </w:r>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عبایم را به او بخشیدم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 دارد مقصود صفوان بخشیدن جرم و سرقت باشد؛ هر دو احتمال جا دارد اگرچه احتمال اوّل ظاهرتر و احتمال دوّم عرفی‌تر است؛ زیرا، عرف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کردم، او را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قبل از مراجعه‌ی به من او را نبخشیدی؟ الآن هبه اثری ندارد؛ باید این دست بریده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حلبی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نیز همان منزلت پیامبر را داراست؟ یعنی آیا این حکم اختصاصی نیست؟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امام و پیغمبر از این جهت نیست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قبل از مراجعه‌ی به امام سارق را بخشید؟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w:t>
      </w:r>
    </w:p>
    <w:p>
      <w:pPr>
        <w:pStyle w:val="BookText"/>
        <w:rPr/>
      </w:pPr>
      <w:r>
        <w:rPr>
          <w:rFonts w:ascii="IRNazanin" w:hAnsi="IRNazanin" w:eastAsia="IRNazanin"/>
          <w:color w:val="111111"/>
          <w:sz w:val="28"/>
          <w:sz w:val="28"/>
          <w:szCs w:val="28"/>
          <w:rtl w:val="true"/>
          <w:lang w:bidi="fa-IR"/>
        </w:rPr>
        <w:t>نیکویی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کلینی رحمه الله به سند دیگری از حسین بن ابی العلاء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طریقش صحیح است؛ لیکن اشکالی در سابق بر این روایت در مسأله اعتبار حرز مطرح شد؛ زیرا، مفاد روایت عدم اعتبار حرز و جریان حدّ در سرقت از اماکن عمومی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عدّة من أصحابنا، عن سهل بن زیاد، وعن علیّ بن إبراهیم، عن أبیه جمیعاً، عن ابن محبوب، عن ابن رئاب، عن ضریس الکناسی،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یعفی عن الحدود الّتی للّه دون الإمام، فأمّا ما کان من حقّ الناس فی حدّ فلا بأس بأن یعفی عنه دون الإمام</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دو طریق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طریقش سهل بن زیاد واقع شده است؛ لذا، نمی‌توان حکم به صحّت آن طریق کرد؛ امّا طریق دوّمش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حدودی که حقّ‌اللَّه است احدی غیر از امام در آن‌ها حقّ عفو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استثنا اطلاق ندارد، بلکه مخصوص مواردی است که حدّ با اقرار ثابت شده باشد؛ لذا در موارد قیام بیّنه با توبه‌ی مجرم نیز حقّ عفو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حدودی که حقّ الناس است، غیر از امام علیه السلام نیز می‌تواند عفو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کسی که در آن حدّ دخلی داشته باشد؛ و مقصود هرکسی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بر جواز عفو در حدود الناس دلالت دارد؛ لیکن اطلاقی ندارد که هر دو حالت قبل از رفع و بعد از آن را شامل گردد؛ بلکه به‌طور اجمال می‌خواهد به پاره‌ای از مواردی که غیر امام حقّ عفو دارد، اشاره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قبول اطلاق روایت، این اطلاق با روایات گذشته تقیید می‌گردد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فرعی که در تحریرالوسیله مطرح شد، اگر عفو یا هبه یا انتقال قبل از بردن مرافعه نزد حاکم باشد، حدّ قطع ساقط می‌شود؛ ولی اگر بعد از رفع امر باشد، حدّ به جای خود محفوظ است</w:t>
      </w:r>
      <w:r>
        <w:rPr>
          <w:rFonts w:eastAsia="IRNazanin" w:cs="IRNazanin"/>
          <w:color w:val="111111"/>
          <w:sz w:val="28"/>
          <w:szCs w:val="28"/>
          <w:rtl w:val="true"/>
          <w:lang w:bidi="fa-IR"/>
        </w:rPr>
        <w:t>.</w:t>
      </w:r>
      <w:bookmarkStart w:id="588" w:name="pg16923_220339"/>
    </w:p>
    <w:p>
      <w:pPr>
        <w:pStyle w:val="BookText"/>
        <w:rPr/>
      </w:pPr>
      <w:bookmarkEnd w:id="5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ما لو أعاد السارق المسروق إلی الحرز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أخرج السارق المال من حرزه ثمّ أعاده إلیه، فإن وقع تحت ید المالک ولو فی جملة أمواله لم یقطع، ولو أرجعه إلی حرزه ولم یقع تحت یده کما لو تلف قبل وقوعه تحت یده فهل یقطع بذلک؟ الأشبه ذلک، وإن لا یخلو من إشکال</w:t>
      </w:r>
      <w:r>
        <w:rPr>
          <w:rFonts w:eastAsia="IRNazanin" w:cs="IRNazanin"/>
          <w:color w:val="111111"/>
          <w:sz w:val="28"/>
          <w:szCs w:val="28"/>
          <w:rtl w:val="true"/>
          <w:lang w:bidi="fa-IR"/>
        </w:rPr>
        <w:t>.]</w:t>
      </w:r>
    </w:p>
    <w:p>
      <w:pPr>
        <w:pStyle w:val="Heading4"/>
        <w:numPr>
          <w:ilvl w:val="3"/>
          <w:numId w:val="1"/>
        </w:numPr>
        <w:rPr/>
      </w:pPr>
      <w:bookmarkStart w:id="589" w:name="__RefHeading___Toc162525_3244359995"/>
      <w:bookmarkStart w:id="590" w:name="_Toc229"/>
      <w:bookmarkEnd w:id="589"/>
      <w:r>
        <w:rPr>
          <w:rtl w:val="true"/>
        </w:rPr>
        <w:t>حکم ارجاع مال مسروقه به حرز پس از اخراج</w:t>
      </w:r>
      <w:bookmarkEnd w:id="590"/>
    </w:p>
    <w:p>
      <w:pPr>
        <w:pStyle w:val="Heading5"/>
        <w:numPr>
          <w:ilvl w:val="4"/>
          <w:numId w:val="1"/>
        </w:numPr>
        <w:rPr/>
      </w:pPr>
      <w:bookmarkStart w:id="591" w:name="__RefHeading___Toc162527_3244359995"/>
      <w:bookmarkStart w:id="592" w:name="_Toc230"/>
      <w:bookmarkEnd w:id="591"/>
      <w:r>
        <w:rPr>
          <w:rtl w:val="true"/>
        </w:rPr>
        <w:t>اشاره</w:t>
      </w:r>
      <w:bookmarkEnd w:id="592"/>
    </w:p>
    <w:p>
      <w:pPr>
        <w:pStyle w:val="BookText"/>
        <w:rPr/>
      </w:pPr>
      <w:r>
        <w:rPr>
          <w:rFonts w:ascii="IRNazanin" w:hAnsi="IRNazanin" w:eastAsia="IRNazanin"/>
          <w:color w:val="111111"/>
          <w:sz w:val="28"/>
          <w:sz w:val="28"/>
          <w:szCs w:val="28"/>
          <w:rtl w:val="true"/>
          <w:lang w:bidi="fa-IR"/>
        </w:rPr>
        <w:t>اگر سارقی پس از هتک حرزی، مالی را از آن خارج ساخت، امّا پشیمان شد و آن را به حرز برگردانید و در جای خودش قرار داد، دو صورت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مسروقه در ردیف سایر اموال و تحت ید مالک قرار بگیرد، مانند این که وقتی صاحب‌خانه بیدار می‌شود ببیند مالش بدون هیچ نقصان و تغییری در جای خودش باقی است، گویا سرقتی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قطع دستی واجب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مسروقه پس از ارجاع تحت ید مالک قرار نگرفت، مانند این که فرش مسروقه را از اتاق بیرون آورد و از خانه خارج کند، پس از پشیمانی آن را در حیاط خانه گذاشت و رفت، در اثر حریق و مانند آن تلف شد؛ در این صورت، اشبه به قواعد جریان حدّ است؛ هرچند خالی از اشکال نیست</w:t>
      </w:r>
      <w:r>
        <w:rPr>
          <w:rFonts w:eastAsia="IRNazanin" w:cs="IRNazanin"/>
          <w:color w:val="111111"/>
          <w:sz w:val="28"/>
          <w:szCs w:val="28"/>
          <w:rtl w:val="true"/>
          <w:lang w:bidi="fa-IR"/>
        </w:rPr>
        <w:t>.</w:t>
      </w:r>
    </w:p>
    <w:p>
      <w:pPr>
        <w:pStyle w:val="Heading5"/>
        <w:numPr>
          <w:ilvl w:val="4"/>
          <w:numId w:val="1"/>
        </w:numPr>
        <w:rPr/>
      </w:pPr>
      <w:bookmarkStart w:id="593" w:name="__RefHeading___Toc162529_3244359995"/>
      <w:bookmarkStart w:id="594" w:name="_Toc231"/>
      <w:bookmarkEnd w:id="593"/>
      <w:r>
        <w:rPr>
          <w:rtl w:val="true"/>
        </w:rPr>
        <w:t xml:space="preserve">حکم صورت اوّل </w:t>
      </w:r>
      <w:r>
        <w:rPr>
          <w:rtl w:val="true"/>
        </w:rPr>
        <w:t>(</w:t>
      </w:r>
      <w:r>
        <w:rPr>
          <w:rtl w:val="true"/>
        </w:rPr>
        <w:t>قرار گرفتن مال تحت ید مالک</w:t>
      </w:r>
      <w:r>
        <w:rPr>
          <w:rtl w:val="true"/>
        </w:rPr>
        <w:t>)</w:t>
      </w:r>
      <w:bookmarkEnd w:id="594"/>
    </w:p>
    <w:p>
      <w:pPr>
        <w:pStyle w:val="BookText"/>
        <w:rPr/>
      </w:pPr>
      <w:r>
        <w:rPr>
          <w:rFonts w:ascii="IRNazanin" w:hAnsi="IRNazanin" w:eastAsia="IRNazanin"/>
          <w:color w:val="111111"/>
          <w:sz w:val="28"/>
          <w:sz w:val="28"/>
          <w:szCs w:val="28"/>
          <w:rtl w:val="true"/>
          <w:lang w:bidi="fa-IR"/>
        </w:rPr>
        <w:t>این حکم را به شیخ طوسی رحمه الله در کتاب خلاف</w:t>
      </w:r>
      <w:r>
        <w:rPr>
          <w:rStyle w:val="FootnoteAnchor"/>
          <w:rtl w:val="true"/>
        </w:rPr>
        <w:footnoteReference w:id="447"/>
      </w:r>
      <w:r>
        <w:rPr>
          <w:rFonts w:ascii="IRNazanin" w:hAnsi="IRNazanin" w:eastAsia="IRNazanin"/>
          <w:color w:val="111111"/>
          <w:sz w:val="28"/>
          <w:sz w:val="28"/>
          <w:szCs w:val="28"/>
          <w:rtl w:val="true"/>
          <w:lang w:bidi="fa-IR"/>
        </w:rPr>
        <w:t>و مبسوط</w:t>
      </w:r>
      <w:r>
        <w:rPr>
          <w:rStyle w:val="FootnoteAnchor"/>
          <w:rtl w:val="true"/>
        </w:rPr>
        <w:footnoteReference w:id="448"/>
      </w:r>
      <w:r>
        <w:rPr>
          <w:rFonts w:ascii="IRNazanin" w:hAnsi="IRNazanin" w:eastAsia="IRNazanin"/>
          <w:color w:val="111111"/>
          <w:sz w:val="28"/>
          <w:sz w:val="28"/>
          <w:szCs w:val="28"/>
          <w:rtl w:val="true"/>
          <w:lang w:bidi="fa-IR"/>
        </w:rPr>
        <w:t>نسبت داده‌اند؛ در صورتی که سارق مال را از حرز خارج کند، هرچند پشیمان شود و آن را برگرداند، سرقت به معنای واقعی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 شدن سارق و برگرداندن مال مسروقه سبب نمی‌شود سرقت محقّق شده از بین برود، لذا باید دست سارق را قطع کرد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رحمه الله</w:t>
      </w:r>
      <w:r>
        <w:rPr>
          <w:rStyle w:val="FootnoteAnchor"/>
          <w:rtl w:val="true"/>
        </w:rPr>
        <w:footnoteReference w:id="449"/>
      </w:r>
      <w:r>
        <w:rPr>
          <w:rFonts w:ascii="IRNazanin" w:hAnsi="IRNazanin" w:eastAsia="IRNazanin"/>
          <w:color w:val="111111"/>
          <w:sz w:val="28"/>
          <w:sz w:val="28"/>
          <w:szCs w:val="28"/>
          <w:rtl w:val="true"/>
          <w:lang w:bidi="fa-IR"/>
        </w:rPr>
        <w:t>و دیگران در نقد کلام شیخ طوسی رحمه الله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وقوع</w:t>
      </w:r>
    </w:p>
    <w:p>
      <w:pPr>
        <w:pStyle w:val="BookText"/>
        <w:rPr/>
      </w:pPr>
      <w:r>
        <w:rPr>
          <w:rFonts w:ascii="IRNazanin" w:hAnsi="IRNazanin" w:eastAsia="IRNazanin"/>
          <w:color w:val="111111"/>
          <w:sz w:val="28"/>
          <w:sz w:val="28"/>
          <w:szCs w:val="28"/>
          <w:rtl w:val="true"/>
          <w:lang w:bidi="fa-IR"/>
        </w:rPr>
        <w:t>سرقت و عدمش نیست؛ بلکه بحث در تحقّق سرقتی است که سبب ثبوت حدّ می‌شود؛ وگرنه اگر کسی نذر کند مرتکب سرقت نشود، همین که مالی را مخفیانه از حرز خارج کرد، هرچند بعد از اخراج آن را به جای خودش برگرداند، عنوان سرقت و نقض نذر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فرض مسأله سرقت واقع شده، امّا ثبوت حدّ بر سرقت مشروط به مطالبه‌ی مال‌باخته است؛ یعنی باید به حاکم مراجعه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مالم را دزدیده‌اند من آن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مطالبه معنا ندارد؛ زیرا، مالش دست نخورده و در جای خودش باقی است، لذا در مسأله‌ی گذشته از روایات استفاده می‌شد که اگر مال مسروقه را قبل از مراجعه‌ی به حاکم بخشید یا فروخت، حدّ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مطالبه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پس از ارجاع مال مسروقه به جای خودش توسط دزد، فرقی بین این مال و بقیه‌ی اموال مسروق منه نیست؛ فقط یک جنایت اجتماعی واقع شده است که به همه‌ی افراد اجتماع مربوط است نه فقط به فردی که مالش را دزدیده‌اند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را ارجاع ندهد، مال‌باخته بر سایر افراد جامعه امتیاز دارد؛ یعنی می‌تواند از حاکم شرع مالش را مطالبه کند و به دنبال مطالبه‌اش اگر شرایط دیگر وجود دارد، حدّ سرقت مترتّب گردد؛ امّا در صورتی که مال رابرگرداند یاصاحبش به‌دزد هبه کند و یا آن را بفروشد، امکان مطالبه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 نیز ثابت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رحمه الله در مسأله قبل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مال‌باخته مال مسروقه را قبل از رجوع به حاکم، به سارق بفروشد، حدّ قطع منتفی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انتفای قطع چیست؟ آیا علّتی غیر از عدم شرط دارد؟ به سبب این که مطالبه امکان ندارد، حکم به سقوط قطع کردید؛ پس معلوم می‌شود شما به شرطیّت مطالبه قائل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چگونه در این مسأله حکم به قطع می‌دهید با آن که شرط، یعنی مطالبه‌ی مسروق منه، معدوم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در صورتی که سارق مال مسروقه را به حرز برگرداند و تحت ید صاحبش</w:t>
      </w:r>
      <w:bookmarkStart w:id="595" w:name="pg16923_220341"/>
    </w:p>
    <w:p>
      <w:pPr>
        <w:pStyle w:val="BookText"/>
        <w:rPr/>
      </w:pPr>
      <w:bookmarkEnd w:id="595"/>
      <w:r>
        <w:rPr>
          <w:rFonts w:ascii="IRNazanin" w:hAnsi="IRNazanin" w:eastAsia="IRNazanin"/>
          <w:color w:val="111111"/>
          <w:sz w:val="28"/>
          <w:sz w:val="28"/>
          <w:szCs w:val="28"/>
          <w:rtl w:val="true"/>
          <w:lang w:bidi="fa-IR"/>
        </w:rPr>
        <w:t>قرار گیرد، به علّت عدم امکان مطالبه از سوی مال‌باخته، حدّ قطع ثابت نمی‌شود</w:t>
      </w:r>
      <w:r>
        <w:rPr>
          <w:rFonts w:eastAsia="IRNazanin" w:cs="IRNazanin"/>
          <w:color w:val="111111"/>
          <w:sz w:val="28"/>
          <w:szCs w:val="28"/>
          <w:rtl w:val="true"/>
          <w:lang w:bidi="fa-IR"/>
        </w:rPr>
        <w:t>.</w:t>
      </w:r>
    </w:p>
    <w:p>
      <w:pPr>
        <w:pStyle w:val="Heading5"/>
        <w:numPr>
          <w:ilvl w:val="4"/>
          <w:numId w:val="1"/>
        </w:numPr>
        <w:rPr/>
      </w:pPr>
      <w:bookmarkStart w:id="596" w:name="__RefHeading___Toc162531_3244359995"/>
      <w:bookmarkStart w:id="597" w:name="_Toc232"/>
      <w:bookmarkEnd w:id="596"/>
      <w:r>
        <w:rPr>
          <w:rtl w:val="true"/>
        </w:rPr>
        <w:t xml:space="preserve">حکم صورت دوّم </w:t>
      </w:r>
      <w:r>
        <w:rPr>
          <w:rtl w:val="true"/>
        </w:rPr>
        <w:t>(</w:t>
      </w:r>
      <w:r>
        <w:rPr>
          <w:rtl w:val="true"/>
        </w:rPr>
        <w:t>قرار نگرفتن مال تحت ید مالک</w:t>
      </w:r>
      <w:r>
        <w:rPr>
          <w:rtl w:val="true"/>
        </w:rPr>
        <w:t>)</w:t>
      </w:r>
      <w:bookmarkEnd w:id="597"/>
    </w:p>
    <w:p>
      <w:pPr>
        <w:pStyle w:val="Heading6"/>
        <w:numPr>
          <w:ilvl w:val="5"/>
          <w:numId w:val="1"/>
        </w:numPr>
        <w:rPr/>
      </w:pPr>
      <w:bookmarkStart w:id="598" w:name="__RefHeading___Toc162533_3244359995"/>
      <w:bookmarkStart w:id="599" w:name="_Toc233"/>
      <w:bookmarkEnd w:id="598"/>
      <w:r>
        <w:rPr>
          <w:rtl w:val="true"/>
        </w:rPr>
        <w:t>اشاره</w:t>
      </w:r>
      <w:bookmarkEnd w:id="599"/>
    </w:p>
    <w:p>
      <w:pPr>
        <w:pStyle w:val="BookText"/>
        <w:rPr/>
      </w:pPr>
      <w:r>
        <w:rPr>
          <w:rFonts w:ascii="IRNazanin" w:hAnsi="IRNazanin" w:eastAsia="IRNazanin"/>
          <w:color w:val="111111"/>
          <w:sz w:val="28"/>
          <w:sz w:val="28"/>
          <w:szCs w:val="28"/>
          <w:rtl w:val="true"/>
          <w:lang w:bidi="fa-IR"/>
        </w:rPr>
        <w:t>اگر سارق مال مسروقه را پس از اخراج از حرز به حرز برگردانید لیکن در اختیار مالک واقع نشد و تلف گشت، امام راحل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اشبه ثبوت قطع است؛ لیکن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شبهه‌ی ایشان ناشی از بیان صاحب جواهر رحمه الله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شکّ داریم که آیا این نوع سرقت و با این خصوصیّت، سبب ثبوت قطع دست هست یا نه؟</w:t>
      </w:r>
    </w:p>
    <w:p>
      <w:pPr>
        <w:pStyle w:val="BookText"/>
        <w:rPr/>
      </w:pPr>
      <w:r>
        <w:rPr>
          <w:rFonts w:ascii="IRNazanin" w:hAnsi="IRNazanin" w:eastAsia="IRNazanin"/>
          <w:color w:val="111111"/>
          <w:sz w:val="28"/>
          <w:sz w:val="28"/>
          <w:szCs w:val="28"/>
          <w:rtl w:val="true"/>
          <w:lang w:bidi="fa-IR"/>
        </w:rPr>
        <w:t>زیرا، از ادلّه نمی‌توان استفاده کرد، اگر سارقی مال مسروقه را پس از اخراج از حرز به آن ارجاع داد، لیکن قبل از آن که تحت ید مالک قرار گیرد تلف شد، سرقت حدّی بر آن ثابت است یا نه؟ با فرض این که سارق هیچ نقشی در تلف مال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شکّ در تحقّق سرقت موجب حدّ و عدم دلیل بر ثبوت قطع، اصل عدم جاری می‌گردد</w:t>
      </w:r>
      <w:r>
        <w:rPr>
          <w:rFonts w:eastAsia="IRNazanin" w:cs="IRNazanin"/>
          <w:color w:val="111111"/>
          <w:sz w:val="28"/>
          <w:szCs w:val="28"/>
          <w:rtl w:val="true"/>
          <w:lang w:bidi="fa-IR"/>
        </w:rPr>
        <w:t>.</w:t>
      </w:r>
      <w:r>
        <w:rPr>
          <w:rStyle w:val="FootnoteAnchor"/>
          <w:rtl w:val="true"/>
        </w:rPr>
        <w:footnoteReference w:id="450"/>
      </w:r>
    </w:p>
    <w:p>
      <w:pPr>
        <w:pStyle w:val="Heading6"/>
        <w:numPr>
          <w:ilvl w:val="5"/>
          <w:numId w:val="1"/>
        </w:numPr>
        <w:rPr/>
      </w:pPr>
      <w:bookmarkStart w:id="600" w:name="__RefHeading___Toc162535_3244359995"/>
      <w:bookmarkStart w:id="601" w:name="_Toc234"/>
      <w:bookmarkEnd w:id="600"/>
      <w:r>
        <w:rPr>
          <w:rtl w:val="true"/>
        </w:rPr>
        <w:t>نقد کلام صاحب جواهر رحمه الله</w:t>
      </w:r>
      <w:bookmarkEnd w:id="601"/>
    </w:p>
    <w:p>
      <w:pPr>
        <w:pStyle w:val="BookText"/>
        <w:rPr/>
      </w:pPr>
      <w:r>
        <w:rPr>
          <w:rFonts w:ascii="IRNazanin" w:hAnsi="IRNazanin" w:eastAsia="IRNazanin"/>
          <w:color w:val="111111"/>
          <w:sz w:val="28"/>
          <w:sz w:val="28"/>
          <w:szCs w:val="28"/>
          <w:rtl w:val="true"/>
          <w:lang w:bidi="fa-IR"/>
        </w:rPr>
        <w:t>اگر ارجاع مال مسروقه توسّط سارق به حرز مسقط حدّ باشد، یعنی به مجرّد وقوع سرقت حدّ ثابت می‌گردد و ارجاع سبب اسقاط آن می‌شود؛ این مسأله همانند خیار است که به مجرّد وقوع عقد ثابت شده و پس از آمدن مسقط، ساقط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مبنا، یقین به وقوع سرقت و ثبوت حدّ داریم، اگر سارق مال مسروقه را برگرداند به طوری که تحت ید مالک قرار بگیرد، به سقوط حدّ یقین پیدا می‌کنیم؛ امّا اگر در اختیار مالک قرار نگرفت و تلف شد، نمی‌دانیم آیا مسقطی برای آن حدّ آمده است یا نه، جای استصحاب بقای حدّ است که برخلاف فرمایش صاحب جواهر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بحث را بر شرطیّت مطالبه‌ی مال‌باخته در ثبوت حدّ متمرکز کنیم نه بر مسقطیّت ارجاع مال مسروقه حدّ سرقت را، باید دید آیا در فرض مسأله‌ی ما مالک حقّ مطالبه دارد؟</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سرقت یکی از مصادیق غصب است، لذا در هر دو باب،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جاری است و نقطه‌ی افتراق در ثبوت حدّ برای سرقت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w:t>
      </w:r>
    </w:p>
    <w:p>
      <w:pPr>
        <w:pStyle w:val="BookText"/>
        <w:rPr/>
      </w:pPr>
      <w:r>
        <w:rPr>
          <w:rFonts w:ascii="IRNazanin" w:hAnsi="IRNazanin" w:eastAsia="IRNazanin"/>
          <w:color w:val="111111"/>
          <w:sz w:val="28"/>
          <w:sz w:val="28"/>
          <w:szCs w:val="28"/>
          <w:rtl w:val="true"/>
          <w:lang w:bidi="fa-IR"/>
        </w:rPr>
        <w:t xml:space="preserve">با توجّه به این مطلب تا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نشود، حقّ مطالبه‌ی مالک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برگرداندن مال مسروقه به حرز و تلف شدنش قبل از آن که تحت ید مالک قرار گیرد، سبب صادق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سارق در این تلف نقشی ندارد، امّا این تلف زمانی واقع شده که مال به دست صاحبش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همان‌طور که در تلف مال غصبی به آفت سماوی می‌گوییم ضامن است و باید قیمت را بپردازد با وجود این که اتلافی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شمول قاعده‌ی علی‌الید فرقی بین تلف و اتلاف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سارق ضامن است و مالک حقّ مطالبه دارد؛ پس، شرط ثبوت حدّ سرقت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دو مبنا، بیان صاحب جواهر رحمه الله تمام نیست؛ زیرا، اگر نفس سرقت در ثبوت حدّ کافی باشد و ردّ مال مسروقه مسقط حدّ است، شکّ داریم چنین ردّی مسقط هست یا نه؟ لذا، استصحاب بقای قطع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سخن در تحقّق شرط قطع یعنی مطالبه است، پس با وجود ضمان و باقی بودن حقّ مطالبه برای مالک، حدّ ثابت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در صورت اوّل این مسأله، حدّ قطع وجود ندارد؛ و در صورت دوّم، علی القاعده باید دست سارق را قطع کرد</w:t>
      </w:r>
      <w:r>
        <w:rPr>
          <w:rFonts w:eastAsia="IRNazanin" w:cs="IRNazanin"/>
          <w:color w:val="111111"/>
          <w:sz w:val="28"/>
          <w:szCs w:val="28"/>
          <w:rtl w:val="true"/>
          <w:lang w:bidi="fa-IR"/>
        </w:rPr>
        <w:t>.</w:t>
      </w:r>
      <w:bookmarkStart w:id="602" w:name="pg16923_220343"/>
    </w:p>
    <w:p>
      <w:pPr>
        <w:pStyle w:val="BookText"/>
        <w:rPr/>
      </w:pPr>
      <w:bookmarkEnd w:id="6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ما لو هتک الحرز جماعة وأخرج المال أحدهم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هتک الحرز جماعة فأخرج المال منه أحدهم فالقطع علیه خاصّة، ولو قرّبه أحدهم من الباب وأخرجه الآخر من الحرز فالقطع علی المخرج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وضعه الداخل فی وسط النقب وأخرجه الآخر الخارج، فالظاهر أنّ القطع علی الداخل، ولکن لو وضعه بین الباب الّذی هو حرز للبیت بحیث لم یکن الموضوع داخلًا ولا خارجاً عرفاً فالظاهر عدم القطع علی واحد منهما، نعم، لو وضعه بنحو کان نصفه الخارج ونصفه فی الداخل فإن بلغ کلّ من النصفین النصاب یقطع کلّ منهما، وإن بلغ الخارج النصاب یقطع الداخل وإن بلغ الداخل ذلک یقطع الخارج</w:t>
      </w:r>
      <w:r>
        <w:rPr>
          <w:rFonts w:eastAsia="IRNazanin" w:cs="IRNazanin"/>
          <w:color w:val="111111"/>
          <w:sz w:val="28"/>
          <w:szCs w:val="28"/>
          <w:rtl w:val="true"/>
          <w:lang w:bidi="fa-IR"/>
        </w:rPr>
        <w:t>.]</w:t>
      </w:r>
    </w:p>
    <w:p>
      <w:pPr>
        <w:pStyle w:val="Heading4"/>
        <w:numPr>
          <w:ilvl w:val="3"/>
          <w:numId w:val="1"/>
        </w:numPr>
        <w:rPr/>
      </w:pPr>
      <w:bookmarkStart w:id="603" w:name="__RefHeading___Toc162537_3244359995"/>
      <w:bookmarkStart w:id="604" w:name="_Toc235"/>
      <w:bookmarkEnd w:id="603"/>
      <w:r>
        <w:rPr>
          <w:rtl w:val="true"/>
        </w:rPr>
        <w:t>صورت‌های هتک حرز اجتماعی و اخراج مال انفرادی</w:t>
      </w:r>
      <w:bookmarkEnd w:id="604"/>
    </w:p>
    <w:p>
      <w:pPr>
        <w:pStyle w:val="Heading5"/>
        <w:numPr>
          <w:ilvl w:val="4"/>
          <w:numId w:val="1"/>
        </w:numPr>
        <w:rPr/>
      </w:pPr>
      <w:bookmarkStart w:id="605" w:name="__RefHeading___Toc162539_3244359995"/>
      <w:bookmarkStart w:id="606" w:name="_Toc236"/>
      <w:bookmarkEnd w:id="605"/>
      <w:r>
        <w:rPr>
          <w:rtl w:val="true"/>
        </w:rPr>
        <w:t>اشاره</w:t>
      </w:r>
      <w:bookmarkEnd w:id="606"/>
    </w:p>
    <w:p>
      <w:pPr>
        <w:pStyle w:val="BookText"/>
        <w:rPr/>
      </w:pPr>
      <w:r>
        <w:rPr>
          <w:rFonts w:ascii="IRNazanin" w:hAnsi="IRNazanin" w:eastAsia="IRNazanin"/>
          <w:color w:val="111111"/>
          <w:sz w:val="28"/>
          <w:sz w:val="28"/>
          <w:szCs w:val="28"/>
          <w:rtl w:val="true"/>
          <w:lang w:bidi="fa-IR"/>
        </w:rPr>
        <w:t>اگر جماعتی به اشتراک حرزی را هتک کردند، خواه سهمشان در این عمل به نحو تساوی باشد یا به اختلاف، لیکن هتک حرز به همه‌ی آنان مستند باشد، در این مسأله به حکم چهار صورت از اخراج مال از حرز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جماعت وارد حرز شود و مال مسروقه را بیرون بیاورد؛ در این صورت، حدّ قطع در مورد همین فرد اجرا می‌گردد و نه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داخل حرز گردند یکی مال را تا نزدیک درب حرز بیاورد و دیگری از آن‌جا خارج کند؛ در این صورت نیز حدّ در مورد خارج‌کننده‌ی مال هست نه آن دیگری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داخل شود و مال را تا وسط نقب بیاورد و دیگری از آن‌جا بیرون ببرد، دست فرد داخل شده را می‌بُرند نه آن فردی که خارج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داخل شد و مال را بین درب حرز گذاشت، به‌گونه‌ای که از نظر عرف نه داخل به شمار می‌آید نه خارج، و دیگری از آن‌جا برداشت، چهار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نصف مال داخل خانه و نصف مال خارج از خانه باشد، دست هر دو را می‌بُرند به شرط آن که هر کدام از دو نصف به حدّ نصاب برسد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مقداری که خارج از خانه است به حدّ نصاب باشد ولی مقداری که داخل خانه</w:t>
      </w:r>
      <w:bookmarkStart w:id="607" w:name="pg16923_220344"/>
    </w:p>
    <w:p>
      <w:pPr>
        <w:pStyle w:val="BookText"/>
        <w:rPr/>
      </w:pPr>
      <w:bookmarkEnd w:id="607"/>
      <w:r>
        <w:rPr>
          <w:rFonts w:ascii="IRNazanin" w:hAnsi="IRNazanin" w:eastAsia="IRNazanin"/>
          <w:color w:val="111111"/>
          <w:sz w:val="28"/>
          <w:sz w:val="28"/>
          <w:szCs w:val="28"/>
          <w:rtl w:val="true"/>
          <w:lang w:bidi="fa-IR"/>
        </w:rPr>
        <w:t>است کمتر از حدّ نصاب باشد، دست دزد داخل خانه را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اگر مقدار خارج از خانه کمتر از نصاب و مقدار داخل به اندازه‌ی نصاب باشد، دست دزدی که در خارج خانه است قطع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هیچ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داخل و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 نصاب نرسد، قطعی در کار نیست</w:t>
      </w:r>
      <w:r>
        <w:rPr>
          <w:rFonts w:eastAsia="IRNazanin" w:cs="IRNazanin"/>
          <w:color w:val="111111"/>
          <w:sz w:val="28"/>
          <w:szCs w:val="28"/>
          <w:rtl w:val="true"/>
          <w:lang w:bidi="fa-IR"/>
        </w:rPr>
        <w:t>.</w:t>
      </w:r>
    </w:p>
    <w:p>
      <w:pPr>
        <w:pStyle w:val="Heading5"/>
        <w:numPr>
          <w:ilvl w:val="4"/>
          <w:numId w:val="1"/>
        </w:numPr>
        <w:rPr/>
      </w:pPr>
      <w:bookmarkStart w:id="608" w:name="__RefHeading___Toc162541_3244359995"/>
      <w:bookmarkStart w:id="609" w:name="_Toc237"/>
      <w:bookmarkEnd w:id="608"/>
      <w:r>
        <w:rPr>
          <w:rtl w:val="true"/>
        </w:rPr>
        <w:t>صورت اوّل</w:t>
      </w:r>
      <w:r>
        <w:rPr>
          <w:rtl w:val="true"/>
        </w:rPr>
        <w:t xml:space="preserve">: </w:t>
      </w:r>
      <w:r>
        <w:rPr>
          <w:rtl w:val="true"/>
        </w:rPr>
        <w:t>اخراج مال توسّط یک نفر</w:t>
      </w:r>
      <w:bookmarkEnd w:id="609"/>
    </w:p>
    <w:p>
      <w:pPr>
        <w:pStyle w:val="BookText"/>
        <w:rPr/>
      </w:pPr>
      <w:r>
        <w:rPr>
          <w:rFonts w:ascii="IRNazanin" w:hAnsi="IRNazanin" w:eastAsia="IRNazanin"/>
          <w:color w:val="111111"/>
          <w:sz w:val="28"/>
          <w:sz w:val="28"/>
          <w:szCs w:val="28"/>
          <w:rtl w:val="true"/>
          <w:lang w:bidi="fa-IR"/>
        </w:rPr>
        <w:t>در این صورت که تمام دزدان در هتک حرز شرکت داشته‌اند لیکن یکی از آنان مال مسروقه را خارج کرد، فقط دست کسی را می‌برند که شرایط قطع در موردش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مسائل گذشته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ثبوت حدّ سرقت، هتک حرز و اخراج مال از حرز توسّط هتّاک شرط است؛ لذا اگر یکی حرز را می‌شکست، و دیگری مال را بیرون می‌آورد، حدّ بر هیچ کدام جاری نمی‌شد؛ زیرا، آن فردی که هتک حرز کرده، مالی نبرده است و آن کسی که مال را بُرده، هتک حرزی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ما نسبت به یکی از دزدان هر دو شرط محقّق است، پس حدّ در حقّش جاری می‌گردد؛ زیرا، ما دلیلی نداریم که هتک حرز باید به نحو استقلال باشد؛ به نحو اشتراک نیز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نحو استقلال هتک حرز کند تا حدّ ثابت گردد،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لازمه‌ی این قول، عدم ثبوت حدّ است بر جماعتی که به کمک یکدیگر حرزی را هتک کنند و به آن‌جا داخل شوند و هر کدام به اندازه‌ی نصاب بردارند، آیا کسی احتمال می‌دهد در این صورت حدّ قطع نباشد؟ تالی فاسدش این است که افراد دزد برای جلوگیری از اجرای حدّ قطع به اشتراکْ دست به هتک حرز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معلوم می‌شود، یکی از شرایط ثبوت حدّ، هتک حرز است؛ خواه به نحو استقلال باشد یا به نحو 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فرع، مُخرج مال مسروقه هر دو شرط را دارا است، ولی رفقایش فقط در هتک حرز شریک‌اند و فاقد شرط دیگر هستند، لذا عنوان مُخرج مال از داخل حرز بر آنان صادق نیست تا قطع در موردشان ثابت گردد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ابوحنیفه</w:t>
      </w:r>
      <w:r>
        <w:rPr>
          <w:rStyle w:val="FootnoteAnchor"/>
          <w:rtl w:val="true"/>
        </w:rPr>
        <w:footnoteReference w:id="452"/>
      </w:r>
      <w:r>
        <w:rPr>
          <w:rFonts w:ascii="IRNazanin" w:hAnsi="IRNazanin" w:eastAsia="IRNazanin"/>
          <w:color w:val="111111"/>
          <w:sz w:val="28"/>
          <w:sz w:val="28"/>
          <w:szCs w:val="28"/>
          <w:rtl w:val="true"/>
          <w:lang w:bidi="fa-IR"/>
        </w:rPr>
        <w:t>در این فرض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مال مسروقه بین دزدان تقسیم می‌شود،</w:t>
      </w:r>
      <w:bookmarkStart w:id="610" w:name="pg16923_220345"/>
    </w:p>
    <w:p>
      <w:pPr>
        <w:pStyle w:val="BookText"/>
        <w:rPr/>
      </w:pPr>
      <w:bookmarkEnd w:id="610"/>
      <w:r>
        <w:rPr>
          <w:rFonts w:ascii="IRNazanin" w:hAnsi="IRNazanin" w:eastAsia="IRNazanin"/>
          <w:color w:val="111111"/>
          <w:sz w:val="28"/>
          <w:sz w:val="28"/>
          <w:szCs w:val="28"/>
          <w:rtl w:val="true"/>
          <w:lang w:bidi="fa-IR"/>
        </w:rPr>
        <w:t>اگر سهم هر کدام به اندازه‌ی نصاب رسید، دستش را می‌برند؛ وگرنه دست هیچ کدام از آنان قطع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با قواعد و ضوابطی که در باب سرقت داریم سازگار نیست؛ در ثبوت حدّ سرقت، هتک حرز و اخراج مال از حرز معتبر است و این دو عنوان فقط در مورد یکی از دزدان صادق است، پس دست او بریده می‌شود نه دست دیگران</w:t>
      </w:r>
      <w:r>
        <w:rPr>
          <w:rFonts w:eastAsia="IRNazanin" w:cs="IRNazanin"/>
          <w:color w:val="111111"/>
          <w:sz w:val="28"/>
          <w:szCs w:val="28"/>
          <w:rtl w:val="true"/>
          <w:lang w:bidi="fa-IR"/>
        </w:rPr>
        <w:t>.</w:t>
      </w:r>
    </w:p>
    <w:p>
      <w:pPr>
        <w:pStyle w:val="Heading5"/>
        <w:numPr>
          <w:ilvl w:val="4"/>
          <w:numId w:val="1"/>
        </w:numPr>
        <w:rPr/>
      </w:pPr>
      <w:bookmarkStart w:id="611" w:name="__RefHeading___Toc162543_3244359995"/>
      <w:bookmarkStart w:id="612" w:name="_Toc238"/>
      <w:bookmarkEnd w:id="611"/>
      <w:r>
        <w:rPr>
          <w:rtl w:val="true"/>
        </w:rPr>
        <w:t>صورت دوّم</w:t>
      </w:r>
      <w:r>
        <w:rPr>
          <w:rtl w:val="true"/>
        </w:rPr>
        <w:t xml:space="preserve">: </w:t>
      </w:r>
      <w:r>
        <w:rPr>
          <w:rtl w:val="true"/>
        </w:rPr>
        <w:t>نزدیک کردن مال به درب حرز و اخراج توسّط دیگری</w:t>
      </w:r>
      <w:bookmarkEnd w:id="612"/>
    </w:p>
    <w:p>
      <w:pPr>
        <w:pStyle w:val="BookText"/>
        <w:rPr/>
      </w:pPr>
      <w:r>
        <w:rPr>
          <w:rFonts w:ascii="IRNazanin" w:hAnsi="IRNazanin" w:eastAsia="IRNazanin"/>
          <w:color w:val="111111"/>
          <w:sz w:val="28"/>
          <w:sz w:val="28"/>
          <w:szCs w:val="28"/>
          <w:rtl w:val="true"/>
          <w:lang w:bidi="fa-IR"/>
        </w:rPr>
        <w:t>در این فرض، دزدان به اشتراک حرز را می‌گشایند، داخل آن شده یکی مال مسروقه را تا نزدیک درب حرز می‌آورد و دیگری از آن‌جا اخراج می‌کند؛ شکّی نیست در این که باید دست خارج کننده‌ی مال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عنوان هاتک حرز و مخرج مال از حرز بر او صادق است، امّا نسبت به دیگری عنوان اوّل صادق است به خلاف عنوان دوّم؛ چرا که مالی را از حرز بیرون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دزد و کسی که داخل حرز می‌شود و مالی را از نقطه‌ای به نقطه‌ی دیگر حرز منتقل می‌کند، فرقی نیست؛ همان طور که نسبت به این فرد قطعی در کار نیست، در فرض ما نیز قطعی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w:t>
      </w:r>
      <w:r>
        <w:rPr>
          <w:rStyle w:val="FootnoteAnchor"/>
          <w:rtl w:val="true"/>
        </w:rPr>
        <w:footnoteReference w:id="453"/>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هیچ کدام را نباید برید، و دلیلی بر این مطلب اقامه نکرده است</w:t>
      </w:r>
      <w:r>
        <w:rPr>
          <w:rFonts w:eastAsia="IRNazanin" w:cs="IRNazanin"/>
          <w:color w:val="111111"/>
          <w:sz w:val="28"/>
          <w:szCs w:val="28"/>
          <w:rtl w:val="true"/>
          <w:lang w:bidi="fa-IR"/>
        </w:rPr>
        <w:t>.</w:t>
      </w:r>
    </w:p>
    <w:p>
      <w:pPr>
        <w:pStyle w:val="Heading5"/>
        <w:numPr>
          <w:ilvl w:val="4"/>
          <w:numId w:val="1"/>
        </w:numPr>
        <w:rPr/>
      </w:pPr>
      <w:bookmarkStart w:id="613" w:name="__RefHeading___Toc162545_3244359995"/>
      <w:bookmarkStart w:id="614" w:name="_Toc239"/>
      <w:bookmarkEnd w:id="613"/>
      <w:r>
        <w:rPr>
          <w:rtl w:val="true"/>
        </w:rPr>
        <w:t>صورت سوّم</w:t>
      </w:r>
      <w:r>
        <w:rPr>
          <w:rtl w:val="true"/>
        </w:rPr>
        <w:t xml:space="preserve">: </w:t>
      </w:r>
      <w:r>
        <w:rPr>
          <w:rtl w:val="true"/>
        </w:rPr>
        <w:t>آوردن مال تا وسط نقب و اخراج توسط دیگری</w:t>
      </w:r>
      <w:bookmarkEnd w:id="614"/>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برای دسترسی پیدا کردن به مال مسروقه نقبی زدند و یکی از دزدها از راه نقب وارد شد و مال مسروقه را برداشت و تا وسط نقب آورد، دیگری از آن‌جا به خارج منتقل کرد، این مسأله محل اختلاف آرا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رحمه الله در کتاب مبسوط</w:t>
      </w:r>
      <w:r>
        <w:rPr>
          <w:rStyle w:val="FootnoteAnchor"/>
          <w:rtl w:val="true"/>
        </w:rPr>
        <w:footnoteReference w:id="454"/>
      </w:r>
      <w:r>
        <w:rPr>
          <w:rFonts w:ascii="IRNazanin" w:hAnsi="IRNazanin" w:eastAsia="IRNazanin"/>
          <w:color w:val="111111"/>
          <w:sz w:val="28"/>
          <w:sz w:val="28"/>
          <w:szCs w:val="28"/>
          <w:rtl w:val="true"/>
          <w:lang w:bidi="fa-IR"/>
        </w:rPr>
        <w:t>دو قول در آن</w:t>
      </w:r>
    </w:p>
    <w:p>
      <w:pPr>
        <w:pStyle w:val="BookText"/>
        <w:rPr/>
      </w:pPr>
      <w:r>
        <w:rPr>
          <w:rFonts w:ascii="IRNazanin" w:hAnsi="IRNazanin" w:eastAsia="IRNazanin"/>
          <w:color w:val="111111"/>
          <w:sz w:val="28"/>
          <w:sz w:val="28"/>
          <w:szCs w:val="28"/>
          <w:rtl w:val="true"/>
          <w:lang w:bidi="fa-IR"/>
        </w:rPr>
        <w:t>مطرح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هر دو سارق بریده می‌شود؛ زیرا، هر دو در هتک حرز و اخراج مال نقش داشته‌اند؛ فقط یکی تا وسط نقب آورده، دیگری از آن‌جا منتقل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شیخ طوسی رحمه الله عدم قطع دست است؛ زیرا هر دو در اخراج نقش داشته‌اند ولی اخراج کامل یا به تعبیر شیخ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إخراج من کمال الحرز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هیچ یک نشده است، یعنی فردی که از داخل تا وسط نقب آورده، اخراج کامل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شبیه جایی است که فردی نقب بزند و دیگری از آن عبور کند و مالی را به سرقت ببرد؛ برای هیچ کدام قطع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ابن‌ادریس رحمه الله</w:t>
      </w:r>
      <w:r>
        <w:rPr>
          <w:rStyle w:val="FootnoteAnchor"/>
          <w:rtl w:val="true"/>
        </w:rPr>
        <w:footnoteReference w:id="455"/>
      </w:r>
      <w:r>
        <w:rPr>
          <w:rFonts w:ascii="IRNazanin" w:hAnsi="IRNazanin" w:eastAsia="IRNazanin"/>
          <w:color w:val="111111"/>
          <w:sz w:val="28"/>
          <w:sz w:val="28"/>
          <w:szCs w:val="28"/>
          <w:rtl w:val="true"/>
          <w:lang w:bidi="fa-IR"/>
        </w:rPr>
        <w:t>حمله‌ی تندی بر مرحوم شیخ 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 مبنا فتوا به عدم قطع دست هر دو سارق می‌دهید؟ مگر فردی که مال را از وسط نقب برداشته و بیرون برده است، از نظر انطباق عنوان سرقت چه کمبودی دارد؟ بر این فرد عنوان سارق منطبق و به حکم آیه‌ی شریفه وَالسَّارِقُ وَ السَّارِقَةُ فَاقْطَعُواْ أَیْدِیَهُمَا</w:t>
      </w:r>
      <w:r>
        <w:rPr>
          <w:rStyle w:val="FootnoteAnchor"/>
          <w:rtl w:val="true"/>
        </w:rPr>
        <w:footnoteReference w:id="456"/>
      </w:r>
      <w:r>
        <w:rPr>
          <w:rFonts w:ascii="IRNazanin" w:hAnsi="IRNazanin" w:eastAsia="IRNazanin"/>
          <w:color w:val="111111"/>
          <w:sz w:val="28"/>
          <w:sz w:val="28"/>
          <w:szCs w:val="28"/>
          <w:rtl w:val="true"/>
          <w:lang w:bidi="fa-IR"/>
        </w:rPr>
        <w:t>باید دستش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مجوّزی برای تعطیل کردن حدود الهی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این تعبیرها را نباید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إخراج من کمال الحرز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و قید را از کجا آوردید؟ در باب سرقت چنین شرطی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تعبیرها نمی‌توان حکم الهی را درست کرد؛ فقط اخراج از حرز شرط است، نه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مسروقه‌ای که در وسط نقب است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داخل حرز است یا خارج از آن، صورت سومی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داخل حرز است، سارق خارج از خانه آن را می‌برد؛ پس اخراج از حرز صادق است و باید دستش را برید؛ و اگر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 خارج از حرز است، آیا سارقِ داخل خانه آن را از حرزش خارج نکرده است؟</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بر هر تقدیر باید دست یکی از این دو سارق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وسط نقب حرز است، دست سارق خارج از خانه را و اگر حرز نیست دست سارق داخل خانه را باید قطع کرد؛ لذا، وجهی برای فتوای شیخ طوسی رحمه الله نیست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 این است که دست هیچ کدام قطع نمی‌گردد، بلکه باید دستی بریده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قطع دست سارق داخلی قائلی</w:t>
      </w:r>
    </w:p>
    <w:p>
      <w:pPr>
        <w:pStyle w:val="BookText"/>
        <w:rPr/>
      </w:pPr>
      <w:r>
        <w:rPr>
          <w:rFonts w:ascii="IRNazanin" w:hAnsi="IRNazanin" w:eastAsia="IRNazanin"/>
          <w:color w:val="111111"/>
          <w:sz w:val="28"/>
          <w:sz w:val="28"/>
          <w:szCs w:val="28"/>
          <w:rtl w:val="true"/>
          <w:lang w:bidi="fa-IR"/>
        </w:rPr>
        <w:t>ندارد، پس قول سوّمی احداث می‌کنیم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دزدی که خارج از خانه است و از وسط نقب مال مسروقه را می‌برد، دستش بریده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رحمه الله با ابن‌ادریس رحمه الله موافقت می‌کند</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 xml:space="preserve">صاحب جواهر رحمه الله قطع دست سارق داخل خانه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می‌دهد،</w:t>
      </w:r>
      <w:r>
        <w:rPr>
          <w:rStyle w:val="FootnoteAnchor"/>
          <w:rtl w:val="true"/>
        </w:rPr>
        <w:footnoteReference w:id="458"/>
      </w:r>
      <w:r>
        <w:rPr>
          <w:rFonts w:ascii="IRNazanin" w:hAnsi="IRNazanin" w:eastAsia="IRNazanin"/>
          <w:color w:val="111111"/>
          <w:sz w:val="28"/>
          <w:sz w:val="28"/>
          <w:szCs w:val="28"/>
          <w:rtl w:val="true"/>
          <w:lang w:bidi="fa-IR"/>
        </w:rPr>
        <w:t>در حالی که ابن‌ادریس رحمه الله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 ندارد؛ و امام راحل رحمه الله نیز آن را اختیار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نقب داخل حرز است یا خارج از آن؟ از کلام امام راحل رحمه الله استفاده می‌شود که ایشان نقب را خارج از حرز گرفته‌اند؛ و به همین جهت،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سارقی بریده می‌شود که مال مسروقه را تا وسط نقب آورده است؛ زیرا، اگر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أخرج المال من داخل الحرز إلی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صادقی است، ولی نسبت به دیگری این کلام صادق نیست؛ بلکه او شبیه به دزدی است که مال مسروقه‌ای را که سارقی تا بیرون خانه آورده، از آن‌جا به جایی دیگر منتقل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نکته لازم است که حرز به مکانی گفته می‌شود که حافظ مال است، لذا اگر نقبی بزنند که چند متری در خانه یا دکان پیش رفته باشد، از آن جا که عنوان حافظ مال بر آن صادق نیست، عرف آن را حرز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ملکیّت و عدمش در تحقّق حرز دخالت ندارد؛ لذا ما قبول داریم کسی که مالک زمینی شود از تخوم ارض تا عنان سماء را مالک است، لیکن اگر در خانه‌اش سردابی بسازد، آن سرداب حرز به شمار می‌آید؛ امّا اگر به خانه‌اش نقب بزنند از جهت این که جنبه‌ی حفاظتی ندارد، حرز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حرز خاصّی دارد و حرز تمام اشیا یکسان نیست؛ مثلًا اگر پول را در وسط منزل بگذارد، آن‌جا برای پول حرز نیست؛ بلکه باید آن را داخل اتاقی یا گنجه‌ای یا لابلای کتابی یا در صندوقی و مانند آن قرار دهد تا حرز صدق کند؛ و از طرفی ملکیّت نیز دخالتی در حرز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نقب اگر در اعماق ملک مالک نیز زده شود از نظر عرف، حرز به شمار نمی‌آید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کسی که مال را از وسط نقب برمی‌دارد، انتقال مال از حرز توسّط او صادق</w:t>
      </w:r>
      <w:bookmarkStart w:id="615" w:name="pg16923_220348"/>
    </w:p>
    <w:p>
      <w:pPr>
        <w:pStyle w:val="BookText"/>
        <w:rPr/>
      </w:pPr>
      <w:bookmarkEnd w:id="615"/>
      <w:r>
        <w:rPr>
          <w:rFonts w:ascii="IRNazanin" w:hAnsi="IRNazanin" w:eastAsia="IRNazanin"/>
          <w:color w:val="111111"/>
          <w:sz w:val="28"/>
          <w:sz w:val="28"/>
          <w:szCs w:val="28"/>
          <w:rtl w:val="true"/>
          <w:lang w:bidi="fa-IR"/>
        </w:rPr>
        <w:t>نیست؛ ولی سارقی که مال را تا وسط نقب می‌آرود عنوان مخرج مال از حرز بر او منطبق است، پس دستش را باید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به خصوصی در این مسأله نداریم؛ باید حکم آن را بر طبق ضوابط و قواعد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جایی بر برداشتن مال از وسط نقب اخراج از حرز صادق بود، در آن‌جا دست سارق خارجی نیز قطع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ابن‌ادریس رحمه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نقب خارج از حرز باشد، دست سارق داخلی بریده می‌شود؛ لیکن کسی به آن قائل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ناچار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دزد خارجی را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نقد ایشان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اجماع بسیط و مرکبی نیست؛ روایتی هم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بر طبق ضوابط عمل کرد؛ علاوه بر این که مستفاد از کشف‌اللثام</w:t>
      </w:r>
      <w:r>
        <w:rPr>
          <w:rStyle w:val="FootnoteAnchor"/>
          <w:rtl w:val="true"/>
        </w:rPr>
        <w:footnoteReference w:id="459"/>
      </w:r>
      <w:r>
        <w:rPr>
          <w:rFonts w:ascii="IRNazanin" w:hAnsi="IRNazanin" w:eastAsia="IRNazanin"/>
          <w:color w:val="111111"/>
          <w:sz w:val="28"/>
          <w:sz w:val="28"/>
          <w:szCs w:val="28"/>
          <w:rtl w:val="true"/>
          <w:lang w:bidi="fa-IR"/>
        </w:rPr>
        <w:t>این است که قائل هم دارد، هرچند صاحبش را معیّن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حال این است که نمی‌توانیم نقب را مانند اتاق حرز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با این معنا مساعد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مختار امام راحل رحمه الله در بین چهار قول ظاهرترین اقوال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بودن قائل در مسأله نیز لطمه‌ای نمی‌زند؛ زیرا، نقب معمولًا حرز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مکانی عنوان حرز صادق بود، دست دزد خارجی را نیز می‌بریم</w:t>
      </w:r>
      <w:r>
        <w:rPr>
          <w:rFonts w:eastAsia="IRNazanin" w:cs="IRNazanin"/>
          <w:color w:val="111111"/>
          <w:sz w:val="28"/>
          <w:szCs w:val="28"/>
          <w:rtl w:val="true"/>
          <w:lang w:bidi="fa-IR"/>
        </w:rPr>
        <w:t>.</w:t>
      </w:r>
    </w:p>
    <w:p>
      <w:pPr>
        <w:pStyle w:val="Heading5"/>
        <w:numPr>
          <w:ilvl w:val="4"/>
          <w:numId w:val="1"/>
        </w:numPr>
        <w:rPr/>
      </w:pPr>
      <w:bookmarkStart w:id="616" w:name="__RefHeading___Toc162547_3244359995"/>
      <w:bookmarkStart w:id="617" w:name="_Toc240"/>
      <w:bookmarkEnd w:id="616"/>
      <w:r>
        <w:rPr>
          <w:rtl w:val="true"/>
        </w:rPr>
        <w:t>صورت چهارم</w:t>
      </w:r>
      <w:r>
        <w:rPr>
          <w:rtl w:val="true"/>
        </w:rPr>
        <w:t xml:space="preserve">: </w:t>
      </w:r>
      <w:r>
        <w:rPr>
          <w:rtl w:val="true"/>
        </w:rPr>
        <w:t>بردن مال از بین درب خانه</w:t>
      </w:r>
      <w:bookmarkEnd w:id="617"/>
    </w:p>
    <w:p>
      <w:pPr>
        <w:pStyle w:val="BookText"/>
        <w:rPr/>
      </w:pPr>
      <w:r>
        <w:rPr>
          <w:rFonts w:ascii="IRNazanin" w:hAnsi="IRNazanin" w:eastAsia="IRNazanin"/>
          <w:color w:val="111111"/>
          <w:sz w:val="28"/>
          <w:sz w:val="28"/>
          <w:szCs w:val="28"/>
          <w:rtl w:val="true"/>
          <w:lang w:bidi="fa-IR"/>
        </w:rPr>
        <w:t>دو نفر به کمک یکدیگر درب منزلی را باز کردند، یکی از آن دو نفر داخل شد و مالی را از داخل خانه برداشت و بین درب گذاشت، و دیگری از آن‌جا برداشت و برد؛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حالت دارد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که با این منظره مواجه می‌شود،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داخل خانه است یا خارج از خانه، بین اجزای آن نیز تفکیک نمی‌کند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یا ثلثی از آن داخل و بقیه خارج است یا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بر هیچ کدام از دو سارق، عنوان اخراج مال از</w:t>
      </w:r>
    </w:p>
    <w:p>
      <w:pPr>
        <w:pStyle w:val="BookText"/>
        <w:rPr/>
      </w:pPr>
      <w:r>
        <w:rPr>
          <w:rFonts w:ascii="IRNazanin" w:hAnsi="IRNazanin" w:eastAsia="IRNazanin"/>
          <w:color w:val="111111"/>
          <w:sz w:val="28"/>
          <w:sz w:val="28"/>
          <w:szCs w:val="28"/>
          <w:rtl w:val="true"/>
          <w:lang w:bidi="fa-IR"/>
        </w:rPr>
        <w:t>حرز صادق نیست؛ پس، دستشان قطع نمی‌گردد؛ هرچند هر دو هاتک حرزند، امّا مخرج مال از حرز بر هیچ کدام صدق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در صورت سوّم بر شیخ طوسی رحمه الله کردید بر شما وارد می‌شود، زیرا راه خوبی برای دزدان باز می‌شود، با کمک هم حرز را بردارند و یکی داخل شود و مال مسروقه را بین درب بگذارد دیگری از آن‌جا منتقل کند، دست هیچ کدام هم قطع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قطع دست منتفی می‌گردد؛ امّا تعزیر، ضمان مال، و حکم تکلیفی حرمت تصرّف در مال غیر در جای خود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مواردی که شبهه‌ی صدق عنوان سرقت هست به استناد این که راه دزدی باز می‌شود، نباید حکم به قطع دست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عرف حکم را بر روی ابعاض مال برد؛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مال داخل و نصفی از آن خارج است یا ثلثش داخل و مابقی خارج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سه فرض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یک از جزء داخلی و خارجی به‌طور مستقل به حدّ نصاب باشد، دست هر دو سارق قطع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دزد داخل را می‌بریم چون به اندازه‌ی نصاب از حرز خارج کرده است؛ دست دزد خارج را قطع می‌کنیم، زیرا نصف داخل منزل را به خارجش انتقال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کدام از دو جزء به تنهایی به حدّ نصاب نبود، دست هیچ‌یک از دزدان بریده نمی‌شود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جزء داخل به اندازه‌ی نصاب باشد ولی جزء خارج شده کمتر از نصاب بود، دست دزد خارج را می‌بریم؛ زیرا، او مخرج نصاب از حرز می‌باشد؛ ولی بر دیگری این عنوان صادق نیست، و اگر عکس این مطلب بود، فقط دست دزد داخلی را می‌بریم</w:t>
      </w:r>
      <w:r>
        <w:rPr>
          <w:rFonts w:eastAsia="IRNazanin" w:cs="IRNazanin"/>
          <w:color w:val="111111"/>
          <w:sz w:val="28"/>
          <w:szCs w:val="28"/>
          <w:rtl w:val="true"/>
          <w:lang w:bidi="fa-IR"/>
        </w:rPr>
        <w:t>.</w:t>
      </w:r>
      <w:bookmarkStart w:id="618" w:name="pg16923_220350"/>
    </w:p>
    <w:p>
      <w:pPr>
        <w:pStyle w:val="BookText"/>
        <w:rPr/>
      </w:pPr>
      <w:bookmarkEnd w:id="6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اخراج النصاب فی دفعات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أخرج النصاب دفعات متعدّدة، فإن عدّت سرقة واحدة کما لو کان شیئاً ثقیلًا ذا أجزاء فأخرجه جزءاً فجزءاً بلا فصل طویل یخرجه عن اسم الدفعة عرفاً یقطع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سرق جزءاً منه فی لیلةٍ وجزءاً منه فی لیلة اخری فصار المجموع نصاباً فلا یقطع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سرق نصف النصاب من حرز ونصفه من حرز آخر فالأحوط لو لم یکن الأقوی عدم القطع</w:t>
      </w:r>
      <w:r>
        <w:rPr>
          <w:rFonts w:eastAsia="IRNazanin" w:cs="IRNazanin"/>
          <w:color w:val="111111"/>
          <w:sz w:val="28"/>
          <w:szCs w:val="28"/>
          <w:rtl w:val="true"/>
          <w:lang w:bidi="fa-IR"/>
        </w:rPr>
        <w:t>.]</w:t>
      </w:r>
    </w:p>
    <w:p>
      <w:pPr>
        <w:pStyle w:val="Heading4"/>
        <w:numPr>
          <w:ilvl w:val="3"/>
          <w:numId w:val="1"/>
        </w:numPr>
        <w:rPr/>
      </w:pPr>
      <w:bookmarkStart w:id="619" w:name="__RefHeading___Toc162549_3244359995"/>
      <w:bookmarkStart w:id="620" w:name="_Toc241"/>
      <w:bookmarkEnd w:id="619"/>
      <w:r>
        <w:rPr>
          <w:rtl w:val="true"/>
        </w:rPr>
        <w:t>حکم اخراج نصاب در چند سرقت</w:t>
      </w:r>
      <w:bookmarkEnd w:id="620"/>
    </w:p>
    <w:p>
      <w:pPr>
        <w:pStyle w:val="BookText"/>
        <w:rPr/>
      </w:pPr>
      <w:r>
        <w:rPr>
          <w:rFonts w:ascii="IRNazanin" w:hAnsi="IRNazanin" w:eastAsia="IRNazanin"/>
          <w:color w:val="111111"/>
          <w:sz w:val="28"/>
          <w:sz w:val="28"/>
          <w:szCs w:val="28"/>
          <w:rtl w:val="true"/>
          <w:lang w:bidi="fa-IR"/>
        </w:rPr>
        <w:t>اگر دزدی نصاب را طی چند سرقت از حرز خارج کرد، عملش خالی از یکی از سه صورت زیر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نظر عرف، اخراج نصاب در چند مرتبه یک سرقت به شمار آید، مانند این که مال سنگینی را مجبور شود قطعه قطعه خارج کند بدون آن که فاصله‌ی طولانی بین هر اخراجی فاصله شود که آن را از عنوان یک سرقت خارج کند، دست سارق قطع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کمتر از نصاب را در یک شب و کمتر از نصاب را در شب دیگر سرقت کرد، به‌گونه‌ای که مجموعش به حدّ نصاب برسد، دستش را نمی‌برند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مقداری از نصاب را از حرزی و بقیّه را از حرز دیگری دزدید، بنا بر احتیاط دست قطع نمی‌شود، اگر این احتیاط اقوا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بتوانیم دلیل این سه صورت را اقامه کنیم، باید بحث را ریشه‌یابی کرده و به نقطه‌ای برسیم که حکم هر سه صورت با دلیلش واضح گردد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این مسأله بر این مطلب متمرکز است که نصاب معتبر در حدّ سرقت، در رابطه‌ی با چه سرقتی ملاحظه می‌شود؟ آیا باید هر دفعه را جداگانه حساب کرد به‌گونه‌ای که هرگاه سرقتی به حدّ نصاب رسید، در آن حدّ هست؛ ولی اگر مجموع چند سرقت به این حدّ برسد، بر هیچ کدام حدّی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سارقی در طی چند شب تمام اسباب خانه‌ای را ببرد، ولی در هر شب کمتر از نصاب را خارج کرده باشد، دستش را نباید برید؛ یا این که</w:t>
      </w:r>
    </w:p>
    <w:p>
      <w:pPr>
        <w:pStyle w:val="BookText"/>
        <w:rPr/>
      </w:pPr>
      <w:r>
        <w:rPr>
          <w:rFonts w:ascii="IRNazanin" w:hAnsi="IRNazanin" w:eastAsia="IRNazanin"/>
          <w:color w:val="111111"/>
          <w:sz w:val="28"/>
          <w:sz w:val="28"/>
          <w:szCs w:val="28"/>
          <w:rtl w:val="true"/>
          <w:lang w:bidi="fa-IR"/>
        </w:rPr>
        <w:t>حدّ نصاب در رابطه‌ی با مال مسروقه ملاحظه می‌گردد؛ از این‌رو، اگر در سرقت‌های متعدّد حتّی با فاصله‌ی طولانی به اندازه‌ی نصاب برده باشد، دستش قطع می‌شود؟ در این مسأله اقوال مختلفی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رحمه الله در شرایع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اخیر اصحّ است؛</w:t>
      </w:r>
      <w:r>
        <w:rPr>
          <w:rStyle w:val="FootnoteAnchor"/>
          <w:rtl w:val="true"/>
        </w:rPr>
        <w:footnoteReference w:id="460"/>
      </w:r>
      <w:r>
        <w:rPr>
          <w:rFonts w:ascii="IRNazanin" w:hAnsi="IRNazanin" w:eastAsia="IRNazanin"/>
          <w:color w:val="111111"/>
          <w:sz w:val="28"/>
          <w:sz w:val="28"/>
          <w:szCs w:val="28"/>
          <w:rtl w:val="true"/>
          <w:lang w:bidi="fa-IR"/>
        </w:rPr>
        <w:t>یعنی اگر در چند دفعه به اندازه‌ی نصاب را هرچند با فاصله‌ی طولانی اخراج کند، حدّ واجب می‌شود؛ زیرا دلیلی بر اعتبار مرّه و دفعه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اندازه‌ی نصاب سرقت کند، قطع دستش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اطلاق دلیل تمسّک می‌کنیم؛ زیرا، صادق است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أخرج النصاب من الحرز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طوسی رحمه الله در مبسوط،</w:t>
      </w:r>
      <w:r>
        <w:rPr>
          <w:rStyle w:val="FootnoteAnchor"/>
          <w:rtl w:val="true"/>
        </w:rPr>
        <w:footnoteReference w:id="461"/>
      </w:r>
      <w:r>
        <w:rPr>
          <w:rFonts w:ascii="IRNazanin" w:hAnsi="IRNazanin" w:eastAsia="IRNazanin"/>
          <w:color w:val="111111"/>
          <w:sz w:val="28"/>
          <w:sz w:val="28"/>
          <w:szCs w:val="28"/>
          <w:rtl w:val="true"/>
          <w:lang w:bidi="fa-IR"/>
        </w:rPr>
        <w:t>ابن‌ادریس رحمه الله در سرائر،</w:t>
      </w:r>
      <w:r>
        <w:rPr>
          <w:rStyle w:val="FootnoteAnchor"/>
          <w:rtl w:val="true"/>
        </w:rPr>
        <w:footnoteReference w:id="462"/>
      </w:r>
      <w:r>
        <w:rPr>
          <w:rFonts w:ascii="IRNazanin" w:hAnsi="IRNazanin" w:eastAsia="IRNazanin"/>
          <w:color w:val="111111"/>
          <w:sz w:val="28"/>
          <w:sz w:val="28"/>
          <w:szCs w:val="28"/>
          <w:rtl w:val="true"/>
          <w:lang w:bidi="fa-IR"/>
        </w:rPr>
        <w:t>قاضی رحمه الله در جواهر الفقه</w:t>
      </w:r>
      <w:r>
        <w:rPr>
          <w:rStyle w:val="FootnoteAnchor"/>
          <w:rtl w:val="true"/>
        </w:rPr>
        <w:footnoteReference w:id="463"/>
      </w:r>
      <w:r>
        <w:rPr>
          <w:rFonts w:ascii="IRNazanin" w:hAnsi="IRNazanin" w:eastAsia="IRNazanin"/>
          <w:color w:val="111111"/>
          <w:sz w:val="28"/>
          <w:sz w:val="28"/>
          <w:szCs w:val="28"/>
          <w:rtl w:val="true"/>
          <w:lang w:bidi="fa-IR"/>
        </w:rPr>
        <w:t>نیز همین قول را اختیار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رحمه الله در ردّ قول مرحوم محقّق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سارقی که از یک محل دو بار سرقت می‌کند، بر سرقت دوّم هتک حرز صادق نیست؛ زیرا، در دفعه‌ی اول، حرز را هتک کرده است؛ و در دفعه‌ی دوّم از حرز هتک شده دزدی می‌کند؛ لذا، اثری بر سرقت دوّم نیست</w:t>
      </w:r>
      <w:r>
        <w:rPr>
          <w:rFonts w:eastAsia="IRNazanin" w:cs="IRNazanin"/>
          <w:color w:val="111111"/>
          <w:sz w:val="28"/>
          <w:szCs w:val="28"/>
          <w:rtl w:val="true"/>
          <w:lang w:bidi="fa-IR"/>
        </w:rPr>
        <w:t>.</w:t>
      </w:r>
      <w:r>
        <w:rPr>
          <w:rStyle w:val="FootnoteAnchor"/>
          <w:rtl w:val="true"/>
        </w:rPr>
        <w:footnoteReference w:id="464"/>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نقد نظر ایشان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را به این صورت مطرح می‌کنیم که سارقی در شب اول درب خانه را باز کرده و کمتر از نصاب را می‌برد، صاحب خانه متوجّه شده درب خانه را بست؛ شب دوّم نیز سارق آن درب را باز کرد و مقداری مال برد که مجموع دو سرقت به اندازه‌ی نصاب شد، دلیل شما، این صورت را شامل نیست؛ به‌طور کلّی فرضی که شما تصوّر کردید، خارج از بحث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جایی است که سرقت کاملی با تمام شرایط واقع شده، ولی مال مسروقه کمتر از نصاب است و مجموعش به حدّ نصاب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استدلال مرحوم محقّق رحمه الله</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اخراج نصاب توسط سارق از حرز بر مجموع سرقت‌ها صادق است، و شکّ داریم آیا مطلقاتی که بر اعتبار نصاب دلالت دارد، مقیّد به قید و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یا نه؟ چنین مواردی جای تمسّک به اصالة الاطلاق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ردّ نظر ایشان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از ادلّه‌ی اعتبار نصاب می‌فهمد هر دفعه‌ای باید به مقدار نصاب برسد؛ در حقیقت متفاهم عرفی از این ادلّه اشتراط مرّة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ادلّه‌ی اعتبار نصاب به جایی که سرقت واحد باشد، انصراف دارد؛ این دو راه ممکن است صحیح باشد، ولی در مقام اثبات با مشکل مواجه می‌شویم؛ زیرا، ممکن است کسی زیر بار متفاهم عرفی یا انصراف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صحیح آن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ادلّه‌ی اعتبار نصاب نبود، آیه شریفه وَالسَّارِقُ وَ السَّارِقَةُ فَاقْطَعُواْ أَیْدِیَهُمَا</w:t>
      </w:r>
      <w:r>
        <w:rPr>
          <w:rStyle w:val="FootnoteAnchor"/>
          <w:rtl w:val="true"/>
        </w:rPr>
        <w:footnoteReference w:id="465"/>
      </w:r>
      <w:r>
        <w:rPr>
          <w:rFonts w:ascii="IRNazanin" w:hAnsi="IRNazanin" w:eastAsia="IRNazanin"/>
          <w:color w:val="111111"/>
          <w:sz w:val="28"/>
          <w:sz w:val="28"/>
          <w:szCs w:val="28"/>
          <w:rtl w:val="true"/>
          <w:lang w:bidi="fa-IR"/>
        </w:rPr>
        <w:t>اطلاق داشت؛ زیرا در آن هیچ صحبتی از نصاب نیست؛ امّا روایات مستفیضه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حدّ سرقت مشروط به رسیدن مال مسروقه به حدّ نصاب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روایات، نصاب را در ترتّب حدّ سرقت شرط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سرقت یک طبیعت و ماهیّتی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چیز در فلان ماهیّت معتبر است، معنایش این است که هر فردی که آن قید و شرط را دارد، مصداق آن طبیعت است؛ ولی اگر دو فرد هیچ کدام واجد شرط نبودند، امّا در مجموعشان شرط وجود داشت، نمی‌توان مجموع را مصداق طبیعت دانست؛ زیرا، طبیعت،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الفردین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و بکر دو فرد برای طبیعت انسان است، آیا مجموع زید و بکر نیز فردی برای این طبیعت است؟</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ادلّه‌ی اعتبار نصاب در سرقت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مصداقی از مصادیق طبیعت سرقت، نصاب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سرقت، یک سرقت است، این خلاف فرض است؛ زیرا، بحث ما در جایی است که در دو شب دزدی کرده است؛ به گونه‌ای که عرف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چند روز دوبار خانه زید را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در یک شب</w:t>
      </w:r>
    </w:p>
    <w:p>
      <w:pPr>
        <w:pStyle w:val="BookText"/>
        <w:rPr/>
      </w:pPr>
      <w:r>
        <w:rPr>
          <w:rFonts w:ascii="IRNazanin" w:hAnsi="IRNazanin" w:eastAsia="IRNazanin"/>
          <w:color w:val="111111"/>
          <w:sz w:val="28"/>
          <w:sz w:val="28"/>
          <w:szCs w:val="28"/>
          <w:rtl w:val="true"/>
          <w:lang w:bidi="fa-IR"/>
        </w:rPr>
        <w:t>در ظرف چند دقیقه ده‌بار وارد و خارج شده و در هربار چیزی را بیرون بیاورد، عرف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ده‌بار از منزل زید دزدی شده است؛ 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خانه‌ی زید را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بحث ما خارج است؛ زیرا، یک سرقت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مجموع مال مسروقه به حدّ نصاب برسد، دست دزد قطع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تحقّق چند سرقت، ادلّه‌ی اعتبار نصاب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سرقت، نصاب معتبر است؛ یعنی مصادیق سرقت باید به حدّ نصاب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 اوّل واجد این شرط نیست و سرقت دوّم فاقد این قید است؛ امّا مجموع دو سرقت این شرط را دارد، ولی مصداق طبیعت نیست، در حالی که دلیل اعتبار نصاب به نظر عقلی و دقّی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ماهیّت سرقت، برای قطع دست، نصاب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به مرحوم محقّق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نصاباً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بلکه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وَالسَّارِقُ وَ السَّارِقَةُ فَاقْطَعُواْ أَیْدِیَهُمَا</w:t>
      </w:r>
      <w:r>
        <w:rPr>
          <w:rStyle w:val="FootnoteAnchor"/>
          <w:rtl w:val="true"/>
        </w:rPr>
        <w:footnoteReference w:id="466"/>
      </w:r>
      <w:r>
        <w:rPr>
          <w:rFonts w:ascii="IRNazanin" w:hAnsi="IRNazanin" w:eastAsia="IRNazanin"/>
          <w:color w:val="111111"/>
          <w:sz w:val="28"/>
          <w:sz w:val="28"/>
          <w:szCs w:val="28"/>
          <w:rtl w:val="true"/>
          <w:lang w:bidi="fa-IR"/>
        </w:rPr>
        <w:t>و ادلّه‌ی اعتبار نصاب ناظر به این عنوان و طبیعت سرقت است؛ لذا، اگر جنبه‌ی عرفی را هم کنار بگذاریم و از انصراف نیز بگذریم، نظر دقّی و عقلی هم تقیید هر سرقتی را به حدّ نصاب اقتضا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مطالب چنین نتیجه گرفتیم که اگر بر مجموع ورود و خروج‌ها سرقت واحد صادق باشد و مال مسروقه به حدّ نصاب برسد، دست دزد قطع می‌گردد؛ ولی اگر سرقت متعدّد به شمار آید و با هر اخراجی کمتر از نصاب بیرون آورده باشد، حدّی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گفته‌ی مرحوم صاحب جواهر</w:t>
      </w:r>
      <w:r>
        <w:rPr>
          <w:rStyle w:val="FootnoteAnchor"/>
          <w:rtl w:val="true"/>
        </w:rPr>
        <w:footnoteReference w:id="467"/>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هر ورود و خروجش به اندازه‌ی نصاب برده باشد تا حدّ قطع مترتّب گردد؛ لذا، اگر در ظرف نیم‌ساعت چندبار وارد شد و در هر مرتبه کمتر از نصاب را خارج کرد، حدّی ثابت نمی‌شود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سرقت یک معنای عرفی دارد و شارع به آن قیودی را اضافه کرده است و حقیقت شرعیّه‌ای ندارد؛ لذا، وحدت و تعدّد در رابطه با این مفهوم عرفی، به نظر عرف است؛ در هر موردی که عرف ورود و خروج‌های متعدّد را یک سرقت</w:t>
      </w:r>
    </w:p>
    <w:p>
      <w:pPr>
        <w:pStyle w:val="BookText"/>
        <w:rPr/>
      </w:pPr>
      <w:r>
        <w:rPr>
          <w:rFonts w:ascii="IRNazanin" w:hAnsi="IRNazanin" w:eastAsia="IRNazanin"/>
          <w:color w:val="111111"/>
          <w:sz w:val="28"/>
          <w:sz w:val="28"/>
          <w:szCs w:val="28"/>
          <w:rtl w:val="true"/>
          <w:lang w:bidi="fa-IR"/>
        </w:rPr>
        <w:t>شمرد، حکم سرقت واحد مترتّب می‌گردد؛ و هر زمان که عرف سرقت متعدّد دانست، برای هر سرقتی حکم خودش 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حکم صورت سوّم مسأله نیز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دزدی در یک شب و یک ساعت از خانه‌ی دو همسایه دیوار به دیوار دزدی کرد به‌گونه‌ای که مال مسروقه‌ی از هر منزل به حدّ نصاب نمی‌رسد ولی مجموعش به اندازه‌ی نصاب است، عرف آن را دو سرقت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یکی سرقت از خانه‌ی زید و دیگری از خانه‌ی بکر است؛ حرزها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دستش را نمی‌برند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دزدی به یک خانه وارد شد، درب صندوق را شکست و پول برداشت، از داخل اتاق نیز فرشی به دوش کشید و خارج شد، هرچند سارق دو حرز را هتک کرده است، چرا که حرز پول غیر از حرز فرش است؛ ولی به نظر عرف یک سرقت واقع شده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خلاصه‌ی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سرقت مقیّد به نصاب است، و سرقت یک مفهوم عرفی است، لذا به نظر دقّی عقلی، طبیعت سرقت مقیّد به مقدار نصاب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از نظر عرف سرقت واحد حساب شد، نصاب را در مجموع مال مسروقه ملاحظه می‌کنیم؛ و هرجا سرقت متعدّد به شمار آید، برای هر سرقتی حسابی باز می‌کنیم</w:t>
      </w:r>
      <w:r>
        <w:rPr>
          <w:rFonts w:eastAsia="IRNazanin" w:cs="IRNazanin"/>
          <w:color w:val="111111"/>
          <w:sz w:val="28"/>
          <w:szCs w:val="28"/>
          <w:rtl w:val="true"/>
          <w:lang w:bidi="fa-IR"/>
        </w:rPr>
        <w:t>.</w:t>
      </w:r>
      <w:bookmarkStart w:id="621" w:name="pg16923_220355"/>
    </w:p>
    <w:p>
      <w:pPr>
        <w:pStyle w:val="BookText"/>
        <w:rPr/>
      </w:pPr>
      <w:bookmarkEnd w:id="6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ما لو أخذ السارق فی الحرز قبل إخراج النصاب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دخل الحرز فأخذ النصاب وقبل الإخراج منه أخذ لم یقطع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أحدث فی الشی‌ء الّذی قدر النصاب داخل الحرز ما أخرجه عن النصاب ثمّ أخرجه لم یقطع کما لو ذبح الشاة أو خرق الثوب داخل الحرز</w:t>
      </w:r>
      <w:r>
        <w:rPr>
          <w:rFonts w:eastAsia="IRNazanin" w:cs="IRNazanin"/>
          <w:color w:val="111111"/>
          <w:sz w:val="28"/>
          <w:szCs w:val="28"/>
          <w:rtl w:val="true"/>
          <w:lang w:bidi="fa-IR"/>
        </w:rPr>
        <w:t>.]</w:t>
      </w:r>
    </w:p>
    <w:p>
      <w:pPr>
        <w:pStyle w:val="Heading4"/>
        <w:numPr>
          <w:ilvl w:val="3"/>
          <w:numId w:val="1"/>
        </w:numPr>
        <w:rPr/>
      </w:pPr>
      <w:bookmarkStart w:id="622" w:name="__RefHeading___Toc162551_3244359995"/>
      <w:bookmarkStart w:id="623" w:name="_Toc242"/>
      <w:bookmarkEnd w:id="622"/>
      <w:r>
        <w:rPr>
          <w:rtl w:val="true"/>
        </w:rPr>
        <w:t>حکم دستگیری سارق در حرز</w:t>
      </w:r>
      <w:bookmarkEnd w:id="623"/>
    </w:p>
    <w:p>
      <w:pPr>
        <w:pStyle w:val="Heading5"/>
        <w:numPr>
          <w:ilvl w:val="4"/>
          <w:numId w:val="1"/>
        </w:numPr>
        <w:rPr/>
      </w:pPr>
      <w:bookmarkStart w:id="624" w:name="__RefHeading___Toc162553_3244359995"/>
      <w:bookmarkStart w:id="625" w:name="_Toc243"/>
      <w:bookmarkEnd w:id="624"/>
      <w:r>
        <w:rPr>
          <w:rtl w:val="true"/>
        </w:rPr>
        <w:t>اشاره</w:t>
      </w:r>
      <w:bookmarkEnd w:id="625"/>
    </w:p>
    <w:p>
      <w:pPr>
        <w:pStyle w:val="BookText"/>
        <w:rPr/>
      </w:pPr>
      <w:r>
        <w:rPr>
          <w:rFonts w:ascii="IRNazanin" w:hAnsi="IRNazanin" w:eastAsia="IRNazanin"/>
          <w:color w:val="111111"/>
          <w:sz w:val="28"/>
          <w:sz w:val="28"/>
          <w:szCs w:val="28"/>
          <w:rtl w:val="true"/>
          <w:lang w:bidi="fa-IR"/>
        </w:rPr>
        <w:t>این مسأله دو فرع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سارقی حرزی را هتک و داخل آن شد و به اندازه‌ی نصاب مال برداشت، ولی قبل از خروج از حرز دستگیر شد، حدّ قطع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داخل حرز، سارق عملی بر روی مال مسروقه انجام داد که باعث نقصان قیمت و خروج از حدّ نصاب شد، مانند ذبح حیوان یا پاره کردن پارچه، سپس آن را بیرون برد، سرقتش موجب قطع نیست</w:t>
      </w:r>
      <w:r>
        <w:rPr>
          <w:rFonts w:eastAsia="IRNazanin" w:cs="IRNazanin"/>
          <w:color w:val="111111"/>
          <w:sz w:val="28"/>
          <w:szCs w:val="28"/>
          <w:rtl w:val="true"/>
          <w:lang w:bidi="fa-IR"/>
        </w:rPr>
        <w:t>.</w:t>
      </w:r>
    </w:p>
    <w:p>
      <w:pPr>
        <w:pStyle w:val="Heading5"/>
        <w:numPr>
          <w:ilvl w:val="4"/>
          <w:numId w:val="1"/>
        </w:numPr>
        <w:rPr/>
      </w:pPr>
      <w:bookmarkStart w:id="626" w:name="__RefHeading___Toc162555_3244359995"/>
      <w:bookmarkStart w:id="627" w:name="_Toc244"/>
      <w:bookmarkEnd w:id="626"/>
      <w:r>
        <w:rPr>
          <w:rtl w:val="true"/>
        </w:rPr>
        <w:t>فرع اوّل</w:t>
      </w:r>
      <w:r>
        <w:rPr>
          <w:rtl w:val="true"/>
        </w:rPr>
        <w:t xml:space="preserve">: </w:t>
      </w:r>
      <w:r>
        <w:rPr>
          <w:rtl w:val="true"/>
        </w:rPr>
        <w:t>دستگیری در حرز</w:t>
      </w:r>
      <w:bookmarkEnd w:id="627"/>
    </w:p>
    <w:p>
      <w:pPr>
        <w:pStyle w:val="BookText"/>
        <w:rPr/>
      </w:pPr>
      <w:r>
        <w:rPr>
          <w:rFonts w:ascii="IRNazanin" w:hAnsi="IRNazanin" w:eastAsia="IRNazanin"/>
          <w:color w:val="111111"/>
          <w:sz w:val="28"/>
          <w:sz w:val="28"/>
          <w:szCs w:val="28"/>
          <w:rtl w:val="true"/>
          <w:lang w:bidi="fa-IR"/>
        </w:rPr>
        <w:t>با فرض این که دزد نتوانسته نصاب را از حرز خارج کند، هرچند هتک حرز کرده است، لیکن شرط دیگر ثبوت حدّ، اخراج نصاب از حرز بود که 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حدّ واجب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اخراج به اختیار باشد یا به اکراه، در این حکم اثری ندارد؛ و اثر بر اخراج مال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ناحیه‌ی اخراج باید اختیاری باشد تا حدّ ثابت شود و اگر اضطراری بود، حدّ ندارد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توهّم این که عدم اخراج مال به سبب گیر افتادن سارق است و اگر دستگیر نمی‌شد، مال مسروقه را خارج می‌کرد، توهّمی نابجا است؛ زیرا، شرط ثبوت حدّ، اخراج حقیقی است و نه فرضی و تعلیقی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حکم قواعد و ضوابط، در این مورد قطعی نیست و نیازی برای اثبات حکم فرع به روایات نداریم؛ لیکن به عنوان مؤیّد آن‌ها را نقل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عن أبیه، عن النّوفلی، عن السّکونی،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فی السّارق إذا أخذ وقد أخذ المتاع وهو فی البیت لم یخرج بعد،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القطع حتّی یخرج به من الدّار</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مؤمنان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سارقی پس از برداشتن مال مسروقه، و قبل از خروج، در خانه دستگیر شود، حکمش چیست؟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واجب نیست؛ مگر این که مال را از خانه بیرون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تذکّر در این‌جا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 دستگیری دزد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کرده است و بیت معمولًا به اتاق اطلاق می‌شود؛ در حالی که امام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قطعی نیست مگر این که متاع را از خانه بیرون ببرد، یعنی حرز اصلی برای متاع همان خانه است نه اتاق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پول صندوقی است که در داخل خانه باشد و الّا اگر پول را داخل صندوق گذاشته و صندوق را در کوچه بگذارد، نمی‌توان چنین صندوقی را حرز پول دانست؛ یا اگر پول را در وسط حیاط ریخته باشد و دزدی آن را ببرد، باز اخراج از حرز صادق نیست؛ زیرا، در مباحث قبل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هر چیزی متناسب با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وبإسناده عن محمّد بن الحسن الصّفار، عن الحسن بن موسی الخشّاب، عن غیاث بن کلوب، عن إسحاق بن عمّار، عن جعفر، عن أبیه، أنّ علیّاً علیه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قطع علی السّارق حتّی یخرج بالسّرقة من البیت ویکون فیها ما یجب فیه القطع</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سارق مال مسروقه‌ی به اندازه‌ی نصاب را از خانه بیرون نبرد، قطعی در حقّش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 در این‌جا قابل ذکر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روایت از نظر سند ضعیف است؛ روایت اوّلی به علّت نوفلی و روایت</w:t>
      </w:r>
      <w:bookmarkStart w:id="628" w:name="pg16923_220357"/>
    </w:p>
    <w:p>
      <w:pPr>
        <w:pStyle w:val="BookText"/>
        <w:rPr/>
      </w:pPr>
      <w:bookmarkEnd w:id="628"/>
      <w:r>
        <w:rPr>
          <w:rFonts w:ascii="IRNazanin" w:hAnsi="IRNazanin" w:eastAsia="IRNazanin"/>
          <w:color w:val="111111"/>
          <w:sz w:val="28"/>
          <w:sz w:val="28"/>
          <w:szCs w:val="28"/>
          <w:rtl w:val="true"/>
          <w:lang w:bidi="fa-IR"/>
        </w:rPr>
        <w:t>دوّم به سبب غیاث بن کلوب؛</w:t>
      </w:r>
      <w:r>
        <w:rPr>
          <w:rStyle w:val="FootnoteAnchor"/>
          <w:rtl w:val="true"/>
        </w:rPr>
        <w:footnoteReference w:id="470"/>
      </w:r>
      <w:r>
        <w:rPr>
          <w:rFonts w:ascii="IRNazanin" w:hAnsi="IRNazanin" w:eastAsia="IRNazanin"/>
          <w:color w:val="111111"/>
          <w:sz w:val="28"/>
          <w:sz w:val="28"/>
          <w:szCs w:val="28"/>
          <w:rtl w:val="true"/>
          <w:lang w:bidi="fa-IR"/>
        </w:rPr>
        <w:t>لیکن ضعف سند ضربه‌ای به بحث ما نمی‌زند؛ زیرا، به عنوان مؤیّد آن‌ها را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سکونی در خصوص بحث ما وارد شده است، ولی موضوع روایت اسحاق بن عمّار کلّی می‌باشد؛ و یکی از مصادیقش عدم خروج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دیگرش پشیمان شدن سارق و رها کردن مال مسروقه در حرز است</w:t>
      </w:r>
      <w:r>
        <w:rPr>
          <w:rFonts w:eastAsia="IRNazanin" w:cs="IRNazanin"/>
          <w:color w:val="111111"/>
          <w:sz w:val="28"/>
          <w:szCs w:val="28"/>
          <w:rtl w:val="true"/>
          <w:lang w:bidi="fa-IR"/>
        </w:rPr>
        <w:t>.</w:t>
      </w:r>
    </w:p>
    <w:p>
      <w:pPr>
        <w:pStyle w:val="Heading5"/>
        <w:numPr>
          <w:ilvl w:val="4"/>
          <w:numId w:val="1"/>
        </w:numPr>
        <w:rPr/>
      </w:pPr>
      <w:bookmarkStart w:id="629" w:name="__RefHeading___Toc162557_3244359995"/>
      <w:bookmarkStart w:id="630" w:name="_Toc245"/>
      <w:bookmarkEnd w:id="629"/>
      <w:r>
        <w:rPr>
          <w:rtl w:val="true"/>
        </w:rPr>
        <w:t>فرع دوّم</w:t>
      </w:r>
      <w:r>
        <w:rPr>
          <w:rtl w:val="true"/>
        </w:rPr>
        <w:t xml:space="preserve">: </w:t>
      </w:r>
      <w:r>
        <w:rPr>
          <w:rtl w:val="true"/>
        </w:rPr>
        <w:t>احداث نقص در مال مسروقه</w:t>
      </w:r>
      <w:bookmarkEnd w:id="630"/>
    </w:p>
    <w:p>
      <w:pPr>
        <w:pStyle w:val="BookText"/>
        <w:rPr/>
      </w:pPr>
      <w:r>
        <w:rPr>
          <w:rFonts w:ascii="IRNazanin" w:hAnsi="IRNazanin" w:eastAsia="IRNazanin"/>
          <w:color w:val="111111"/>
          <w:sz w:val="28"/>
          <w:sz w:val="28"/>
          <w:szCs w:val="28"/>
          <w:rtl w:val="true"/>
          <w:lang w:bidi="fa-IR"/>
        </w:rPr>
        <w:t>سارق مالی را که به حدّ نصاب است از داخل حرز برمی‌دارد، امّا در آن تصرّفی می‌کند که نقصانِ قیمت ایجاد شده و از حدّ نصاب می‌افتد؛ مانند این که پارچه را می‌بُرَد یا گوسفند را سر بُرید و آن را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این تصرّف، مال مسروقه را خارج می‌کرد، حدّش قطع دست بود؛ زیرا مالی که به حدّ نصاب بوده را پس از هتک حرز، از حرز خارج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فرض مسأله، حدّ قطع واجب نمی‌شود؛ زیرا، مالی را که خارج کرده، ارزشی کمتر از نصاب دارد؛ فقط نسبت به نقصانی که ایجاد کرده، ضامن است؛ ولی ربطی به سرقت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ثبوت حدّ، اخراج مال به مقدار نصاب است و این شرط در بحث ما وجود ندارد</w:t>
      </w:r>
      <w:r>
        <w:rPr>
          <w:rFonts w:eastAsia="IRNazanin" w:cs="IRNazanin"/>
          <w:color w:val="111111"/>
          <w:sz w:val="28"/>
          <w:szCs w:val="28"/>
          <w:rtl w:val="true"/>
          <w:lang w:bidi="fa-IR"/>
        </w:rPr>
        <w:t>.</w:t>
      </w:r>
    </w:p>
    <w:p>
      <w:pPr>
        <w:pStyle w:val="Heading5"/>
        <w:numPr>
          <w:ilvl w:val="4"/>
          <w:numId w:val="1"/>
        </w:numPr>
        <w:rPr/>
      </w:pPr>
      <w:bookmarkStart w:id="631" w:name="__RefHeading___Toc162559_3244359995"/>
      <w:bookmarkStart w:id="632" w:name="_Toc246"/>
      <w:bookmarkEnd w:id="631"/>
      <w:r>
        <w:rPr>
          <w:rtl w:val="true"/>
        </w:rPr>
        <w:t>فرع سوّم</w:t>
      </w:r>
      <w:r>
        <w:rPr>
          <w:rtl w:val="true"/>
        </w:rPr>
        <w:t xml:space="preserve">: </w:t>
      </w:r>
      <w:r>
        <w:rPr>
          <w:rtl w:val="true"/>
        </w:rPr>
        <w:t>سقوط از حدّ نصاب پس از اخراج</w:t>
      </w:r>
      <w:bookmarkEnd w:id="632"/>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رحمه الله این فرع را در شرایع آورده است؛</w:t>
      </w:r>
      <w:r>
        <w:rPr>
          <w:rStyle w:val="FootnoteAnchor"/>
          <w:rtl w:val="true"/>
        </w:rPr>
        <w:footnoteReference w:id="471"/>
      </w:r>
      <w:r>
        <w:rPr>
          <w:rFonts w:ascii="IRNazanin" w:hAnsi="IRNazanin" w:eastAsia="IRNazanin"/>
          <w:color w:val="111111"/>
          <w:sz w:val="28"/>
          <w:sz w:val="28"/>
          <w:szCs w:val="28"/>
          <w:rtl w:val="true"/>
          <w:lang w:bidi="fa-IR"/>
        </w:rPr>
        <w:t>ولی مرحوم امام آن را در تحریرالوسیله مطرح نکرده‌اند، اگر کسی داخل حرز شد و مالی را به سرقت برد که در زمان سرقت به اندازه‌ی ربع دینار ارزش داشت، لیکن پس از سرقت، قیمت بازار تنزّل کرد و مال مسروقه از نصاب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حدّ قطع ثابت است؛ زیرا، قیمت در حال سرقت ملاک</w:t>
      </w:r>
    </w:p>
    <w:p>
      <w:pPr>
        <w:pStyle w:val="BookText"/>
        <w:rPr/>
      </w:pPr>
      <w:r>
        <w:rPr>
          <w:rFonts w:ascii="IRNazanin" w:hAnsi="IRNazanin" w:eastAsia="IRNazanin"/>
          <w:color w:val="111111"/>
          <w:sz w:val="28"/>
          <w:sz w:val="28"/>
          <w:szCs w:val="28"/>
          <w:rtl w:val="true"/>
          <w:lang w:bidi="fa-IR"/>
        </w:rPr>
        <w:t>است؛ امّا بعد از سرقت، خواه قبل از مرافعه باشد یا پس از آن، اثری ندارد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تحریرالوسیله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أحدث فی الشی‌ء الّذی قدر النصاب داخل الحرز ما أخرجه عن النصاب ثمّ أخرجه لم یقطع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موصول است که نیاز به صله دارد؛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صله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احتمال قوی چیزی در چاپ حذف شده است</w:t>
      </w:r>
      <w:r>
        <w:rPr>
          <w:rFonts w:eastAsia="IRNazanin" w:cs="IRNazanin"/>
          <w:color w:val="111111"/>
          <w:sz w:val="28"/>
          <w:szCs w:val="28"/>
          <w:rtl w:val="true"/>
          <w:lang w:bidi="fa-IR"/>
        </w:rPr>
        <w:t>.</w:t>
      </w:r>
      <w:bookmarkStart w:id="633" w:name="pg16923_220359"/>
    </w:p>
    <w:p>
      <w:pPr>
        <w:pStyle w:val="BookText"/>
        <w:rPr/>
      </w:pPr>
      <w:bookmarkEnd w:id="6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ابتلاع النصاب داخل الحرز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ابتلع النصاب داخل الحرز، فإن استهلک فی الجوف کالطعام لم یقطع، وإن لم یستهلک لکن تعذّر إخراجه فلاقطع ولا سرقة، ولو لم یعتذّر إخراجه من الجوف ولو بالنظر إلی عادته فخرج وهو فی جوفه ففی القطع وعدمه وجهان، أشبهها القطع إذا کان البلع للسرقة بهذا النحو وإلّا فلا قطع</w:t>
      </w:r>
      <w:r>
        <w:rPr>
          <w:rFonts w:eastAsia="IRNazanin" w:cs="IRNazanin"/>
          <w:color w:val="111111"/>
          <w:sz w:val="28"/>
          <w:szCs w:val="28"/>
          <w:rtl w:val="true"/>
          <w:lang w:bidi="fa-IR"/>
        </w:rPr>
        <w:t>.]</w:t>
      </w:r>
    </w:p>
    <w:p>
      <w:pPr>
        <w:pStyle w:val="Heading4"/>
        <w:numPr>
          <w:ilvl w:val="3"/>
          <w:numId w:val="1"/>
        </w:numPr>
        <w:rPr/>
      </w:pPr>
      <w:bookmarkStart w:id="634" w:name="__RefHeading___Toc162561_3244359995"/>
      <w:bookmarkStart w:id="635" w:name="_Toc247"/>
      <w:bookmarkEnd w:id="634"/>
      <w:r>
        <w:rPr>
          <w:rtl w:val="true"/>
        </w:rPr>
        <w:t>حکم صورت‌های بلعیدن مال مسروقه</w:t>
      </w:r>
      <w:bookmarkEnd w:id="635"/>
    </w:p>
    <w:p>
      <w:pPr>
        <w:pStyle w:val="Heading5"/>
        <w:numPr>
          <w:ilvl w:val="4"/>
          <w:numId w:val="1"/>
        </w:numPr>
        <w:rPr/>
      </w:pPr>
      <w:bookmarkStart w:id="636" w:name="__RefHeading___Toc162563_3244359995"/>
      <w:bookmarkStart w:id="637" w:name="_Toc248"/>
      <w:bookmarkEnd w:id="636"/>
      <w:r>
        <w:rPr>
          <w:rtl w:val="true"/>
        </w:rPr>
        <w:t>اشاره</w:t>
      </w:r>
      <w:bookmarkEnd w:id="637"/>
    </w:p>
    <w:p>
      <w:pPr>
        <w:pStyle w:val="BookText"/>
        <w:rPr/>
      </w:pPr>
      <w:r>
        <w:rPr>
          <w:rFonts w:ascii="IRNazanin" w:hAnsi="IRNazanin" w:eastAsia="IRNazanin"/>
          <w:color w:val="111111"/>
          <w:sz w:val="28"/>
          <w:sz w:val="28"/>
          <w:szCs w:val="28"/>
          <w:rtl w:val="true"/>
          <w:lang w:bidi="fa-IR"/>
        </w:rPr>
        <w:t>اگر سارق داخل حرز شد و مال مسروقه را که به اندازه‌ی نصاب بود بلعید، سه صورت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مسروقه غذایی بود که در اثر بلعیدن و ورود به شکم مستهلک می‌شود؛ در این صورت قطعی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مسروقه مستهلک نشده، امّا بیرون آوردنش متعذّر و غیرممکن است؛ مانند بلعیدن مروارید یا غیر آن که فقط از راه جرّاحی امکان خارج شدن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سرقت به شمار نمی‌آید، لذا حدّ قطع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اخراج مال مسروقه متعذّر نیست و شخص به قی‌ء کردن و بیرون آوردنش عادت دارد، اگر در این حال از حرز خارج شود، اشبه به قواعد در صورتی که بلعیدن به خاطر سرقت بوده، ثبوت قطع است؛ وگرنه قطع واجب نیست</w:t>
      </w:r>
      <w:r>
        <w:rPr>
          <w:rFonts w:eastAsia="IRNazanin" w:cs="IRNazanin"/>
          <w:color w:val="111111"/>
          <w:sz w:val="28"/>
          <w:szCs w:val="28"/>
          <w:rtl w:val="true"/>
          <w:lang w:bidi="fa-IR"/>
        </w:rPr>
        <w:t>.</w:t>
      </w:r>
    </w:p>
    <w:p>
      <w:pPr>
        <w:pStyle w:val="Heading5"/>
        <w:numPr>
          <w:ilvl w:val="4"/>
          <w:numId w:val="1"/>
        </w:numPr>
        <w:rPr/>
      </w:pPr>
      <w:bookmarkStart w:id="638" w:name="__RefHeading___Toc162565_3244359995"/>
      <w:bookmarkStart w:id="639" w:name="_Toc249"/>
      <w:bookmarkEnd w:id="638"/>
      <w:r>
        <w:rPr>
          <w:rtl w:val="true"/>
        </w:rPr>
        <w:t>صورت اوّل</w:t>
      </w:r>
      <w:r>
        <w:rPr>
          <w:rtl w:val="true"/>
        </w:rPr>
        <w:t xml:space="preserve">: </w:t>
      </w:r>
      <w:r>
        <w:rPr>
          <w:rtl w:val="true"/>
        </w:rPr>
        <w:t>استهلاک مال مسروقه به بلعیدن</w:t>
      </w:r>
      <w:bookmarkEnd w:id="639"/>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سارقی گرسنه وارد منزلی شد، غذاهای چرب و لذیذی در آن‌جا بود، به اندازه‌ی نصاب از آن‌ها تناول کرد، از نظر عرف این غذا تلف شده است، و گویا چیزی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دزد با این حالت از خانه خارج گردد، مالی را از حرز بیرون نبرده است تا حدّ ثابت شود؛ چرا که غذای خورده شده مالیّتی ندارد</w:t>
      </w:r>
      <w:r>
        <w:rPr>
          <w:rFonts w:eastAsia="IRNazanin" w:cs="IRNazanin"/>
          <w:color w:val="111111"/>
          <w:sz w:val="28"/>
          <w:szCs w:val="28"/>
          <w:rtl w:val="true"/>
          <w:lang w:bidi="fa-IR"/>
        </w:rPr>
        <w:t>.</w:t>
      </w:r>
      <w:bookmarkStart w:id="640" w:name="pg16923_220360"/>
    </w:p>
    <w:p>
      <w:pPr>
        <w:pStyle w:val="Heading5"/>
        <w:numPr>
          <w:ilvl w:val="4"/>
          <w:numId w:val="1"/>
        </w:numPr>
        <w:rPr/>
      </w:pPr>
      <w:bookmarkStart w:id="641" w:name="__RefHeading___Toc162567_3244359995"/>
      <w:bookmarkStart w:id="642" w:name="_Toc250"/>
      <w:bookmarkEnd w:id="640"/>
      <w:bookmarkEnd w:id="641"/>
      <w:r>
        <w:rPr>
          <w:rtl w:val="true"/>
        </w:rPr>
        <w:t>صورت دوّم</w:t>
      </w:r>
      <w:r>
        <w:rPr>
          <w:rtl w:val="true"/>
        </w:rPr>
        <w:t xml:space="preserve">: </w:t>
      </w:r>
      <w:r>
        <w:rPr>
          <w:rtl w:val="true"/>
        </w:rPr>
        <w:t>تعذّر اخراج مال بلعیده شده</w:t>
      </w:r>
      <w:bookmarkEnd w:id="642"/>
    </w:p>
    <w:p>
      <w:pPr>
        <w:pStyle w:val="BookText"/>
        <w:rPr/>
      </w:pPr>
      <w:r>
        <w:rPr>
          <w:rFonts w:ascii="IRNazanin" w:hAnsi="IRNazanin" w:eastAsia="IRNazanin"/>
          <w:color w:val="111111"/>
          <w:sz w:val="28"/>
          <w:sz w:val="28"/>
          <w:szCs w:val="28"/>
          <w:rtl w:val="true"/>
          <w:lang w:bidi="fa-IR"/>
        </w:rPr>
        <w:t>اگر سارقی در داخل حرز لیره یا مروارید یا غیر آن را بلعید و اخراجش به‌طور طبیعی متعذّر باشد، هرچند عین مال مسروقه در شکم موجود است، امّا حکم مال تلف شده را دارد، زیرا، لیره یا مرواریدی که داخل شکم است و به هیچ وجه امکان دسترسی به آن نیست، عنوان مالیّت ندارد؛ و حکم طعام و غذا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دزد با این حالت خارج گردد، قطع دست واجب نمی‌شود</w:t>
      </w:r>
      <w:r>
        <w:rPr>
          <w:rFonts w:eastAsia="IRNazanin" w:cs="IRNazanin"/>
          <w:color w:val="111111"/>
          <w:sz w:val="28"/>
          <w:szCs w:val="28"/>
          <w:rtl w:val="true"/>
          <w:lang w:bidi="fa-IR"/>
        </w:rPr>
        <w:t>.</w:t>
      </w:r>
    </w:p>
    <w:p>
      <w:pPr>
        <w:pStyle w:val="Heading5"/>
        <w:numPr>
          <w:ilvl w:val="4"/>
          <w:numId w:val="1"/>
        </w:numPr>
        <w:rPr/>
      </w:pPr>
      <w:bookmarkStart w:id="643" w:name="__RefHeading___Toc162569_3244359995"/>
      <w:bookmarkStart w:id="644" w:name="_Toc251"/>
      <w:bookmarkEnd w:id="643"/>
      <w:r>
        <w:rPr>
          <w:rtl w:val="true"/>
        </w:rPr>
        <w:t>صورت سوّم</w:t>
      </w:r>
      <w:r>
        <w:rPr>
          <w:rtl w:val="true"/>
        </w:rPr>
        <w:t xml:space="preserve">: </w:t>
      </w:r>
      <w:r>
        <w:rPr>
          <w:rtl w:val="true"/>
        </w:rPr>
        <w:t>امکان اخراج مال بلعیده شده</w:t>
      </w:r>
      <w:bookmarkEnd w:id="644"/>
    </w:p>
    <w:p>
      <w:pPr>
        <w:pStyle w:val="BookText"/>
        <w:rPr/>
      </w:pPr>
      <w:r>
        <w:rPr>
          <w:rFonts w:ascii="IRNazanin" w:hAnsi="IRNazanin" w:eastAsia="IRNazanin"/>
          <w:color w:val="111111"/>
          <w:sz w:val="28"/>
          <w:sz w:val="28"/>
          <w:szCs w:val="28"/>
          <w:rtl w:val="true"/>
          <w:lang w:bidi="fa-IR"/>
        </w:rPr>
        <w:t>اگر امکان اخراج مال مسروقه از شکم سارق باشد، خواه به واسطه‌ی استفراغ یا تخلّی، در تحریرالوسیله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می‌کنیم انگیزه‌اش از بلعیدن چه بوده است؟ اگر بلعیدن را به عنوان راهی برای سرقت انتخاب کرده باشد، شرایط ثبوت حدّ سرقت وجود دارد، زیرا به اندازه‌ی نصاب از حرز به قصد سرقت برداشته و بلعیده است و با امکان اخراج، مال مسروقه در حکم تلف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برای تمیز کردن لؤلؤ آن را به دهان گذاشت و بی‌اختیار پایین رفت، یعنی آن را به قصد سرقت نبلعیده است، بلکه قصدش پاکیزه کردن مال مسروقه و اخراجش به طریق دیگر مانند در دست گرفتن یا در جیب گذاشتن بوده است، می‌فرمایند حدّ قطع مترتّب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این تفصیل تمام نیست؛ زیرا، با فرض این که سارق قصد سرقت مال مسروقه را داشته و امکان اخراج آن از شکم او هم هست، سرقت محقّق است و شرایط ثبوت حدّ وجود دارد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قصد سرقت نداشت و آن را برداشت به دهان گذاشت تا تمیز شود و پس از آن تماشا کند، به‌طور اتّفاقی پایین رفت، بعید نیست در این فرض حکم به عدم قطع کنیم؛ زیرا، قاصد اخراج مال مسروقه از حرز نبوده است و به تعبیر دیگر این اخراج از روی اختیار و اراده‌اش سرنزده است؛ چرا که بی‌اختیار پایین رفته است؛ و از طرفی، دزد نمی‌تواند در منزل مردم باقی بماند تا مال مسروقه خارج گردد، لذا صادق نیست بگوییم لؤلؤ را به اختیار و اراده از حرز خارج کرد تا حدّ قطع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بین این دو صورت فرق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سرقت داشته لیکن نه به نحو بلعیدن و به‌طور اتّفاقی بلعید، باید حدّ اجرا گردد؛ زیرا این فرد مانند کسی است که تصمیم می‌گیرد دوچرخه‌ای را بدون این که چرخ‌هایش بر زمین قرار گیرد سرقت کند؛ آن را بغل کرد ولی در وسط راه از دستش رها شد و چرخ‌هایش با زمین تماس گرفته چند متری به جلو حرکت کرد، آیا چون این فرد قصد نداشته دوچرخه بر زمین حرکت کند، پس سرقت صادق نیست؟</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سرقت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مسأله در این صورت نیز سرقت صدق دارد به خلاف جایی که اراده‌ی سرقت نداشت و بی‌اختیار بلعید</w:t>
      </w:r>
      <w:r>
        <w:rPr>
          <w:rFonts w:eastAsia="IRNazanin" w:cs="IRNazanin"/>
          <w:color w:val="111111"/>
          <w:sz w:val="28"/>
          <w:szCs w:val="28"/>
          <w:rtl w:val="true"/>
          <w:lang w:bidi="fa-IR"/>
        </w:rPr>
        <w:t>.</w:t>
      </w:r>
      <w:bookmarkStart w:id="645" w:name="pg16923_220362"/>
    </w:p>
    <w:p>
      <w:pPr>
        <w:pStyle w:val="Heading2"/>
        <w:numPr>
          <w:ilvl w:val="1"/>
          <w:numId w:val="1"/>
        </w:numPr>
        <w:rPr/>
      </w:pPr>
      <w:bookmarkStart w:id="646" w:name="__RefHeading___Toc162571_3244359995"/>
      <w:bookmarkStart w:id="647" w:name="_Toc252"/>
      <w:bookmarkEnd w:id="645"/>
      <w:bookmarkEnd w:id="646"/>
      <w:r>
        <w:rPr>
          <w:rtl w:val="true"/>
        </w:rPr>
        <w:t>بخش پنجم</w:t>
      </w:r>
      <w:r>
        <w:rPr>
          <w:rtl w:val="true"/>
        </w:rPr>
        <w:t xml:space="preserve">: </w:t>
      </w:r>
      <w:r>
        <w:rPr>
          <w:rtl w:val="true"/>
        </w:rPr>
        <w:t>در حدّ محارب</w:t>
      </w:r>
      <w:bookmarkEnd w:id="647"/>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8" w:name="__RefHeading___Toc162573_3244359995"/>
      <w:bookmarkStart w:id="649" w:name="_Toc253"/>
      <w:bookmarkEnd w:id="648"/>
      <w:r>
        <w:rPr>
          <w:rtl w:val="true"/>
        </w:rPr>
        <w:t>اشاره</w:t>
      </w:r>
      <w:bookmarkStart w:id="650" w:name="pg16923_220364"/>
      <w:bookmarkEnd w:id="649"/>
    </w:p>
    <w:p>
      <w:pPr>
        <w:pStyle w:val="BookText"/>
        <w:rPr/>
      </w:pPr>
      <w:bookmarkEnd w:id="6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المحارب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المحارب هو کلّ من جرّد سلاحه أو جهّزه لإخافة الناس وإرادة الإفساد فی الأرض فی برّ کان أو فی بحر فی مصر أو غیره، لیلًا أو نهاراً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یشترط کونه من أهل الریبة مع تحقّق ما ذکر ویستوی فیه الذکر والأنثی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ثبوته للمجرّد سلاحه بالقصد المزبور مع کونه ضعیفاً لایتحقّق من إخافته خوف لأحد إشکال بل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ضعیفاً لکن لا بحدّ لا یتحقّق الخوف من إخافته بل یتحقّق بعض الأحیان والأشخاص فالظاهر کونه داخلًا فیه</w:t>
      </w:r>
      <w:r>
        <w:rPr>
          <w:rFonts w:eastAsia="IRNazanin" w:cs="IRNazanin"/>
          <w:color w:val="111111"/>
          <w:sz w:val="28"/>
          <w:szCs w:val="28"/>
          <w:rtl w:val="true"/>
          <w:lang w:bidi="fa-IR"/>
        </w:rPr>
        <w:t>.]</w:t>
      </w:r>
    </w:p>
    <w:p>
      <w:pPr>
        <w:pStyle w:val="Heading3"/>
        <w:numPr>
          <w:ilvl w:val="2"/>
          <w:numId w:val="1"/>
        </w:numPr>
        <w:rPr/>
      </w:pPr>
      <w:bookmarkStart w:id="651" w:name="__RefHeading___Toc162575_3244359995"/>
      <w:bookmarkStart w:id="652" w:name="_Toc254"/>
      <w:bookmarkEnd w:id="651"/>
      <w:r>
        <w:rPr>
          <w:rtl w:val="true"/>
        </w:rPr>
        <w:t>تعریف محارب</w:t>
      </w:r>
      <w:bookmarkEnd w:id="652"/>
    </w:p>
    <w:p>
      <w:pPr>
        <w:pStyle w:val="Heading4"/>
        <w:numPr>
          <w:ilvl w:val="3"/>
          <w:numId w:val="1"/>
        </w:numPr>
        <w:rPr/>
      </w:pPr>
      <w:bookmarkStart w:id="653" w:name="__RefHeading___Toc162577_3244359995"/>
      <w:bookmarkStart w:id="654" w:name="_Toc255"/>
      <w:bookmarkEnd w:id="653"/>
      <w:r>
        <w:rPr>
          <w:rtl w:val="true"/>
        </w:rPr>
        <w:t>اشاره</w:t>
      </w:r>
      <w:bookmarkEnd w:id="654"/>
    </w:p>
    <w:p>
      <w:pPr>
        <w:pStyle w:val="BookText"/>
        <w:rPr/>
      </w:pPr>
      <w:r>
        <w:rPr>
          <w:rFonts w:ascii="IRNazanin" w:hAnsi="IRNazanin" w:eastAsia="IRNazanin"/>
          <w:color w:val="111111"/>
          <w:sz w:val="28"/>
          <w:sz w:val="28"/>
          <w:szCs w:val="28"/>
          <w:rtl w:val="true"/>
          <w:lang w:bidi="fa-IR"/>
        </w:rPr>
        <w:t>محارب کسی است که برای ترساندن مردم و به قصد ایجاد فساد در زمین، خشکی، دریا، شهر یا غیر آن، در شب یا روز اسلحه بردارد، یا سلاح برهنه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آن‌چه ذکر شد، شرط دیگری مانند اهل ریبه بودن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تحقّق معنای محارب فرقی بین مرد و زن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 عنوان محارب بر فردی که به قصد افساد و اخافه اسلحه می‌کشد ولی به سبب ضعیف و ناتوان بودن کسی از او نترسد و حساب نبرد، مشکل و بلکه ممنوع است؛ امّا اگر ناتوانی‌اش به حدّی نیست که همه‌ی مردم نترسند، بلکه برخی از مردم یا در پاره‌ای از اوقات مردم از اخافه‌اش ترس برمی‌دارند، عنوان محارب بر او صادق است</w:t>
      </w:r>
      <w:r>
        <w:rPr>
          <w:rFonts w:eastAsia="IRNazanin" w:cs="IRNazanin"/>
          <w:color w:val="111111"/>
          <w:sz w:val="28"/>
          <w:szCs w:val="28"/>
          <w:rtl w:val="true"/>
          <w:lang w:bidi="fa-IR"/>
        </w:rPr>
        <w:t>.</w:t>
      </w:r>
    </w:p>
    <w:p>
      <w:pPr>
        <w:pStyle w:val="Heading4"/>
        <w:numPr>
          <w:ilvl w:val="3"/>
          <w:numId w:val="1"/>
        </w:numPr>
        <w:rPr/>
      </w:pPr>
      <w:bookmarkStart w:id="655" w:name="__RefHeading___Toc162579_3244359995"/>
      <w:bookmarkStart w:id="656" w:name="_Toc256"/>
      <w:bookmarkEnd w:id="655"/>
      <w:r>
        <w:rPr>
          <w:rtl w:val="true"/>
        </w:rPr>
        <w:t>مقدّمه</w:t>
      </w:r>
      <w:bookmarkEnd w:id="656"/>
    </w:p>
    <w:p>
      <w:pPr>
        <w:pStyle w:val="BookText"/>
        <w:rPr/>
      </w:pPr>
      <w:r>
        <w:rPr>
          <w:rFonts w:ascii="IRNazanin" w:hAnsi="IRNazanin" w:eastAsia="IRNazanin"/>
          <w:color w:val="111111"/>
          <w:sz w:val="28"/>
          <w:sz w:val="28"/>
          <w:szCs w:val="28"/>
          <w:rtl w:val="true"/>
          <w:lang w:bidi="fa-IR"/>
        </w:rPr>
        <w:t>یکی از عناوینی که همانند زنا و لواط و شرب خمر، موضوع حدّ در کلمات فقها واقع شده، عنوان محارب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از آیه‌ی زیر اقتباس شده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جَزَ ؤُاْ الَّذِینَ یُحَارِبُونَ اللَّهَ وَرَسُولَهُ‌و وَیَسْعَوْنَ فِی الْأَرْضِ فَسَادًا أَن یُقَتَّلُواْ أَوْ یُصَلَّبُواْ أَوْ تُقَطَّعَ أَیْدِیهِمْ وَأَرْجُلُهُم مّنْ خِلفٍ أَوْ یُنفَوْاْ مِنَ الْأَرْضِ ذَ لِکَ لَهُمْ خِزْیٌ فِی الدُّنْیَا وَلَهُمْ فِی الْأَخِرَةِ عَذَابٌ عَظِیمٌ</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کسانی که با خدا و رسول محاربه می‌کنند و در ایجاد فساد در زمین می‌کوشند، این است که یا آنان را بکشند و یا به صلیب بکشند یا دست و پایشان را برخلاف یکدیگر ببرند یا از آن سرزمین تبعید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عقوبت برای‌خواری و ذلّتشان در دنیا است و در آخرت عذاب بزرگی دارند؛ مگر کسانی که قبل از دستگیری توبه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آگاه باشید خداوند آمرزنده‌ی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 پیرامون آیه‌ی شریفه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محارب با خدا و رسول، موضوع حدّ است؛ در حالی که در کلمات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و مقیّد به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نظر به همین آیه دارند، معلوم می‌شود مقصودشان همان مقیّد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حدود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صلب، قطع دست و پا، نفی 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تخییر است یا ترتیب؟ بنا بر تخییر، حاکم شرع در اجرای هریک از چهار حدّ مخیّر است و بنا بر ترتیب باید تناسب جرم را با حدّ در نظر بگیرد؛ یعنی اگر محاربی مرتکب قتل شده باشد، او را می‌کشند یا به دار می‌آویزند، اگر مالی را با تهدید و ارعاب گرفته باشد دست و پا قطع می‌گردد، و اگر شمشیر کشیده و فقط مردم را ترسانیده است، او را تبعید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در مسأله پنجم به‌طور مفصّل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مستفاد از عبارت الَّذِینَ یُحَارِبُونَ اللَّهَ وَرَسُولَهُ‌و وَیَسْعَوْنَ فِی الْأَرْضِ فَسَادًا دو عنوان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این صورت، گاه محارب، مفسد فی الارض هست و گاه نیست؟</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تکرار شده بود،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عنوان هرچند در حدّ با هم مشترک‌اند، لیکن در حقیقت و ماهیّتشان با هم تغایر دارند؛ مانند زنای احصانی و لواط که حدّشان قتل است، با آن که در حقیقت مختلف بوده و به یکدیگر ارتباط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در آیه شریفه موصول تکرار نشده است، دو احتمال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حدّ در حقّ محارب خاص یعنی محارب مفسد فی الأرض مقرّر شده است؛ پس هرجا دو عنوان با هم جمع گردد، این حدود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یَسْعَوْنَ فِی الْأَرْضِ فَسَادًا بیانگر علّت و نکته‌ی ترتّب حکم بر محارب است؛ یعنی کسانی که محارب با خدا و رسول‌اند، به سبب این عمل، مفسد فی الأرض هستند و باید این حدود در حقّشان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بین محارب و مفسد فی الأرض عموم و خصوص مطلق است؛ یعنی هر محاربی مفسد است، لیکن هر مفسدی محارب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حدود، موضوعی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لیکن در تعریف محارب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المحارب هو کلّ من جرّد سلاحه أو جهّزه لإخافة النّاس وإرادة الإفساد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تعریف می‌فهمیم عنوان محارب متقوّم به اراده‌ی إفساد فی الأرض است و جریان این چهار حدّ بر محارب از جهت این است که نامبرده یکی از مصادیق مفسد فی الأرض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آیه‌ی شریفه نیز همین معنا استفاده می‌شود؛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محارب به سبب این که در ایجاد فساد در زمین کوشش می‌کند قتل، صلب، قطع یا نفی بلد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گفته شد، معلوم می‌شود بین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نیست؛ زیرا، ممکن است مفسدی باشد که خصوصیّات محارب بر او منطبق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نسبت تباین نیز نمی‌باشد؛ زیرا، در آیه، موصول تکرار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عموم و خصوص من وجه هم نیست که محارب به مفسد و غیرمفسد تقسیم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این مطلب استنباط می‌شود که محارب بما أنّه محارب، موضوع حدود چهارگانه است، و نکته‌ی ترتّب این حدود بر محارب، مفسد فی الأرض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شاهد نیز بر این مطلب داریم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رحمه الله و صاحب جواهر رحمه الله</w:t>
      </w:r>
      <w:r>
        <w:rPr>
          <w:rStyle w:val="FootnoteAnchor"/>
          <w:rtl w:val="true"/>
        </w:rPr>
        <w:footnoteReference w:id="473"/>
      </w:r>
      <w:r>
        <w:rPr>
          <w:rFonts w:ascii="IRNazanin" w:hAnsi="IRNazanin" w:eastAsia="IRNazanin"/>
          <w:color w:val="111111"/>
          <w:sz w:val="28"/>
          <w:sz w:val="28"/>
          <w:szCs w:val="28"/>
          <w:rtl w:val="true"/>
          <w:lang w:bidi="fa-IR"/>
        </w:rPr>
        <w:t>و بسیاری از فقها اراده‌ی افساد فی الارض را جزء ماهیّت محارب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نمی‌توان بین محارب و مفسد فی الأرض تفکیکی قائل شد تا نسبت عموم من وجه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عموم مفسّران است که موضوع حدود أربعه را مطلق محارب گرفته‌اند، نه محارب به شرط این که مفسد فی الأرض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محاربِ مشروط، موضوع باشد، معنایش این است که دو نوع محارب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 مفسد و محارب غیرمفسد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 مفسد موضوع حدود أربعه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این دو عنوان تفکیکی قائل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آیه‌ی دیگری در سوره‌ی مائده است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أَجْلِ ذَ لِکَ کَتَبْنَا عَلَی بَنِی إِسْرَ ءِیلَ أَنَّهُ‌و مَن قَتَلَ نَفْسَام بِغَیْرِ نَفْسٍ أَوْ فَسَادٍ فِی الْأَرْضِ فَکَأَنَّمَا قَتَلَ النَّاسَ جَمِیعًا وَمَنْ أَحْیَاهَا فَکَأَنَّمَآ أَحْیَا النَّاسَ جَمِیعًا؛</w:t>
      </w:r>
      <w:r>
        <w:rPr>
          <w:rStyle w:val="FootnoteAnchor"/>
          <w:rtl w:val="true"/>
        </w:rPr>
        <w:footnoteReference w:id="4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در حقّ بنی‌اسرائیل نوشتیم هرکسی انسانی را بکشد که در مقابل نفس دیگری نباشد، عنوان قصاص نداشته باشد، یا قتلش به خاطر ایجاد فساد در زمین نباشد، مانند این است که همه‌ی انسان‌ها را به قتل رسانده است؛ و هر کسی که نفسی را زنده کند، مثل این است که همه‌ی مردم را زنده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استفاده می‌شود که اگر در مورد فساد فی الارض قتلی واقع شود، قتل به ناحق نیست؛ بلکه مانند قصاص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لَکُمْ فِی الْقِصَاصِ حَیَوةٌ یأُوْلِی الْأَلْببِ</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یعنی دو مورد استثنا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به عنوان قصاص، و قتل مفسد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غیر این دو مورد نیز حدّ قتل داریم؛ مانند زنای با محارم یا لواط ایقابی، زنای احصانی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موارد داخل در مستثنی است یا در مستثنی منه؟ چرا در آیه‌ی شریفه این موارد نیامده است و به قتل قصاصی و افسادی بسنده شده است؟</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آیه‌ی شریفه حدّ مفسد فی الأرض را در این آیه متعرّض شده، چرا فقها در کتاب حدود آن را مطرح نکرده‌اند؟</w:t>
      </w:r>
      <w:bookmarkStart w:id="657" w:name="pg16923_220368"/>
    </w:p>
    <w:p>
      <w:pPr>
        <w:pStyle w:val="BookText"/>
        <w:rPr/>
      </w:pPr>
      <w:bookmarkEnd w:id="657"/>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مواردی که حدّ قتل ثابت است از مصادیق مفسد فی الأرض است؛ یعنی همان طور که آیه‌ی شریفه محارب را از مصادیق مفسد فی الأرض می‌داند، زنای احصانی، لواط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مصادیق مفسد فی الأرض است؛ زیرا، قدر مسلّم از محارب کسی است که به قصد ترساندن مردم و ایجاد فساد چاقو در آورد و مردم را دنبال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فرد مصداق مفسد فی الأرض هست ولی شخصی که مرتکب لواط، یا زنای با محارم یا زنای احصانی می‌شود مفسد نیست؟ بلکه به طریق اولی از مصادیق مفسد فی الأرض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مفسد فی الأرض به عنوان کلّی یکی از حدود چهارگانه‌ی قتل، صلب، قطع، نفی بلد، یا به نحو تخییر یا به نحو ترتیب اجرا می‌گردد؛ امّا در لواط یا زنا که فساد خاصّ مهمّی است، فقط حدّ قتل اقامه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در مواردی که دو حدّ یا سه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اختلاف موارد یا مبانی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می‌شد، در مرتبه‌ی سوّم یا چهارم حدش قتل بود، این هم از باب فساد فی الأرض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یکبار شراب می‌خورد و به او حدّ می‌زنند، نمی‌توان او را مفسد فی الأرض نامید؛ اگر بار دیگر مرتکب شرب خمر شد و حدّ خورد و باز هم دست برنداشت، مرتبه‌ی دیگر و مرتبه‌ی دیگر تازیانه در او مؤثر واقع نمی‌شود، با تکرار عمل، عنوان مفسد فی الأرض بر او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تمام مواردی که حدّش قتل است، می‌توان ادّعا کرد فساد خاص فی الأرض محقّق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قتل به عنوان حدّ تعیّن دارد؛ و هر دو اشکال برطرف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تمام مواردی که حدّش قتل است، عنوان فساد فی الأرض صادق است؛ لذا لازم نیست یکی یکی استثنا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طرفی فقها در کتاب حدود یا زنا و لواط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محارب، لازم ندیده‌اند آن را به صورت مستقلّ مطرح کنند؛ زیرا، اگر مفسد فی الأرض از باب زنا یا لواط و مانند آن باشد، حدّش به‌طور مفصّل بحث شد و اگر غیر از این موارد باشد، عنوان محارب بر او صادق و حدّ آن درباره‌اش اجرا می‌گردد</w:t>
      </w:r>
      <w:r>
        <w:rPr>
          <w:rFonts w:eastAsia="IRNazanin" w:cs="IRNazanin"/>
          <w:color w:val="111111"/>
          <w:sz w:val="28"/>
          <w:szCs w:val="28"/>
          <w:rtl w:val="true"/>
          <w:lang w:bidi="fa-IR"/>
        </w:rPr>
        <w:t>.</w:t>
      </w:r>
    </w:p>
    <w:p>
      <w:pPr>
        <w:pStyle w:val="Heading4"/>
        <w:numPr>
          <w:ilvl w:val="3"/>
          <w:numId w:val="1"/>
        </w:numPr>
        <w:rPr/>
      </w:pPr>
      <w:bookmarkStart w:id="658" w:name="__RefHeading___Toc162581_3244359995"/>
      <w:bookmarkStart w:id="659" w:name="_Toc257"/>
      <w:bookmarkEnd w:id="658"/>
      <w:r>
        <w:rPr>
          <w:rtl w:val="true"/>
        </w:rPr>
        <w:t>محارب کیست؟</w:t>
      </w:r>
      <w:bookmarkEnd w:id="659"/>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محارب کسی است که سلاح خود را برای ترساندن مردم و به قصد ایجاد فساد در زمین برهنه کند و مردم از او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فقط داشتن قصد کافی نیست، بلکه باید با چاقوی</w:t>
      </w:r>
      <w:bookmarkStart w:id="660" w:name="pg16923_220369"/>
    </w:p>
    <w:p>
      <w:pPr>
        <w:pStyle w:val="BookText"/>
        <w:rPr/>
      </w:pPr>
      <w:bookmarkEnd w:id="660"/>
      <w:r>
        <w:rPr>
          <w:rFonts w:ascii="IRNazanin" w:hAnsi="IRNazanin" w:eastAsia="IRNazanin"/>
          <w:color w:val="111111"/>
          <w:sz w:val="28"/>
          <w:sz w:val="28"/>
          <w:szCs w:val="28"/>
          <w:rtl w:val="true"/>
          <w:lang w:bidi="fa-IR"/>
        </w:rPr>
        <w:t>برهنه به قصد ترساندن مردم یا گرفتن اموالشان خارج شود و آنان نیز از او بترسند</w:t>
      </w:r>
      <w:r>
        <w:rPr>
          <w:rFonts w:eastAsia="IRNazanin" w:cs="IRNazanin"/>
          <w:color w:val="111111"/>
          <w:sz w:val="28"/>
          <w:szCs w:val="28"/>
          <w:rtl w:val="true"/>
          <w:lang w:bidi="fa-IR"/>
        </w:rPr>
        <w:t>.</w:t>
      </w:r>
    </w:p>
    <w:p>
      <w:pPr>
        <w:pStyle w:val="Heading4"/>
        <w:numPr>
          <w:ilvl w:val="3"/>
          <w:numId w:val="1"/>
        </w:numPr>
        <w:rPr/>
      </w:pPr>
      <w:bookmarkStart w:id="661" w:name="__RefHeading___Toc162583_3244359995"/>
      <w:bookmarkStart w:id="662" w:name="_Toc258"/>
      <w:bookmarkEnd w:id="661"/>
      <w:r>
        <w:rPr>
          <w:rtl w:val="true"/>
        </w:rPr>
        <w:t>مراد از سلاح در تعریف محارب</w:t>
      </w:r>
      <w:bookmarkEnd w:id="662"/>
    </w:p>
    <w:p>
      <w:pPr>
        <w:pStyle w:val="BookText"/>
        <w:rPr/>
      </w:pPr>
      <w:r>
        <w:rPr>
          <w:rFonts w:ascii="IRNazanin" w:hAnsi="IRNazanin" w:eastAsia="IRNazanin"/>
          <w:color w:val="111111"/>
          <w:sz w:val="28"/>
          <w:sz w:val="28"/>
          <w:szCs w:val="28"/>
          <w:rtl w:val="true"/>
          <w:lang w:bidi="fa-IR"/>
        </w:rPr>
        <w:t>آیا مسلّح بودن در عنوان محارب دخالت دارد؟ به‌گونه‌ای که اگر سلاح نداشت، محارب نیست؛ مانند ورزشکاری قوی که با مشت و لگد به جان مردم می‌افتد؟</w:t>
      </w:r>
    </w:p>
    <w:p>
      <w:pPr>
        <w:pStyle w:val="BookText"/>
        <w:rPr/>
      </w:pPr>
      <w:r>
        <w:rPr>
          <w:rFonts w:ascii="IRNazanin" w:hAnsi="IRNazanin" w:eastAsia="IRNazanin"/>
          <w:color w:val="111111"/>
          <w:sz w:val="28"/>
          <w:sz w:val="28"/>
          <w:szCs w:val="28"/>
          <w:rtl w:val="true"/>
          <w:lang w:bidi="fa-IR"/>
        </w:rPr>
        <w:t xml:space="preserve">مقصود از سلاح چیست؟ بدون تردید سلاح اعمّ از سلاح‌های خطرناک امروزی، مثل تفنگ، کلت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شامل شمشیر و حتّی چاقوی برهنه نیز می‌شود؛ امّا اگر کسی وسیله‌ی آهنی نداشت امّا با چوب یا سنگ و آجر و مانند آن به مردم حمله‌ور شد، باز هم محارب است؟</w:t>
      </w:r>
    </w:p>
    <w:p>
      <w:pPr>
        <w:pStyle w:val="BookText"/>
        <w:rPr/>
      </w:pPr>
      <w:r>
        <w:rPr>
          <w:rFonts w:ascii="IRNazanin" w:hAnsi="IRNazanin" w:eastAsia="IRNazanin"/>
          <w:color w:val="111111"/>
          <w:sz w:val="28"/>
          <w:sz w:val="28"/>
          <w:szCs w:val="28"/>
          <w:rtl w:val="true"/>
          <w:lang w:bidi="fa-IR"/>
        </w:rPr>
        <w:t xml:space="preserve">در کلمات فقها و روایات،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لیکن باید دید آیا از سلاح معنای عرفی آن اراده شده است یا معنای عامّ؟ اگر معنای عامّ مقصود باشد، یعنی هر چیزی که وسیله‌ای برای ترسانیدن مردم و فساد در زمین باشد، خواه سنگ باشد یا چوب یا نیروی بازو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معنای خاصّش مراد است، یعنی چیزی که در عرف به آن اسلحه می‌گویند مانند چاقو و شمشیر امّا بر سنگ و چوب به نحو مجاز سلاح استعمال می‌شود؛ مانند اطلاق سلاح در دعای کمیل بر گریه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وسلاحه البکاء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باید با مراجعه‌ی به روایات مشکل را حلّ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محمّد بن علیّ بن محبوب، عن أحمد بن محمّد، عن البرقی، عن النّوفلی، عن السّکونی، عن جعفر، عن أبیه، عن علیّ علیه السلام فی رجل أقبل بنار فأشعلها فی دار قوم فاحترقت واحترق متاعهم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یغرم قیمة الدار وما فیها ثمّ یقتل</w:t>
      </w:r>
      <w:r>
        <w:rPr>
          <w:rFonts w:eastAsia="IRNazanin" w:cs="IRNazanin"/>
          <w:color w:val="111111"/>
          <w:sz w:val="28"/>
          <w:szCs w:val="28"/>
          <w:rtl w:val="true"/>
          <w:lang w:bidi="fa-IR"/>
        </w:rPr>
        <w:t>.</w:t>
      </w:r>
      <w:r>
        <w:rPr>
          <w:rStyle w:val="FootnoteAnchor"/>
          <w:rtl w:val="true"/>
        </w:rPr>
        <w:footnoteReference w:id="476"/>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این روایت نوفلی است که در وثاقتش اختلاف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خانه‌ی قومی آتش انداخت، آن خانه با اثاثیه‌اش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غرامت خانه و اثاثیه‌اش را بپردازد، آن‌گاه او را به قتل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وجه دیگری غیر از عنوان محارب می‌توان قتل این مرد را توجیه کرد؟ احتمال دارد از جهت مفسد فی الأرض بودن حکم به قتل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قسمت روایت محارب بودنش استفاده می‌شود؟</w:t>
      </w:r>
    </w:p>
    <w:p>
      <w:pPr>
        <w:pStyle w:val="BookText"/>
        <w:rPr/>
      </w:pPr>
      <w:r>
        <w:rPr>
          <w:rFonts w:ascii="IRNazanin" w:hAnsi="IRNazanin" w:eastAsia="IRNazanin"/>
          <w:color w:val="111111"/>
          <w:sz w:val="28"/>
          <w:sz w:val="28"/>
          <w:szCs w:val="28"/>
          <w:rtl w:val="true"/>
          <w:lang w:bidi="fa-IR"/>
        </w:rPr>
        <w:t>پاسخ قطعی برای این سؤال نداریم؛ لیکن از جهت تناسب حکم و موضوع و نقل صاحب وسائل رحمه الله روایت را در باب محارب و استناد فقها به آن در همین باب، می‌توان گفت اجرای حدّ قتل از جهت صدق عنوان محارب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محمّد بن علیّ بن محبوب، عن سلمة بن الخطّاب، عن علی بن سیف بن عمیرة، عن عمرو بن شمر،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أشار بحدیدة فی مصر قطعت یده ومن ضرب بها قتل</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 به جهت عمرو بن شمر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در شهری به آهنی اشاره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یا چاقویش را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ضرب و جرحی با آن انجام بدهد، باید دستش بریده گردد؛ و اگر با آن ضرب و جرحی وارد کرد، باید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حکم قطع و قتل که به نحو تخییر است یا ترتیب؟ در مسأله پنجم بحث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سخن در این است که از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أشار بحدیدة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و اختصاص فهمیده نمی‌شود؛ زیرا، امکان دارد روایت در مقام بیان یک مصداق روشن و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با چوب و سنگ هم ایجاد رعب و ترس کند، همین حکم را داشته باشد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روایت انحصار فهمیده می‌شد، با روایت سکونی تنافی داشت؛ امّا با ضعف سند از یک طرف و عدم دلالت بر انحصار از طرف دیگر، نمی‌توان آن را منافی با روایت سکونی دانست</w:t>
      </w:r>
      <w:r>
        <w:rPr>
          <w:rFonts w:eastAsia="IRNazanin" w:cs="IRNazanin"/>
          <w:color w:val="111111"/>
          <w:sz w:val="28"/>
          <w:szCs w:val="28"/>
          <w:rtl w:val="true"/>
          <w:lang w:bidi="fa-IR"/>
        </w:rPr>
        <w:t>.</w:t>
      </w:r>
      <w:bookmarkStart w:id="663" w:name="pg16923_220371"/>
    </w:p>
    <w:p>
      <w:pPr>
        <w:pStyle w:val="BookText"/>
        <w:rPr/>
      </w:pPr>
      <w:bookmarkEnd w:id="663"/>
      <w:r>
        <w:rPr>
          <w:rFonts w:ascii="IRNazanin" w:hAnsi="IRNazanin" w:eastAsia="IRNazanin"/>
          <w:color w:val="111111"/>
          <w:sz w:val="28"/>
          <w:sz w:val="28"/>
          <w:szCs w:val="28"/>
          <w:rtl w:val="true"/>
          <w:lang w:bidi="fa-IR"/>
        </w:rPr>
        <w:t>مشکل ما در این مسأله، کلمه‌ی سلاح است که فقها در تعریف محارب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 این تعریف جمود داشته باشد، به کسی که با سنگ و چوب رعب ایجاد می‌کند، نمی‌تواند محارب بگوید؛ زیرا به سنگ و چوب سلاح نمی‌گویند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فقها تعریف محارب را به سلاح مقیّد کرده‌اند، لیکن قوام و حقیقت محاربه به این است که قصدش ترساندن مردم و ایجاد فساد باشد و کاری از او سرزند که این نتیجه را به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تحقّق این معنا، فرقی بین چاقو و سنگ و چوب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اخافه و افساد با آهن و چاقو باشد، محارب است وگرنه محارب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ترتّب حدود بر محاربه از جهت این است که مصداقی از مصادیق افساد در زمین است، پس معلوم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در تعریف محارب، در کلمات فقها یک معنای وسیعی دارد؛ یعنی کسی که با وسیله‌ای به ترساندن مردم و افساد در زمین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وسیله هر چیز و از هر جنس باشد</w:t>
      </w:r>
      <w:r>
        <w:rPr>
          <w:rFonts w:eastAsia="IRNazanin" w:cs="IRNazanin"/>
          <w:color w:val="111111"/>
          <w:sz w:val="28"/>
          <w:szCs w:val="28"/>
          <w:rtl w:val="true"/>
          <w:lang w:bidi="fa-IR"/>
        </w:rPr>
        <w:t>.</w:t>
      </w:r>
    </w:p>
    <w:p>
      <w:pPr>
        <w:pStyle w:val="Heading4"/>
        <w:numPr>
          <w:ilvl w:val="3"/>
          <w:numId w:val="1"/>
        </w:numPr>
        <w:rPr/>
      </w:pPr>
      <w:bookmarkStart w:id="664" w:name="__RefHeading___Toc162585_3244359995"/>
      <w:bookmarkStart w:id="665" w:name="_Toc259"/>
      <w:bookmarkEnd w:id="664"/>
      <w:r>
        <w:rPr>
          <w:rtl w:val="true"/>
        </w:rPr>
        <w:t>مقصود از ترساندن مردم</w:t>
      </w:r>
      <w:bookmarkEnd w:id="665"/>
    </w:p>
    <w:p>
      <w:pPr>
        <w:pStyle w:val="BookText"/>
        <w:rPr/>
      </w:pPr>
      <w:r>
        <w:rPr>
          <w:rFonts w:ascii="IRNazanin" w:hAnsi="IRNazanin" w:eastAsia="IRNazanin"/>
          <w:color w:val="111111"/>
          <w:sz w:val="28"/>
          <w:sz w:val="28"/>
          <w:szCs w:val="28"/>
          <w:rtl w:val="true"/>
          <w:lang w:bidi="fa-IR"/>
        </w:rPr>
        <w:t>امام راحل رحمه الله در تحریرالوسیله در تعریف محارب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محارب کسی است که برای ترساندن مردم سلاح برهنه کند یا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مقصود از مردم، جمعیّت و گروه است به‌گونه‌ای که اگر قصدش ترساندن یک نفر باشد محارب صدق نکند یا بر اخافه‌ی یک نفر هم عنوان محارب صادق است؟</w:t>
      </w:r>
    </w:p>
    <w:p>
      <w:pPr>
        <w:pStyle w:val="BookText"/>
        <w:rPr/>
      </w:pPr>
      <w:r>
        <w:rPr>
          <w:rFonts w:ascii="IRNazanin" w:hAnsi="IRNazanin" w:eastAsia="IRNazanin"/>
          <w:color w:val="111111"/>
          <w:sz w:val="28"/>
          <w:sz w:val="28"/>
          <w:szCs w:val="28"/>
          <w:rtl w:val="true"/>
          <w:lang w:bidi="fa-IR"/>
        </w:rPr>
        <w:t xml:space="preserve">در تعبیر اکثر فقها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در بعضی از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مضاف‌الیه آورده‌اند؛ که در این صورت، با ترساندن یک نفر نیز محاربه محقّق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بنا بر تقیید إخافه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ترساندن یک نفر در صدق عنوان کافی است؛ زیرا اگر فردی انسانی را بی‌جهت آزار دهد، در تعبیر فارسی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مردم آزار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آزاری مقیّد به آزار دادن گروه و جمعیّت نیست؛ به آزار یک نفر نیز صدق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إخافةالناس نیز به ترساندن یک نفر صادق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خصوص مسلمانان است تا ترساندن اهل ذمّه‌ای که به شرایط</w:t>
      </w:r>
      <w:bookmarkStart w:id="666" w:name="pg16923_220372"/>
    </w:p>
    <w:p>
      <w:pPr>
        <w:pStyle w:val="BookText"/>
        <w:rPr/>
      </w:pPr>
      <w:bookmarkEnd w:id="666"/>
      <w:r>
        <w:rPr>
          <w:rFonts w:ascii="IRNazanin" w:hAnsi="IRNazanin" w:eastAsia="IRNazanin"/>
          <w:color w:val="111111"/>
          <w:sz w:val="28"/>
          <w:sz w:val="28"/>
          <w:szCs w:val="28"/>
          <w:rtl w:val="true"/>
          <w:lang w:bidi="fa-IR"/>
        </w:rPr>
        <w:t>ذمّه عمل می‌کنند، محاربه به شمار نیاید یا از تناسب حکم و موضوع می‌فهمیم مقصود کسانی هستند که ترساندن ایشان حرام باشد؟ وگرنه اگر کسی شمشیر برهنه کند و لشکر دشمن را بترساند، نه‌تنها این عمل جایز است، بلکه واجب هم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شخص ذمّی که در پناه اسلام است، ترساندنش همانند ترساندن مسلمان حرام است و حدّی که در مورد محارب جعل شده، اختصاص به ترساندن مسلمان و مملکت اسلام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کسی در دارالکفر مسلمانان را بترساند، حکم محارب بر او مترتّب می‌شود</w:t>
      </w:r>
      <w:r>
        <w:rPr>
          <w:rFonts w:eastAsia="IRNazanin" w:cs="IRNazanin"/>
          <w:color w:val="111111"/>
          <w:sz w:val="28"/>
          <w:szCs w:val="28"/>
          <w:rtl w:val="true"/>
          <w:lang w:bidi="fa-IR"/>
        </w:rPr>
        <w:t>.</w:t>
      </w:r>
    </w:p>
    <w:p>
      <w:pPr>
        <w:pStyle w:val="Heading4"/>
        <w:numPr>
          <w:ilvl w:val="3"/>
          <w:numId w:val="1"/>
        </w:numPr>
        <w:rPr/>
      </w:pPr>
      <w:bookmarkStart w:id="667" w:name="__RefHeading___Toc162587_3244359995"/>
      <w:bookmarkStart w:id="668" w:name="_Toc260"/>
      <w:bookmarkEnd w:id="667"/>
      <w:r>
        <w:rPr>
          <w:rtl w:val="true"/>
        </w:rPr>
        <w:t>کیفیّت اخافه‌ی مأخوذ در تعریف</w:t>
      </w:r>
      <w:bookmarkEnd w:id="668"/>
    </w:p>
    <w:p>
      <w:pPr>
        <w:pStyle w:val="BookText"/>
        <w:rPr/>
      </w:pPr>
      <w:r>
        <w:rPr>
          <w:rFonts w:ascii="IRNazanin" w:hAnsi="IRNazanin" w:eastAsia="IRNazanin"/>
          <w:color w:val="111111"/>
          <w:sz w:val="28"/>
          <w:sz w:val="28"/>
          <w:szCs w:val="28"/>
          <w:rtl w:val="true"/>
          <w:lang w:bidi="fa-IR"/>
        </w:rPr>
        <w:t>ترساندن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اخافه‌ای که قصد و غرض فاعلش ترساندن مردم و ایجاد فساد در روی زمین باشد؛ یعنی قصد دارد با این کارها گردن کلفتی کرده، بر مردم ناحیه‌ای سیطره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ترساندن سبب تحقّق عنوان محارب و ترتّب حدّ آن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به عرض و آبرویش توسط فرد یا گروهی تجاوز شده و یا متعرّض ناموسش شده‌اند یا اموالش را غصب کرده‌اند، برای انتقام، یا ترساندن طرف چاقو می‌کشد؛ با چنین ترساندنی مصداق برای مفسد فی الأرض نمی‌شود و عنوان محارب بر او صادق نیست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این مسأله را درست تنقیح نکرده‌اند و خودشان اظهار تمایل به دخول تمام موارد بالا در حکم محارب دارند؛</w:t>
      </w:r>
      <w:r>
        <w:rPr>
          <w:rStyle w:val="FootnoteAnchor"/>
          <w:rtl w:val="true"/>
        </w:rPr>
        <w:footnoteReference w:id="478"/>
      </w:r>
      <w:r>
        <w:rPr>
          <w:rFonts w:ascii="IRNazanin" w:hAnsi="IRNazanin" w:eastAsia="IRNazanin"/>
          <w:color w:val="111111"/>
          <w:sz w:val="28"/>
          <w:sz w:val="28"/>
          <w:szCs w:val="28"/>
          <w:rtl w:val="true"/>
          <w:lang w:bidi="fa-IR"/>
        </w:rPr>
        <w:t>لیکن واقع مسأله این است که اخافه‌ی افسادی، ترساندن خاصّی است که در همه‌جا صادق نیست؛ مثلًا اگر مرتعی بر طبق شرع و قانون به یک روستایی تعلّق داشت و اهالی روستای دیگری آن را غصب کردند، صاحبان مرتع با چوب و شمشیر به راه افتادند تا آنان را بترسانند و مال خود را باز پس گیرند، بدون اشکال، این ترساندن افسادی نیست و عنوان محارب بر آن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راحل رحمه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لإخافة الناس وإرادة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فاعل هر اخافه‌ای</w:t>
      </w:r>
      <w:bookmarkStart w:id="669" w:name="pg16923_220373"/>
    </w:p>
    <w:p>
      <w:pPr>
        <w:pStyle w:val="BookText"/>
        <w:rPr/>
      </w:pPr>
      <w:bookmarkEnd w:id="669"/>
      <w:r>
        <w:rPr>
          <w:rFonts w:ascii="IRNazanin" w:hAnsi="IRNazanin" w:eastAsia="IRNazanin"/>
          <w:color w:val="111111"/>
          <w:sz w:val="28"/>
          <w:sz w:val="28"/>
          <w:szCs w:val="28"/>
          <w:rtl w:val="true"/>
          <w:lang w:bidi="fa-IR"/>
        </w:rPr>
        <w:t>که به قصد تولید فساد باشد، محارب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راحل در پایان این مسأله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همراه با قصد اخافه‌ی فرد، در بین مردم نیز باید ترسی پیدا شود تا عنوان محارب صدق کند؟، لذا اگر فرد ضعیفی به قصد ترساندن مردم شمشیر کشید ولی هیچ کس خوف و وحشت نکرد آن را به شوخی و مزاح گرفتند، محارب نیست و حدّ آن را نیز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مطلب این است که باید از ترساندنش، ترس نیز حاصل شود؛ وگرنه بر او صادق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اخافه در خوف و ترسیدن مردم تا چه مقدار لازم است؟ آیا باید تمام مردم بازار یا محلّه بترسند یا یک نفر، دو نفر که ترس بردارند، کافی است؟ یا اگر مردان نترسیدند امّا زنان به علّت ضعفی که در وجودشان هست تحت‌تأثیر واقع شدند، باز عنوان محارب صادق است؟</w:t>
      </w:r>
    </w:p>
    <w:p>
      <w:pPr>
        <w:pStyle w:val="BookText"/>
        <w:rPr/>
      </w:pPr>
      <w:r>
        <w:rPr>
          <w:rFonts w:ascii="IRNazanin" w:hAnsi="IRNazanin" w:eastAsia="IRNazanin"/>
          <w:color w:val="111111"/>
          <w:sz w:val="28"/>
          <w:sz w:val="28"/>
          <w:szCs w:val="28"/>
          <w:rtl w:val="true"/>
          <w:lang w:bidi="fa-IR"/>
        </w:rPr>
        <w:t>ظاهر این است که اخافه‌ی همه‌ی مردم لازم نیست؛ بلکه اگر شرایط دیگر را دارا باشد و به قصد اخافه و ایجاد رعب اسلحه کشید و یک یا چند نفر ترسیدند، محارب صادق است و باید حدّ اجرا گردد</w:t>
      </w:r>
      <w:r>
        <w:rPr>
          <w:rFonts w:eastAsia="IRNazanin" w:cs="IRNazanin"/>
          <w:color w:val="111111"/>
          <w:sz w:val="28"/>
          <w:szCs w:val="28"/>
          <w:rtl w:val="true"/>
          <w:lang w:bidi="fa-IR"/>
        </w:rPr>
        <w:t>.</w:t>
      </w:r>
    </w:p>
    <w:p>
      <w:pPr>
        <w:pStyle w:val="Heading4"/>
        <w:numPr>
          <w:ilvl w:val="3"/>
          <w:numId w:val="1"/>
        </w:numPr>
        <w:rPr/>
      </w:pPr>
      <w:bookmarkStart w:id="670" w:name="__RefHeading___Toc162589_3244359995"/>
      <w:bookmarkStart w:id="671" w:name="_Toc261"/>
      <w:bookmarkEnd w:id="670"/>
      <w:r>
        <w:rPr>
          <w:rtl w:val="true"/>
        </w:rPr>
        <w:t>تعمیم محاربه به دریا و خشکی، شهر و بیابان، شب و روز</w:t>
      </w:r>
      <w:bookmarkEnd w:id="671"/>
    </w:p>
    <w:p>
      <w:pPr>
        <w:pStyle w:val="BookText"/>
        <w:rPr/>
      </w:pPr>
      <w:r>
        <w:rPr>
          <w:rFonts w:ascii="IRNazanin" w:hAnsi="IRNazanin" w:eastAsia="IRNazanin"/>
          <w:color w:val="111111"/>
          <w:sz w:val="28"/>
          <w:sz w:val="28"/>
          <w:szCs w:val="28"/>
          <w:rtl w:val="true"/>
          <w:lang w:bidi="fa-IR"/>
        </w:rPr>
        <w:t>در شأن نزول آیه‌ای که در حدّ محارب نازل شده، بین مفسّران اختلاف است؛ گروهی از آنان معتقدند آیه مربوط به قطّاع‌الطریق است، یعنی کسانی که در جادّه‌ها راه مسافران را گرفته و با سلاح آنان را تهدید و تمام یا مقداری از اموالشان را می‌گیرند</w:t>
      </w:r>
      <w:r>
        <w:rPr>
          <w:rFonts w:eastAsia="IRNazanin" w:cs="IRNazanin"/>
          <w:color w:val="111111"/>
          <w:sz w:val="28"/>
          <w:szCs w:val="28"/>
          <w:rtl w:val="true"/>
          <w:lang w:bidi="fa-IR"/>
        </w:rPr>
        <w:t>.</w:t>
      </w:r>
      <w:r>
        <w:rPr>
          <w:rStyle w:val="FootnoteAnchor"/>
          <w:rtl w:val="true"/>
        </w:rPr>
        <w:footnoteReference w:id="479"/>
      </w:r>
      <w:r>
        <w:rPr>
          <w:rFonts w:ascii="IRNazanin" w:hAnsi="IRNazanin" w:eastAsia="IRNazanin"/>
          <w:color w:val="111111"/>
          <w:sz w:val="28"/>
          <w:sz w:val="28"/>
          <w:szCs w:val="28"/>
          <w:rtl w:val="true"/>
          <w:lang w:bidi="fa-IR"/>
        </w:rPr>
        <w:t>برخی از فقها نیز خیال کرده‌اند آیه، اختصاص به همین مورد دارد؛ لذا اگر چنین اخافه‌ای در شهر رخ داد، عنوان قطّاع‌الطریق و محارب صادق نیست؛ پس، حدّ محارب نیز جاری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نقد این گروه می‌گوییم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 که آیه مربوطه به قطاع‌الطریق باشد، شأن نزول سبب اختصاص</w:t>
      </w:r>
    </w:p>
    <w:p>
      <w:pPr>
        <w:pStyle w:val="BookText"/>
        <w:rPr/>
      </w:pPr>
      <w:r>
        <w:rPr>
          <w:rFonts w:ascii="IRNazanin" w:hAnsi="IRNazanin" w:eastAsia="IRNazanin"/>
          <w:color w:val="111111"/>
          <w:sz w:val="28"/>
          <w:sz w:val="28"/>
          <w:szCs w:val="28"/>
          <w:rtl w:val="true"/>
          <w:lang w:bidi="fa-IR"/>
        </w:rPr>
        <w:t>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زیادی داریم که شأن نزول خاصی دارد و در عین حال، معنای آیه عامّ و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داریم که در آن‌ها به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شده است و عاملش را نیز محارب 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عن محمّد بن یحیی، عن أحمد بن محمّد، عن ابن محبوب، عن أبی أیّوب، عن محمّد بن مسلم،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شهر السّلاح فی مصر من الأمصار فعقر اقتصّ منه ونفی من تلک البلد، ومن شهر السّلاح فی مصر من الأمصار وضرب و عقر وأخذ المال ولم یقتل فهو محارب فجزاؤه جزاء المحارب </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صحیحه،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شهری از بلاد سلاح بکشد و مردم را دنبال کرده پایشان را قطع کند، پس از قصاص جنایت از آن شهر تبعید می‌شود؛ و اگر کسی سلاح کشید، مردم را پی کرد و زد و مالشان را گرفت ولی کسی را نکشت، محارب است و حدّ محارب عقوبت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صحیحه، امام علیه السلام عنوان محارب را بر کسی که در شهر مرتکب این امور گردد تطبیق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حدّ در این روایت ترتیب قائل شده که باید مقتضای جمع بین این روایت و روایات دیگر را ملاحظه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علیّ بن إبراهیم، عن أبیه، وعن أبی علیّ الأشعری، عن محمّد بن عبدالجبّار جمیعاً، عن صفوان بن یحیی، عن طلحة النّهدی، عن سورة بن کلیب،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یخرج من منزله یرید المسجد أو یرید الحاجة فیلقاه رجل ویستعقبه فیضربه ویأخذ ثوبه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یقول فیه من قبلکم؟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 هذه دغارة معلنة، وإنّما المحارب فی قری مشرکة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أعظم؟ حرمة دار الإسلام أو دار</w:t>
      </w:r>
      <w:bookmarkStart w:id="672" w:name="pg16923_220375"/>
    </w:p>
    <w:p>
      <w:pPr>
        <w:pStyle w:val="BookText"/>
        <w:rPr/>
      </w:pPr>
      <w:bookmarkEnd w:id="672"/>
      <w:r>
        <w:rPr>
          <w:rFonts w:ascii="IRNazanin" w:hAnsi="IRNazanin" w:eastAsia="IRNazanin"/>
          <w:color w:val="111111"/>
          <w:sz w:val="28"/>
          <w:sz w:val="28"/>
          <w:szCs w:val="28"/>
          <w:rtl w:val="true"/>
          <w:lang w:bidi="fa-IR"/>
        </w:rPr>
        <w:t>الشرک؟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من أهل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جَزَ ؤُاْ الَّذِینَ یُحَارِبُونَ اللَّهَ وَرَسُولَهُ‌و وَ </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 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به امام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برای رفتن به مسجد یا انجام کاری از خانه‌اش خارج می‌شود، در راه به مردی برخورد می‌کند، آن مرد او را تعقیب کرده، می‌زند و لباسش را می‌گیرد، حکم ضارب چیست؟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اهل سنّت که نزد شما هستند، در این مورد چه می‌گویند؟</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غارتگری علنی می‌دانند، و محاربه را مخصوص بلاد کفر و شرک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مملکت اسلام بیشتر است یا کفر؟</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از مصادیق آیه‌ی محاربه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روایت بر مطلوب ما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عنوان محارب را بر کسی که اخافه‌اش در شهر واقع شده، منطبق کرده‌اند؛ لیکن در روایت ذکری از سلاح و چوب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روایت را دلیل قرار دهیم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به نیروی بازویش تکیه کرد و در مقام ترساندن مردم برآمد، همین مقدار در تحقّق عنوان محارب کافی است</w:t>
      </w:r>
      <w:r>
        <w:rPr>
          <w:rFonts w:eastAsia="IRNazanin" w:cs="IRNazanin"/>
          <w:color w:val="111111"/>
          <w:sz w:val="28"/>
          <w:szCs w:val="28"/>
          <w:rtl w:val="true"/>
          <w:lang w:bidi="fa-IR"/>
        </w:rPr>
        <w:t>.</w:t>
      </w:r>
    </w:p>
    <w:p>
      <w:pPr>
        <w:pStyle w:val="Heading4"/>
        <w:numPr>
          <w:ilvl w:val="3"/>
          <w:numId w:val="1"/>
        </w:numPr>
        <w:rPr/>
      </w:pPr>
      <w:bookmarkStart w:id="673" w:name="__RefHeading___Toc162591_3244359995"/>
      <w:bookmarkStart w:id="674" w:name="_Toc262"/>
      <w:bookmarkEnd w:id="673"/>
      <w:r>
        <w:rPr>
          <w:rtl w:val="true"/>
        </w:rPr>
        <w:t>عدم اشتراط بودن از اهل ریبه</w:t>
      </w:r>
      <w:bookmarkEnd w:id="674"/>
    </w:p>
    <w:p>
      <w:pPr>
        <w:pStyle w:val="BookText"/>
        <w:rPr/>
      </w:pPr>
      <w:r>
        <w:rPr>
          <w:rFonts w:ascii="IRNazanin" w:hAnsi="IRNazanin" w:eastAsia="IRNazanin"/>
          <w:color w:val="111111"/>
          <w:sz w:val="28"/>
          <w:sz w:val="28"/>
          <w:szCs w:val="28"/>
          <w:rtl w:val="true"/>
          <w:lang w:bidi="fa-IR"/>
        </w:rPr>
        <w:t>امام راحل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آن‌چه تا این‌جا گفتیم، شرط دیگری در عنوان محارب دخالت ندارد، لازم نیست محارب اهل ریبه باشد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اهل ریبه، کافر و مشرک بودن نیست؛ بلکه مراد انسان لاابالی است که هر آینه احتمال می‌دهیم از سلاح استفاده کند و کسی را به قتل برساند و چیزی را باقی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 آیه مقیّد به اهل ریبه نیست؛ فقط یک روایت مشتمل بر این قید است</w:t>
      </w:r>
      <w:r>
        <w:rPr>
          <w:rFonts w:eastAsia="IRNazanin" w:cs="IRNazanin"/>
          <w:color w:val="111111"/>
          <w:sz w:val="28"/>
          <w:szCs w:val="28"/>
          <w:rtl w:val="true"/>
          <w:lang w:bidi="fa-IR"/>
        </w:rPr>
        <w:t>:</w:t>
      </w:r>
      <w:bookmarkStart w:id="675" w:name="pg16923_220376"/>
    </w:p>
    <w:p>
      <w:pPr>
        <w:pStyle w:val="BookText"/>
        <w:rPr/>
      </w:pPr>
      <w:bookmarkEnd w:id="675"/>
      <w:r>
        <w:rPr>
          <w:rFonts w:ascii="IRNazanin" w:hAnsi="IRNazanin" w:eastAsia="IRNazanin"/>
          <w:color w:val="111111"/>
          <w:sz w:val="28"/>
          <w:sz w:val="28"/>
          <w:szCs w:val="28"/>
          <w:rtl w:val="true"/>
          <w:lang w:bidi="fa-IR"/>
        </w:rPr>
        <w:t>محمّد بن الحسن بإسناده عن محمّد بن یحیی، عن العبّاس بن معروف، عن الحسن بن محبوب، عن علیّ بن رئاب، عن ضریس،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حمل السّلاح باللّیل فهو محارب إلّا أن یکون رجلًا لیس من أهل الرَّیبة</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شب با خودش سلاح بردارد، محارب است مگر آن که اهل ریبه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 استفاده می‌شود در تحقّق عنوان محارب، اهل ریبه بودن شرط است؛ زیرا، امام باقر علیه السلام کسی را که اهل ریبه نباشد از محاربین استثنا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محارب دو نوع بحث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ثبوتی و اثباتی؛ یعنی یکبار بحث ما در حقیقت و معنای محارب است، چه خصوصیات و شرایطی در آن دخالت دارد، و یکبار سخن در کیفیّت اثبات محارب است که با چه چیزی ثابت می‌شود فلان شخص محارب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بیانگر مقام اثبات است نه ثبوت؛ زیرا، اگر درصدد بیان معنای محارب بود، باید قید اخافه و اراده‌ی افساد فی الأرض و غیر آن را نیز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دخلی در تحقّق محاربه ندارد، لذا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دیدید شب سلاح برداشته و از اهل ریبه است، او محارب است؛ یعنی محاربه به حمل سلاح در شب به شرط اهل ریبه بودن ثابت می‌گردد؛ در حالی که بحث ما در مقام ثبوت است</w:t>
      </w:r>
      <w:r>
        <w:rPr>
          <w:rFonts w:eastAsia="IRNazanin" w:cs="IRNazanin"/>
          <w:color w:val="111111"/>
          <w:sz w:val="28"/>
          <w:szCs w:val="28"/>
          <w:rtl w:val="true"/>
          <w:lang w:bidi="fa-IR"/>
        </w:rPr>
        <w:t>.</w:t>
      </w:r>
    </w:p>
    <w:p>
      <w:pPr>
        <w:pStyle w:val="Heading4"/>
        <w:numPr>
          <w:ilvl w:val="3"/>
          <w:numId w:val="1"/>
        </w:numPr>
        <w:rPr/>
      </w:pPr>
      <w:bookmarkStart w:id="676" w:name="__RefHeading___Toc162593_3244359995"/>
      <w:bookmarkStart w:id="677" w:name="_Toc263"/>
      <w:bookmarkEnd w:id="676"/>
      <w:r>
        <w:rPr>
          <w:rtl w:val="true"/>
        </w:rPr>
        <w:t>تعمیم عنوان محارب نسبت به زن و مرد</w:t>
      </w:r>
      <w:bookmarkEnd w:id="677"/>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حدود گذشته مانند حدّ زنا، سرقت، شرب مسکر، بین زن و مرد تفاوتی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آیه‌ی شریفه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جَزَ ؤُاْ الَّذِینَ یُحَارِبُونَ اللَّهَ وَرَسُولَهُ‌و وَیَسْعَوْنَ فِی الْأَرْضِ فَسَادًا</w:t>
      </w:r>
      <w:r>
        <w:rPr>
          <w:rStyle w:val="FootnoteAnchor"/>
          <w:rtl w:val="true"/>
        </w:rPr>
        <w:footnoteReference w:id="4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موصول مذکّر است، آیا با توجّه به این مطلب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w:t>
      </w:r>
    </w:p>
    <w:p>
      <w:pPr>
        <w:pStyle w:val="BookText"/>
        <w:rPr/>
      </w:pPr>
      <w:r>
        <w:rPr>
          <w:rFonts w:ascii="Amiri" w:hAnsi="Amiri" w:eastAsia="Amiri" w:cs="Amiri"/>
          <w:color w:val="111111"/>
          <w:sz w:val="28"/>
          <w:sz w:val="28"/>
          <w:szCs w:val="28"/>
          <w:rtl w:val="true"/>
          <w:lang w:bidi="ar-SA"/>
        </w:rPr>
        <w:t>محاربه مختص مردان است یا این آیه را نیز باید تعمیم داد همانند آیات و روایاتی که موصول مذکّر به کار رفته و حکم شامل مرد و زن می‌شود مانند یأَیُّهَا الَّذِینَ ءَامَنُواْ اتَّقُواْ اللَّهَ</w:t>
      </w:r>
      <w:r>
        <w:rPr>
          <w:rStyle w:val="FootnoteAnchor"/>
          <w:rtl w:val="true"/>
        </w:rPr>
        <w:footnoteReference w:id="484"/>
      </w:r>
      <w:r>
        <w:rPr>
          <w:rFonts w:ascii="Amiri" w:hAnsi="Amiri" w:eastAsia="Amiri" w:cs="Amiri"/>
          <w:color w:val="111111"/>
          <w:sz w:val="28"/>
          <w:sz w:val="28"/>
          <w:szCs w:val="28"/>
          <w:rtl w:val="true"/>
          <w:lang w:bidi="ar-SA"/>
        </w:rPr>
        <w:t>، یأَیُّهَا الَّذِینَ ءَامَنُواْ ارْکَعُواْ وَ اسْجُدُواْ وَ اعْبُدُواْ رَبَّکُمْ وَ افْعَلُواْ الْخَیْرَ لَعَلَّکُمْ تُفْلِحُونَ</w:t>
      </w:r>
      <w:r>
        <w:rPr>
          <w:rStyle w:val="FootnoteAnchor"/>
          <w:rtl w:val="true"/>
        </w:rPr>
        <w:footnoteReference w:id="48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رحمه الله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ابن‌ادریس در کتاب سرائر پس از نقل عبارت خلاف</w:t>
      </w:r>
      <w:r>
        <w:rPr>
          <w:rStyle w:val="FootnoteAnchor"/>
          <w:rtl w:val="true"/>
        </w:rPr>
        <w:footnoteReference w:id="486"/>
      </w:r>
      <w:r>
        <w:rPr>
          <w:rFonts w:ascii="IRNazanin" w:hAnsi="IRNazanin" w:eastAsia="IRNazanin"/>
          <w:color w:val="111111"/>
          <w:sz w:val="28"/>
          <w:sz w:val="28"/>
          <w:szCs w:val="28"/>
          <w:rtl w:val="true"/>
          <w:lang w:bidi="fa-IR"/>
        </w:rPr>
        <w:t>و مبسوط</w:t>
      </w:r>
      <w:r>
        <w:rPr>
          <w:rStyle w:val="FootnoteAnchor"/>
          <w:rtl w:val="true"/>
        </w:rPr>
        <w:footnoteReference w:id="487"/>
      </w:r>
      <w:r>
        <w:rPr>
          <w:rFonts w:ascii="IRNazanin" w:hAnsi="IRNazanin" w:eastAsia="IRNazanin"/>
          <w:color w:val="111111"/>
          <w:sz w:val="28"/>
          <w:sz w:val="28"/>
          <w:szCs w:val="28"/>
          <w:rtl w:val="true"/>
          <w:lang w:bidi="fa-IR"/>
        </w:rPr>
        <w:t>مبنی بر تساوی ذکور و اناث در حدّ محاربه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احکامی که در این دو کتاب هست، احکام اهل سنّت و مخالفان است، و شیخ طوسی رحمه الله نیز در این مسأله قول آنان را پذیرفته است، در حالی که در آیه‌ی محاربه موصول مذکّر استعمال شده است؛ اگر در مواردی می‌گفتیم زنان با مردان مساوی هستند، دلیل بود؛ ولی در این مقام هیچ دلیلی بر تعمیم وجود ندارد؛ لذا، باید به اختصاص حدّ محارب به مردان فتوا داد</w:t>
      </w:r>
      <w:r>
        <w:rPr>
          <w:rFonts w:eastAsia="IRNazanin" w:cs="IRNazanin"/>
          <w:color w:val="111111"/>
          <w:sz w:val="28"/>
          <w:szCs w:val="28"/>
          <w:rtl w:val="true"/>
          <w:lang w:bidi="fa-IR"/>
        </w:rPr>
        <w:t>».</w:t>
      </w:r>
      <w:r>
        <w:rPr>
          <w:rStyle w:val="FootnoteAnchor"/>
          <w:rtl w:val="true"/>
        </w:rPr>
        <w:footnoteReference w:id="488"/>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ابن ادریس در صفحه‌ی بعد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ثابت کردیم در حدّ محاربه برای زنان و مردان فرقی نیست؛ زیرا، آیه‌ی شریفه به اطلاق و عمومش بر تساوی مرد و زن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کیفر بی‌ادبی است که ابن‌ادریس رحمه الله نسبت به شیخ طوسی رحمه الله و دیگران روا داشته است</w:t>
      </w:r>
      <w:r>
        <w:rPr>
          <w:rFonts w:eastAsia="IRNazanin" w:cs="IRNazanin"/>
          <w:color w:val="111111"/>
          <w:sz w:val="28"/>
          <w:szCs w:val="28"/>
          <w:rtl w:val="true"/>
          <w:lang w:bidi="fa-IR"/>
        </w:rPr>
        <w:t>.</w:t>
      </w:r>
      <w:r>
        <w:rPr>
          <w:rStyle w:val="FootnoteAnchor"/>
          <w:rtl w:val="true"/>
        </w:rPr>
        <w:footnoteReference w:id="489"/>
      </w:r>
      <w:bookmarkStart w:id="678" w:name="pg16923_220378"/>
    </w:p>
    <w:p>
      <w:pPr>
        <w:pStyle w:val="BookText"/>
        <w:rPr/>
      </w:pPr>
      <w:bookmarkEnd w:id="6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عدم ثبوت حدّ المحارب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یثبت الحکم للطلیع، وهو المراقب للقوافل ونحوها لیخبر رفقاءه من قطّاع الطریق، ولا للردء، وهو المعین لضبط الأموال، ولا لمن شهر سیفه أو جهّز سلاحه لإخافة المحارب ولدفع من یقصده بسوء ونحو ذلک ممّا هو قطع الفساد لا الفساد، ولا للصغیر والمجنون ولا للملاعب</w:t>
      </w:r>
      <w:r>
        <w:rPr>
          <w:rFonts w:eastAsia="IRNazanin" w:cs="IRNazanin"/>
          <w:color w:val="111111"/>
          <w:sz w:val="28"/>
          <w:szCs w:val="28"/>
          <w:rtl w:val="true"/>
          <w:lang w:bidi="fa-IR"/>
        </w:rPr>
        <w:t>.]</w:t>
      </w:r>
    </w:p>
    <w:p>
      <w:pPr>
        <w:pStyle w:val="Heading3"/>
        <w:numPr>
          <w:ilvl w:val="2"/>
          <w:numId w:val="1"/>
        </w:numPr>
        <w:rPr/>
      </w:pPr>
      <w:bookmarkStart w:id="679" w:name="__RefHeading___Toc162595_3244359995"/>
      <w:bookmarkStart w:id="680" w:name="_Toc264"/>
      <w:bookmarkEnd w:id="679"/>
      <w:r>
        <w:rPr>
          <w:rtl w:val="true"/>
        </w:rPr>
        <w:t>موارد عدم ثبوت حدّ محارب</w:t>
      </w:r>
      <w:bookmarkEnd w:id="680"/>
    </w:p>
    <w:p>
      <w:pPr>
        <w:pStyle w:val="Heading4"/>
        <w:numPr>
          <w:ilvl w:val="3"/>
          <w:numId w:val="1"/>
        </w:numPr>
        <w:rPr/>
      </w:pPr>
      <w:bookmarkStart w:id="681" w:name="__RefHeading___Toc162597_3244359995"/>
      <w:bookmarkStart w:id="682" w:name="_Toc265"/>
      <w:bookmarkEnd w:id="681"/>
      <w:r>
        <w:rPr>
          <w:rtl w:val="true"/>
        </w:rPr>
        <w:t>اشاره</w:t>
      </w:r>
      <w:bookmarkEnd w:id="682"/>
    </w:p>
    <w:p>
      <w:pPr>
        <w:pStyle w:val="BookText"/>
        <w:rPr/>
      </w:pPr>
      <w:r>
        <w:rPr>
          <w:rFonts w:ascii="IRNazanin" w:hAnsi="IRNazanin" w:eastAsia="IRNazanin"/>
          <w:color w:val="111111"/>
          <w:sz w:val="28"/>
          <w:sz w:val="28"/>
          <w:szCs w:val="28"/>
          <w:rtl w:val="true"/>
          <w:lang w:bidi="fa-IR"/>
        </w:rPr>
        <w:t>در موارد زیر حدّ محارب ثابت نمی‌گردد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مراقب کاروان‌ها هستند و رسیدن کاروان را به محدوده‌ی قطّاع‌الطریق خبر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کانال اطّلاعاتی دزدان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در جمع‌آوری اموال به محارب کمک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ترساندن محارب، یا دفع فسادش، یا دفع کسی که قصد سوئی نسبت به او دارد و مانند آن، سلاح بردارد یا برهنه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محارب در حقّ صغیر و مجنون و ملاعب ثابت نمی‌شود</w:t>
      </w:r>
      <w:r>
        <w:rPr>
          <w:rFonts w:eastAsia="IRNazanin" w:cs="IRNazanin"/>
          <w:color w:val="111111"/>
          <w:sz w:val="28"/>
          <w:szCs w:val="28"/>
          <w:rtl w:val="true"/>
          <w:lang w:bidi="fa-IR"/>
        </w:rPr>
        <w:t>.</w:t>
      </w:r>
    </w:p>
    <w:p>
      <w:pPr>
        <w:pStyle w:val="Heading4"/>
        <w:numPr>
          <w:ilvl w:val="3"/>
          <w:numId w:val="1"/>
        </w:numPr>
        <w:rPr/>
      </w:pPr>
      <w:bookmarkStart w:id="683" w:name="__RefHeading___Toc162599_3244359995"/>
      <w:bookmarkStart w:id="684" w:name="_Toc266"/>
      <w:bookmarkEnd w:id="683"/>
      <w:r>
        <w:rPr>
          <w:rtl w:val="true"/>
        </w:rPr>
        <w:t>بیان دو اشکال در عبارت شرایع و تحریرالوسیله</w:t>
      </w:r>
      <w:bookmarkEnd w:id="684"/>
    </w:p>
    <w:p>
      <w:pPr>
        <w:pStyle w:val="BookText"/>
        <w:rPr/>
      </w:pPr>
      <w:r>
        <w:rPr>
          <w:rFonts w:ascii="IRNazanin" w:hAnsi="IRNazanin" w:eastAsia="IRNazanin"/>
          <w:color w:val="111111"/>
          <w:sz w:val="28"/>
          <w:sz w:val="28"/>
          <w:szCs w:val="28"/>
          <w:rtl w:val="true"/>
          <w:lang w:bidi="fa-IR"/>
        </w:rPr>
        <w:t>مرحوم محقّق رحمه الله بعد از تعریف محارب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یثبت هذا الحکم للطلیع ولا للردء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0"/>
      </w:r>
      <w:r>
        <w:rPr>
          <w:rFonts w:ascii="IRNazanin" w:hAnsi="IRNazanin" w:eastAsia="IRNazanin"/>
          <w:color w:val="111111"/>
          <w:sz w:val="28"/>
          <w:sz w:val="28"/>
          <w:szCs w:val="28"/>
          <w:rtl w:val="true"/>
          <w:lang w:bidi="fa-IR"/>
        </w:rPr>
        <w:t>امام راحل رحمه الله نیز در تحریرالوسیله به تبع شرایع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یثبت الحکم للطلیع ولا للردء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دو عبارت این است که افراد مذکور از مصادیق محارب‌اند، امّا حکمش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خروج این افراد، خروج تخصیصی و حکمی است نه خروج موضوعی و تخصّصی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معنایی مقصود مرحوم محقّق و امام راحل باشد، دو اشکال وارد می‌شود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شرایع و تحریرالوسیله تا به این‌جا حکم محارب ذکر نشده است، چگونه</w:t>
      </w:r>
      <w:bookmarkStart w:id="685" w:name="pg16923_220379"/>
    </w:p>
    <w:p>
      <w:pPr>
        <w:pStyle w:val="BookText"/>
        <w:rPr/>
      </w:pPr>
      <w:bookmarkEnd w:id="685"/>
      <w:r>
        <w:rPr>
          <w:rFonts w:ascii="IRNazanin" w:hAnsi="IRNazanin" w:eastAsia="IRNazanin"/>
          <w:color w:val="111111"/>
          <w:sz w:val="28"/>
          <w:sz w:val="28"/>
          <w:szCs w:val="28"/>
          <w:rtl w:val="true"/>
          <w:lang w:bidi="fa-IR"/>
        </w:rPr>
        <w:t>مرحوم محقّق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یثبت هذا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اشاره به کدام حکم اشاره دارد؟</w:t>
      </w:r>
    </w:p>
    <w:p>
      <w:pPr>
        <w:pStyle w:val="BookText"/>
        <w:rPr/>
      </w:pPr>
      <w:r>
        <w:rPr>
          <w:rFonts w:ascii="IRNazanin" w:hAnsi="IRNazanin" w:eastAsia="IRNazanin"/>
          <w:color w:val="111111"/>
          <w:sz w:val="28"/>
          <w:sz w:val="28"/>
          <w:szCs w:val="28"/>
          <w:rtl w:val="true"/>
          <w:lang w:bidi="fa-IR"/>
        </w:rPr>
        <w:t>امام رحمه الله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یثبت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حکم منظور است؟ در حالی که حکم محارب در مسأله پنجم تحریرالوسیله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مذکور در دو عبارت خروج موضوعی دارد و نه خروج حکمی؛ یعنی عنوان محارب بر این موارد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یثبت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یثبت عنوان المحارب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توجیهی برای رفع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عبارت حکم محارب نیست، بلکه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یثبت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یثبت الحکم بکونه محارباً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حکم به ثبوت موضوع محارب کرد؛ با این توجیه هر دو اشکال رفع می‌گردد</w:t>
      </w:r>
      <w:r>
        <w:rPr>
          <w:rFonts w:eastAsia="IRNazanin" w:cs="IRNazanin"/>
          <w:color w:val="111111"/>
          <w:sz w:val="28"/>
          <w:szCs w:val="28"/>
          <w:rtl w:val="true"/>
          <w:lang w:bidi="fa-IR"/>
        </w:rPr>
        <w:t>.</w:t>
      </w:r>
    </w:p>
    <w:p>
      <w:pPr>
        <w:pStyle w:val="Heading4"/>
        <w:numPr>
          <w:ilvl w:val="3"/>
          <w:numId w:val="1"/>
        </w:numPr>
        <w:rPr/>
      </w:pPr>
      <w:bookmarkStart w:id="686" w:name="__RefHeading___Toc162601_3244359995"/>
      <w:bookmarkStart w:id="687" w:name="_Toc267"/>
      <w:bookmarkEnd w:id="686"/>
      <w:r>
        <w:rPr>
          <w:rtl w:val="true"/>
        </w:rPr>
        <w:t xml:space="preserve">خروج </w:t>
      </w:r>
      <w:r>
        <w:rPr>
          <w:rtl w:val="true"/>
        </w:rPr>
        <w:t>«</w:t>
      </w:r>
      <w:r>
        <w:rPr>
          <w:rtl w:val="true"/>
        </w:rPr>
        <w:t>طلیع</w:t>
      </w:r>
      <w:r>
        <w:rPr>
          <w:rtl w:val="true"/>
        </w:rPr>
        <w:t xml:space="preserve">» </w:t>
      </w:r>
      <w:r>
        <w:rPr>
          <w:rtl w:val="true"/>
        </w:rPr>
        <w:t>از عنوان محارب</w:t>
      </w:r>
      <w:bookmarkEnd w:id="6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کسی که دزدان و راهزنان را از زمان عبور قافله آگاه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افرادی که کانال اطّلاعاتی قطّاع‌الطریق هستند، معمولًا در کنار جاده می‌ایستادند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قافله یا ماشینی برسد که شامل کالای مردم است، به راهزنان علامت می‌دهند تا آنان قافله را غارت کنند؛ ولی خودشان در چپاول و غارتگری دخالت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طلیع فقط جاسوسی می‌کند، نقش دیگری و یا حتّی اسلحه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طلیع از عنوان محارب بدیهی است و نیازی به طرح کردن نداشت؛ لازم نبود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محارب در حقّش ثابت نمی‌شود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به این نکته اشاره شد که بسیاری از مفسّران و فقها معتقدند آیه‌ی محارب در شأن قطّاع‌الطریق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اختصاص حکم آیه به قطّاع‌الطریق معتقد نیستند؛ بلکه آنان را مصداق روشن محارب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فقها درصدد برآمده‌اند حکم افرادی را که به صورتی راهزنان را یاری می‌دهند ولی خودشان در بستن راه بر قافله و اسلحه‌کشی و تهدید و غارت اموال دخالتی ندارند، روشن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طلیع</w:t>
      </w:r>
      <w:r>
        <w:rPr>
          <w:rFonts w:eastAsia="IRNazanin" w:cs="IRNazanin"/>
          <w:color w:val="111111"/>
          <w:sz w:val="28"/>
          <w:szCs w:val="28"/>
          <w:rtl w:val="true"/>
          <w:lang w:bidi="fa-IR"/>
        </w:rPr>
        <w:t>»</w:t>
      </w:r>
      <w:bookmarkStart w:id="688" w:name="pg16923_220380"/>
    </w:p>
    <w:p>
      <w:pPr>
        <w:pStyle w:val="BookText"/>
        <w:rPr/>
      </w:pPr>
      <w:bookmarkEnd w:id="688"/>
      <w:r>
        <w:rPr>
          <w:rFonts w:ascii="IRNazanin" w:hAnsi="IRNazanin" w:eastAsia="IRNazanin"/>
          <w:color w:val="111111"/>
          <w:sz w:val="28"/>
          <w:sz w:val="28"/>
          <w:szCs w:val="28"/>
          <w:rtl w:val="true"/>
          <w:lang w:bidi="fa-IR"/>
        </w:rPr>
        <w:t>اسلحه‌ای نکشیده و تهدیدی نکرده و مردم را نترسانیده است؛ لذا، تعریف محارب بر او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وسیله‌ی خبررسانی قطّاع الطریق است</w:t>
      </w:r>
      <w:r>
        <w:rPr>
          <w:rFonts w:eastAsia="IRNazanin" w:cs="IRNazanin"/>
          <w:color w:val="111111"/>
          <w:sz w:val="28"/>
          <w:szCs w:val="28"/>
          <w:rtl w:val="true"/>
          <w:lang w:bidi="fa-IR"/>
        </w:rPr>
        <w:t>.</w:t>
      </w:r>
    </w:p>
    <w:p>
      <w:pPr>
        <w:pStyle w:val="Heading4"/>
        <w:numPr>
          <w:ilvl w:val="3"/>
          <w:numId w:val="1"/>
        </w:numPr>
        <w:rPr/>
      </w:pPr>
      <w:bookmarkStart w:id="689" w:name="__RefHeading___Toc162603_3244359995"/>
      <w:bookmarkStart w:id="690" w:name="_Toc268"/>
      <w:bookmarkEnd w:id="689"/>
      <w:r>
        <w:rPr>
          <w:rtl w:val="true"/>
        </w:rPr>
        <w:t xml:space="preserve">خروج </w:t>
      </w:r>
      <w:r>
        <w:rPr>
          <w:rtl w:val="true"/>
        </w:rPr>
        <w:t>«</w:t>
      </w:r>
      <w:r>
        <w:rPr>
          <w:rtl w:val="true"/>
        </w:rPr>
        <w:t>ردء</w:t>
      </w:r>
      <w:r>
        <w:rPr>
          <w:rtl w:val="true"/>
        </w:rPr>
        <w:t xml:space="preserve">» </w:t>
      </w:r>
      <w:r>
        <w:rPr>
          <w:rtl w:val="true"/>
        </w:rPr>
        <w:t>از عنوان محارب</w:t>
      </w:r>
      <w:bookmarkEnd w:id="6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ناصر و مُعین است؛ و در باب محارب به افرادی می‌گویند که در جمع‌آوری اموال، راهزنان را یاری می‌کنند، بدون این که اسلحه‌ای بکشند یا کسی را بترسانند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کارشان حمّالی و حفاظت از اموال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این گروه نیز تعریف محارب صادق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تعریف محارب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نیست، امّا آیا این دو گروه مفسد فی الارض نیستند؟ در صدق این عنوان نیازی به تجرید اسلحه و اخافه‌ی مردم نیست، کسی که برای قافله خبرچینی می‌کند یا به جمع‌آوری اموال مردم پس از راهزنی می‌پردازد،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تطبیق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نیست؛ زیرا، در گذشته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و خصوص مطلق است؛ یعنی هر محاربی مفسد فی الأرض است، ولی هر مفسد فی الأرضی محارب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ما الآن در محارب است و نه مفسد فی الأرض؛ می‌خواهیم ببینیم آیا عنوان محارب بر این دو نفر صادق هست یا نه؟</w:t>
      </w:r>
    </w:p>
    <w:p>
      <w:pPr>
        <w:pStyle w:val="BookText"/>
        <w:rPr/>
      </w:pPr>
      <w:r>
        <w:rPr>
          <w:rFonts w:ascii="IRNazanin" w:hAnsi="IRNazanin" w:eastAsia="IRNazanin"/>
          <w:color w:val="111111"/>
          <w:sz w:val="28"/>
          <w:sz w:val="28"/>
          <w:szCs w:val="28"/>
          <w:rtl w:val="true"/>
          <w:lang w:bidi="fa-IR"/>
        </w:rPr>
        <w:t>شاهد این مطلب، طرح خصوصیّات محارب از تجرید یا تجهیز سلاح، اخافه‌ی مردم، تساوی بین مرد و زن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بحث مفسد فی الأرض بود، نیازی به طرح این خصوصیّات نبود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دایره‌ی وسیعی دارد؛ سرقت، زنا، لواط، شرب خمر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تمام عناوینی که موضوع حدّ را می‌سازند،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تطبیق عنوان مفسد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سبب نمی‌شود که ما آن عناوین را یکی یکی و به‌طور مستقلّ مطرح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محارب نیز که یکی از مصادیق آن است، به طور مستقلّ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طلیع و ردء هرچند هر دو عمل حرام و از</w:t>
      </w:r>
      <w:bookmarkStart w:id="691" w:name="pg16923_220381"/>
    </w:p>
    <w:p>
      <w:pPr>
        <w:pStyle w:val="BookText"/>
        <w:rPr/>
      </w:pPr>
      <w:bookmarkEnd w:id="691"/>
      <w:r>
        <w:rPr>
          <w:rFonts w:ascii="IRNazanin" w:hAnsi="IRNazanin" w:eastAsia="IRNazanin"/>
          <w:color w:val="111111"/>
          <w:sz w:val="28"/>
          <w:sz w:val="28"/>
          <w:szCs w:val="28"/>
          <w:rtl w:val="true"/>
          <w:lang w:bidi="fa-IR"/>
        </w:rPr>
        <w:t>مصادیق مفسد فی الأرض هستند، ولی عنوان محارب بر آن‌ها صدق نمی‌کند؛ زیرا، محارب از حرب مشتق شده است و در حرب نیاز به سلاح و تجرید آن است؛ و بدون سلاح محاربه محقّق نمی‌گردد</w:t>
      </w:r>
      <w:r>
        <w:rPr>
          <w:rFonts w:eastAsia="IRNazanin" w:cs="IRNazanin"/>
          <w:color w:val="111111"/>
          <w:sz w:val="28"/>
          <w:szCs w:val="28"/>
          <w:rtl w:val="true"/>
          <w:lang w:bidi="fa-IR"/>
        </w:rPr>
        <w:t>.</w:t>
      </w:r>
    </w:p>
    <w:p>
      <w:pPr>
        <w:pStyle w:val="Heading4"/>
        <w:numPr>
          <w:ilvl w:val="3"/>
          <w:numId w:val="1"/>
        </w:numPr>
        <w:rPr/>
      </w:pPr>
      <w:bookmarkStart w:id="692" w:name="__RefHeading___Toc162605_3244359995"/>
      <w:bookmarkStart w:id="693" w:name="_Toc269"/>
      <w:bookmarkEnd w:id="692"/>
      <w:r>
        <w:rPr>
          <w:rtl w:val="true"/>
        </w:rPr>
        <w:t xml:space="preserve">خروج </w:t>
      </w:r>
      <w:r>
        <w:rPr>
          <w:rtl w:val="true"/>
        </w:rPr>
        <w:t>«</w:t>
      </w:r>
      <w:r>
        <w:rPr>
          <w:rtl w:val="true"/>
        </w:rPr>
        <w:t>مدافع</w:t>
      </w:r>
      <w:r>
        <w:rPr>
          <w:rtl w:val="true"/>
        </w:rPr>
        <w:t xml:space="preserve">» </w:t>
      </w:r>
      <w:r>
        <w:rPr>
          <w:rtl w:val="true"/>
        </w:rPr>
        <w:t>از عنوان محارب</w:t>
      </w:r>
      <w:bookmarkEnd w:id="693"/>
    </w:p>
    <w:p>
      <w:pPr>
        <w:pStyle w:val="BookText"/>
        <w:rPr/>
      </w:pPr>
      <w:r>
        <w:rPr>
          <w:rFonts w:ascii="IRNazanin" w:hAnsi="IRNazanin" w:eastAsia="IRNazanin"/>
          <w:color w:val="111111"/>
          <w:sz w:val="28"/>
          <w:sz w:val="28"/>
          <w:szCs w:val="28"/>
          <w:rtl w:val="true"/>
          <w:lang w:bidi="fa-IR"/>
        </w:rPr>
        <w:t xml:space="preserve">کسی که شمشیر می‌کشد یا سلاح برمی‌دارد لیکن برای ترساندن محارب، مدافع نام دارد و نه محارب؛ زیرا، برای دفاع از مردم یا خودش سلاح می‌کشد و محارب را می‌ترساند؛ هرچند بیشتر قیود تعریف محارب در مدافع نیز وجود دارد، امّا مدافع، با تجرید یا تجهیز سلاحش محاربی که مسلمان است را می‌ترساند؛ لذا، در آن تعریف، یک قید توضیحی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وإرادة الإفساد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 محارب این اعمال را برای ایجاد فساد در زمین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در مدافع که به جنگ محارب می‌رود، و قصدش دفع فساد است نه ایجاد فساد،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تعریف محارب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محاربی بالفعل وجود ندارد، یعنی شخصی که به قصد ترساندن مردم و ایجاد فساد، تجرید یا تجهیز سلاح کرده باشد، وجود ندارد؛ امّا نسبت به این فرد قصد سوء دارند و درصدد اذیّت و آزارش هستند، اگر برای دفاع از خود و جلوگیری از ضربات آنان سلاح بردارد، محارب نیست؛ زیرا، قصد فساد ندارد، بلکه می‌خواهد از تحقّق فسادی جلوگیری کند</w:t>
      </w:r>
      <w:r>
        <w:rPr>
          <w:rFonts w:eastAsia="IRNazanin" w:cs="IRNazanin"/>
          <w:color w:val="111111"/>
          <w:sz w:val="28"/>
          <w:szCs w:val="28"/>
          <w:rtl w:val="true"/>
          <w:lang w:bidi="fa-IR"/>
        </w:rPr>
        <w:t>.</w:t>
      </w:r>
    </w:p>
    <w:p>
      <w:pPr>
        <w:pStyle w:val="Heading4"/>
        <w:numPr>
          <w:ilvl w:val="3"/>
          <w:numId w:val="1"/>
        </w:numPr>
        <w:rPr/>
      </w:pPr>
      <w:bookmarkStart w:id="694" w:name="__RefHeading___Toc162607_3244359995"/>
      <w:bookmarkStart w:id="695" w:name="_Toc270"/>
      <w:bookmarkEnd w:id="694"/>
      <w:r>
        <w:rPr>
          <w:rtl w:val="true"/>
        </w:rPr>
        <w:t>خروج کودک، مجنون و شوخ از عنوان محارب</w:t>
      </w:r>
      <w:bookmarkEnd w:id="695"/>
    </w:p>
    <w:p>
      <w:pPr>
        <w:pStyle w:val="BookText"/>
        <w:rPr/>
      </w:pPr>
      <w:r>
        <w:rPr>
          <w:rFonts w:ascii="IRNazanin" w:hAnsi="IRNazanin" w:eastAsia="IRNazanin"/>
          <w:color w:val="111111"/>
          <w:sz w:val="28"/>
          <w:sz w:val="28"/>
          <w:szCs w:val="28"/>
          <w:rtl w:val="true"/>
          <w:lang w:bidi="fa-IR"/>
        </w:rPr>
        <w:t>صاحب جواهر رحمه الله مسأله‌ی صغیر را در این باب مطرح نکرده‌اند؛ شاید به روشن بودن اعتبار بلوغ در اقامه‌ی حدّ اکتفا کرده‌اند</w:t>
      </w:r>
      <w:r>
        <w:rPr>
          <w:rFonts w:eastAsia="IRNazanin" w:cs="IRNazanin"/>
          <w:color w:val="111111"/>
          <w:sz w:val="28"/>
          <w:szCs w:val="28"/>
          <w:rtl w:val="true"/>
          <w:lang w:bidi="fa-IR"/>
        </w:rPr>
        <w:t>.</w:t>
      </w:r>
      <w:r>
        <w:rPr>
          <w:rStyle w:val="FootnoteAnchor"/>
          <w:rtl w:val="true"/>
        </w:rPr>
        <w:footnoteReference w:id="491"/>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زنا، لواط، سرقت، شرب خمر، حکم صبیّ را متعرّض شده‌اند، و عدم تعرّض فقها در باب محارب به خاطر عدم فرق بین بالغ و غیربالغ نیست؛ بلکه به علّت وضوح مسأله آن را مطرح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همان‌گونه که در عناوین سابقه، شرط ثبوت حدّ، عقل و</w:t>
      </w:r>
    </w:p>
    <w:p>
      <w:pPr>
        <w:pStyle w:val="BookText"/>
        <w:rPr/>
      </w:pPr>
      <w:r>
        <w:rPr>
          <w:rFonts w:ascii="IRNazanin" w:hAnsi="IRNazanin" w:eastAsia="IRNazanin"/>
          <w:color w:val="111111"/>
          <w:sz w:val="28"/>
          <w:sz w:val="28"/>
          <w:szCs w:val="28"/>
          <w:rtl w:val="true"/>
          <w:lang w:bidi="fa-IR"/>
        </w:rPr>
        <w:t>بلوغ بود، در این مسأله نیز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قول صاحب جواهر رحمه الله کلمات فقها در باب محارب منسجم و منضبط نیست، بلکه مشوّش و مضطرب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که تجهیز یا تجرید سلاح می‌کند ولی قصدش شوخی و هزل است نیز از تعریف محارب خارج است؛ زیرا، اراده‌ی جدّی بر تحقّق فساد در زمین ندارد؛ بلکه می‌خواسته به عنوان شوخی و مزاح دوستان یا مردم را بترساند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مؤیّدی نیز در این باب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جعفر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الحسن، عن جدّه علیّ 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شهر إلی صاحبه بالرّمح والسّکین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یلعب فلا بأس</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هفتم علیه السلام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چاقو یا نیزه بر روی رفیقش بکشد، حکمش چیست؟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جنبه‌ی شوخی و ملاعبه داشته، حدّی ندارد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سؤال راوی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إلی صاحبه بالرمح والسکین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جنبه‌ی جدّی نداشته است؛ زیرا، مقصود از صاحب، دوست و رفیق است؛ به همین جهت، امام علیه السلام نیز حکم صورت ملاعبه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دیگر چون مسأله به صورت جدّی مطرح بوده، امام علیه السلام نیز پاسخ، محاربه‌ی جدّی را گفته‌اند</w:t>
      </w:r>
      <w:r>
        <w:rPr>
          <w:rFonts w:eastAsia="IRNazanin" w:cs="IRNazanin"/>
          <w:color w:val="111111"/>
          <w:sz w:val="28"/>
          <w:szCs w:val="28"/>
          <w:rtl w:val="true"/>
          <w:lang w:bidi="fa-IR"/>
        </w:rPr>
        <w:t>.</w:t>
      </w:r>
      <w:bookmarkStart w:id="696" w:name="pg16923_220383"/>
    </w:p>
    <w:p>
      <w:pPr>
        <w:pStyle w:val="BookText"/>
        <w:rPr/>
      </w:pPr>
      <w:bookmarkEnd w:id="6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الإخافة من غیر سلاح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حمل علی غیره من غیر سلاح لیأخذ ماله أو یقتله جاز بل وجب الدفاع فی الثانی ولو انجرّ إلی قتله، لکن لایثبت له حکم المحارب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أخاف النّاس بالسوط والعصاء والحجر، ففی ثبوت الحکم إشکال، بل عدمه أقرب فی الأوّلین</w:t>
      </w:r>
      <w:r>
        <w:rPr>
          <w:rFonts w:eastAsia="IRNazanin" w:cs="IRNazanin"/>
          <w:color w:val="111111"/>
          <w:sz w:val="28"/>
          <w:szCs w:val="28"/>
          <w:rtl w:val="true"/>
          <w:lang w:bidi="fa-IR"/>
        </w:rPr>
        <w:t>.]</w:t>
      </w:r>
    </w:p>
    <w:p>
      <w:pPr>
        <w:pStyle w:val="Heading3"/>
        <w:numPr>
          <w:ilvl w:val="2"/>
          <w:numId w:val="1"/>
        </w:numPr>
        <w:rPr/>
      </w:pPr>
      <w:bookmarkStart w:id="697" w:name="__RefHeading___Toc162609_3244359995"/>
      <w:bookmarkStart w:id="698" w:name="_Toc271"/>
      <w:bookmarkEnd w:id="697"/>
      <w:r>
        <w:rPr>
          <w:rtl w:val="true"/>
        </w:rPr>
        <w:t>حکم دفاع و ترساندن با تازیانه و عصا و سنگ</w:t>
      </w:r>
      <w:bookmarkEnd w:id="698"/>
    </w:p>
    <w:p>
      <w:pPr>
        <w:pStyle w:val="Heading4"/>
        <w:numPr>
          <w:ilvl w:val="3"/>
          <w:numId w:val="1"/>
        </w:numPr>
        <w:rPr/>
      </w:pPr>
      <w:bookmarkStart w:id="699" w:name="__RefHeading___Toc162611_3244359995"/>
      <w:bookmarkStart w:id="700" w:name="_Toc272"/>
      <w:bookmarkEnd w:id="699"/>
      <w:r>
        <w:rPr>
          <w:rtl w:val="true"/>
        </w:rPr>
        <w:t>اشاره</w:t>
      </w:r>
      <w:bookmarkEnd w:id="700"/>
    </w:p>
    <w:p>
      <w:pPr>
        <w:pStyle w:val="BookText"/>
        <w:rPr/>
      </w:pPr>
      <w:r>
        <w:rPr>
          <w:rFonts w:ascii="IRNazanin" w:hAnsi="IRNazanin" w:eastAsia="IRNazanin"/>
          <w:color w:val="111111"/>
          <w:sz w:val="28"/>
          <w:sz w:val="28"/>
          <w:szCs w:val="28"/>
          <w:rtl w:val="true"/>
          <w:lang w:bidi="fa-IR"/>
        </w:rPr>
        <w:t>این مسأله دو فرع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بدون سلاح به دیگری برای گرفتن مال یا کشتن او حمله کرد، بر دوّمی جایز، بلکه واجب است از خود دفاع کند؛ هرچند به قتل اوّلی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محارب بر دوّمی ثابت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را با تازیانه، یا عصا و یا سنگ بترساند، در ثبوت حکم محارب اشکال داریم؛ بلکه اقرب عدم ثبوت در مورد تازیانه یا عصا است</w:t>
      </w:r>
      <w:r>
        <w:rPr>
          <w:rFonts w:eastAsia="IRNazanin" w:cs="IRNazanin"/>
          <w:color w:val="111111"/>
          <w:sz w:val="28"/>
          <w:szCs w:val="28"/>
          <w:rtl w:val="true"/>
          <w:lang w:bidi="fa-IR"/>
        </w:rPr>
        <w:t>.</w:t>
      </w:r>
    </w:p>
    <w:p>
      <w:pPr>
        <w:pStyle w:val="Heading4"/>
        <w:numPr>
          <w:ilvl w:val="3"/>
          <w:numId w:val="1"/>
        </w:numPr>
        <w:rPr/>
      </w:pPr>
      <w:bookmarkStart w:id="701" w:name="__RefHeading___Toc162613_3244359995"/>
      <w:bookmarkStart w:id="702" w:name="_Toc273"/>
      <w:bookmarkEnd w:id="701"/>
      <w:r>
        <w:rPr>
          <w:rtl w:val="true"/>
        </w:rPr>
        <w:t>فرع اوّل</w:t>
      </w:r>
      <w:r>
        <w:rPr>
          <w:rtl w:val="true"/>
        </w:rPr>
        <w:t xml:space="preserve">: </w:t>
      </w:r>
      <w:r>
        <w:rPr>
          <w:rtl w:val="true"/>
        </w:rPr>
        <w:t>حکم دفاع از مال و جان</w:t>
      </w:r>
      <w:bookmarkEnd w:id="702"/>
    </w:p>
    <w:p>
      <w:pPr>
        <w:pStyle w:val="Heading5"/>
        <w:numPr>
          <w:ilvl w:val="4"/>
          <w:numId w:val="1"/>
        </w:numPr>
        <w:rPr/>
      </w:pPr>
      <w:bookmarkStart w:id="703" w:name="__RefHeading___Toc162615_3244359995"/>
      <w:bookmarkStart w:id="704" w:name="_Toc274"/>
      <w:bookmarkEnd w:id="703"/>
      <w:r>
        <w:rPr>
          <w:rtl w:val="true"/>
        </w:rPr>
        <w:t>اشاره</w:t>
      </w:r>
      <w:bookmarkEnd w:id="704"/>
    </w:p>
    <w:p>
      <w:pPr>
        <w:pStyle w:val="BookText"/>
        <w:rPr/>
      </w:pPr>
      <w:r>
        <w:rPr>
          <w:rFonts w:ascii="IRNazanin" w:hAnsi="IRNazanin" w:eastAsia="IRNazanin"/>
          <w:color w:val="111111"/>
          <w:sz w:val="28"/>
          <w:sz w:val="28"/>
          <w:szCs w:val="28"/>
          <w:rtl w:val="true"/>
          <w:lang w:bidi="fa-IR"/>
        </w:rPr>
        <w:t>در این فرع دو مطلب باید بررسی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بدون سلاح برای گرفتن مال دیگری یا کشتنش به او حمله کند، فرد دوّم چه عکس‌العملی می‌تواند انجام دهد و تا چه اندازه از خود دفاع 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عنوان محارب بر فرد اوّل صادق است؟</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اوّلی قصد جان دوّمی را کرده باشد، در این صورت، نه تنها جایز است که دوّمی از خود دفاع کند، بلکه واجب است؛ زیرا، در شرع مقدّس اسلام حفظ نفس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او واجب است از خود دفاع کند و نگذارد مهاجم قصدش را عملی کند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دفاع حدّ و مرزی نیست؛ بلکه اگر به قتل مهاجم نیز منتهی گردد،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وجهی ندارد که فرد دوّم برای زنده ماندن مهاجم خود را به کشتن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bookmarkStart w:id="705" w:name="pg16923_220384"/>
    </w:p>
    <w:p>
      <w:pPr>
        <w:pStyle w:val="BookText"/>
        <w:rPr/>
      </w:pPr>
      <w:bookmarkEnd w:id="705"/>
      <w:r>
        <w:rPr>
          <w:rFonts w:ascii="IRNazanin" w:hAnsi="IRNazanin" w:eastAsia="IRNazanin"/>
          <w:color w:val="111111"/>
          <w:sz w:val="28"/>
          <w:sz w:val="28"/>
          <w:szCs w:val="28"/>
          <w:rtl w:val="true"/>
          <w:lang w:bidi="fa-IR"/>
        </w:rPr>
        <w:t>بی‌جهت و به ناحقّ حمله کرده است و بر فرد دوّم واجب است برای حفظ جانش از خود دفاع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اوّلی قصد مال دوّمی را دارد و نه جانش را، دفاع مشروعیّت دارد و جایز است؛ امّا وجوبی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تحریرالوسیله در این‌جا در تفصیل بین دفاع از جان و مال ظهور دارد، لیکن در کتاب امر به معروف و نهی از منکر در باب دفاع از نفس و مال، در تفصیل این مطلب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هجم علی ماله أو مال عیاله جاز له دفعه بأیّ وسیلة ممکنة ولو انجرّ إلی قتل المهاجم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 الأحوط فی جمیع ما ذکر أن یتصدّی للّدفاع من الأسهل فالأسهل، فلو اندفع بالتنبیه والإخطار بوجه کالتنحنح مثلًا فعل، فلو لم یندفع إلّا بالصیاح والتهدید المدهش فعل واقتصر علیه، وإن لم یندفع إلّابالید اقتصر علیها، أو بالعصاء اقتصر علیها، أو بالسیف اقتصر علیه جرحاً إن أمکن به الدفع، وإن لم یمکن إلّا بالقتل جاز بکلّ آلة قتّالة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فردی به مال فرد دیگر یا مال و عیال او هجوم آورد، دفع او به هر وسیله‌ی ممکنی جایز است، هرچندبه قتل مهاجم منتهی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احتیاط واجب، در دفاع از مرتبه‌ی پایین‌تر شروع کند؛ اگر مؤثّر نبود، به مرتبه‌ی شدیدتر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با اخطار و سروصدا می‌تواند او را دفع کند، همان را انجام دهد؛ و اگر نیاز به داد و فریاد و تهدید است، به همان اکتفا کند؛ و به همین ترتیب، نوبت به دست و عصا و شمشیر برای ایجاد جراحت؛ و اگر هیچ‌کدام مؤثر نبود و دفع مهاجم جز با کشتن او امکان ندارد، با هر آلت قتّاله‌ای می‌تواند او را به قتل برساند </w:t>
      </w:r>
      <w:r>
        <w:rPr>
          <w:rFonts w:eastAsia="IRNazanin" w:cs="IRNazanin"/>
          <w:color w:val="111111"/>
          <w:sz w:val="28"/>
          <w:szCs w:val="28"/>
          <w:rtl w:val="true"/>
          <w:lang w:bidi="fa-IR"/>
        </w:rPr>
        <w:t>...».</w:t>
      </w:r>
    </w:p>
    <w:p>
      <w:pPr>
        <w:pStyle w:val="Heading5"/>
        <w:numPr>
          <w:ilvl w:val="4"/>
          <w:numId w:val="1"/>
        </w:numPr>
        <w:rPr/>
      </w:pPr>
      <w:bookmarkStart w:id="706" w:name="__RefHeading___Toc162617_3244359995"/>
      <w:bookmarkStart w:id="707" w:name="_Toc275"/>
      <w:bookmarkEnd w:id="706"/>
      <w:r>
        <w:rPr>
          <w:rtl w:val="true"/>
        </w:rPr>
        <w:t>ادلّه‌ی دفاع از مال</w:t>
      </w:r>
      <w:bookmarkEnd w:id="707"/>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متعدّدی در این مورد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شرایع و جواهرالکلام این بحث را در آخر کتاب حدود مطرح کرده‌اند و امام رحمه الله در کتاب امر به معروف و نهی از منکر تحریرالوسیله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قسمتی از روایاتش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الحسین بإسناده عن العلاء، عن محمّد بن مسلم،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دون ماله فهو شهید،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أنا لترکت المال ولم اقاتل</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صحیحه، امام باقر یا امام صادق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عنوان دفاع از مالش کشته شود، شهید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باشم، مال را برای او می‌گذارم و مقاتله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روایت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مقاتله برای دفاع از مال اشکال ندارد؛ حتّی اگر به قتل مدافع منتهی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ذیل روایت بیانگر این است که شهادت در این مورد مانند شهادت در جهاد نیست؛ زیرا،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آن قدر ارزش ندارد که به خاطرش مقاتله کنیم؛ و چه‌بسا این مقاتله به کشتن ما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برای یک امر مادّی جان نبیّ یا معصومی از دست برود؛ ما از این نوع شهادت، استقبال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روایت بر جواز دفاع از مال تا حدّ مقاتله و شهید شدن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مقاتله، گاه انسان می‌کشد و گاهی او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کشتن مهاجم نیز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به جواز قتل مهاجم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عن أحمد بن محمّد، عن محمّد بن أحمد القلانسی، عن أحمد بن الفضل، عن عبداللَّه بن جبلة، عن فزارة، عن أنس أو هیثم بن براء،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اللصّ یدخل علیّ فی بیتی یرید نفسی ومالی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اقتله فاشهد اللَّه ومن سمع أنّ دمه فی عنقی</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از امام باقر علیه السلام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به خانه‌ام داخل می‌شود و قصد مال و جانم را دارد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قتل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خونش به گردن من، خدا و شنوندگان شاهد این مطلب</w:t>
      </w:r>
      <w:r>
        <w:rPr>
          <w:rFonts w:eastAsia="IRNazanin" w:cs="IRNazanin"/>
          <w:color w:val="111111"/>
          <w:sz w:val="28"/>
          <w:szCs w:val="28"/>
          <w:rtl w:val="true"/>
          <w:lang w:bidi="fa-IR"/>
        </w:rPr>
        <w:t>.</w:t>
      </w:r>
      <w:bookmarkStart w:id="708" w:name="pg16923_220386"/>
    </w:p>
    <w:p>
      <w:pPr>
        <w:pStyle w:val="BookText"/>
        <w:rPr/>
      </w:pPr>
      <w:bookmarkEnd w:id="708"/>
      <w:r>
        <w:rPr>
          <w:rFonts w:ascii="IRNazanin" w:hAnsi="IRNazanin" w:eastAsia="IRNazanin"/>
          <w:color w:val="111111"/>
          <w:sz w:val="28"/>
          <w:sz w:val="28"/>
          <w:szCs w:val="28"/>
          <w:rtl w:val="true"/>
          <w:lang w:bidi="fa-IR"/>
        </w:rPr>
        <w:t>اشکال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رحمه الله در تحریرالوسیله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حمل علی غیره من غیرسلاح لیأخذ ماله أو یقتله جاز بل وجب الدفاع فی الثانی ولو انجرّ إلی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بدون سلاح به دیگری حمله کند تا مالش را بگیرد یا او را بکشد،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وجب الدفاع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وجب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جاز الدفاع بل وجب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انجر إلی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می‌خورد؛ در حالی که با توجّه به مسأله‌ی پنج و شش مسائل دفاع از کتاب امر به معروف و نهی از منکر، و روایات و فتوای اصحاب به هر دو می‌خورد</w:t>
      </w:r>
      <w:r>
        <w:rPr>
          <w:rFonts w:eastAsia="IRNazanin" w:cs="IRNazanin"/>
          <w:color w:val="111111"/>
          <w:sz w:val="28"/>
          <w:szCs w:val="28"/>
          <w:rtl w:val="true"/>
          <w:lang w:bidi="fa-IR"/>
        </w:rPr>
        <w:t>.</w:t>
      </w:r>
    </w:p>
    <w:p>
      <w:pPr>
        <w:pStyle w:val="Heading5"/>
        <w:numPr>
          <w:ilvl w:val="4"/>
          <w:numId w:val="1"/>
        </w:numPr>
        <w:rPr/>
      </w:pPr>
      <w:bookmarkStart w:id="709" w:name="__RefHeading___Toc162619_3244359995"/>
      <w:bookmarkStart w:id="710" w:name="_Toc276"/>
      <w:bookmarkEnd w:id="709"/>
      <w:r>
        <w:rPr>
          <w:rtl w:val="true"/>
        </w:rPr>
        <w:t>مطلب دوّم</w:t>
      </w:r>
      <w:r>
        <w:rPr>
          <w:rtl w:val="true"/>
        </w:rPr>
        <w:t xml:space="preserve">: </w:t>
      </w:r>
      <w:r>
        <w:rPr>
          <w:rtl w:val="true"/>
        </w:rPr>
        <w:t>صدق عنوان محارب</w:t>
      </w:r>
      <w:bookmarkEnd w:id="710"/>
    </w:p>
    <w:p>
      <w:pPr>
        <w:pStyle w:val="BookText"/>
        <w:rPr/>
      </w:pPr>
      <w:r>
        <w:rPr>
          <w:rFonts w:ascii="IRNazanin" w:hAnsi="IRNazanin" w:eastAsia="IRNazanin"/>
          <w:color w:val="111111"/>
          <w:sz w:val="28"/>
          <w:sz w:val="28"/>
          <w:szCs w:val="28"/>
          <w:rtl w:val="true"/>
          <w:lang w:bidi="fa-IR"/>
        </w:rPr>
        <w:t>در مفروض مسأله، فرد مهاجم اسلحه‌ای حتّی چوب و سنگ و تازیانه نیز به همراه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رحمه الله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محارب بر او صادق نیست؛ زیرا، محارب در روایات بر کسی اطلاق شده که از اسلحه استفاده کند، و اسلحه یک شی‌ء مغایر با انسان و خارج از ذاتش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کسی که با مشت و لگد دیگری را می‌ترساند و مالش را می‌گیرد، نمی‌توان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جهّز سلاحه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جرّد سلاحه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تجرید و تجهیز سلاح در حقّش صادق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حرب در موردی که بدون سلاح زد و خوردی باشد، استعمال مجازی است نه حقیقی؛ هرچند دایره‌ی سلاح را اعمّ از سنگ و چوب و تازیانه هم بدانیم، ولی مهاجم مفروض از هیچ چیزی به عنوان سلاح استفاده نکرده است لذا، تعریف محارب بر او صادق نیست</w:t>
      </w:r>
      <w:r>
        <w:rPr>
          <w:rFonts w:eastAsia="IRNazanin" w:cs="IRNazanin"/>
          <w:color w:val="111111"/>
          <w:sz w:val="28"/>
          <w:szCs w:val="28"/>
          <w:rtl w:val="true"/>
          <w:lang w:bidi="fa-IR"/>
        </w:rPr>
        <w:t>.</w:t>
      </w:r>
    </w:p>
    <w:p>
      <w:pPr>
        <w:pStyle w:val="Heading5"/>
        <w:numPr>
          <w:ilvl w:val="4"/>
          <w:numId w:val="1"/>
        </w:numPr>
        <w:rPr/>
      </w:pPr>
      <w:bookmarkStart w:id="711" w:name="__RefHeading___Toc162621_3244359995"/>
      <w:bookmarkStart w:id="712" w:name="_Toc277"/>
      <w:bookmarkEnd w:id="711"/>
      <w:r>
        <w:rPr>
          <w:rtl w:val="true"/>
        </w:rPr>
        <w:t>توسعه و تضییق معنای محارب</w:t>
      </w:r>
      <w:bookmarkEnd w:id="712"/>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مسأله اوّل بحث محارب پس از طرح آیه‌ی شریفه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 از آیه این است که محارب بما هو محارب هیچ نقشی در ترتّب حدود اربعه ندارد؛ بلکه این احکام به مطلق مفسد فی الارض تعلّق دارد؛ زیرا، علّت و ملاک ترتّب این حدود بر محارب وَیَسْعَوْنَ فِی</w:t>
      </w:r>
    </w:p>
    <w:p>
      <w:pPr>
        <w:pStyle w:val="BookText"/>
        <w:rPr/>
      </w:pPr>
      <w:r>
        <w:rPr>
          <w:rFonts w:ascii="Amiri" w:hAnsi="Amiri" w:eastAsia="Amiri" w:cs="Amiri"/>
          <w:color w:val="111111"/>
          <w:sz w:val="28"/>
          <w:sz w:val="28"/>
          <w:szCs w:val="28"/>
          <w:rtl w:val="true"/>
          <w:lang w:bidi="ar-SA"/>
        </w:rPr>
        <w:t>الْأَرْضِ</w:t>
      </w:r>
      <w:r>
        <w:rPr>
          <w:rStyle w:val="FootnoteAnchor"/>
          <w:rtl w:val="true"/>
        </w:rPr>
        <w:footnoteReference w:id="495"/>
      </w:r>
      <w:r>
        <w:rPr>
          <w:rFonts w:ascii="Amiri" w:hAnsi="Amiri" w:eastAsia="Amiri" w:cs="Amiri"/>
          <w:color w:val="111111"/>
          <w:sz w:val="28"/>
          <w:sz w:val="28"/>
          <w:szCs w:val="28"/>
          <w:rtl w:val="true"/>
          <w:lang w:bidi="ar-SA"/>
        </w:rPr>
        <w:t>می‌باشد؛ و آیه‌ی مَن قَتَلَ نَفْسَام بِغَیْرِ نَفْسٍ أَوْ فَسَادٍ فِی الْأَرْضِ</w:t>
      </w:r>
      <w:r>
        <w:rPr>
          <w:rStyle w:val="FootnoteAnchor"/>
          <w:rtl w:val="true"/>
        </w:rPr>
        <w:footnoteReference w:id="496"/>
      </w:r>
      <w:r>
        <w:rPr>
          <w:rFonts w:ascii="IRNazanin" w:hAnsi="IRNazanin" w:eastAsia="IRNazanin"/>
          <w:color w:val="111111"/>
          <w:sz w:val="28"/>
          <w:sz w:val="28"/>
          <w:szCs w:val="28"/>
          <w:rtl w:val="true"/>
          <w:lang w:bidi="fa-IR"/>
        </w:rPr>
        <w:t>نیز مؤیّد این معنا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مطلب، باید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مفروض این مسأله نیز حدود اربعه اقامه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عناوین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خارج‌اند، لیکن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فردی به قصد ترساندن غیر یا کشتن او چاقو بکشد، مفسد فی الأرض است امّا اگر آدم نیرومندی به انسان ضعیفی به‌قصد ترساندن یا کشتن حمله‌ور شود، مفسد نیست؟</w:t>
      </w:r>
    </w:p>
    <w:p>
      <w:pPr>
        <w:pStyle w:val="BookText"/>
        <w:rPr/>
      </w:pPr>
      <w:r>
        <w:rPr>
          <w:rFonts w:ascii="IRNazanin" w:hAnsi="IRNazanin" w:eastAsia="IRNazanin"/>
          <w:color w:val="111111"/>
          <w:sz w:val="28"/>
          <w:sz w:val="28"/>
          <w:szCs w:val="28"/>
          <w:rtl w:val="true"/>
          <w:lang w:bidi="fa-IR"/>
        </w:rPr>
        <w:t>بنابراین، اگر به ظاهر آیه‌ی شریفه اعتماد کنیم، باید بر غیر از شوخ و مجنون، حدود اربعه اجرا گردد؛ لیکن فقها چنین توسعه‌ای در موضوع حدود اربعه قائل نیستند؛ یعنی حدود اربعه را فقط نسبت به محارب جاری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 نیز کسی است که تجرید یا تجهیز سلاح به قصد ترساندن و فساد در زمین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در هدف و مقصودِ محارب از اسلحه‌کشی و اخافه توسعه داده 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فرقی نمی‌کند که قصد محارب از این اعمال، گرفتن مال مردم باشد، یا کشتن آنان، یا زیرسلطه درآوردن، یا به بندگی گرفتن و یا قبضه کردن قدرت و حکومت، مانند منافقین خلق که تمام قصدشان اسقاط حکومت جمهوری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خلاصه‌ی کلام، فقها این چهار حدّ را به مفسد فی الأرضی اختصاص می‌دهند که سلاح برگیرد و مردم را بترساند، و قصدش از این کار یکی از امور مذکور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مطلب کلمات قوم است که به یکی از آن‌ها از باب نمونه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یتحقّق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قصدوا أخذ البلاد أو الحصون أو أسر الناس واستعبادهم أو سبی النساء والذراری أو القتل أو أخذ المال قهراً مجاهرةً </w:t>
      </w:r>
      <w:r>
        <w:rPr>
          <w:rFonts w:eastAsia="IRNazanin" w:cs="IRNazanin"/>
          <w:color w:val="111111"/>
          <w:sz w:val="28"/>
          <w:szCs w:val="28"/>
          <w:rtl w:val="true"/>
          <w:lang w:bidi="fa-IR"/>
        </w:rPr>
        <w:t>....</w:t>
      </w:r>
      <w:r>
        <w:rPr>
          <w:rStyle w:val="FootnoteAnchor"/>
          <w:rtl w:val="true"/>
        </w:rPr>
        <w:footnoteReference w:id="497"/>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کاشف اللثام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 محقّق می‌گردد در جایی که مهاجمین قصد گرفتن شهرها، یا حصارها، یا اسیر کردن مردم، یا به بندگی گرفتن آنان، یا به اسارت بردن زنان و فرزندان، یا کشتن و یا بردن مال مردم به زور و علنی را داشته باشند</w:t>
      </w:r>
      <w:r>
        <w:rPr>
          <w:rFonts w:eastAsia="IRNazanin" w:cs="IRNazanin"/>
          <w:color w:val="111111"/>
          <w:sz w:val="28"/>
          <w:szCs w:val="28"/>
          <w:rtl w:val="true"/>
          <w:lang w:bidi="fa-IR"/>
        </w:rPr>
        <w:t>.</w:t>
      </w:r>
      <w:bookmarkStart w:id="713" w:name="pg16923_220388"/>
    </w:p>
    <w:p>
      <w:pPr>
        <w:pStyle w:val="BookText"/>
        <w:rPr/>
      </w:pPr>
      <w:bookmarkEnd w:id="713"/>
      <w:r>
        <w:rPr>
          <w:rFonts w:ascii="IRNazanin" w:hAnsi="IRNazanin" w:eastAsia="IRNazanin"/>
          <w:color w:val="111111"/>
          <w:sz w:val="28"/>
          <w:sz w:val="28"/>
          <w:szCs w:val="28"/>
          <w:rtl w:val="true"/>
          <w:lang w:bidi="fa-IR"/>
        </w:rPr>
        <w:t>علّامه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یتحقّق لو قصدوا أخذ المال قهراً مجاهرة، فإن أخذوه خفیةً فهم سارقون، وإن أخذوه اختطافاً وهربوا فهم منتهبون لا قطع علیهم</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تحقّق محاربه به گرفتن مال مردم به زور و علنی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پنهانی آن را بردارند سارق‌اند؛ و اگر از غفلت صاحب مال استفاده می‌کند و مالش را می‌رباید، مختطف و منتهب می‌باشند و حدّ قطع محارب بر آنان پیاده نمی‌شود</w:t>
      </w:r>
      <w:r>
        <w:rPr>
          <w:rFonts w:eastAsia="IRNazanin" w:cs="IRNazanin"/>
          <w:color w:val="111111"/>
          <w:sz w:val="28"/>
          <w:szCs w:val="28"/>
          <w:rtl w:val="true"/>
          <w:lang w:bidi="fa-IR"/>
        </w:rPr>
        <w:t>.</w:t>
      </w:r>
    </w:p>
    <w:p>
      <w:pPr>
        <w:pStyle w:val="Heading4"/>
        <w:numPr>
          <w:ilvl w:val="3"/>
          <w:numId w:val="1"/>
        </w:numPr>
        <w:rPr/>
      </w:pPr>
      <w:bookmarkStart w:id="714" w:name="__RefHeading___Toc162623_3244359995"/>
      <w:bookmarkStart w:id="715" w:name="_Toc278"/>
      <w:bookmarkEnd w:id="714"/>
      <w:r>
        <w:rPr>
          <w:rtl w:val="true"/>
        </w:rPr>
        <w:t>فرع دوّم</w:t>
      </w:r>
      <w:r>
        <w:rPr>
          <w:rtl w:val="true"/>
        </w:rPr>
        <w:t xml:space="preserve">: </w:t>
      </w:r>
      <w:r>
        <w:rPr>
          <w:rtl w:val="true"/>
        </w:rPr>
        <w:t>ترساندن با سنگ و تازیانه و چوب</w:t>
      </w:r>
      <w:bookmarkEnd w:id="715"/>
    </w:p>
    <w:p>
      <w:pPr>
        <w:pStyle w:val="BookText"/>
        <w:rPr/>
      </w:pPr>
      <w:r>
        <w:rPr>
          <w:rFonts w:ascii="IRNazanin" w:hAnsi="IRNazanin" w:eastAsia="IRNazanin"/>
          <w:color w:val="111111"/>
          <w:sz w:val="28"/>
          <w:sz w:val="28"/>
          <w:szCs w:val="28"/>
          <w:rtl w:val="true"/>
          <w:lang w:bidi="fa-IR"/>
        </w:rPr>
        <w:t>در مسأله‌ی اوّل در معنای سلاح، این بحث را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این اشیا را داخل در سلاح نمی‌دانند؛ لذا حکم محارب بر کسی که آن‌ها را به قصد اخافه‌ی مردم به کار برد، مترتّب نمی‌کنند؛ به خصوص در مورد تازیانه و 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سلاح آلت قتل است ولی تازیانه و عصا آلت قتل نیستند؛ و جنبه‌ی سلاحی ندارند؛ بلکه تازیانه آلت ضرب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نهایت کاری که از عصا حاصل می‌شود، سر شکستن و مانند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سنگ احتیاط می‌کنند؛ زیرا، از قدیم الایّام سنگ جنبه‌ی سلاحی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سلاح دیگری در دسترس نباشد، از این سلاح طبیعی استفاده می‌شود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وسایلی نیز برای پرتاب سنگ وجود دارد</w:t>
      </w:r>
      <w:r>
        <w:rPr>
          <w:rFonts w:eastAsia="IRNazanin" w:cs="IRNazanin"/>
          <w:color w:val="111111"/>
          <w:sz w:val="28"/>
          <w:szCs w:val="28"/>
          <w:rtl w:val="true"/>
          <w:lang w:bidi="fa-IR"/>
        </w:rPr>
        <w:t>.</w:t>
      </w:r>
      <w:bookmarkStart w:id="716" w:name="pg16923_220389"/>
    </w:p>
    <w:p>
      <w:pPr>
        <w:pStyle w:val="BookText"/>
        <w:rPr/>
      </w:pPr>
      <w:bookmarkEnd w:id="7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المحاربة بالإقرار وشهادة عدلین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المحاربة بالإقرار مرّةً، والأحوط مرّتین وبشهادة عدلین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تقبل شهادة النساء منفردات ولا منضّمات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تقبل شهادة اللصوص والمحاربین بعضهم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شهادة المأخوذ منهم بعضهم لبعض بأن قالوا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تعرّضوا لنا وأخذوا منّا وأمّا لو شهد بعضهم لبعض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عرّضوا لنا وأخذوا من هؤلاء لا منّا، قبل علی الأشبه</w:t>
      </w:r>
      <w:r>
        <w:rPr>
          <w:rFonts w:eastAsia="IRNazanin" w:cs="IRNazanin"/>
          <w:color w:val="111111"/>
          <w:sz w:val="28"/>
          <w:szCs w:val="28"/>
          <w:rtl w:val="true"/>
          <w:lang w:bidi="fa-IR"/>
        </w:rPr>
        <w:t>.]</w:t>
      </w:r>
    </w:p>
    <w:p>
      <w:pPr>
        <w:pStyle w:val="Heading3"/>
        <w:numPr>
          <w:ilvl w:val="2"/>
          <w:numId w:val="1"/>
        </w:numPr>
        <w:rPr/>
      </w:pPr>
      <w:bookmarkStart w:id="717" w:name="__RefHeading___Toc162625_3244359995"/>
      <w:bookmarkStart w:id="718" w:name="_Toc279"/>
      <w:bookmarkEnd w:id="717"/>
      <w:r>
        <w:rPr>
          <w:rtl w:val="true"/>
        </w:rPr>
        <w:t>ثبوت محاربه به اقرار و شهادت</w:t>
      </w:r>
      <w:bookmarkEnd w:id="718"/>
    </w:p>
    <w:p>
      <w:pPr>
        <w:pStyle w:val="Heading4"/>
        <w:numPr>
          <w:ilvl w:val="3"/>
          <w:numId w:val="1"/>
        </w:numPr>
        <w:rPr/>
      </w:pPr>
      <w:bookmarkStart w:id="719" w:name="__RefHeading___Toc162627_3244359995"/>
      <w:bookmarkStart w:id="720" w:name="_Toc280"/>
      <w:bookmarkEnd w:id="719"/>
      <w:r>
        <w:rPr>
          <w:rtl w:val="true"/>
        </w:rPr>
        <w:t>اشاره</w:t>
      </w:r>
      <w:bookmarkEnd w:id="720"/>
    </w:p>
    <w:p>
      <w:pPr>
        <w:pStyle w:val="BookText"/>
        <w:rPr/>
      </w:pPr>
      <w:r>
        <w:rPr>
          <w:rFonts w:ascii="IRNazanin" w:hAnsi="IRNazanin" w:eastAsia="IRNazanin"/>
          <w:color w:val="111111"/>
          <w:sz w:val="28"/>
          <w:sz w:val="28"/>
          <w:szCs w:val="28"/>
          <w:rtl w:val="true"/>
          <w:lang w:bidi="fa-IR"/>
        </w:rPr>
        <w:t>محاربه به یک‌بار اقرار از محارب ثابت می‌شود؛ و احتیاط در دو اقرار است؛ و همین‌طور به شهادت دو مرد عادل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زنان همراه با شهادت مردان یا به تنهایی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دزدها و محاربین بر یکدیگر قبول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کسانی که مالشان را برده‌اند در حقّ یکدیگر مانند این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گروه متعرّض ما شدند و اموالمان را بردند، مقبول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بعضی از افراد به نفع بعض دیگر شهادت دهند، مانند این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ما شدند و اموال آنان را گرفتند، کاری به اموال ما نداشتند؛ پذیرش این شهادت به قواعد شبیه‌تر است</w:t>
      </w:r>
      <w:r>
        <w:rPr>
          <w:rFonts w:eastAsia="IRNazanin" w:cs="IRNazanin"/>
          <w:color w:val="111111"/>
          <w:sz w:val="28"/>
          <w:szCs w:val="28"/>
          <w:rtl w:val="true"/>
          <w:lang w:bidi="fa-IR"/>
        </w:rPr>
        <w:t>.</w:t>
      </w:r>
    </w:p>
    <w:p>
      <w:pPr>
        <w:pStyle w:val="Heading4"/>
        <w:numPr>
          <w:ilvl w:val="3"/>
          <w:numId w:val="1"/>
        </w:numPr>
        <w:rPr/>
      </w:pPr>
      <w:bookmarkStart w:id="721" w:name="__RefHeading___Toc162629_3244359995"/>
      <w:bookmarkStart w:id="722" w:name="_Toc281"/>
      <w:bookmarkEnd w:id="721"/>
      <w:r>
        <w:rPr>
          <w:rtl w:val="true"/>
        </w:rPr>
        <w:t>ثبوت محاربه به اقرار</w:t>
      </w:r>
      <w:bookmarkEnd w:id="722"/>
    </w:p>
    <w:p>
      <w:pPr>
        <w:pStyle w:val="BookText"/>
        <w:rPr/>
      </w:pPr>
      <w:r>
        <w:rPr>
          <w:rFonts w:ascii="IRNazanin" w:hAnsi="IRNazanin" w:eastAsia="IRNazanin"/>
          <w:color w:val="111111"/>
          <w:sz w:val="28"/>
          <w:sz w:val="28"/>
          <w:szCs w:val="28"/>
          <w:rtl w:val="true"/>
          <w:lang w:bidi="fa-IR"/>
        </w:rPr>
        <w:t>اگر محارب برای تخفیف گناهانش در آخرت نزد حاکم آمد و اقرار کرد، بدون اشکال با اقرار محاربه ثابت می‌گردد؛ لیکن سخن در این است که آیا یک اقرار کافی است یا باید دو مرتبه اقرار کند؟</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مقتضای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 جایز</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کفایت یک اقرار است؛ لیکن فقهای بزرگ مانند سلّار رحمه الله در مراسم</w:t>
      </w:r>
      <w:r>
        <w:rPr>
          <w:rStyle w:val="FootnoteAnchor"/>
          <w:rtl w:val="true"/>
        </w:rPr>
        <w:footnoteReference w:id="500"/>
      </w:r>
      <w:r>
        <w:rPr>
          <w:rFonts w:ascii="IRNazanin" w:hAnsi="IRNazanin" w:eastAsia="IRNazanin"/>
          <w:color w:val="111111"/>
          <w:sz w:val="28"/>
          <w:sz w:val="28"/>
          <w:szCs w:val="28"/>
          <w:rtl w:val="true"/>
          <w:lang w:bidi="fa-IR"/>
        </w:rPr>
        <w:t>و علّامه رحمه الله در کتاب مختلف</w:t>
      </w:r>
      <w:r>
        <w:rPr>
          <w:rStyle w:val="FootnoteAnchor"/>
          <w:rtl w:val="true"/>
        </w:rPr>
        <w:footnoteReference w:id="501"/>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عنوانی</w:t>
      </w:r>
      <w:bookmarkStart w:id="723" w:name="pg16923_220390"/>
    </w:p>
    <w:p>
      <w:pPr>
        <w:pStyle w:val="BookText"/>
        <w:rPr/>
      </w:pPr>
      <w:bookmarkEnd w:id="723"/>
      <w:r>
        <w:rPr>
          <w:rFonts w:ascii="IRNazanin" w:hAnsi="IRNazanin" w:eastAsia="IRNazanin"/>
          <w:color w:val="111111"/>
          <w:sz w:val="28"/>
          <w:sz w:val="28"/>
          <w:szCs w:val="28"/>
          <w:rtl w:val="true"/>
          <w:lang w:bidi="fa-IR"/>
        </w:rPr>
        <w:t>که موضوع حدّ واقع می‌شود اگر با دو شاهد عادل ثابت شود، ثبوتش نیز به دو اقرار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اقرار را مصداقی از مصادیق شهادت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روایت آن زن آبستن که پس از هر اقرارش 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این شهادت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مرتبه‌ی چهارم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إنّه قد ثبت علیها أربع شهادات</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امام علیه السلام هر اقراری را شهادتی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مبنا، محاربه با شهادت دو عادل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اقرار نیز دوبار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راحل رحمه الله با توجّه به این مطلب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اقرار کافی است، لیکن احتیاط در دو اقرار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جالب توجّه این است که صاحب جواهر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مسأله‌ی محارب، فقیهی را نیز سراغ نداریم که به تعدّد اقرار فتوا داده باشد</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آن ضابطه‌ی کلّی را سلّار و علّامه رحمهما الله در جاهای دیگر گفته‌اند، در این مسأله کسی اقرار متعدّد را لازم ندانسته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انطباق شهادت بر اقرار در روایت گذشته سبب نمی‌شود که برای اقرار بما هو اقرار موضوعیّتی قائل نشویم؛ بلکه آن را از باب اعتبار شهادت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شاهدش این که فقها در تمام ابواب حدود برای اقرار حسابی مستقلّ و جدای از شهادت باز کرده‌اند، نه این که آن را از مصادیق شهادت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عموم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 علی أنفسهم 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کفایت یک مرتبه اقرار دلالت دارد</w:t>
      </w:r>
      <w:r>
        <w:rPr>
          <w:rFonts w:eastAsia="IRNazanin" w:cs="IRNazanin"/>
          <w:color w:val="111111"/>
          <w:sz w:val="28"/>
          <w:szCs w:val="28"/>
          <w:rtl w:val="true"/>
          <w:lang w:bidi="fa-IR"/>
        </w:rPr>
        <w:t>.</w:t>
      </w:r>
    </w:p>
    <w:p>
      <w:pPr>
        <w:pStyle w:val="Heading4"/>
        <w:numPr>
          <w:ilvl w:val="3"/>
          <w:numId w:val="1"/>
        </w:numPr>
        <w:rPr/>
      </w:pPr>
      <w:bookmarkStart w:id="724" w:name="__RefHeading___Toc162631_3244359995"/>
      <w:bookmarkStart w:id="725" w:name="_Toc282"/>
      <w:bookmarkEnd w:id="724"/>
      <w:r>
        <w:rPr>
          <w:rtl w:val="true"/>
        </w:rPr>
        <w:t>ثبوت محاربه به شهادت دو عادل</w:t>
      </w:r>
      <w:bookmarkEnd w:id="725"/>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مسأله‌ی ثبوت محاربه به شهادت دو عادل از فتاوایی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قیاساتها 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هر جا دلیل بر اعتبار شهادت بیش از دو عادل نداشته باشیم، مقتضای عموم دلیل بیّنه، لزوم شهادت دو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زنا و لواط دلیل خاص بر اعتبار شهادت چهار عادل</w:t>
      </w:r>
      <w:bookmarkStart w:id="726" w:name="pg16923_220391"/>
    </w:p>
    <w:p>
      <w:pPr>
        <w:pStyle w:val="BookText"/>
        <w:rPr/>
      </w:pPr>
      <w:bookmarkEnd w:id="726"/>
      <w:r>
        <w:rPr>
          <w:rFonts w:ascii="IRNazanin" w:hAnsi="IRNazanin" w:eastAsia="IRNazanin"/>
          <w:color w:val="111111"/>
          <w:sz w:val="28"/>
          <w:sz w:val="28"/>
          <w:szCs w:val="28"/>
          <w:rtl w:val="true"/>
          <w:lang w:bidi="fa-IR"/>
        </w:rPr>
        <w:t>داشتیم؛ به همین جهت، دست از این عموم برداشتیم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لازمه‌ی عمومیّت دلیل حجّیت بیّنه این است که هر موضوع از موضوعات خارجی با دو شاهد عادل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بیّنه بر خمر بودن مایعی شهادت داد، این شهادت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محاربه نیز یکی از عناوین واقعی است؛ لذا، شهادت بیّنه بر محارب بودن فردی برای حاکم حجّیت دارد و باید به آن ترتیب اثر دهد</w:t>
      </w:r>
      <w:r>
        <w:rPr>
          <w:rFonts w:eastAsia="IRNazanin" w:cs="IRNazanin"/>
          <w:color w:val="111111"/>
          <w:sz w:val="28"/>
          <w:szCs w:val="28"/>
          <w:rtl w:val="true"/>
          <w:lang w:bidi="fa-IR"/>
        </w:rPr>
        <w:t>.</w:t>
      </w:r>
    </w:p>
    <w:p>
      <w:pPr>
        <w:pStyle w:val="Heading4"/>
        <w:numPr>
          <w:ilvl w:val="3"/>
          <w:numId w:val="1"/>
        </w:numPr>
        <w:rPr/>
      </w:pPr>
      <w:bookmarkStart w:id="727" w:name="__RefHeading___Toc162633_3244359995"/>
      <w:bookmarkStart w:id="728" w:name="_Toc283"/>
      <w:bookmarkEnd w:id="727"/>
      <w:r>
        <w:rPr>
          <w:rtl w:val="true"/>
        </w:rPr>
        <w:t>شهادت زنان در باب محاربه</w:t>
      </w:r>
      <w:bookmarkEnd w:id="728"/>
    </w:p>
    <w:p>
      <w:pPr>
        <w:pStyle w:val="BookText"/>
        <w:rPr/>
      </w:pPr>
      <w:r>
        <w:rPr>
          <w:rFonts w:ascii="IRNazanin" w:hAnsi="IRNazanin" w:eastAsia="IRNazanin"/>
          <w:color w:val="111111"/>
          <w:sz w:val="28"/>
          <w:sz w:val="28"/>
          <w:szCs w:val="28"/>
          <w:rtl w:val="true"/>
          <w:lang w:bidi="fa-IR"/>
        </w:rPr>
        <w:t>در موارد متعدّد به این بحث اشاره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شهادت زنان را به طور مستقلّ یا منضمّ به شهادت مردان قبول ندارند؛ ولی ما از روایات وارده استفاده کردیم که شهادت زنان به‌طور مستقلّ در حدود کفایت نمی‌کند امّا منضمّ به شهادت مردان فایده دارد؛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 شاهد مرد لازم باشد، قدر متیقّن از دلیل کفایت شهادت سه مرد و دو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دو مرد و چهار زن از روایت استفاده نمی‌شود؛ اگر در موردی دو مرد عادل باید شهادت دهند تا بر آن شهادت اثری مترتّب گردد، صورت انضمام شهادت زنان به شهادت مردان فقط به شهادت یک مرد و دو زن حاصل می‌شود و فرض دیگر ندارد</w:t>
      </w:r>
      <w:r>
        <w:rPr>
          <w:rFonts w:eastAsia="IRNazanin" w:cs="IRNazanin"/>
          <w:color w:val="111111"/>
          <w:sz w:val="28"/>
          <w:szCs w:val="28"/>
          <w:rtl w:val="true"/>
          <w:lang w:bidi="fa-IR"/>
        </w:rPr>
        <w:t>.</w:t>
      </w:r>
    </w:p>
    <w:p>
      <w:pPr>
        <w:pStyle w:val="Heading4"/>
        <w:numPr>
          <w:ilvl w:val="3"/>
          <w:numId w:val="1"/>
        </w:numPr>
        <w:rPr/>
      </w:pPr>
      <w:bookmarkStart w:id="729" w:name="__RefHeading___Toc162635_3244359995"/>
      <w:bookmarkStart w:id="730" w:name="_Toc284"/>
      <w:bookmarkEnd w:id="729"/>
      <w:r>
        <w:rPr>
          <w:rtl w:val="true"/>
        </w:rPr>
        <w:t>شهادت دزدان و محاربین علیه یکدیگر</w:t>
      </w:r>
      <w:bookmarkEnd w:id="730"/>
    </w:p>
    <w:p>
      <w:pPr>
        <w:pStyle w:val="BookText"/>
        <w:rPr/>
      </w:pPr>
      <w:r>
        <w:rPr>
          <w:rFonts w:ascii="IRNazanin" w:hAnsi="IRNazanin" w:eastAsia="IRNazanin"/>
          <w:color w:val="111111"/>
          <w:sz w:val="28"/>
          <w:sz w:val="28"/>
          <w:szCs w:val="28"/>
          <w:rtl w:val="true"/>
          <w:lang w:bidi="fa-IR"/>
        </w:rPr>
        <w:t>از آن‌جا که مفسّران شأن نزول آیه‌ی محاربه را در مورد راهزنان و قطّاع طریق گفته‌اند، لذا مسائلی که در باب محارب مطرح می‌شود، بیشتر در رابطه با قافله و قاطع طریق و امثال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طلیع و ردء را نیز استثنا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اگر بعضی از محاربین علیه رفقای خودشان شهادت دادند، شهادتشان پذیرفته نیست؛ زیرا، پذیرش شهادت، مشروط به عدالت است که محارب فاقد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مسأله در جایی است که چند نفر از راهزنان را دستگیر کردند، آنان می‌گویند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چند نفر نبودیم، بلکه زید و عمرو نیز با ما هم‌دست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از زید و عمرو اطّلاع نداشت که قاطع طریق‌اند؛ در این صورت، شهادت راهزنان علیه زید و عمرو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علم اجمالی داشته باشیم که همراه این راهزنان دو نفر دیگر بوده‌اند ولی آنان را نشناسیم، به استناد شهادت دستگیرشدگان نمی‌توان بر زید و عمرو حکم محارب داد</w:t>
      </w:r>
      <w:r>
        <w:rPr>
          <w:rFonts w:eastAsia="IRNazanin" w:cs="IRNazanin"/>
          <w:color w:val="111111"/>
          <w:sz w:val="28"/>
          <w:szCs w:val="28"/>
          <w:rtl w:val="true"/>
          <w:lang w:bidi="fa-IR"/>
        </w:rPr>
        <w:t>.</w:t>
      </w:r>
      <w:bookmarkStart w:id="731" w:name="pg16923_220392"/>
    </w:p>
    <w:p>
      <w:pPr>
        <w:pStyle w:val="Heading4"/>
        <w:numPr>
          <w:ilvl w:val="3"/>
          <w:numId w:val="1"/>
        </w:numPr>
        <w:rPr/>
      </w:pPr>
      <w:bookmarkStart w:id="732" w:name="__RefHeading___Toc162637_3244359995"/>
      <w:bookmarkStart w:id="733" w:name="_Toc285"/>
      <w:bookmarkEnd w:id="731"/>
      <w:bookmarkEnd w:id="732"/>
      <w:r>
        <w:rPr>
          <w:rtl w:val="true"/>
        </w:rPr>
        <w:t>شهادت افراد قافله بر محاربه</w:t>
      </w:r>
      <w:bookmarkEnd w:id="733"/>
    </w:p>
    <w:p>
      <w:pPr>
        <w:pStyle w:val="BookText"/>
        <w:rPr/>
      </w:pPr>
      <w:r>
        <w:rPr>
          <w:rFonts w:ascii="IRNazanin" w:hAnsi="IRNazanin" w:eastAsia="IRNazanin"/>
          <w:color w:val="111111"/>
          <w:sz w:val="28"/>
          <w:sz w:val="28"/>
          <w:szCs w:val="28"/>
          <w:rtl w:val="true"/>
          <w:lang w:bidi="fa-IR"/>
        </w:rPr>
        <w:t xml:space="preserve">اگر دو شاهد عادلی که خارج از قافله هستند شهادت دهند این قافله مورد هجوم زید و عمرو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بدون اشکال محارب بودن مهاجمین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افراد قافله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قافله‌ی ما حمله کردند، افراد را ترسانیدند و اموالشان را به غارت بردند، در صورتی که افراد فاسقی باشند، شهادتشان مفید فایده نیست؛ امّا اگر افراد عادلی هستند، شهادتشان چهار فرض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قافله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گروه متعرّض ما شدند و اموالمان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فتوا و روایت عدم پذیرش این شهادت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عدالت، کمبود و نقصی دیده نمی‌شود؛ مانع پذیرفتن این شهادت، مسأله تهمت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هجوم مهاجمین به این قافله، در شهود عداوت و دشمنی نسبت به آنان ایجاد می‌شود؛ لذا، ممکن است شهادتشان مطابق با واقع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اتّهام مانع پذیرفتن شهادتشان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شهادات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عدالت در شاهد کافی نیست، بلکه باید مورد اتهام هم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افراد قافله از دستبرد راهزنان مصون نمانده است، لیکن در مقام شهادت، زید و عمرو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گروه مزاحم ما شدند و مال بکر و خالد را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بکر و خالد نیز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گروه مزاحم ما شدند و مال زید و عمرو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فرض نیز مانند فرض اوّل شهادت شهود ردّ می‌شود؟</w:t>
      </w:r>
    </w:p>
    <w:p>
      <w:pPr>
        <w:pStyle w:val="BookText"/>
        <w:rPr/>
      </w:pPr>
      <w:r>
        <w:rPr>
          <w:rFonts w:ascii="IRNazanin" w:hAnsi="IRNazanin" w:eastAsia="IRNazanin"/>
          <w:color w:val="111111"/>
          <w:sz w:val="28"/>
          <w:sz w:val="28"/>
          <w:szCs w:val="28"/>
          <w:rtl w:val="true"/>
          <w:lang w:bidi="fa-IR"/>
        </w:rPr>
        <w:t>کاشف اللثام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در این‌جا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شهادت شهود؛ زیرا، هر بیّنه‌ای به نفع غیر خودش شهادت داده و پای خود را به میان نیاورده است؛ مانند این که چهار مدیون داشته باشیم، و دو نفر بر معسر بودن دو نفر دیگر شهادت دهند، و این دو نفر نیز شهادت بدهند آن دو نفر قدرت ادای دین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مورد دین این شهادت‌ها مقبول است، در این مورد نیز پذیرفته شود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شهادت است و دو دعوا؛ چون شهادت بدون دعوا معنا ندارد و شهادت برای تثبیت دعواست، لذا با شهادت هر گروه به نفع دیگری، گروه ذی‌نفع مدّعی</w:t>
      </w:r>
    </w:p>
    <w:p>
      <w:pPr>
        <w:pStyle w:val="BookText"/>
        <w:rPr/>
      </w:pPr>
      <w:r>
        <w:rPr>
          <w:rFonts w:ascii="IRNazanin" w:hAnsi="IRNazanin" w:eastAsia="IRNazanin"/>
          <w:color w:val="111111"/>
          <w:sz w:val="28"/>
          <w:sz w:val="28"/>
          <w:szCs w:val="28"/>
          <w:rtl w:val="true"/>
          <w:lang w:bidi="fa-IR"/>
        </w:rPr>
        <w:t>می‌شود؛ در نتیجه همه‌ی آنان مدّعی هستند و مانند فرض اوّل است که شهادت مدّعی پذیرفته نیست</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راهزنان مال همه‌ی افراد قافله را گرفتند ولی زید و بکر شهادت دادند اموال عمرو و خالد را گرفتند و بردند، نسبت به خودشان سکوت کردند و عمرو و خالد نیز شهادتی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قاعده، بدون در نظر گرفتن روایت، این شهادت باید پذیرفته شود؛ زیرا، اتّهامی در کار نیست و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همدیگر نان قرض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عادل شهادت می‌دهند و هیچ سوءظن و تهمتی هم وجود ندارد؛ شهادتشان نقصی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 بکر می‌گویند راهزنان متعرّض ما شدند ولی از ما چیزی نبردند، اموال عمرو و خالد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ریاض رحمه الله</w:t>
      </w:r>
      <w:r>
        <w:rPr>
          <w:rStyle w:val="FootnoteAnchor"/>
          <w:rtl w:val="true"/>
        </w:rPr>
        <w:footnoteReference w:id="505"/>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پذیرش شهادت در این فرض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رحمه الله</w:t>
      </w:r>
      <w:r>
        <w:rPr>
          <w:rStyle w:val="FootnoteAnchor"/>
          <w:rtl w:val="true"/>
        </w:rPr>
        <w:footnoteReference w:id="506"/>
      </w:r>
      <w:r>
        <w:rPr>
          <w:rFonts w:ascii="IRNazanin" w:hAnsi="IRNazanin" w:eastAsia="IRNazanin"/>
          <w:color w:val="111111"/>
          <w:sz w:val="28"/>
          <w:sz w:val="28"/>
          <w:szCs w:val="28"/>
          <w:rtl w:val="true"/>
          <w:lang w:bidi="fa-IR"/>
        </w:rPr>
        <w:t>بر او حمله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یعنی چه؟، باید به‌طور جزم و قطع بپذیرید؛ زیرا، فرقی بین شهادت این دو نفر با شهادت دو نفر اجنبی خارج از صحنه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اتّهامی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 عمرو تصریح می‌کنند از ما چیزی نبردند ولی از بکر و خالد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رحمه الله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علی الأشبه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این عبارت عدم پذیرش شهادت در سه فرض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اوّل، اتّفاق بر قبول نکردن شهادت است؛ و در سه فرض دیگر، اختلاف دارند؛ پس باید به تحقیق مقتضای روایت و قاعده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محمّد بن یحیی، عن أحمد بن محمّد، عن الحسین، عن علیّ بن أسباط، عن محمّد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 علیه السلام عن رفقة کانوا فی طریق فقطع علیهم الطریق وأخذوا اللّصوص، فشهد بعضهم لبعض</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 شهادتهم إلّا بإقرار من اللّصوص أو شهادة من غیرهم علیهم</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صلت توثیق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قافله‌ای در راهی می‌رفتند، راهزنان راه را بستند، پس از آن که قطّاع الطریق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دستگیری آنان توسط افراد قافله یا نیروی دولتی یا پس از شناسایی دزدان، آنان را 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شهادت بعضی از افراد قافله برای بعض دیگر مفید فایده است؟</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شهادتشان مردود است؛ مگر آن که دزدان اقرار کنند یا افرادی غیر از افراد این کاروان علیه دزدان شهادت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فرض اول و دوّم را شامل می‌گردد؛ زیرا، از تعبیر امام علیه السلام در جواب راوی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می‌فهمیم روایت متعرّض صورتی است که همگی، هرچند با فاصله شهادت داده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سوّم که فقط یک گروه به نفع گروه دیگر شهادت می‌دهند، مشمول تعبیر وارد در روایت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سوّم خارج بود، فرض چهارم یا به حکم انصراف یا ظهور خارج است و صاحب ریاض رحمه الله که سه فرض اول را مشمول روایت می‌داند، به خروج فرض چهارم از نص و فتوا تصریح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ضعف سند روایت، صاحب ریاض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بلکه اشهر به آن عمل کرده‌اند؛ لذا روایت معتبر می‌گردد و در تمام مفادش هرچند برخلاف قاعده باشد، باید به آن عمل کرد</w:t>
      </w:r>
      <w:r>
        <w:rPr>
          <w:rFonts w:eastAsia="IRNazanin" w:cs="IRNazanin"/>
          <w:color w:val="111111"/>
          <w:sz w:val="28"/>
          <w:szCs w:val="28"/>
          <w:rtl w:val="true"/>
          <w:lang w:bidi="fa-IR"/>
        </w:rPr>
        <w:t>.</w:t>
      </w:r>
      <w:r>
        <w:rPr>
          <w:rStyle w:val="FootnoteAnchor"/>
          <w:rtl w:val="true"/>
        </w:rPr>
        <w:footnoteReference w:id="508"/>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به این صورت که صاحب ریاض رحمه الله می‌گوید،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مرحوم محقّق</w:t>
      </w:r>
      <w:r>
        <w:rPr>
          <w:rStyle w:val="FootnoteAnchor"/>
          <w:rtl w:val="true"/>
        </w:rPr>
        <w:footnoteReference w:id="509"/>
      </w:r>
      <w:r>
        <w:rPr>
          <w:rFonts w:ascii="IRNazanin" w:hAnsi="IRNazanin" w:eastAsia="IRNazanin"/>
          <w:color w:val="111111"/>
          <w:sz w:val="28"/>
          <w:sz w:val="28"/>
          <w:szCs w:val="28"/>
          <w:rtl w:val="true"/>
          <w:lang w:bidi="fa-IR"/>
        </w:rPr>
        <w:t>و علّامه‌ی حلّی رحمهما الله</w:t>
      </w:r>
      <w:r>
        <w:rPr>
          <w:rStyle w:val="FootnoteAnchor"/>
          <w:rtl w:val="true"/>
        </w:rPr>
        <w:footnoteReference w:id="510"/>
      </w:r>
      <w:r>
        <w:rPr>
          <w:rFonts w:ascii="IRNazanin" w:hAnsi="IRNazanin" w:eastAsia="IRNazanin"/>
          <w:color w:val="111111"/>
          <w:sz w:val="28"/>
          <w:sz w:val="28"/>
          <w:szCs w:val="28"/>
          <w:rtl w:val="true"/>
          <w:lang w:bidi="fa-IR"/>
        </w:rPr>
        <w:t>و جماعتی معتقدند در غیر فرض اول، شهادت شهود را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شمول عباراتشان نسبت به فرض دوّم روشن نیست، ولی خروج فرض سوّم و چهارم از تحت روایت قطعی است</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آیا روایت شامل هر چهار فرض می‌شود، امّا اصحاب فقط در فرض اوّل به آن عمل کرده‌اند یا این که روایت فقط صورت اوّل را شامل می‌شود و بقیه‌ی فروض را نمی‌گیرد؟ به هر حال، در فرض اوّل، شهادت شهود به طور قطع پذیرفته نمی‌شود؛ در فرض چهارم، بر طبق قاعده، باید پذیرفته شود؛ لیکن در فرض دوّم و سوّم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جابری برای روایت داشتیم و شامل صورت دوّم وسوّم می‌شد، قاعده را کنار می‌گذاشتیم؛ لیکن در صورت سوّم، باید قاعده را پذیرفت و شهادت شهود را قبول کرد، در صورت دوّم همان طور که کاشف اللثام رحمه الله اشاره کرد، محتمل الوجهین است؛ در یک وجهش به صورت اول بازگشت دارد؛ زیرا، تمام افراد مدّعی می‌شوند؛ و در یک وجهش به شهادت مدیونین بازگشت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نزدیک‌تر است؛ زیرا، فرقی بین این مسأله و مسأله‌ی مدیونین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راحل رحمه الله در فرض چهارم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علی الأشبه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قبول در این فرض بر طبق قاعده است؛ و ظاهرش این است که روایت آن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امام رحمه الله عدم قبول در سه فرض دیگر است؛ زیرا، فقط فرض چهارم را استثنا کرده‌اند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اوّل شهادت شهود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دوّم، دو وجه احتمال دارد که اقرب پذیرش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سوّم و چهارم نیز قبول شهادت علی‌القاعده است</w:t>
      </w:r>
      <w:r>
        <w:rPr>
          <w:rFonts w:eastAsia="IRNazanin" w:cs="IRNazanin"/>
          <w:color w:val="111111"/>
          <w:sz w:val="28"/>
          <w:szCs w:val="28"/>
          <w:rtl w:val="true"/>
          <w:lang w:bidi="fa-IR"/>
        </w:rPr>
        <w:t>.</w:t>
      </w:r>
      <w:bookmarkStart w:id="734" w:name="pg16923_220396"/>
    </w:p>
    <w:p>
      <w:pPr>
        <w:pStyle w:val="BookText"/>
        <w:rPr/>
      </w:pPr>
      <w:bookmarkEnd w:id="7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المحارب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فی الحدّ تخییر الحاکم بین القتل والصلب والقطع مخالفاً والنفی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یبعد أن یکون الأولی له أن یلاحظ الجنایة ویختار ما یناسبها، فلو قتل اختار القتل أو الصلب، ولو أخذ المال اختار القطع، ولو شهر السیف وأخاف فقط اختار النفی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اضطربت کلمات الفقهاء والروایات، والاولی ما ذکرنا</w:t>
      </w:r>
      <w:r>
        <w:rPr>
          <w:rFonts w:eastAsia="IRNazanin" w:cs="IRNazanin"/>
          <w:color w:val="111111"/>
          <w:sz w:val="28"/>
          <w:szCs w:val="28"/>
          <w:rtl w:val="true"/>
          <w:lang w:bidi="fa-IR"/>
        </w:rPr>
        <w:t>.]</w:t>
      </w:r>
    </w:p>
    <w:p>
      <w:pPr>
        <w:pStyle w:val="Heading3"/>
        <w:numPr>
          <w:ilvl w:val="2"/>
          <w:numId w:val="1"/>
        </w:numPr>
        <w:rPr/>
      </w:pPr>
      <w:bookmarkStart w:id="735" w:name="__RefHeading___Toc162639_3244359995"/>
      <w:bookmarkStart w:id="736" w:name="_Toc286"/>
      <w:bookmarkEnd w:id="735"/>
      <w:r>
        <w:rPr>
          <w:rtl w:val="true"/>
        </w:rPr>
        <w:t>حدّ محارب</w:t>
      </w:r>
      <w:bookmarkEnd w:id="736"/>
    </w:p>
    <w:p>
      <w:pPr>
        <w:pStyle w:val="Heading4"/>
        <w:numPr>
          <w:ilvl w:val="3"/>
          <w:numId w:val="1"/>
        </w:numPr>
        <w:rPr/>
      </w:pPr>
      <w:bookmarkStart w:id="737" w:name="__RefHeading___Toc162641_3244359995"/>
      <w:bookmarkStart w:id="738" w:name="_Toc287"/>
      <w:bookmarkEnd w:id="737"/>
      <w:r>
        <w:rPr>
          <w:rtl w:val="true"/>
        </w:rPr>
        <w:t>اشاره</w:t>
      </w:r>
      <w:bookmarkEnd w:id="738"/>
    </w:p>
    <w:p>
      <w:pPr>
        <w:pStyle w:val="BookText"/>
        <w:rPr/>
      </w:pPr>
      <w:r>
        <w:rPr>
          <w:rFonts w:ascii="IRNazanin" w:hAnsi="IRNazanin" w:eastAsia="IRNazanin"/>
          <w:color w:val="111111"/>
          <w:sz w:val="28"/>
          <w:sz w:val="28"/>
          <w:szCs w:val="28"/>
          <w:rtl w:val="true"/>
          <w:lang w:bidi="fa-IR"/>
        </w:rPr>
        <w:t>تخییر حاکم بین قتل، صلب، قطع دست و پا برخلاف یکدیگر و تبعید، اقواست؛ و بعید نیست اولی این باشد که حاکم به تناسب جنایت و جرم یکی از چهار حدّ را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محارب کسی را کشته است، حدّ قتل یا صلب را بر او اقامه کند؛ اگر مالی را گرفته، قطع را؛ اگر شمشیری کشیده و فقط ترس ایجاد کرده، نفی بلد را برایش انتخاب کند</w:t>
      </w:r>
      <w:r>
        <w:rPr>
          <w:rFonts w:eastAsia="IRNazanin" w:cs="IRNazanin"/>
          <w:color w:val="111111"/>
          <w:sz w:val="28"/>
          <w:szCs w:val="28"/>
          <w:rtl w:val="true"/>
          <w:lang w:bidi="fa-IR"/>
        </w:rPr>
        <w:t>.</w:t>
      </w:r>
    </w:p>
    <w:p>
      <w:pPr>
        <w:pStyle w:val="Heading4"/>
        <w:numPr>
          <w:ilvl w:val="3"/>
          <w:numId w:val="1"/>
        </w:numPr>
        <w:rPr/>
      </w:pPr>
      <w:bookmarkStart w:id="739" w:name="__RefHeading___Toc162643_3244359995"/>
      <w:bookmarkStart w:id="740" w:name="_Toc288"/>
      <w:bookmarkEnd w:id="739"/>
      <w:r>
        <w:rPr>
          <w:rtl w:val="true"/>
        </w:rPr>
        <w:t>تخییری یا تعیینی بودن حدّ محارب</w:t>
      </w:r>
      <w:bookmarkEnd w:id="740"/>
    </w:p>
    <w:p>
      <w:pPr>
        <w:pStyle w:val="BookText"/>
        <w:rPr/>
      </w:pPr>
      <w:r>
        <w:rPr>
          <w:rFonts w:ascii="Amiri" w:hAnsi="Amiri" w:eastAsia="Amiri" w:cs="Amiri"/>
          <w:color w:val="111111"/>
          <w:sz w:val="28"/>
          <w:sz w:val="28"/>
          <w:szCs w:val="28"/>
          <w:rtl w:val="true"/>
          <w:lang w:bidi="ar-SA"/>
        </w:rPr>
        <w:t>ظاهر آیه‌ی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جَزَ ؤُاْ الَّذِینَ یُحَارِبُونَ اللَّهَ وَرَسُولَهُ‌و وَیَسْعَوْنَ فِی الْأَرْضِ فَسَادًا أَن یُقَتَّلُواْ أَوْ یُصَلَّبُواْ أَوْ تُقَطَّعَ أَیْدِیهِمْ وَأَرْجُلُهُم مّنْ خِلفٍ أَوْ یُنفَوْاْ مِنَ الْأَرْضِ </w:t>
      </w:r>
      <w:r>
        <w:rPr>
          <w:rFonts w:eastAsia="Amiri" w:cs="Amiri" w:ascii="Amiri" w:hAnsi="Amiri"/>
          <w:color w:val="111111"/>
          <w:sz w:val="28"/>
          <w:szCs w:val="28"/>
          <w:rtl w:val="true"/>
          <w:lang w:bidi="ar-SA"/>
        </w:rPr>
        <w:t>....</w:t>
      </w:r>
      <w:r>
        <w:rPr>
          <w:rStyle w:val="FootnoteAnchor"/>
          <w:rtl w:val="true"/>
        </w:rPr>
        <w:footnoteReference w:id="512"/>
      </w:r>
      <w:r>
        <w:rPr>
          <w:rFonts w:ascii="IRNazanin" w:hAnsi="IRNazanin" w:eastAsia="IRNazanin"/>
          <w:color w:val="111111"/>
          <w:sz w:val="28"/>
          <w:sz w:val="28"/>
          <w:szCs w:val="28"/>
          <w:rtl w:val="true"/>
          <w:lang w:bidi="fa-IR"/>
        </w:rPr>
        <w:t xml:space="preserve">به سبب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بین حدود اربعه است؛ یعنی حاکم شرع مخیّر است محارب را بکشد، یا به دار آویزد، یا دست و پایش را به‌طور مخالف قطع کند؛ یعنی از دست راست، تا اصول اصابع و از پای چپ تا کعب و برآمدگی آن؛ همان حدّ اوّل و دوّم سارق را یک‌جا در مورد محارب اجرا کند، و یا او را از آن مکان تبعید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بخواهد برخلاف ظهور آیه سخن بگوید و دست از تخییر بردارد و آن را بعید بداند، باید یکی از دو راه زیر را انتخاب کند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حدود در رتبه‌ی واحد نیستند، بلکه آن‌ها متفاوت است؛ قتل با تبعید و قطع دست و پا چگونه هم‌سطح‌اند؟</w:t>
      </w:r>
      <w:bookmarkStart w:id="741" w:name="pg16923_220397"/>
    </w:p>
    <w:p>
      <w:pPr>
        <w:pStyle w:val="BookText"/>
        <w:rPr/>
      </w:pPr>
      <w:bookmarkEnd w:id="741"/>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 مراتبی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محاربی که مرتکب قتل می‌شود، محاربی که مال می‌برد، و محاربی که به قصد ترساندن مردم و فساد در زمین سلاح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سه مرتبه نیست؟ در یک درجه فقط ترساندن است، در درجه‌ی دوّم اخافه و مال بردن می‌باشد و در درجه‌ی سوّم اخافه و اخذ مال و خونریزی است؛ با اختلاف درجات چگونه می‌توان به یک نوع حدّ قائل شد؟</w:t>
      </w:r>
    </w:p>
    <w:p>
      <w:pPr>
        <w:pStyle w:val="BookText"/>
        <w:rPr/>
      </w:pPr>
      <w:r>
        <w:rPr>
          <w:rFonts w:ascii="IRNazanin" w:hAnsi="IRNazanin" w:eastAsia="IRNazanin"/>
          <w:color w:val="111111"/>
          <w:sz w:val="28"/>
          <w:sz w:val="28"/>
          <w:szCs w:val="28"/>
          <w:rtl w:val="true"/>
          <w:lang w:bidi="fa-IR"/>
        </w:rPr>
        <w:t>هر دو استبعاد در مقابل ظهور دلیل هیچ نقشی ندارد؛ یعنی اگر ما باشیم و این آیه‌ی قرآن و روایاتی نبود، نمی‌توانستیم به مجرّد این استبعادها دست از ظهور آیه در تخییر برداریم؛ زیرا، این‌گونه استبعادها به استحسان بازگشت دارد که مبنای فقه امامیّه بر آن متوقّف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آیه‌ی شریفه بر تخییر دلالت می‌کند و اختیار را به دست حاکم می‌دهد؛ امّا این مسأله به‌طور کامل مورد اختلاف بسیار مهمّی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قدما مانند شیخ مفید،</w:t>
      </w:r>
      <w:r>
        <w:rPr>
          <w:rStyle w:val="FootnoteAnchor"/>
          <w:rtl w:val="true"/>
        </w:rPr>
        <w:footnoteReference w:id="513"/>
      </w:r>
      <w:r>
        <w:rPr>
          <w:rFonts w:ascii="IRNazanin" w:hAnsi="IRNazanin" w:eastAsia="IRNazanin"/>
          <w:color w:val="111111"/>
          <w:sz w:val="28"/>
          <w:sz w:val="28"/>
          <w:szCs w:val="28"/>
          <w:rtl w:val="true"/>
          <w:lang w:bidi="fa-IR"/>
        </w:rPr>
        <w:t>شیخ صدوق،</w:t>
      </w:r>
      <w:r>
        <w:rPr>
          <w:rStyle w:val="FootnoteAnchor"/>
          <w:rtl w:val="true"/>
        </w:rPr>
        <w:footnoteReference w:id="514"/>
      </w:r>
      <w:r>
        <w:rPr>
          <w:rFonts w:ascii="IRNazanin" w:hAnsi="IRNazanin" w:eastAsia="IRNazanin"/>
          <w:color w:val="111111"/>
          <w:sz w:val="28"/>
          <w:sz w:val="28"/>
          <w:szCs w:val="28"/>
          <w:rtl w:val="true"/>
          <w:lang w:bidi="fa-IR"/>
        </w:rPr>
        <w:t xml:space="preserve">ابن‌ادریس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r>
        <w:rPr>
          <w:rStyle w:val="FootnoteAnchor"/>
          <w:rtl w:val="true"/>
        </w:rPr>
        <w:footnoteReference w:id="515"/>
      </w:r>
      <w:r>
        <w:rPr>
          <w:rFonts w:ascii="IRNazanin" w:hAnsi="IRNazanin" w:eastAsia="IRNazanin"/>
          <w:color w:val="111111"/>
          <w:sz w:val="28"/>
          <w:sz w:val="28"/>
          <w:szCs w:val="28"/>
          <w:rtl w:val="true"/>
          <w:lang w:bidi="fa-IR"/>
        </w:rPr>
        <w:t>و اکثر متأخّرین و هم‌چنین امام راحل رحمه الله به تخییر قائل‌اند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شیخ طوسی رحمه الله در کتاب نهایه،</w:t>
      </w:r>
      <w:r>
        <w:rPr>
          <w:rStyle w:val="FootnoteAnchor"/>
          <w:rtl w:val="true"/>
        </w:rPr>
        <w:footnoteReference w:id="516"/>
      </w:r>
      <w:r>
        <w:rPr>
          <w:rFonts w:ascii="IRNazanin" w:hAnsi="IRNazanin" w:eastAsia="IRNazanin"/>
          <w:color w:val="111111"/>
          <w:sz w:val="28"/>
          <w:sz w:val="28"/>
          <w:szCs w:val="28"/>
          <w:rtl w:val="true"/>
          <w:lang w:bidi="fa-IR"/>
        </w:rPr>
        <w:t>و ابوعلی اسکافی رحمه الله</w:t>
      </w:r>
      <w:r>
        <w:rPr>
          <w:rStyle w:val="FootnoteAnchor"/>
          <w:rtl w:val="true"/>
        </w:rPr>
        <w:footnoteReference w:id="517"/>
      </w:r>
      <w:r>
        <w:rPr>
          <w:rFonts w:ascii="IRNazanin" w:hAnsi="IRNazanin" w:eastAsia="IRNazanin"/>
          <w:color w:val="111111"/>
          <w:sz w:val="28"/>
          <w:sz w:val="28"/>
          <w:szCs w:val="28"/>
          <w:rtl w:val="true"/>
          <w:lang w:bidi="fa-IR"/>
        </w:rPr>
        <w:t>، مرحوم ابن‌زهره در کتاب غنیة</w:t>
      </w:r>
      <w:r>
        <w:rPr>
          <w:rStyle w:val="FootnoteAnchor"/>
          <w:rtl w:val="true"/>
        </w:rPr>
        <w:footnoteReference w:id="518"/>
      </w:r>
      <w:r>
        <w:rPr>
          <w:rFonts w:ascii="IRNazanin" w:hAnsi="IRNazanin" w:eastAsia="IRNazanin"/>
          <w:color w:val="111111"/>
          <w:sz w:val="28"/>
          <w:sz w:val="28"/>
          <w:szCs w:val="28"/>
          <w:rtl w:val="true"/>
          <w:lang w:bidi="fa-IR"/>
        </w:rPr>
        <w:t>و کثیری از اتباع شیخ طوسی رحمه الله به ترتیب قائل‌اند؛ و در کیفیّت ترتیب نیز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دو اختلاف وجود دارد که باید در دو جهت بحث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دلیلی بر ترتیب داریم یا باید به تخییر قائل 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ثبوت ترتیب، کیفیّت آن چگونه است؟</w:t>
      </w:r>
    </w:p>
    <w:p>
      <w:pPr>
        <w:pStyle w:val="Heading4"/>
        <w:numPr>
          <w:ilvl w:val="3"/>
          <w:numId w:val="1"/>
        </w:numPr>
        <w:rPr/>
      </w:pPr>
      <w:bookmarkStart w:id="742" w:name="__RefHeading___Toc162645_3244359995"/>
      <w:bookmarkStart w:id="743" w:name="_Toc289"/>
      <w:bookmarkEnd w:id="742"/>
      <w:r>
        <w:rPr>
          <w:rtl w:val="true"/>
        </w:rPr>
        <w:t>مقام اوّل</w:t>
      </w:r>
      <w:r>
        <w:rPr>
          <w:rtl w:val="true"/>
        </w:rPr>
        <w:t xml:space="preserve">: </w:t>
      </w:r>
      <w:r>
        <w:rPr>
          <w:rtl w:val="true"/>
        </w:rPr>
        <w:t>ترتیب یا تخییر؟</w:t>
      </w:r>
      <w:bookmarkEnd w:id="743"/>
    </w:p>
    <w:p>
      <w:pPr>
        <w:pStyle w:val="Heading5"/>
        <w:numPr>
          <w:ilvl w:val="4"/>
          <w:numId w:val="1"/>
        </w:numPr>
        <w:rPr/>
      </w:pPr>
      <w:bookmarkStart w:id="744" w:name="__RefHeading___Toc162647_3244359995"/>
      <w:bookmarkStart w:id="745" w:name="_Toc290"/>
      <w:bookmarkEnd w:id="744"/>
      <w:r>
        <w:rPr>
          <w:rtl w:val="true"/>
        </w:rPr>
        <w:t>اشاره</w:t>
      </w:r>
      <w:bookmarkEnd w:id="745"/>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طایفه روایاتی که بر ترتیب دلالت دارد؛ و طایفه دوّم، روایاتی که بر کیفیّت ترتیب دلالت دارد؛ یعنی اصل ترتیب را مفروغ عنه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دو دسته، روایاتی داریم که بر تخییر دلالت دارد</w:t>
      </w:r>
      <w:r>
        <w:rPr>
          <w:rFonts w:eastAsia="IRNazanin" w:cs="IRNazanin"/>
          <w:color w:val="111111"/>
          <w:sz w:val="28"/>
          <w:szCs w:val="28"/>
          <w:rtl w:val="true"/>
          <w:lang w:bidi="fa-IR"/>
        </w:rPr>
        <w:t>.</w:t>
      </w:r>
      <w:bookmarkStart w:id="746" w:name="pg16923_220398"/>
    </w:p>
    <w:p>
      <w:pPr>
        <w:pStyle w:val="Heading5"/>
        <w:numPr>
          <w:ilvl w:val="4"/>
          <w:numId w:val="1"/>
        </w:numPr>
        <w:rPr/>
      </w:pPr>
      <w:bookmarkStart w:id="747" w:name="__RefHeading___Toc162649_3244359995"/>
      <w:bookmarkStart w:id="748" w:name="_Toc291"/>
      <w:bookmarkEnd w:id="746"/>
      <w:bookmarkEnd w:id="747"/>
      <w:r>
        <w:rPr>
          <w:rtl w:val="true"/>
        </w:rPr>
        <w:t>ادلّه‌ی تخییر</w:t>
      </w:r>
      <w:bookmarkEnd w:id="7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عن أبیه، عن ابن أبی عمیر،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عزّوجلّ إِنَّمَا جَزَ ؤُاْ الَّذِینَ یُحَارِبُونَ اللَّهَ وَرَسُولَهُ‌و وَیَسْعَوْنَ فِی الْأَرْضِ فَسَادًا أَن یُقَتَّلُواْ أَوْ یُصَلَّبُواْ أَوْ تُقَطَّعَ أَیْدِیهِمْ إلی آخر الآیة، أیّ شی‌ء علیه من هذه الحدود الّتی سمّی اللَّه عزّ 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إلی الإمام إن شاء قطع وإن شاء نفی، وإن شاء صلب، وإن شاء 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النفی إلی أین؟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مصر إلی مصر آخر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نفی رجلین من الکوفة إلی البصرة</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درّاج از امام صادق علیه السلام پیرامون آیه‌ی شریفه‌ای که درباره‌ی حدّ محارب نازل شده است،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چهار حدّی که خداوند در آیه فرموده است، در حقّ محارب اجرا می‌شود؟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موکول به مشیّت و اراده‌ی حاکم است؛ هر کدام را انتخاب کند،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او را تبعید کند؟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شهری به شهر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دو نفر را از بصره به کوفه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سائل تصوّر می‌کرده است تبعید باید به بیابان یا شهری با آب و هوای بد باشد، از این‌رو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روایت که با توجّه به آیه‌ی شریفه صادر شده و همان مضمون آیه را تثبیت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روایت، ابراهیم بن هاشم است که به‌نظر ما، ثقه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محمّد بن یحیی، عن أحمد بن محمّد، عن ابن محبوب، عن أبی أیّوب، عن محمّد بن مسلم، عن أبی جعفر علیه السلام، قال</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شهر السّلاح فی مصر من الأمصار فعقر اقتصّ منه ونفی من تلک البلد،</w:t>
      </w:r>
      <w:bookmarkStart w:id="749" w:name="pg16923_220399"/>
    </w:p>
    <w:p>
      <w:pPr>
        <w:pStyle w:val="BookText"/>
        <w:rPr/>
      </w:pPr>
      <w:bookmarkEnd w:id="749"/>
      <w:r>
        <w:rPr>
          <w:rFonts w:ascii="IRNazanin" w:hAnsi="IRNazanin" w:eastAsia="IRNazanin"/>
          <w:color w:val="111111"/>
          <w:sz w:val="28"/>
          <w:sz w:val="28"/>
          <w:szCs w:val="28"/>
          <w:rtl w:val="true"/>
          <w:lang w:bidi="fa-IR"/>
        </w:rPr>
        <w:t>ومن شهر السلاح فی مصر من الأمصار وضرب وعقر وأخذ المال ولم یقتل فهو محارب، فجزاؤه جزاء المحارب وأمره إلی الإمام إن شاء قتله وصلبه وإن شاء قطع یده ورجله،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ضرب وقتل وأخذ المال فَعَلَی الإمام أن یقطع یده الیمنی بالسّرقة ثمّ یدفعه إلی أولیاء المقتول فیتبعونه بالمال ثمّ یقتلونه </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صحیحه،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شهری از شهرها سلاح بکشد و پایی را قطع کند، از او قصاص می‌شود و از آن شهر تبعید می‌گردد؛ و اگر کسی در شهری از شهرها سلاح کشید، کتک‌کاری کرد، پی زد، مال گرفت ولی کسی را نکشت، او محارب است و عقوبتش به دست امام است؛ اگر خواست او را می‌کشد و به صلیب می‌آویزد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هر دو مقصود نیست، بلکه به نحو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خواست، دست و پایش را قطع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امام علیه السلام فردی را که دارای خصوصیّاتی است، به عنوان محارب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بین حدود اربعه مخیّر است</w:t>
      </w:r>
      <w:r>
        <w:rPr>
          <w:rFonts w:eastAsia="IRNazanin" w:cs="IRNazanin"/>
          <w:color w:val="111111"/>
          <w:sz w:val="28"/>
          <w:szCs w:val="28"/>
          <w:rtl w:val="true"/>
          <w:lang w:bidi="fa-IR"/>
        </w:rPr>
        <w:t>.</w:t>
      </w:r>
    </w:p>
    <w:p>
      <w:pPr>
        <w:pStyle w:val="Heading5"/>
        <w:numPr>
          <w:ilvl w:val="4"/>
          <w:numId w:val="1"/>
        </w:numPr>
        <w:rPr/>
      </w:pPr>
      <w:bookmarkStart w:id="750" w:name="__RefHeading___Toc162651_3244359995"/>
      <w:bookmarkStart w:id="751" w:name="_Toc292"/>
      <w:bookmarkEnd w:id="750"/>
      <w:r>
        <w:rPr>
          <w:rtl w:val="true"/>
        </w:rPr>
        <w:t>دلیل ترتیب</w:t>
      </w:r>
      <w:bookmarkEnd w:id="751"/>
    </w:p>
    <w:p>
      <w:pPr>
        <w:pStyle w:val="BookText"/>
        <w:rPr/>
      </w:pPr>
      <w:r>
        <w:rPr>
          <w:rFonts w:ascii="Amiri" w:hAnsi="Amiri" w:eastAsia="Amiri" w:cs="Amiri"/>
          <w:color w:val="111111"/>
          <w:sz w:val="28"/>
          <w:sz w:val="28"/>
          <w:szCs w:val="28"/>
          <w:rtl w:val="true"/>
          <w:lang w:bidi="ar-SA"/>
        </w:rPr>
        <w:t>وعن علیّ بن إبراهیم، عن محمّد بن عیسی، عن یونس، عن یحیی الحلبی، عن برید بن معاویة،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وجلّ إِنَّمَا جَزَ ؤُاْ الَّذِینَ یُحَارِبُونَ اللَّهَ وَرَسُولَهُ‌و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إلی الإمام یفعل ما یشاء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فمفوَّض ذلک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نحو الجنایة</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بن معاویه از امام صادق علیه السلام درباره‌ی آیه‌ی محارب پرسید؛ امام متوجّه شدند که نظر برید درباره‌ی حدودی است که در آیه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اجرای این حدود به دست امام است، هر کار می‌خواهد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همین‌جا ختم</w:t>
      </w:r>
    </w:p>
    <w:p>
      <w:pPr>
        <w:pStyle w:val="BookText"/>
        <w:rPr/>
      </w:pPr>
      <w:r>
        <w:rPr>
          <w:rFonts w:ascii="IRNazanin" w:hAnsi="IRNazanin" w:eastAsia="IRNazanin"/>
          <w:color w:val="111111"/>
          <w:sz w:val="28"/>
          <w:sz w:val="28"/>
          <w:szCs w:val="28"/>
          <w:rtl w:val="true"/>
          <w:lang w:bidi="fa-IR"/>
        </w:rPr>
        <w:t>شده بود، از ادلّه‌ی تخییر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امام واگذار شده است؟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لیکن به نحوه‌ی جنایت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الجنایة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 به مقدار و اندازه‌ی جنایت است؛ زیرا 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اندازه و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مرتبه و مقدار جنایت را ملاحظه و حدّی متناسب با آن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رحمه الله</w:t>
      </w:r>
      <w:r>
        <w:rPr>
          <w:rStyle w:val="FootnoteAnchor"/>
          <w:rtl w:val="true"/>
        </w:rPr>
        <w:footnoteReference w:id="522"/>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نحو الجنایة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بحقّ الجنایة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روایات دیگر،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الجنایة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حدّی است که به سبب آن جنایت، مستحقّ جانی است، و برای محارب سزاوار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دلالت روایت</w:t>
      </w:r>
    </w:p>
    <w:p>
      <w:pPr>
        <w:pStyle w:val="BookText"/>
        <w:rPr/>
      </w:pPr>
      <w:r>
        <w:rPr>
          <w:rFonts w:ascii="IRNazanin" w:hAnsi="IRNazanin" w:eastAsia="IRNazanin"/>
          <w:color w:val="111111"/>
          <w:sz w:val="28"/>
          <w:sz w:val="28"/>
          <w:szCs w:val="28"/>
          <w:rtl w:val="true"/>
          <w:lang w:bidi="fa-IR"/>
        </w:rPr>
        <w:t>دو اشکال اساسی در دلالت این روایت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سؤال اوّل راوی، امام علیه السلام پاسخی می‌دهند که از دو حال خارج نیست؛ یا امام علیه السلام بر علم غیب اعتماد کرده و فهمیده است برید سؤال دوّمی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پاسخ اصلی را برای آن سؤال گذاشته است؟ یا در این مسائل علم غیب مطرح نیست، بلکه باید بر ظاهر حال، حکم کرد؟</w:t>
      </w:r>
    </w:p>
    <w:p>
      <w:pPr>
        <w:pStyle w:val="BookText"/>
        <w:rPr/>
      </w:pPr>
      <w:r>
        <w:rPr>
          <w:rFonts w:ascii="IRNazanin" w:hAnsi="IRNazanin" w:eastAsia="IRNazanin"/>
          <w:color w:val="111111"/>
          <w:sz w:val="28"/>
          <w:sz w:val="28"/>
          <w:szCs w:val="28"/>
          <w:rtl w:val="true"/>
          <w:lang w:bidi="fa-IR"/>
        </w:rPr>
        <w:t>حقّ همان شقّ دوّم است؛ لذا اشکال این است که پاسخ امام علیه السلام پاسخی کامل و بدون ابهام و حالت منتظره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سکوت امام علیه السلام می‌فهمیم جواب سؤال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برید سؤال نمی‌کرد روایت تا به این‌جا، دلالت بر تخییر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برای امام علیه السلام مطلب روشن بود که بار دیگر سؤال می‌کند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امام علیه السلام به سؤال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إلی الإمام یفعل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سؤال دوّم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فمفوّض ذلک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 و یک مضمون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عبارت بیانگر تخییر امام و حاکم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این دو مطلب چگونه است؟ در پاسخ سؤال اوّل جواب امام علیه السلام تخییر حاکم است؛ در سؤال دوّم وقتی راوی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مخیّر است؟ امام علیه السلام</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باید حدّی متناسب با جرم اختیار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تخییری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که قائل به تخییر است،</w:t>
      </w:r>
      <w:r>
        <w:rPr>
          <w:rStyle w:val="FootnoteAnchor"/>
          <w:rtl w:val="true"/>
        </w:rPr>
        <w:footnoteReference w:id="523"/>
      </w:r>
      <w:r>
        <w:rPr>
          <w:rFonts w:ascii="IRNazanin" w:hAnsi="IRNazanin" w:eastAsia="IRNazanin"/>
          <w:color w:val="111111"/>
          <w:sz w:val="28"/>
          <w:sz w:val="28"/>
          <w:szCs w:val="28"/>
          <w:rtl w:val="true"/>
          <w:lang w:bidi="fa-IR"/>
        </w:rPr>
        <w:t>با وجود روایات زیادی در کیفیّت ترتیب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ترتیب، یا سندش ضعیف، یا متنش مضطرب و یا دلالتش قاصر است، شاید مقصودش از روایت مضطرب، همین روایت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آیه‌ی شریفه و دو روایت اوّل ظهور در تخییر داشت؛ و این روایت مضطرب نمی‌تواند در مقابل تخییر قد علم کند؛ لذا، با قصور در دلالت، دست از ظهور آیه و روایات در تخییر برنمی‌داریم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برای روایت برید ظهوری در تعیین بود، جا داشت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جمیل در تخییر ظهور دارد؛ امّا روایت برید بر عدم تخییر نصّ است و باید در مقام تعارض نصّ و ظاهر، نصّ را مقدّم بر ظاهر، و قرینه‌ی بر تصرّف در آن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که در حدّ محارب، حاکم مخیّر بین یکی از حدود اربعه باشد، ممکن است بعضی توهّم کنند اگر محاربی، دست به قتل و اخذ مال زد، بنا بر تخییر، حدّش سبک‌تر از غیرمحارب است؛ زیرا، غیر محارب را قصاص می‌کنند؛ ولی می‌توان محارب را نفی بلد کرد یا دست راست و پای چپش را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توهّم نابجا است؛ زیرا، مقصود از تخییر حاکم بین حدود چهارگانه، ثبوت حدّی غیر از قصاص است؛ یعنی اگر در جایی ولیّ دم عفو کند، قتل به عنوان قصاص در مورد این فرد اجرا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صورت، امام در اجرای حدّ محارب مخیّر است یا کشتن این فرد متعیّن است؟</w:t>
      </w:r>
    </w:p>
    <w:p>
      <w:pPr>
        <w:pStyle w:val="BookText"/>
        <w:rPr/>
      </w:pPr>
      <w:r>
        <w:rPr>
          <w:rFonts w:ascii="IRNazanin" w:hAnsi="IRNazanin" w:eastAsia="IRNazanin"/>
          <w:color w:val="111111"/>
          <w:sz w:val="28"/>
          <w:sz w:val="28"/>
          <w:szCs w:val="28"/>
          <w:rtl w:val="true"/>
          <w:lang w:bidi="fa-IR"/>
        </w:rPr>
        <w:t>بنابراین، در صورتی که محارب به عنوان قصاص کشته شد، موضوعی برای اجرای حدود چهارگانه به عنوان محارب باقی نمی‌ماند؛ اگر قصاص منتفی شد، نوبت به اجرای حدّ محارب توسط امام می‌رسد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مختار ما، نوبت به بحث در مقام دوّم نمی‌رسد؛ لیکن اگر کسی قائل به ترتیب شد، باید از کیفیّت آن بحث کند</w:t>
      </w:r>
      <w:r>
        <w:rPr>
          <w:rFonts w:eastAsia="IRNazanin" w:cs="IRNazanin"/>
          <w:color w:val="111111"/>
          <w:sz w:val="28"/>
          <w:szCs w:val="28"/>
          <w:rtl w:val="true"/>
          <w:lang w:bidi="fa-IR"/>
        </w:rPr>
        <w:t>.</w:t>
      </w:r>
      <w:bookmarkStart w:id="752" w:name="pg16923_220402"/>
    </w:p>
    <w:p>
      <w:pPr>
        <w:pStyle w:val="Heading4"/>
        <w:numPr>
          <w:ilvl w:val="3"/>
          <w:numId w:val="1"/>
        </w:numPr>
        <w:rPr/>
      </w:pPr>
      <w:bookmarkStart w:id="753" w:name="__RefHeading___Toc162653_3244359995"/>
      <w:bookmarkStart w:id="754" w:name="_Toc293"/>
      <w:bookmarkEnd w:id="752"/>
      <w:bookmarkEnd w:id="753"/>
      <w:r>
        <w:rPr>
          <w:rtl w:val="true"/>
        </w:rPr>
        <w:t>مقام دوّم</w:t>
      </w:r>
      <w:r>
        <w:rPr>
          <w:rtl w:val="true"/>
        </w:rPr>
        <w:t xml:space="preserve">: </w:t>
      </w:r>
      <w:r>
        <w:rPr>
          <w:rtl w:val="true"/>
        </w:rPr>
        <w:t>کیفیّت ترتیب</w:t>
      </w:r>
      <w:bookmarkEnd w:id="754"/>
    </w:p>
    <w:p>
      <w:pPr>
        <w:pStyle w:val="Heading5"/>
        <w:numPr>
          <w:ilvl w:val="4"/>
          <w:numId w:val="1"/>
        </w:numPr>
        <w:rPr/>
      </w:pPr>
      <w:bookmarkStart w:id="755" w:name="__RefHeading___Toc162655_3244359995"/>
      <w:bookmarkStart w:id="756" w:name="_Toc294"/>
      <w:bookmarkEnd w:id="755"/>
      <w:r>
        <w:rPr>
          <w:rtl w:val="true"/>
        </w:rPr>
        <w:t>اشاره</w:t>
      </w:r>
      <w:bookmarkEnd w:id="756"/>
    </w:p>
    <w:p>
      <w:pPr>
        <w:pStyle w:val="BookText"/>
        <w:rPr/>
      </w:pPr>
      <w:r>
        <w:rPr>
          <w:rFonts w:ascii="IRNazanin" w:hAnsi="IRNazanin" w:eastAsia="IRNazanin"/>
          <w:color w:val="111111"/>
          <w:sz w:val="28"/>
          <w:sz w:val="28"/>
          <w:szCs w:val="28"/>
          <w:rtl w:val="true"/>
          <w:lang w:bidi="fa-IR"/>
        </w:rPr>
        <w:t>روایاتی که دلالت بر ترتیب دارد، در کیفیّت آن با هم اختلاف دارد؛ اقوالی که در مسأله کیفیّت ترتیب هست نیز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اقوال را مطرح می‌کنیم؛ سپس به بیان مقدار دلالت اخبار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w:t>
      </w:r>
      <w:r>
        <w:rPr>
          <w:rStyle w:val="FootnoteAnchor"/>
          <w:rtl w:val="true"/>
        </w:rPr>
        <w:footnoteReference w:id="524"/>
      </w:r>
      <w:r>
        <w:rPr>
          <w:rFonts w:ascii="Amiri" w:hAnsi="Amiri" w:eastAsia="Amiri" w:cs="Amiri"/>
          <w:color w:val="111111"/>
          <w:sz w:val="28"/>
          <w:sz w:val="28"/>
          <w:szCs w:val="28"/>
          <w:rtl w:val="true"/>
          <w:lang w:bidi="ar-SA"/>
        </w:rPr>
        <w:t>و مهذّب</w:t>
      </w:r>
      <w:r>
        <w:rPr>
          <w:rStyle w:val="FootnoteAnchor"/>
          <w:rtl w:val="true"/>
        </w:rPr>
        <w:footnoteReference w:id="525"/>
      </w:r>
      <w:r>
        <w:rPr>
          <w:rFonts w:ascii="IRNazanin" w:hAnsi="IRNazanin" w:eastAsia="IRNazanin"/>
          <w:color w:val="111111"/>
          <w:sz w:val="28"/>
          <w:sz w:val="28"/>
          <w:szCs w:val="28"/>
          <w:rtl w:val="true"/>
          <w:lang w:bidi="fa-IR"/>
        </w:rPr>
        <w:t>و فقه راوندی</w:t>
      </w:r>
      <w:r>
        <w:rPr>
          <w:rStyle w:val="FootnoteAnchor"/>
          <w:rtl w:val="true"/>
        </w:rPr>
        <w:footnoteReference w:id="526"/>
      </w:r>
      <w:r>
        <w:rPr>
          <w:rFonts w:ascii="IRNazanin" w:hAnsi="IRNazanin" w:eastAsia="IRNazanin"/>
          <w:color w:val="111111"/>
          <w:sz w:val="28"/>
          <w:sz w:val="28"/>
          <w:szCs w:val="28"/>
          <w:rtl w:val="true"/>
          <w:lang w:bidi="fa-IR"/>
        </w:rPr>
        <w:t>و تلخیص</w:t>
      </w:r>
      <w:r>
        <w:rPr>
          <w:rStyle w:val="FootnoteAnchor"/>
          <w:rtl w:val="true"/>
        </w:rPr>
        <w:footnoteReference w:id="527"/>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محارب قتلی سر زده است، او را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رحمه الله</w:t>
      </w:r>
      <w:r>
        <w:rPr>
          <w:rStyle w:val="FootnoteAnchor"/>
          <w:rtl w:val="true"/>
        </w:rPr>
        <w:footnoteReference w:id="528"/>
      </w:r>
      <w:r>
        <w:rPr>
          <w:rFonts w:ascii="IRNazanin" w:hAnsi="IRNazanin" w:eastAsia="IRNazanin"/>
          <w:color w:val="111111"/>
          <w:sz w:val="28"/>
          <w:sz w:val="28"/>
          <w:szCs w:val="28"/>
          <w:rtl w:val="true"/>
          <w:lang w:bidi="fa-IR"/>
        </w:rPr>
        <w:t>در توضیح قتل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قتل به نحو قصاص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مقتول هم طراز قاتل باشد و ولیّ دم عفو نکند، ولی در صورتی که ولی دم عفو کند یا هم ردیف نباشند، امام به عنوان حدّ محارب او را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محارب انسان کشته و مال برده است، اوّل مال یا بدلش را از او می‌گیرند سپس دست راست و پای چپش را قطع کرده، آن‌گاه او را می‌کشند، و سه روز بالای دار آویزانش می‌کنند، تا مردم بیایند و او را تماشا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مالی گرفته ولی کسی را نکشته است، دست و پایش برخلاف قطع می‌گردد؛ سپس او را تبعید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افرادی را مجروح کرده ولیکن مالی نبرده و کسی را نکشته است، در مقابل آن جراحت، قصاص می‌شود، یا در صورت رضایت مجروح دیه می‌گیرد؛ اگر آن جنایت دیه‌ی معیّنی دارد و اگر دیه‌ای در شرع معیّن نشده است به حکومت و حکم حاکم مقدارش معلوم می‌شود و او را تبعید می‌کنند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محاربی با سلاح کشیدن فقط به ترساندن مردم پرداخت، قتل و اخذ مال و جراحتی در کار نبود، فقط او را به تبعید می‌فرستند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رحمه الله در تفسیر تبیان،</w:t>
      </w:r>
      <w:r>
        <w:rPr>
          <w:rStyle w:val="FootnoteAnchor"/>
          <w:rtl w:val="true"/>
        </w:rPr>
        <w:footnoteReference w:id="529"/>
      </w:r>
      <w:r>
        <w:rPr>
          <w:rFonts w:ascii="IRNazanin" w:hAnsi="IRNazanin" w:eastAsia="IRNazanin"/>
          <w:color w:val="111111"/>
          <w:sz w:val="28"/>
          <w:sz w:val="28"/>
          <w:szCs w:val="28"/>
          <w:rtl w:val="true"/>
          <w:lang w:bidi="fa-IR"/>
        </w:rPr>
        <w:t>و کتاب خلاف</w:t>
      </w:r>
      <w:r>
        <w:rPr>
          <w:rStyle w:val="FootnoteAnchor"/>
          <w:rtl w:val="true"/>
        </w:rPr>
        <w:footnoteReference w:id="530"/>
      </w:r>
      <w:r>
        <w:rPr>
          <w:rFonts w:ascii="IRNazanin" w:hAnsi="IRNazanin" w:eastAsia="IRNazanin"/>
          <w:color w:val="111111"/>
          <w:sz w:val="28"/>
          <w:sz w:val="28"/>
          <w:szCs w:val="28"/>
          <w:rtl w:val="true"/>
          <w:lang w:bidi="fa-IR"/>
        </w:rPr>
        <w:t>و مبسوط</w:t>
      </w:r>
      <w:r>
        <w:rPr>
          <w:rStyle w:val="FootnoteAnchor"/>
          <w:rtl w:val="true"/>
        </w:rPr>
        <w:footnoteReference w:id="531"/>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فقط مرتکب قتل شده است، او را می‌کشند؛ و اگر به قتل و اخذ مال دست زده، او را پس از کشتن به صلیب می‌کشند؛ و اگر به اخذ مال اکتفا کرده است، دست و پایش را بر خلاف یکدیگر می‌برند؛ و اگر فقط اخافه‌ای بوده نه بیشتر، تبعیدش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ابن‌حمزه رحمه الله در وسیله</w:t>
      </w:r>
      <w:r>
        <w:rPr>
          <w:rStyle w:val="FootnoteAnchor"/>
          <w:rtl w:val="true"/>
        </w:rPr>
        <w:footnoteReference w:id="532"/>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 از دو حال خارج نیست یا جنایتی از او سر زده یا نه؛ سپس به تقسیم‌بندی جانی می‌پردازد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جنایت جانی در صورت محاربه است، حقّ ندارد از او بگذرد و جنایتش را به مال صلح کند؛ ولی اگر در غیر صورت محاربه باشد، می‌تواند عفو کند یا دیه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محارب جنایتی نکرد، فقط دست به ترساندن مردم زد، او را به تبعید می‌فرستند؛ در تبعید می‌ماند تا یا توبه کند یا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جنایتش مجروح کردن مردم بود، پس از قصاص، او را تبعید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اخذ مال کرده است، دست و پایش را می‌برند و تبعید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غرض از اظهار سلاح، فقط کشتن بوده است و کسی را کشت، ولیّ دم بین قصاص، عفو و گرفتن دیه مخیّر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کارش با حاکم شرع نیست؛ بلکه یک قتل عمدی واقع شده است و در این صورت، تمام اختیارات با ولیّ 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غرضش بردن مال بوده و قتل، مقدّمه‌ی تحقّق این غرض باشد، حاکم شرع پس از کشتن، او را به دار می‌آویزد؛ و اگر در این صورت، دست صاحب مال را قطع کرد و مالی نبرد، حدّش قطع دست راست و پای چپ و نفی بلد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جراحتی ایجاد کند و فردی را به قتل برساند، پس از قصاص و قتل، به دار آویخته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دستی را قطع و مالی را برده یا جراحتی انجام داده، اگر دست چپ را قطع کرده؛ به عنوان قصاص دست چپش را قطع و دست راست را برای مال می‌برند؛ و موالات بین دو قطع لازم نیست؛ می‌توانند با فاصله انجام دهند و اگر دست راست را بریده، دست</w:t>
      </w:r>
      <w:bookmarkStart w:id="757" w:name="pg16923_220404"/>
    </w:p>
    <w:p>
      <w:pPr>
        <w:pStyle w:val="BookText"/>
        <w:rPr/>
      </w:pPr>
      <w:bookmarkEnd w:id="757"/>
      <w:r>
        <w:rPr>
          <w:rFonts w:ascii="IRNazanin" w:hAnsi="IRNazanin" w:eastAsia="IRNazanin"/>
          <w:color w:val="111111"/>
          <w:sz w:val="28"/>
          <w:sz w:val="28"/>
          <w:szCs w:val="28"/>
          <w:rtl w:val="true"/>
          <w:lang w:bidi="fa-IR"/>
        </w:rPr>
        <w:t>راستش را به عنوان قصاص و پای چپ را برای حدّ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متأخّران</w:t>
      </w:r>
      <w:r>
        <w:rPr>
          <w:rStyle w:val="FootnoteAnchor"/>
          <w:rtl w:val="true"/>
        </w:rPr>
        <w:footnoteReference w:id="533"/>
      </w:r>
      <w:r>
        <w:rPr>
          <w:rFonts w:ascii="IRNazanin" w:hAnsi="IRNazanin" w:eastAsia="IRNazanin"/>
          <w:color w:val="111111"/>
          <w:sz w:val="28"/>
          <w:sz w:val="28"/>
          <w:szCs w:val="28"/>
          <w:rtl w:val="true"/>
          <w:lang w:bidi="fa-IR"/>
        </w:rPr>
        <w:t>از عصر صاحب جواهر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سلاح برای ترساندن مردم کشیده است، حدّش تبعید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علاوه بر ترساندن، جراحتی بر پا وارد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کردن، پس از قصاص تبعید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سلاح کشید و مالی را گرفت، دست و پایش قطع می‌گردد؛ و اگر سلاح کشیده، مال برد و کتک‌کاری کرد و جراحتی بر پا وارد نمود، ولی مرتکب قتل نشد، حدّش موکول به امام است، مخیّر بین قتل و صلب و قطع دست و پا است؛ و اگر محارب، انسانی را کشت ولی مالی را نبرد، امام باید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علاوه بر قتل، اخذ مال هم داشت، دست راستش را به عنوان سرقت می‌برد و او را در اختیار اولیای مقتول می‌گذارد تا مال یا بدلش را از او بگیرند و به عنوان قصاص او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عفو کردند، در اختیار امام گذاشته می‌شود و امام او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مقتول حقّ دیه گرفتن و آزاد کردن قاتل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در این عبارت هست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دم حقّ گرفتن پول ندارد؛ فقط می‌تواند عفو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پول بگیرد ولی حقّ رها کردن او را ندارد، باید او را در اختیار حاکم قرار دهد؛ زیرا، پولی که گرفته‌اند به عنوان بدل قصاص است و امام حدّ محارب را در موردش پیاده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ریاض رحمه الله نسبت به سه قول اوّل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بر ترتیب دلالت می‌کند با هیچ‌یک از این سه تفصیل به‌طور کامل مطابقت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برخی از روایات به بعضی از این تفاصیل نزدیک‌تر باشد</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قول چهارم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صحیحه داریم که مقتضای جمع بین آن‌ها تفصیلی است که مطرح شد، در آغاز به تحقیق پیرامون این تفصیل می‌پردازیم</w:t>
      </w:r>
      <w:r>
        <w:rPr>
          <w:rFonts w:eastAsia="IRNazanin" w:cs="IRNazanin"/>
          <w:color w:val="111111"/>
          <w:sz w:val="28"/>
          <w:szCs w:val="28"/>
          <w:rtl w:val="true"/>
          <w:lang w:bidi="fa-IR"/>
        </w:rPr>
        <w:t>.</w:t>
      </w:r>
    </w:p>
    <w:p>
      <w:pPr>
        <w:pStyle w:val="Heading5"/>
        <w:numPr>
          <w:ilvl w:val="4"/>
          <w:numId w:val="1"/>
        </w:numPr>
        <w:rPr/>
      </w:pPr>
      <w:bookmarkStart w:id="758" w:name="__RefHeading___Toc162657_3244359995"/>
      <w:bookmarkStart w:id="759" w:name="_Toc295"/>
      <w:bookmarkEnd w:id="758"/>
      <w:r>
        <w:rPr>
          <w:rtl w:val="true"/>
        </w:rPr>
        <w:t>دلیل قول چهارم و نقد آن</w:t>
      </w:r>
      <w:bookmarkEnd w:id="759"/>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محمّد بن یحیی، عن أحمد بن محمّد، عن ابن محبوب، عن أبی أیّوب، عن محمّد بن مسلم،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شهر السّلاح فی مصر من الأمصار فعقر اقتصّ منه ونفی من تلک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شهر السّلاح فی مصر من الأمصار وضرب وعقر وأخذ المال ولم یقتل فهو محارب، فجزاؤه جزاء المحارب وأمره إلی الإمام إن شاء قتله وصلبه، وإن شاء قطع یده ورجله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ضرب وقتل وأخذ المال فعلی الإمام أن یقطع یده الیمنی بالسرقة ثمّ یدفعه إلی أولیاء المقتول فیتبعونه بالمال ثمَّ یقتلونه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عفی عنه أولیاء المقتول؟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عفوا عنه کان علی الإمام أن یقتله لأنّه قد حارب وقتل وسرق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أراد أولیاء المقتول أن یأخذوا منه الدیة ویدعونه، ألهم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علیه القتل</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فقه الحدیث و نقدی بر دلالت روایت</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شهری از شهرها سلاح بکشد و جراحتی وارد کند، پس از قصاص تبعید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قسمت از روایت هیچ اشاره‌ای به محارب بودن ندارد؛ و حکم چنین فردی را قصاص و نفی بلد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نفی بلد همان است که در آیه‌ی محاربه آمده است؟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کسی که در شهری از شهرها سلاح بیرون آورد و مرتکب ضرب و عقر و اخذ مال شود، ولی کسی را نکشد، محارب است؛ و عقوبتش، عقوبت محارب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بخواهد او را می‌کشد و به دار می‌آویزد و اگر بخواهد دست و پایش را قطع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قسمت از روایت همان فرض قبل است با اضافه‌ی اخذ مال، امام علیه السلام بر چنین فردی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عرفی این جمله، این است که این فرد مصداق محارب است؛ ولی فرد قبل مصداقش نیست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دیگر در این فقره، آن است که امام علیه السلام جزای چنین فردی را جزای محارب</w:t>
      </w:r>
    </w:p>
    <w:p>
      <w:pPr>
        <w:pStyle w:val="BookText"/>
        <w:rPr/>
      </w:pPr>
      <w:r>
        <w:rPr>
          <w:rFonts w:ascii="IRNazanin" w:hAnsi="IRNazanin" w:eastAsia="IRNazanin"/>
          <w:color w:val="111111"/>
          <w:sz w:val="28"/>
          <w:sz w:val="28"/>
          <w:szCs w:val="28"/>
          <w:rtl w:val="true"/>
          <w:lang w:bidi="fa-IR"/>
        </w:rPr>
        <w:t>معیّن می‌کند که اشاره به آیه‌ی شریفه دارد؛ لیکن امام علیه السلام یک طرف تخییر را، قتل و صلب و طرف دیگر را قطع دست و پا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قتله وصلبه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تخییر بین قتل و صلب است و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این است که هر دو به مرگ منتهی می‌شود، اشکال این است که چرا روایت، نفی بلد را که در آیه آمده، مطرح نمی‌کند؟ و اگر به ظاهر روایت نظر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جمع است، یعنی حاکم باید بین قتل و صلب جمع کند، در این صورت دو اشکال بر دلالت روایت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 چرا نفی بلد را به عنوان حدّ محارب نگفته است؟</w:t>
      </w:r>
    </w:p>
    <w:p>
      <w:pPr>
        <w:pStyle w:val="BookText"/>
        <w:rPr/>
      </w:pPr>
      <w:r>
        <w:rPr>
          <w:rFonts w:ascii="IRNazanin" w:hAnsi="IRNazanin" w:eastAsia="IRNazanin"/>
          <w:color w:val="111111"/>
          <w:sz w:val="28"/>
          <w:sz w:val="28"/>
          <w:szCs w:val="28"/>
          <w:rtl w:val="true"/>
          <w:lang w:bidi="fa-IR"/>
        </w:rPr>
        <w:t>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قتل و صلب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عطف شده است؛ چه قائل به ترتیب بین حدود اربعه باشیم و چه به تخییر بین آن‌ها فتوا دهیم، جمع بین قتل و صلب نداریم؛ زیرا، در صورت تخییر، هر کدام را بخواهد می‌تواند انتخاب کند و در صورت ترتیب، قتل در موردی، و صلب در مورد دیگر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در مورد قطع دست و پا،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است که مفادش توأم بودن قطع دست با قطع پا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دیگری از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این فرد ضرب و قتل و اخذ مال سر زده است، امام علیه السلام دست راستش را برای سرقت می‌برد، سپس او را به اولیای مقتول تحویل می‌دهد تا مالشان را از او بگیرند و پس از آن، او را به قتل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از روایت نیز چند اشکال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سرقتی محقّق نشده است تا قطع دست راست به خاطر سرقت باشد؛ زیرا، حقیقت سرقت به بردن مال مخفیانه و محرمانه متقوّم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روز روشن مال فردی را از چنگش بیرون می‌آورد و می‌برد، مختلس است نه سارق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مورد از مصادیق محارب است؟ اگر جواب مثبت است، در آیه‌ی شریفه قطع دست راست توأم با قطع دست چپ به عنوان حدّ محارب آمده است و قطع دست راست به‌طور مستقلّ مطرح نیست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پاسخ منفی است، یعنی مصداق محارب نیست،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فرض قبل، محارب بود با آن که قتلی در کار نبود؟ این فرض نیز باید به طریق اولی مصداق محارب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ابوعبیده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اولیای مقتول، قاتل را بخشیدند، حکم چیست؟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او را به قتل برساند؛ زیرا، مرتکب محاربه و قتل و سرقت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از روایت نیز امام علیه السلام علّت قتل را صدق محاربه می‌داند؛ زیرا، اولیای مقتول از حقّ قصاص گذشتند، امّا حدّ محارب که ساقط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محارب است، جزایش یکی از حدود اربعه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ابوعبیده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اولیای مقتول حقّ دارند با گرفتن دیه، قاتل را رها کنند؟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باید به قتل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قتل قصاصی به سبب گرفتن دیه یا عفو اولیای دم ساقط شد، ولی حدّ محاربه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 اشکال دیگر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دوّم روایت، یعنی موردی که مرتکب ضرب و عقر و اخذ مال شده است ولی کسی را نکشته است، حدّش قتل و صلب یا قطع دست و پا معیّن شده است؛ در همین فرض، اگر کسی را کشته باشد، فقط دست راستش قطع و او را می‌کشند، یعنی بر غیرقاتل، قتل و صلب هر دو باید پیاده شود ولی در صورتی که قاتل باشد، فقط دست راستش را می‌برند و او را می‌کشند، صلبی در کار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سوّم امام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راستش را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قطع دست در رابطه‌ی با سرقت و اخذ مال است، چرا در صورت دوّم آن را بیان نکردند؟ با آن که اخذ مال در هر دو صورت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عنوان سرقت دارد، در هر دو صورت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اخذ مالی که از قاتل سر می‌زند با اخذ مالی که از غیر قاتل محقّق می‌گردد، تفاوتی هست؟</w:t>
      </w:r>
    </w:p>
    <w:p>
      <w:pPr>
        <w:pStyle w:val="BookText"/>
        <w:rPr/>
      </w:pPr>
      <w:r>
        <w:rPr>
          <w:rFonts w:ascii="IRNazanin" w:hAnsi="IRNazanin" w:eastAsia="IRNazanin"/>
          <w:color w:val="111111"/>
          <w:sz w:val="28"/>
          <w:sz w:val="28"/>
          <w:szCs w:val="28"/>
          <w:rtl w:val="true"/>
          <w:lang w:bidi="fa-IR"/>
        </w:rPr>
        <w:t>با توجّه به این اشکالات، روایت اضطراب دارد و قابل استدلال نیست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إبراهیم فی تفسیره، عن أبیه، عن علیّ بن حسان،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المال وقتل کان علیه أن یقتل أو یصلب، ومن حارب فقتل ولم یأخذ المال کان علیه أن یقتل ولا یصلب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حارب وأخذ المال ولم یقتل کان علیه أن یقطع یده ورجله من خلاف، ومن حارب</w:t>
      </w:r>
    </w:p>
    <w:p>
      <w:pPr>
        <w:pStyle w:val="BookText"/>
        <w:rPr/>
      </w:pPr>
      <w:r>
        <w:rPr>
          <w:rFonts w:ascii="Amiri" w:hAnsi="Amiri" w:eastAsia="Amiri" w:cs="Amiri"/>
          <w:color w:val="111111"/>
          <w:sz w:val="28"/>
          <w:sz w:val="28"/>
          <w:szCs w:val="28"/>
          <w:rtl w:val="true"/>
          <w:lang w:bidi="ar-SA"/>
        </w:rPr>
        <w:t>ولم یأخذ المال ولم یقتل کان علیه أن ینفی، ثمّ استثنی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تَابُواْ مِن قَبْلِ أَن تَقْدِرُواْ عَلَیْهِمْ یعنی یتوبوا قبل أن یأخذهم الإمام</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سند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در تفسیرش از پدرش ابراهیم بن هاشم از علیّ بن حسّان این روایت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حسّان بین علیّ بن حسّان واسطی ثقه و علیّ بن حسان هاشمی غیرثقه مشترک است، لیکن از آن‌جا که علی بن ابراهیم در مقدّمه‌ی تفسیرش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این کتاب جمع کرده‌ام از ثقات نقل می‌کنم، لذا مشایخش در این کتاب توثیق می‌شوند؛ و از جمله‌ی آنان پدرش و علیّ بن 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سند روایت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محاربی را که مرتکب قتل و اخذ مال شود، می‌کشند یا به دار می‌آویزند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محاربی که کسی را کشته ولی مالی نبرده است، حدّش قتل است نه 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محاربی که مال ببرد و کسی را نکشد، جزایش قطع دست و پا برخلاف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محاربی که مرتکب قتل و اخذ مال نشده است، حدّش نفی بلد است؛ خداوند یک گروه را استثنا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 قبل از دستگیری توبه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روایت روشن و واضح است؛ و قائل به تفصیل چهارم می‌خواهد از جمع بین دو روایت، این تفصیل را بیرون بیاورد؛ در حالی که دو روایت با هم تعارض دارند و قابل جمع نیستند؛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که اخذ مال بدون ارتکاب قتل بود، روایت محمّد بن مسلم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 إلی الإمام إن شاء قتله وصلبه وإن شاء قطع یده ورجله من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علی بن حسّان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علیه أن یقطع یده ورجله من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روایت امام مخیّر بین قتل و قطع است؛ امّا در این روایت، قطع بر امام، متعیّن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شخص مرتکب قتل و اخذ مال شده است، روایت علیّ بن حسّان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علیه أن یقتل أو یصلب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بین قتل و صلب را می‌گوید؛ امّا روایت محمّد بن مسلم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تقطع یده الیمنی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عنوان قصاص یا حدّ کشته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روایت علیّ بن حسّان در تعیّن قتل یا صلب و عدم قطع دست است؛ در حالی که روایت محمّد بن مسلم در تعیّن قطع دست راست ظهور دارد، و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علیّ بن حسّان ساکت است و روایت محمّد بن مسلم متعرّض شده است، پس بین آن‌ها جمع می‌کنیم؛ خیر، مسأله‌ی سکوت نیست؛ بلکه روایت ظهور در خلاف دارد و در نتیجه، این تفصیل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 به دلالت چند روایت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علیّ بن محمّد، عن علیّ بن الحسن التیمی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المیثمی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علیّ بن أسباط، عن داود بن أبی زید، عن عبید بن بشر الخثعمی،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قاطع الطّریق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فیه مخیّر أیّ شی‌ءٍ شاء صنع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أیّ‌شی‌ءٍ شاء صنع ولکنّه یصنع بهم علی قدر جنایتهم، من قطع الطریق فقتل وأخذ المال قطعت یده ورجله وصلب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قطع الطّریق فقتل ولم یأخذ المال قتل، ومن قطع الطّریق فأخذ المال ولم یقتل قطعت یده ورجله، ومن قطع الطریق فلم یأخذ مالًا ولم یقتل نفی من الأرض</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سند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رحمه الله</w:t>
      </w:r>
      <w:r>
        <w:rPr>
          <w:rStyle w:val="FootnoteAnchor"/>
          <w:rtl w:val="true"/>
        </w:rPr>
        <w:footnoteReference w:id="538"/>
      </w:r>
      <w:r>
        <w:rPr>
          <w:rFonts w:ascii="IRNazanin" w:hAnsi="IRNazanin" w:eastAsia="IRNazanin"/>
          <w:color w:val="111111"/>
          <w:sz w:val="28"/>
          <w:sz w:val="28"/>
          <w:szCs w:val="28"/>
          <w:rtl w:val="true"/>
          <w:lang w:bidi="fa-IR"/>
        </w:rPr>
        <w:t xml:space="preserve">این را به عنوان روایت أبی‌عبیده نقل کرده است؛ به هر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بن بشر خثعمی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حکم قطّاع طریق را از امام صادق علیه السلام پرسید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سنّی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مخیّر است هر کدام از حدود اربعه را درباره‌ی آنان اجرا کند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اختیاری نیست؛ باید مقدار جنایت را در نظر بگیرد و حدّ مناسبی را برایش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راهزنی که مرتکب قتل و اخذ مال شده، حدّش قطع دست و پا و صلب است؛ راهزنی که دست به قتل زده ولی مالی نبرده است، کشته می‌شود؛ راهزنی که مال برده و مرتکب قتل نشده، حدّش قطع دست و پا است؛ راهزنی که مرتکب</w:t>
      </w:r>
    </w:p>
    <w:p>
      <w:pPr>
        <w:pStyle w:val="BookText"/>
        <w:rPr/>
      </w:pPr>
      <w:r>
        <w:rPr>
          <w:rFonts w:ascii="IRNazanin" w:hAnsi="IRNazanin" w:eastAsia="IRNazanin"/>
          <w:color w:val="111111"/>
          <w:sz w:val="28"/>
          <w:sz w:val="28"/>
          <w:szCs w:val="28"/>
          <w:rtl w:val="true"/>
          <w:lang w:bidi="fa-IR"/>
        </w:rPr>
        <w:t>اخذ مال و قتل نشده است، تبعید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توهّم نشود اگر راهزن مال را نبرده پس چرا به راهزنی دست زده است؟ زیرا، راهزن به قصد بردن اموال مردم مرتکب قطع طریق می‌شود؛ ولی گاهی به هدفش نمی‌رسد و قبل از آن که مال را بردارد، دستگیر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به تفصیل شیخ طوسی رحمه الله در نهایه نزدیک است؛</w:t>
      </w:r>
      <w:r>
        <w:rPr>
          <w:rStyle w:val="FootnoteAnchor"/>
          <w:rtl w:val="true"/>
        </w:rPr>
        <w:footnoteReference w:id="539"/>
      </w:r>
      <w:r>
        <w:rPr>
          <w:rFonts w:ascii="IRNazanin" w:hAnsi="IRNazanin" w:eastAsia="IRNazanin"/>
          <w:color w:val="111111"/>
          <w:sz w:val="28"/>
          <w:sz w:val="28"/>
          <w:szCs w:val="28"/>
          <w:rtl w:val="true"/>
          <w:lang w:bidi="fa-IR"/>
        </w:rPr>
        <w:t>ولی کاملًا بر آن منطبق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فرض ارتکاب قتل و اخذ مال، روایت صلب و قطع را مطرح می‌کند و شیخ رحمه الله قطع و صلب و قتل، هر سه را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مانند روایت محمّد بن مسلم اضطراب دارد؛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آیه برای ترتیب بگیریم یا تخییر، به هر حال موردی هست که یا به نحو تخییر یا ترتیب صلب به‌طور مستقلّ پیاده می‌شود و سه حدّ دیگر همراهش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در فرض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ارتکاب قتل و اخذ مال، صلب را همراه با قطع مطرح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عن أبیه، عن عمرو بن عثمان، عن عبیداللَّه المداینی،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قوله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جَزَ ؤُاْ الَّذِینَ یُحَارِبُونَ اللَّهَ وَرَسُولَهُ‌و وَیَسْعَوْنَ فِی الْأَرْضِ فَسَادًا، الآیة، فما الّذی إذا فعله استوجب واحدة من هذه الأربع؟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حارب اللَّه ورسوله وسعی فی الأرض فساداً فقتل قتل به، وان قتل وأخذ المال قتل وصلب، وإن أخذ المال ولم یقتل قطعت یده ورجله من خلاف، وإن شهر السّیف وحارب اللَّه ورسوله وسعی فی الأرض فساداً ولم یقتل ولم یأخذ المال نفی من الأرض</w:t>
      </w:r>
      <w:r>
        <w:rPr>
          <w:rFonts w:eastAsia="Amiri" w:cs="Amiri" w:ascii="Amiri" w:hAnsi="Amiri"/>
          <w:color w:val="111111"/>
          <w:sz w:val="28"/>
          <w:szCs w:val="28"/>
          <w:rtl w:val="true"/>
          <w:lang w:bidi="ar-SA"/>
        </w:rPr>
        <w:t>.</w:t>
      </w:r>
      <w:r>
        <w:rPr>
          <w:rStyle w:val="FootnoteAnchor"/>
          <w:rtl w:val="true"/>
        </w:rPr>
        <w:footnoteReference w:id="540"/>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المدائنی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علیه السلام پرسیدند در آیه‌ی محاربه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پاداش کسانی که با خدا و رسول او می‌جنگند و در ایجاد فساد در زمین تلاش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فعل است که اگر از محارب سر زند یک حدّ از این چهار حدّ</w:t>
      </w:r>
    </w:p>
    <w:p>
      <w:pPr>
        <w:pStyle w:val="BookText"/>
        <w:rPr/>
      </w:pPr>
      <w:r>
        <w:rPr>
          <w:rFonts w:ascii="IRNazanin" w:hAnsi="IRNazanin" w:eastAsia="IRNazanin"/>
          <w:color w:val="111111"/>
          <w:sz w:val="28"/>
          <w:sz w:val="28"/>
          <w:szCs w:val="28"/>
          <w:rtl w:val="true"/>
          <w:lang w:bidi="fa-IR"/>
        </w:rPr>
        <w:t>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ترتیب بین موارد در ذهن سائل مسلّم بوده است، می‌خواسته ببیند در مورد چه فعلی کدام حدّ پیاده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محاربی مرتکب قتل شد، کشته می‌شود؛ و اگر مال مردم را برد و کسی را نکشت، دست و پایش برخلاف یکدیگر قطع می‌گردد؛ و اگر شمشیر کشید و قصدش ایجاد فساد روی زمین بود ولی کسی را نکشت و مالی را نبرد، تبعیدش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روایت علاوه بر ضعف سندش، استقلال ندادن به حدّ صلب است؛ بلکه آن را همراه با قتل آورده است؛ در حالی که در آیه صلب یک عنوان مستقلّ بوده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روایت دیگری نیز در این باب هست که بر تخییر دلالت دارد و شأن نزول آیه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محمّد بن یحیی، عن أحمد بن محمّد، عن علیّ بن حکم وعن حمید بن زیاد، عن ابن سماعة، عن غیر واحد جمیعاً، عن أبان بن عثمان، عن أبی صالح،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علی رسول اللَّه صلی الله علیه و آله قوم من بنی ضبّة مرضی، فقال لهم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عندی فإذا برئتم بعثتکم فی سریّة،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أخرجنا من المدینة، فبعث بهم إلی إبل الصدقة یشربون من أبوالها ویأکلون من ألبانها، فلمّا برأوا أو اشتدّوا قتلوا ثلاثة ممّن کان فی الإبل، فبلغ رسول اللَّه صلی الله علیه و آله الخبر، فبعث إلیهم علیّاً علیه السلام وهم فی واد قد تحیّروا لیس یقدرون أن یخرجوا منه، قریباً من أرض الیمن، فأسرّهم وجاء بهم إلی رسول اللَّه صلی الله علیه و آله فنزلت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جَزَ ؤُاْ الَّذِینَ یُحَارِبُونَ اللَّهَ وَرَسُولَهُ‌و وَیَسْعَوْنَ فِی الْأَرْضِ فَسَادًا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فاختار رسول اللَّه صلی الله علیه و آله القطع، فقطع أیدیهم وأرجلهم من خلاف</w:t>
      </w:r>
      <w:r>
        <w:rPr>
          <w:rFonts w:eastAsia="IRNazanin" w:cs="IRNazanin"/>
          <w:color w:val="111111"/>
          <w:sz w:val="28"/>
          <w:szCs w:val="28"/>
          <w:rtl w:val="true"/>
          <w:lang w:bidi="fa-IR"/>
        </w:rPr>
        <w:t>.</w:t>
      </w:r>
      <w:r>
        <w:rPr>
          <w:rStyle w:val="FootnoteAnchor"/>
          <w:rtl w:val="true"/>
        </w:rPr>
        <w:footnoteReference w:id="541"/>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نظر سند،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طایفه‌ی بنی‌ضبّه در حالی که مریض بودند بر رسول خدا صلی الله علیه و آله وارد شدند، پیامبر خدا صلی الله علیه و آله</w:t>
      </w:r>
      <w:bookmarkStart w:id="760" w:name="pg16923_220412"/>
    </w:p>
    <w:p>
      <w:pPr>
        <w:pStyle w:val="BookText"/>
        <w:rPr/>
      </w:pPr>
      <w:bookmarkEnd w:id="760"/>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بمانید تا وقتی کسالتتان برطرف شد شما را برای جنگ اعزام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خارج از مدینه بفرست؛ در مدینه نمی‌توانیم زندگی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آنان را به چراگاه شتران صدقه فرستاد تا از شیر و بول شتران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شرب بول ابل به جهت استشفا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سلامتی خود را به دست آوردند و چاق و چلّه شدند، سه نفر از محافظان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شترانی را با خود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رسول خدا صلی الله علیه و آله از جریان خبردار شدند، امیرمؤمنان علیه السلام را به دنبالشان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بنی‌ضبّه در بیابانی نزدیک یمن سرگردان شده، نمی‌توانستند از آن خارج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ایشان را دستگیر کرد و نزد پیامبر خدا صلی الله علیه و آله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آیه‌ی محاربه نازل شد و رسول خدا صلی الله علیه و آله حدّ قطع را انتخاب و در حقّشان اجرا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دیگری که در این باب وجود دارد، هر چند بر ترتیب دلالت دارند، لیکن سندشان ضعیف و دلالتشان اضطراب دارد</w:t>
      </w:r>
      <w:r>
        <w:rPr>
          <w:rFonts w:eastAsia="IRNazanin" w:cs="IRNazanin"/>
          <w:color w:val="111111"/>
          <w:sz w:val="28"/>
          <w:szCs w:val="28"/>
          <w:rtl w:val="true"/>
          <w:lang w:bidi="fa-IR"/>
        </w:rPr>
        <w:t>.</w:t>
      </w:r>
    </w:p>
    <w:p>
      <w:pPr>
        <w:pStyle w:val="Heading5"/>
        <w:numPr>
          <w:ilvl w:val="4"/>
          <w:numId w:val="1"/>
        </w:numPr>
        <w:rPr/>
      </w:pPr>
      <w:bookmarkStart w:id="761" w:name="__RefHeading___Toc162659_3244359995"/>
      <w:bookmarkStart w:id="762" w:name="_Toc296"/>
      <w:bookmarkEnd w:id="761"/>
      <w:r>
        <w:rPr>
          <w:rtl w:val="true"/>
        </w:rPr>
        <w:t>کیفیّت جمع بین روایات</w:t>
      </w:r>
      <w:bookmarkEnd w:id="762"/>
    </w:p>
    <w:p>
      <w:pPr>
        <w:pStyle w:val="BookText"/>
        <w:rPr/>
      </w:pPr>
      <w:r>
        <w:rPr>
          <w:rFonts w:ascii="IRNazanin" w:hAnsi="IRNazanin" w:eastAsia="IRNazanin"/>
          <w:color w:val="111111"/>
          <w:sz w:val="28"/>
          <w:sz w:val="28"/>
          <w:szCs w:val="28"/>
          <w:rtl w:val="true"/>
          <w:lang w:bidi="fa-IR"/>
        </w:rPr>
        <w:t>از مجموعه‌ی روایاتی که بر ترتیب دلالت داشت، دو حدیث صحیح السند داشتیم که علاوه بر اضطراب در متن با یکدیگر تعارض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دیگر نیز علاوه بر ضعیف بودن سندشان به همین دو مشکل مبتلا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رحمه الله با آن که در فتوا دادن خیلی احتیاط می‌کند، امّا در این بحث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حدّ المحارب القتل أو الصلب أو القطع مخالفاً أو النفی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واستند فی التفصیل إلی الأحادیث الدالّة علیه، وتلک الأحادیث لا تنفکّ من ضعف فی إسناد أو اضطراب فی متن أو قصور فی الدلالة، فالاولی العمل بالأوّل تمسّکاً بظاهر الآیة </w:t>
      </w:r>
      <w:r>
        <w:rPr>
          <w:rFonts w:eastAsia="IRNazanin" w:cs="IRNazanin"/>
          <w:color w:val="111111"/>
          <w:sz w:val="28"/>
          <w:szCs w:val="28"/>
          <w:rtl w:val="true"/>
          <w:lang w:bidi="fa-IR"/>
        </w:rPr>
        <w:t>...».</w:t>
      </w:r>
      <w:r>
        <w:rPr>
          <w:rStyle w:val="FootnoteAnchor"/>
          <w:rtl w:val="true"/>
        </w:rPr>
        <w:footnoteReference w:id="542"/>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 محارب قتل یا صلب یا قطع دست و پا برخلاف یکدیگر یا نفی بلد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کسانی که به ترتیب قائل‌اند، یا در سند و دلالت قصور دارد و یا اضطراب در متن دارد؛ پس اولی این است که به آیه‌ی شریفه تمسّک کنیم و قائل به تخییر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ما نیز مانند محقّق عمل کنیم و روایات ترتیب را به یکی از سه جهت مذکور کنار بگذاریم؟ یا به واسطه‌ی عمل مشهور، ضعف سند روایاتی که بر ترتیب دلالت دارد، جبران کنیم؟ زیرا مشهوری که قائل به ترتیب شده‌اند، دلیل دیگری غیر از این روایات ندارند؛ لذا، اصل ترتیب به این صورت درست می‌شود؛ همان‌گونه که صاحب ریاض رحمه الله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صحیحه‌ی محمّد بن مسلم و علیّ بن حسّان به هر حال دلالت بر ترتیب دارند، هر چند در کیفیّت ترتیب با هم اختلاف دارند</w:t>
      </w:r>
      <w:r>
        <w:rPr>
          <w:rFonts w:eastAsia="IRNazanin" w:cs="IRNazanin"/>
          <w:color w:val="111111"/>
          <w:sz w:val="28"/>
          <w:szCs w:val="28"/>
          <w:rtl w:val="true"/>
          <w:lang w:bidi="fa-IR"/>
        </w:rPr>
        <w:t>.</w:t>
      </w:r>
      <w:r>
        <w:rPr>
          <w:rStyle w:val="FootnoteAnchor"/>
          <w:rtl w:val="true"/>
        </w:rPr>
        <w:footnoteReference w:id="543"/>
      </w:r>
      <w:r>
        <w:rPr>
          <w:rFonts w:ascii="IRNazanin" w:hAnsi="IRNazanin" w:eastAsia="IRNazanin"/>
          <w:color w:val="111111"/>
          <w:sz w:val="28"/>
          <w:sz w:val="28"/>
          <w:szCs w:val="28"/>
          <w:rtl w:val="true"/>
          <w:lang w:bidi="fa-IR"/>
        </w:rPr>
        <w:t>روایات ضعاف دیگر نیز مؤیّد این دو صحیحه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ترتیب را قبول می‌کنیم؛ امّا در کیفیّت ترتیب متوقّف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فقهای قدما در آن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هیچ یک از سه تفصیل در مسأله، شهرت جابری نداریم تا بتوانیم به آن معتقد شویم؛ ولی اصل ترتیب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سوّم این است که آیه‌ی شریفه و صحیحه‌ی جمیل بن درّاج که هر دو بر تخییر دلالت دارند، قرینه‌ی مُراد از روایات دیگر باشد؛ یعنی ترتیب، امر لازم و واجبی نیست، بلکه به عنوان افضل افراد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بین حدود اربعه، قاضی مخیّر است؛ لیکن مستحبّ است ترتیب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راهی که امام راحل رحمه الله در تحریرالوسیله طی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راه سوّم بهتر از دو راه دیگر است؛ زیرا، شدّت اختلاف بین روایات اصل ترتیب را متزلزل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ترتیب معتبر بود، معنا نداشت این همه اختلاف در روایات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بیانگر لزومی نبودن ترتیب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 در مقابل آیه‌ی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با توجّه به روایتی که می‌گوید هرچه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بکار رفته، برای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صحیحه‌ی جمیل بن درّاج که ظاهر در تخییر هستند و این ظهور حجّت است، باید حجّتی قوی‌تر پیدا کنیم تا بتوانیم دست از تخییر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دیگر نیز ظهور داشت، از آن‌جا که دو ظهور در عرض یکدیگرند و رابطه‌ی بین آن‌ها عموم و خصوص مطلق نیست، لذا حقّ نداریم دست از ظهور کتاب</w:t>
      </w:r>
    </w:p>
    <w:p>
      <w:pPr>
        <w:pStyle w:val="BookText"/>
        <w:rPr/>
      </w:pPr>
      <w:r>
        <w:rPr>
          <w:rFonts w:ascii="IRNazanin" w:hAnsi="IRNazanin" w:eastAsia="IRNazanin"/>
          <w:color w:val="111111"/>
          <w:sz w:val="28"/>
          <w:sz w:val="28"/>
          <w:szCs w:val="28"/>
          <w:rtl w:val="true"/>
          <w:lang w:bidi="fa-IR"/>
        </w:rPr>
        <w:t>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اختیار تخییر سزاوارتر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اشکالی بر تحریرالوسیله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که قائل به اولویّت ترتیب شویم، باید برای هر حدّی از حدود اربعه مورد خاصّی داشته باشیم؛ ولی این مطلب را در بیان امام راحل رحمه الله در تحریرالوسیله در مورد صلب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قتل اختار القتل أو الصلب ولو أخذ المال اختار القطع ولو شهر السیف وأخاف فقط اختار النفی</w:t>
      </w:r>
      <w:r>
        <w:rPr>
          <w:rFonts w:eastAsia="IRNazanin" w:cs="IRNazanin"/>
          <w:color w:val="111111"/>
          <w:sz w:val="28"/>
          <w:szCs w:val="28"/>
          <w:rtl w:val="true"/>
          <w:lang w:bidi="fa-IR"/>
        </w:rPr>
        <w:t>».</w:t>
      </w:r>
      <w:bookmarkStart w:id="763" w:name="pg16923_220415"/>
    </w:p>
    <w:p>
      <w:pPr>
        <w:pStyle w:val="BookText"/>
        <w:rPr/>
      </w:pPr>
      <w:bookmarkEnd w:id="7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 الحاکم مطلقاً فی حدود الأربعة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 فی المسألة السابقة حدّ المحارب سواء قتل شخصاً أو لا، وسواء رفع ولیّ الدّم أمره إلی الحاکم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مع الرفع یقتل قصاصاً مع کون المقتول کفواً، ومع عفوه فالحاکم مختار بین الامور الأربعة، سواء کان قتله طلباً للمال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جرح ولم یقتل کان القصاص إلی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اقتصّ کان الحاکم مختار بین الامور المتقدّمة حدّاً وکذا لو عفی عنه</w:t>
      </w:r>
      <w:r>
        <w:rPr>
          <w:rFonts w:eastAsia="IRNazanin" w:cs="IRNazanin"/>
          <w:color w:val="111111"/>
          <w:sz w:val="28"/>
          <w:szCs w:val="28"/>
          <w:rtl w:val="true"/>
          <w:lang w:bidi="fa-IR"/>
        </w:rPr>
        <w:t>.]</w:t>
      </w:r>
    </w:p>
    <w:p>
      <w:pPr>
        <w:pStyle w:val="Heading3"/>
        <w:numPr>
          <w:ilvl w:val="2"/>
          <w:numId w:val="1"/>
        </w:numPr>
        <w:rPr/>
      </w:pPr>
      <w:bookmarkStart w:id="764" w:name="__RefHeading___Toc162661_3244359995"/>
      <w:bookmarkStart w:id="765" w:name="_Toc297"/>
      <w:bookmarkEnd w:id="764"/>
      <w:r>
        <w:rPr>
          <w:rtl w:val="true"/>
        </w:rPr>
        <w:t>تخییر حاکم به صورت مطلق در حدود اربعه</w:t>
      </w:r>
      <w:bookmarkEnd w:id="765"/>
    </w:p>
    <w:p>
      <w:pPr>
        <w:pStyle w:val="Heading4"/>
        <w:numPr>
          <w:ilvl w:val="3"/>
          <w:numId w:val="1"/>
        </w:numPr>
        <w:rPr/>
      </w:pPr>
      <w:bookmarkStart w:id="766" w:name="__RefHeading___Toc162663_3244359995"/>
      <w:bookmarkStart w:id="767" w:name="_Toc298"/>
      <w:bookmarkEnd w:id="766"/>
      <w:r>
        <w:rPr>
          <w:rtl w:val="true"/>
        </w:rPr>
        <w:t>اشاره</w:t>
      </w:r>
      <w:bookmarkEnd w:id="767"/>
    </w:p>
    <w:p>
      <w:pPr>
        <w:pStyle w:val="BookText"/>
        <w:rPr/>
      </w:pPr>
      <w:r>
        <w:rPr>
          <w:rFonts w:ascii="IRNazanin" w:hAnsi="IRNazanin" w:eastAsia="IRNazanin"/>
          <w:color w:val="111111"/>
          <w:sz w:val="28"/>
          <w:sz w:val="28"/>
          <w:szCs w:val="28"/>
          <w:rtl w:val="true"/>
          <w:lang w:bidi="fa-IR"/>
        </w:rPr>
        <w:t>آن‌چه به عنوان حدّ محارب گفتیم، حدّ انواع محارب است؛ خواه شخصی را کشته باشد یا نه، یا ولیّ دم به حاکم مراجعه کرده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ولیّ دم به حاکم مراجعه کند، در صورتی که قاتل و مقتول هم‌شأن باشند، ورثه‌ی مقتول می‌توانند قاتل را به عنوان قصاص بکشند؛ ولی اگر او را بخشیدند، حاکم شرع بین یکی از چهار حدّ مخیر است؛ خواه این قتل به خاطر رسیدن محارب به مالی بوده یا به جهت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اگر محارب کسی را مجروح کند و به قتل نرساند، حقّ قصاص برای ولیّ دم محفوظ است؛ پس از قصاص یا عفو، حاکم در اجرای یکی از چهار حدّ مخیّر است</w:t>
      </w:r>
      <w:r>
        <w:rPr>
          <w:rFonts w:eastAsia="IRNazanin" w:cs="IRNazanin"/>
          <w:color w:val="111111"/>
          <w:sz w:val="28"/>
          <w:szCs w:val="28"/>
          <w:rtl w:val="true"/>
          <w:lang w:bidi="fa-IR"/>
        </w:rPr>
        <w:t>.</w:t>
      </w:r>
    </w:p>
    <w:p>
      <w:pPr>
        <w:pStyle w:val="Heading4"/>
        <w:numPr>
          <w:ilvl w:val="3"/>
          <w:numId w:val="1"/>
        </w:numPr>
        <w:rPr/>
      </w:pPr>
      <w:bookmarkStart w:id="768" w:name="__RefHeading___Toc162665_3244359995"/>
      <w:bookmarkStart w:id="769" w:name="_Toc299"/>
      <w:bookmarkEnd w:id="768"/>
      <w:r>
        <w:rPr>
          <w:rtl w:val="true"/>
        </w:rPr>
        <w:t>تعیین محل نزاع</w:t>
      </w:r>
      <w:bookmarkEnd w:id="769"/>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راحل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شرع در اجرای حدود اربعه مخیّر است؛ و بین انواع محارب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محارب به هر کیفیّتی محقّق گردد، تخییر برای حاکم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گاهی محارب علاوه بر محارب بودنش موضوع عنوان دیگری نیز واقع می‌شود، مانند این که مالی را برده باشد، که به مقتضای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w:t>
      </w:r>
      <w:r>
        <w:rPr>
          <w:rStyle w:val="FootnoteAnchor"/>
          <w:rtl w:val="true"/>
        </w:rPr>
        <w:footnoteReference w:id="544"/>
      </w:r>
      <w:r>
        <w:rPr>
          <w:rFonts w:ascii="IRNazanin" w:hAnsi="IRNazanin" w:eastAsia="IRNazanin"/>
          <w:color w:val="111111"/>
          <w:sz w:val="28"/>
          <w:sz w:val="28"/>
          <w:szCs w:val="28"/>
          <w:rtl w:val="true"/>
          <w:lang w:bidi="fa-IR"/>
        </w:rPr>
        <w:t>ضامن است؛ باید عین یا بدلش را به صاحبش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بودنش در این</w:t>
      </w:r>
      <w:bookmarkStart w:id="770" w:name="pg16923_220416"/>
    </w:p>
    <w:p>
      <w:pPr>
        <w:pStyle w:val="BookText"/>
        <w:rPr/>
      </w:pPr>
      <w:bookmarkEnd w:id="770"/>
      <w:r>
        <w:rPr>
          <w:rFonts w:ascii="IRNazanin" w:hAnsi="IRNazanin" w:eastAsia="IRNazanin"/>
          <w:color w:val="111111"/>
          <w:sz w:val="28"/>
          <w:sz w:val="28"/>
          <w:szCs w:val="28"/>
          <w:rtl w:val="true"/>
          <w:lang w:bidi="fa-IR"/>
        </w:rPr>
        <w:t>صورت ربطی به تخییر حاکم در حدود اربعه ندارد؛ همانند سارق که ضامن مال مسروقه است و در عین حال حدّ سرقت نیز در موردش اجرا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محاربی مرتکب قتل شد، قتل عمدی با شرایطی که در محل خودش گفته شده، موضوع قصاص است؛ یکی از آن شرایط هم کفو بودن قاتل و مقتول از نظر اسلام، حریّت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موردی، فرد متّصف به دو عنوان محارب و قاتل است؛ او را در اختیار ورثه‌ی مقتول می‌گذارند، ولیّ دم می‌تواند قصاص کند یا ببخشد و یا دیه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قصاص، موضوعی برای اجرای حدّ محارب باقی نمی‌ماند؛ ولی در دو صورت دیگر بین فقها بحث است آیا حاکم باز هم بین حدود اربعه مخیّر است که یا قتل در حقّ محارب تعیّن دارد؟ سه قول در مسأله هست</w:t>
      </w:r>
      <w:r>
        <w:rPr>
          <w:rFonts w:eastAsia="IRNazanin" w:cs="IRNazanin"/>
          <w:color w:val="111111"/>
          <w:sz w:val="28"/>
          <w:szCs w:val="28"/>
          <w:rtl w:val="true"/>
          <w:lang w:bidi="fa-IR"/>
        </w:rPr>
        <w:t>:</w:t>
      </w:r>
    </w:p>
    <w:p>
      <w:pPr>
        <w:pStyle w:val="Heading4"/>
        <w:numPr>
          <w:ilvl w:val="3"/>
          <w:numId w:val="1"/>
        </w:numPr>
        <w:rPr/>
      </w:pPr>
      <w:bookmarkStart w:id="771" w:name="__RefHeading___Toc162667_3244359995"/>
      <w:bookmarkStart w:id="772" w:name="_Toc300"/>
      <w:bookmarkEnd w:id="771"/>
      <w:r>
        <w:rPr>
          <w:rtl w:val="true"/>
        </w:rPr>
        <w:t>اقوال فقها در مسأله</w:t>
      </w:r>
      <w:bookmarkEnd w:id="772"/>
    </w:p>
    <w:p>
      <w:pPr>
        <w:pStyle w:val="Heading5"/>
        <w:numPr>
          <w:ilvl w:val="4"/>
          <w:numId w:val="1"/>
        </w:numPr>
        <w:rPr/>
      </w:pPr>
      <w:bookmarkStart w:id="773" w:name="__RefHeading___Toc162669_3244359995"/>
      <w:bookmarkStart w:id="774" w:name="_Toc301"/>
      <w:bookmarkEnd w:id="773"/>
      <w:r>
        <w:rPr>
          <w:rtl w:val="true"/>
        </w:rPr>
        <w:t>اشاره</w:t>
      </w:r>
      <w:bookmarkEnd w:id="7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رحمه الله و صاحب جواهر رحمه الله</w:t>
      </w:r>
      <w:r>
        <w:rPr>
          <w:rStyle w:val="FootnoteAnchor"/>
          <w:rtl w:val="true"/>
        </w:rPr>
        <w:footnoteReference w:id="545"/>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حاکم اطلاق دارد و به موردی تخصیص نخورده است؛ حاکم می‌تواند هر کدام از چهار حدّ را که صلاح می‌داند، اجرا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در شرایع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شرع باید انگیزه‌ی محارب را از قتل بفهمد؛ اگر قصد محارب از قتل، رسیدن به مال مقتول و بردن آن باشد، و به عبارت دیگر، اگر قتل مقدّمه‌ی اخذ مال بوده و نفس قتل موضوعیّتی نداشته است، بر حاکم شرع واجب است او را به قتل برساند؛ امّا اگر کشتن مقتول برای محارب موضوعیّت داشته، حاکم شرع در اجرای حدود اربعه مخیّر است</w:t>
      </w:r>
      <w:r>
        <w:rPr>
          <w:rFonts w:eastAsia="IRNazanin" w:cs="IRNazanin"/>
          <w:color w:val="111111"/>
          <w:sz w:val="28"/>
          <w:szCs w:val="28"/>
          <w:rtl w:val="true"/>
          <w:lang w:bidi="fa-IR"/>
        </w:rPr>
        <w:t>.</w:t>
      </w:r>
      <w:r>
        <w:rPr>
          <w:rStyle w:val="FootnoteAnchor"/>
          <w:rtl w:val="true"/>
        </w:rPr>
        <w:footnoteReference w:id="546"/>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تفصیل فقط در صورت قتل‌جا دارد؛ و الّا اگر محاربی جراحتی وارد کرد، با قصاص مجروح یا عفو دیه‌اش، حاکم شرع مخیّر است؛ خواه این جُرح مقدّمه‌ی اخذ مال</w:t>
      </w:r>
      <w:bookmarkStart w:id="775" w:name="pg16923_220417"/>
    </w:p>
    <w:p>
      <w:pPr>
        <w:pStyle w:val="BookText"/>
        <w:rPr/>
      </w:pPr>
      <w:bookmarkEnd w:id="775"/>
      <w:r>
        <w:rPr>
          <w:rFonts w:ascii="IRNazanin" w:hAnsi="IRNazanin" w:eastAsia="IRNazanin"/>
          <w:color w:val="111111"/>
          <w:sz w:val="28"/>
          <w:sz w:val="28"/>
          <w:szCs w:val="28"/>
          <w:rtl w:val="true"/>
          <w:lang w:bidi="fa-IR"/>
        </w:rPr>
        <w:t>بوده یا خودش موضوعیّت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 قاتل را باید کشت، خواه به قصد اخذ مال مرتکب قتل شده باشد یا کشتن مقتول برایش موضوعیّت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را شهید ثانی رحمه الله در شرح لمعه به جماعتی از فقها نسبت می‌دهد</w:t>
      </w:r>
      <w:r>
        <w:rPr>
          <w:rFonts w:eastAsia="IRNazanin" w:cs="IRNazanin"/>
          <w:color w:val="111111"/>
          <w:sz w:val="28"/>
          <w:szCs w:val="28"/>
          <w:rtl w:val="true"/>
          <w:lang w:bidi="fa-IR"/>
        </w:rPr>
        <w:t>.</w:t>
      </w:r>
      <w:r>
        <w:rPr>
          <w:rStyle w:val="FootnoteAnchor"/>
          <w:rtl w:val="true"/>
        </w:rPr>
        <w:footnoteReference w:id="547"/>
      </w:r>
    </w:p>
    <w:p>
      <w:pPr>
        <w:pStyle w:val="Heading5"/>
        <w:numPr>
          <w:ilvl w:val="4"/>
          <w:numId w:val="1"/>
        </w:numPr>
        <w:rPr/>
      </w:pPr>
      <w:bookmarkStart w:id="776" w:name="__RefHeading___Toc162671_3244359995"/>
      <w:bookmarkStart w:id="777" w:name="_Toc302"/>
      <w:bookmarkEnd w:id="776"/>
      <w:r>
        <w:rPr>
          <w:rtl w:val="true"/>
        </w:rPr>
        <w:t>نقد قول دوّم</w:t>
      </w:r>
      <w:bookmarkEnd w:id="777"/>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روایات ترتیب را به سبب ضعف سند یا دلالت و یا اضطراب در متن کنار گذاشتید و با تمسّک به ظاهر آیه‌ی شریفه تخییر را اختیار کردید، دلیل شما بر استثنا چیست؟</w:t>
      </w:r>
    </w:p>
    <w:p>
      <w:pPr>
        <w:pStyle w:val="BookText"/>
        <w:rPr/>
      </w:pPr>
      <w:r>
        <w:rPr>
          <w:rFonts w:ascii="IRNazanin" w:hAnsi="IRNazanin" w:eastAsia="IRNazanin"/>
          <w:color w:val="111111"/>
          <w:sz w:val="28"/>
          <w:sz w:val="28"/>
          <w:szCs w:val="28"/>
          <w:rtl w:val="true"/>
          <w:lang w:bidi="fa-IR"/>
        </w:rPr>
        <w:t>اگر مستند شما ذیل صحیحه‌ی محمّد بن مسلم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عفوا عنه کان علی الإمام أن یقتله لأنّه قد حارب وقتل وسرق</w:t>
      </w:r>
      <w:r>
        <w:rPr>
          <w:rFonts w:eastAsia="IRNazanin" w:cs="IRNazanin"/>
          <w:color w:val="111111"/>
          <w:sz w:val="28"/>
          <w:szCs w:val="28"/>
          <w:rtl w:val="true"/>
          <w:lang w:bidi="fa-IR"/>
        </w:rPr>
        <w:t>»</w:t>
      </w:r>
      <w:r>
        <w:rPr>
          <w:rStyle w:val="FootnoteAnchor"/>
          <w:rtl w:val="true"/>
        </w:rPr>
        <w:footnoteReference w:id="5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ولیّ دم او را عفو کنند بر امام واجب است او را به قتل برساند، زیرا مرتکب محاربه و قتل و سرقت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اشکال این است که صحیحه‌ی محمّد بن مسلم از ادلّه‌ی ترتیب است؛ شما که ترتیب را نپذیرفتید، چگونه به قسمتی از روایت که در خصوص ترتیب رسیده است تمسّک می‌کنید؟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 که استناد شما به این روایت تمام باشد، تفصیلی که داده‌اید را از کدام قسمت روایت استفاده کرده‌اید؟ صحیحه‌ی محمّد بن مسلم فرقی بین انواع محارب قاتل نگذاشته است</w:t>
      </w:r>
      <w:r>
        <w:rPr>
          <w:rFonts w:eastAsia="IRNazanin" w:cs="IRNazanin"/>
          <w:color w:val="111111"/>
          <w:sz w:val="28"/>
          <w:szCs w:val="28"/>
          <w:rtl w:val="true"/>
          <w:lang w:bidi="fa-IR"/>
        </w:rPr>
        <w:t>.</w:t>
      </w:r>
    </w:p>
    <w:p>
      <w:pPr>
        <w:pStyle w:val="Heading5"/>
        <w:numPr>
          <w:ilvl w:val="4"/>
          <w:numId w:val="1"/>
        </w:numPr>
        <w:rPr/>
      </w:pPr>
      <w:bookmarkStart w:id="778" w:name="__RefHeading___Toc162673_3244359995"/>
      <w:bookmarkStart w:id="779" w:name="_Toc303"/>
      <w:bookmarkEnd w:id="778"/>
      <w:r>
        <w:rPr>
          <w:rtl w:val="true"/>
        </w:rPr>
        <w:t>نقد قول سوّم</w:t>
      </w:r>
      <w:bookmarkEnd w:id="779"/>
    </w:p>
    <w:p>
      <w:pPr>
        <w:pStyle w:val="BookText"/>
        <w:rPr/>
      </w:pPr>
      <w:r>
        <w:rPr>
          <w:rFonts w:ascii="IRNazanin" w:hAnsi="IRNazanin" w:eastAsia="IRNazanin"/>
          <w:color w:val="111111"/>
          <w:sz w:val="28"/>
          <w:sz w:val="28"/>
          <w:szCs w:val="28"/>
          <w:rtl w:val="true"/>
          <w:lang w:bidi="fa-IR"/>
        </w:rPr>
        <w:t>دلیل این قول همان صحیحه‌ی محمّد بن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روایت را می‌پذیرند باید ترتیب بین حدود را نیز بپذیرند؛ با ردّ ترتیب و عدم پذیرش روایت در خصوص ترتیب، نمی‌توانند دلیلی بر استثنای محاربِ قاتل از تخییر حاکم بین حدود اربعه داشته باشند</w:t>
      </w:r>
      <w:r>
        <w:rPr>
          <w:rFonts w:eastAsia="IRNazanin" w:cs="IRNazanin"/>
          <w:color w:val="111111"/>
          <w:sz w:val="28"/>
          <w:szCs w:val="28"/>
          <w:rtl w:val="true"/>
          <w:lang w:bidi="fa-IR"/>
        </w:rPr>
        <w:t>.</w:t>
      </w:r>
    </w:p>
    <w:p>
      <w:pPr>
        <w:pStyle w:val="Heading4"/>
        <w:numPr>
          <w:ilvl w:val="3"/>
          <w:numId w:val="1"/>
        </w:numPr>
        <w:rPr/>
      </w:pPr>
      <w:bookmarkStart w:id="780" w:name="__RefHeading___Toc162675_3244359995"/>
      <w:bookmarkStart w:id="781" w:name="_Toc304"/>
      <w:bookmarkEnd w:id="780"/>
      <w:r>
        <w:rPr>
          <w:rtl w:val="true"/>
        </w:rPr>
        <w:t>نظر برگزیده</w:t>
      </w:r>
      <w:bookmarkEnd w:id="781"/>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ما همان قول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این است که چنین فردی متّصف به دو عنوان است که هر کدام کیفر خاصّی دارد و نباید با هم مخلوط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قاتل است موضوع</w:t>
      </w:r>
    </w:p>
    <w:p>
      <w:pPr>
        <w:pStyle w:val="BookText"/>
        <w:rPr/>
      </w:pPr>
      <w:r>
        <w:rPr>
          <w:rFonts w:ascii="IRNazanin" w:hAnsi="IRNazanin" w:eastAsia="IRNazanin"/>
          <w:color w:val="111111"/>
          <w:sz w:val="28"/>
          <w:sz w:val="28"/>
          <w:szCs w:val="28"/>
          <w:rtl w:val="true"/>
          <w:lang w:bidi="fa-IR"/>
        </w:rPr>
        <w:t>ادلّه‌ی قصاص می‌باشد؛ و از جهتی که محارب است، باید یکی از حدود اربعه درباره‌اش اجرا گردد؛ و هیچ یک از دو کیفر در دیگری مؤثّر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مسأله‌ی قصاص مربوط به ولیّ دم و حقّ‌الناس است، مسأله‌ی محارب حقّ‌اللَّه و مربوط به خداست؛ به یکدیگر ربطی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ولیّ دم می‌تواند قصاص، یا عفو و یا دیه را اختیار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اختیار قصاص، موضوع حدّ محارب منتفی می‌گردد؛ ولی در صورت عفو یا اخذ دیه، موضوع حدّ محارب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حاکم شرع را مخیّر بین حدود چهارگانه کرده است و دلیلی نیز بر تخصیص نداریم، مگر صحیحه‌ی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آن را پذیرفت، باید دست از تخییر بردارد و به ترتیب فتوا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محارب جراحتی بر کسی وارد کند، مانند این که دست یا پای فردی را قطع کند، مجنی علیه حقّ قصاص، یا عفو و یا دیه دارد؛ و هر کدام را خواست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اختیار او، محارب در اختیار حاکم قرار می‌گیرد و او هر کدام از چهار حدّ را که بخواهد، در موردش اجرا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محارب دست راست و پای چپ فردی را قطع کرد ولی مجنی‌علیه قصاص نکرد، بر حاکم قطع دست و پا متعیّن نیست؛ بلکه بین قطع و قتل و صلب و نفی بلد مخیّر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لزوم ترتیب یا اولویتش قائل شویم، قطع متعیّن یا راجح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 نظر ما حاکم شرع در تمام موارد محاربه بین حدود اربعه مخیّر است و استثنا و مخصّصی نیز نداریم</w:t>
      </w:r>
      <w:r>
        <w:rPr>
          <w:rFonts w:eastAsia="IRNazanin" w:cs="IRNazanin"/>
          <w:color w:val="111111"/>
          <w:sz w:val="28"/>
          <w:szCs w:val="28"/>
          <w:rtl w:val="true"/>
          <w:lang w:bidi="fa-IR"/>
        </w:rPr>
        <w:t>.</w:t>
      </w:r>
      <w:bookmarkStart w:id="782" w:name="pg16923_220419"/>
    </w:p>
    <w:p>
      <w:pPr>
        <w:pStyle w:val="BookText"/>
        <w:rPr/>
      </w:pPr>
      <w:bookmarkEnd w:id="7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توبة المحارب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تاب المحارب قبل القدرة علیه سقط الحدّ دون حقوق النّاس من القتل والجرح والمال، ولو تاب بعد الظفر علیه لم یسقط الحدّ أیضاً</w:t>
      </w:r>
      <w:r>
        <w:rPr>
          <w:rFonts w:eastAsia="IRNazanin" w:cs="IRNazanin"/>
          <w:color w:val="111111"/>
          <w:sz w:val="28"/>
          <w:szCs w:val="28"/>
          <w:rtl w:val="true"/>
          <w:lang w:bidi="fa-IR"/>
        </w:rPr>
        <w:t>.]</w:t>
      </w:r>
    </w:p>
    <w:p>
      <w:pPr>
        <w:pStyle w:val="Heading3"/>
        <w:numPr>
          <w:ilvl w:val="2"/>
          <w:numId w:val="1"/>
        </w:numPr>
        <w:rPr/>
      </w:pPr>
      <w:bookmarkStart w:id="783" w:name="__RefHeading___Toc162677_3244359995"/>
      <w:bookmarkStart w:id="784" w:name="_Toc305"/>
      <w:bookmarkEnd w:id="783"/>
      <w:r>
        <w:rPr>
          <w:rtl w:val="true"/>
        </w:rPr>
        <w:t>حکم توبه‌ی محارب</w:t>
      </w:r>
      <w:bookmarkEnd w:id="784"/>
    </w:p>
    <w:p>
      <w:pPr>
        <w:pStyle w:val="Heading4"/>
        <w:numPr>
          <w:ilvl w:val="3"/>
          <w:numId w:val="1"/>
        </w:numPr>
        <w:rPr/>
      </w:pPr>
      <w:bookmarkStart w:id="785" w:name="__RefHeading___Toc162679_3244359995"/>
      <w:bookmarkStart w:id="786" w:name="_Toc306"/>
      <w:bookmarkEnd w:id="785"/>
      <w:r>
        <w:rPr>
          <w:rtl w:val="true"/>
        </w:rPr>
        <w:t>اشاره</w:t>
      </w:r>
      <w:bookmarkEnd w:id="786"/>
    </w:p>
    <w:p>
      <w:pPr>
        <w:pStyle w:val="BookText"/>
        <w:rPr/>
      </w:pPr>
      <w:r>
        <w:rPr>
          <w:rFonts w:ascii="IRNazanin" w:hAnsi="IRNazanin" w:eastAsia="IRNazanin"/>
          <w:color w:val="111111"/>
          <w:sz w:val="28"/>
          <w:sz w:val="28"/>
          <w:szCs w:val="28"/>
          <w:rtl w:val="true"/>
          <w:lang w:bidi="fa-IR"/>
        </w:rPr>
        <w:t>اگر محارب قبل از دستگیری توبه کند، حدّ محاربه ساقط می‌گردد؛ امّا حقوق مردم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قصاص به سبب قتل یا جنایت و ضمان مال باقی است؛ و اگر بعد از دستگیری توبه کند، هیچ یک از دو حقّ ساقط نمی‌گردد</w:t>
      </w:r>
      <w:r>
        <w:rPr>
          <w:rFonts w:eastAsia="IRNazanin" w:cs="IRNazanin"/>
          <w:color w:val="111111"/>
          <w:sz w:val="28"/>
          <w:szCs w:val="28"/>
          <w:rtl w:val="true"/>
          <w:lang w:bidi="fa-IR"/>
        </w:rPr>
        <w:t>.</w:t>
      </w:r>
    </w:p>
    <w:p>
      <w:pPr>
        <w:pStyle w:val="Heading4"/>
        <w:numPr>
          <w:ilvl w:val="3"/>
          <w:numId w:val="1"/>
        </w:numPr>
        <w:rPr/>
      </w:pPr>
      <w:bookmarkStart w:id="787" w:name="__RefHeading___Toc162681_3244359995"/>
      <w:bookmarkStart w:id="788" w:name="_Toc307"/>
      <w:bookmarkEnd w:id="787"/>
      <w:r>
        <w:rPr>
          <w:rtl w:val="true"/>
        </w:rPr>
        <w:t>سقوط حدّ محاربه به وسیله‌ی توبه قبل از دستگیری</w:t>
      </w:r>
      <w:bookmarkEnd w:id="788"/>
    </w:p>
    <w:p>
      <w:pPr>
        <w:pStyle w:val="BookText"/>
        <w:rPr/>
      </w:pPr>
      <w:r>
        <w:rPr>
          <w:rFonts w:ascii="IRNazanin" w:hAnsi="IRNazanin" w:eastAsia="IRNazanin"/>
          <w:color w:val="111111"/>
          <w:sz w:val="28"/>
          <w:sz w:val="28"/>
          <w:szCs w:val="28"/>
          <w:rtl w:val="true"/>
          <w:lang w:bidi="fa-IR"/>
        </w:rPr>
        <w:t>دلیل سقوط حدّ محارب در این فرض آیه‌ی محاربه است که در ادامه‌ی آن به صورت استثنا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الَّذِینَ تَابُواْ مِن قَبْلِ أَن تَقْدِرُواْ عَلَیْهِمْ فَاعْلَمُواْ أَنَّ اللَّهَ غَفُورٌ رَّحِیمٌ؛</w:t>
      </w:r>
      <w:r>
        <w:rPr>
          <w:rStyle w:val="FootnoteAnchor"/>
          <w:rtl w:val="true"/>
        </w:rPr>
        <w:footnoteReference w:id="549"/>
      </w:r>
      <w:r>
        <w:rPr>
          <w:rFonts w:ascii="IRNazanin" w:hAnsi="IRNazanin" w:eastAsia="IRNazanin"/>
          <w:color w:val="111111"/>
          <w:sz w:val="28"/>
          <w:sz w:val="28"/>
          <w:szCs w:val="28"/>
          <w:rtl w:val="true"/>
          <w:lang w:bidi="fa-IR"/>
        </w:rPr>
        <w:t>مگر افراد محاربی که قبل از آن که بر آنان قدرت پیدا کنید، توبه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علیّ بن حسّان این جمله را به این‌گونه تفسیر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یتوبوا قبل أن یأخذهم الإمام</w:t>
      </w:r>
      <w:r>
        <w:rPr>
          <w:rFonts w:eastAsia="IRNazanin" w:cs="IRNazanin"/>
          <w:color w:val="111111"/>
          <w:sz w:val="28"/>
          <w:szCs w:val="28"/>
          <w:rtl w:val="true"/>
          <w:lang w:bidi="fa-IR"/>
        </w:rPr>
        <w:t>»</w:t>
      </w:r>
      <w:r>
        <w:rPr>
          <w:rStyle w:val="FootnoteAnchor"/>
          <w:rtl w:val="true"/>
        </w:rPr>
        <w:footnoteReference w:id="550"/>
      </w:r>
      <w:r>
        <w:rPr>
          <w:rFonts w:ascii="IRNazanin" w:hAnsi="IRNazanin" w:eastAsia="IRNazanin"/>
          <w:color w:val="111111"/>
          <w:sz w:val="28"/>
          <w:sz w:val="28"/>
          <w:szCs w:val="28"/>
          <w:rtl w:val="true"/>
          <w:lang w:bidi="fa-IR"/>
        </w:rPr>
        <w:t>یعنی قبل از آن که امام آنان را بگیرد، توبه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آمرزنده‌ی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آیه‌ی شریفه در قسمتی از روایات نیز مسأله‌ی توبه مطرح شده است، هرچند با وجود آیه‌ی شریفه نیازی به آن روایات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حارثة بن زید در زمان امیر مؤمنان علیه السلام عنوان محارب پیدا کرد و پس از توبه نزد امام آمد و آن حضرت توبه‌اش را پذیرفت</w:t>
      </w:r>
      <w:r>
        <w:rPr>
          <w:rFonts w:eastAsia="IRNazanin" w:cs="IRNazanin"/>
          <w:color w:val="111111"/>
          <w:sz w:val="28"/>
          <w:szCs w:val="28"/>
          <w:rtl w:val="true"/>
          <w:lang w:bidi="fa-IR"/>
        </w:rPr>
        <w:t>.</w:t>
      </w:r>
      <w:r>
        <w:rPr>
          <w:rStyle w:val="FootnoteAnchor"/>
          <w:rtl w:val="true"/>
        </w:rPr>
        <w:footnoteReference w:id="551"/>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توبه‌ی محارب قبل از دستگیری، حدّ محاربه ساقط می‌شود؛ اما اگر مرتکب قتل یا جرح یا اخذ مال شده باشد، قصاص نفس یا عضو و ضمان مال از بین نمی‌رود، بلکه باید</w:t>
      </w:r>
      <w:bookmarkStart w:id="789" w:name="pg16923_220420"/>
    </w:p>
    <w:p>
      <w:pPr>
        <w:pStyle w:val="BookText"/>
        <w:rPr/>
      </w:pPr>
      <w:bookmarkEnd w:id="789"/>
      <w:r>
        <w:rPr>
          <w:rFonts w:ascii="IRNazanin" w:hAnsi="IRNazanin" w:eastAsia="IRNazanin"/>
          <w:color w:val="111111"/>
          <w:sz w:val="28"/>
          <w:sz w:val="28"/>
          <w:szCs w:val="28"/>
          <w:rtl w:val="true"/>
          <w:lang w:bidi="fa-IR"/>
        </w:rPr>
        <w:t>مال را ردّ کند؛ و به فرمایش صاحب جواهر رحمه الله تا مال مردم را ردّ نکند، توبه محقّق نشده است؛</w:t>
      </w:r>
      <w:r>
        <w:rPr>
          <w:rStyle w:val="FootnoteAnchor"/>
          <w:rtl w:val="true"/>
        </w:rPr>
        <w:footnoteReference w:id="552"/>
      </w:r>
      <w:r>
        <w:rPr>
          <w:rFonts w:ascii="IRNazanin" w:hAnsi="IRNazanin" w:eastAsia="IRNazanin"/>
          <w:color w:val="111111"/>
          <w:sz w:val="28"/>
          <w:sz w:val="28"/>
          <w:szCs w:val="28"/>
          <w:rtl w:val="true"/>
          <w:lang w:bidi="fa-IR"/>
        </w:rPr>
        <w:t>همان طور که توبه‌ی در باب غصب به ردّ مال مغصوب به مالکش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توبه در سقوط قصاص و ضمان مال نقش ندارد، بلکه با عفو یا بخشش مجنیّ علیه و صاحب مال ساقط می‌گردد</w:t>
      </w:r>
      <w:r>
        <w:rPr>
          <w:rFonts w:eastAsia="IRNazanin" w:cs="IRNazanin"/>
          <w:color w:val="111111"/>
          <w:sz w:val="28"/>
          <w:szCs w:val="28"/>
          <w:rtl w:val="true"/>
          <w:lang w:bidi="fa-IR"/>
        </w:rPr>
        <w:t>.</w:t>
      </w:r>
    </w:p>
    <w:p>
      <w:pPr>
        <w:pStyle w:val="Heading4"/>
        <w:numPr>
          <w:ilvl w:val="3"/>
          <w:numId w:val="1"/>
        </w:numPr>
        <w:rPr/>
      </w:pPr>
      <w:bookmarkStart w:id="790" w:name="__RefHeading___Toc162683_3244359995"/>
      <w:bookmarkStart w:id="791" w:name="_Toc308"/>
      <w:bookmarkEnd w:id="790"/>
      <w:r>
        <w:rPr>
          <w:rtl w:val="true"/>
        </w:rPr>
        <w:t>حکم توبه‌ی محارب پس از دستگیری</w:t>
      </w:r>
      <w:bookmarkEnd w:id="791"/>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آیه‌ی شریفه ظهور عرفی در تأثیر نداشتن توبه پس از دستگیری دارد، علاوه بر این که لازمه‌ی قبول توبه، لغویّت جعل حدود است؛ زیرا، هر مجرمی وقتی می‌بیند می‌خواهند حدّ را درباره‌اش اجرا کنند، توبه می‌کند؛ و این بحث در تمام موارد حدود جاری است؛ مگر در باب زنا که به اقرار شخص ثابت شده باشد</w:t>
      </w:r>
      <w:r>
        <w:rPr>
          <w:rFonts w:eastAsia="IRNazanin" w:cs="IRNazanin"/>
          <w:color w:val="111111"/>
          <w:sz w:val="28"/>
          <w:szCs w:val="28"/>
          <w:rtl w:val="true"/>
          <w:lang w:bidi="fa-IR"/>
        </w:rPr>
        <w:t>.</w:t>
      </w:r>
      <w:bookmarkStart w:id="792" w:name="pg16923_220421"/>
    </w:p>
    <w:p>
      <w:pPr>
        <w:pStyle w:val="BookText"/>
        <w:rPr/>
      </w:pPr>
      <w:bookmarkEnd w:id="79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أحکام اللصّ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اللصّ إذا صدق علیه عنوان المحارب کان حکمه ما تقدّم وإلّا فله أحکام تقدّمت فی ذیل کتاب الأمر بالمعروف والنهی عن المنکر</w:t>
      </w:r>
      <w:r>
        <w:rPr>
          <w:rFonts w:eastAsia="IRNazanin" w:cs="IRNazanin"/>
          <w:color w:val="111111"/>
          <w:sz w:val="28"/>
          <w:szCs w:val="28"/>
          <w:rtl w:val="true"/>
          <w:lang w:bidi="fa-IR"/>
        </w:rPr>
        <w:t>.]</w:t>
      </w:r>
    </w:p>
    <w:p>
      <w:pPr>
        <w:pStyle w:val="Heading3"/>
        <w:numPr>
          <w:ilvl w:val="2"/>
          <w:numId w:val="1"/>
        </w:numPr>
        <w:rPr/>
      </w:pPr>
      <w:bookmarkStart w:id="793" w:name="__RefHeading___Toc162685_3244359995"/>
      <w:bookmarkStart w:id="794" w:name="_Toc309"/>
      <w:bookmarkEnd w:id="793"/>
      <w:r>
        <w:rPr>
          <w:rtl w:val="true"/>
        </w:rPr>
        <w:t>احکام لصّ</w:t>
      </w:r>
      <w:bookmarkEnd w:id="794"/>
    </w:p>
    <w:p>
      <w:pPr>
        <w:pStyle w:val="Heading4"/>
        <w:numPr>
          <w:ilvl w:val="3"/>
          <w:numId w:val="1"/>
        </w:numPr>
        <w:rPr/>
      </w:pPr>
      <w:bookmarkStart w:id="795" w:name="__RefHeading___Toc162687_3244359995"/>
      <w:bookmarkStart w:id="796" w:name="_Toc310"/>
      <w:bookmarkEnd w:id="795"/>
      <w:r>
        <w:rPr>
          <w:rtl w:val="true"/>
        </w:rPr>
        <w:t>اشاره</w:t>
      </w:r>
      <w:bookmarkEnd w:id="796"/>
    </w:p>
    <w:p>
      <w:pPr>
        <w:pStyle w:val="BookText"/>
        <w:rPr/>
      </w:pPr>
      <w:r>
        <w:rPr>
          <w:rFonts w:ascii="IRNazanin" w:hAnsi="IRNazanin" w:eastAsia="IRNazanin"/>
          <w:color w:val="111111"/>
          <w:sz w:val="28"/>
          <w:sz w:val="28"/>
          <w:szCs w:val="28"/>
          <w:rtl w:val="true"/>
          <w:lang w:bidi="fa-IR"/>
        </w:rPr>
        <w:t>اگر بر لُصّ عنوان محارب صدق کند، حکمش همان است که گذشت؛ و الّا اگر از مصادیق محارب نباشد، احکامش در کتاب امر به معروف و نهی از منکر گذشت</w:t>
      </w:r>
      <w:r>
        <w:rPr>
          <w:rFonts w:eastAsia="IRNazanin" w:cs="IRNazanin"/>
          <w:color w:val="111111"/>
          <w:sz w:val="28"/>
          <w:szCs w:val="28"/>
          <w:rtl w:val="true"/>
          <w:lang w:bidi="fa-IR"/>
        </w:rPr>
        <w:t>.</w:t>
      </w:r>
    </w:p>
    <w:p>
      <w:pPr>
        <w:pStyle w:val="Heading4"/>
        <w:numPr>
          <w:ilvl w:val="3"/>
          <w:numId w:val="1"/>
        </w:numPr>
        <w:rPr/>
      </w:pPr>
      <w:bookmarkStart w:id="797" w:name="__RefHeading___Toc162689_3244359995"/>
      <w:bookmarkStart w:id="798" w:name="_Toc311"/>
      <w:bookmarkEnd w:id="797"/>
      <w:r>
        <w:rPr>
          <w:rtl w:val="true"/>
        </w:rPr>
        <w:t>بیان محل نزاع در کلمات فقها</w:t>
      </w:r>
      <w:bookmarkEnd w:id="798"/>
    </w:p>
    <w:p>
      <w:pPr>
        <w:pStyle w:val="BookText"/>
        <w:rPr/>
      </w:pPr>
      <w:r>
        <w:rPr>
          <w:rFonts w:ascii="IRNazanin" w:hAnsi="IRNazanin" w:eastAsia="IRNazanin"/>
          <w:color w:val="111111"/>
          <w:sz w:val="28"/>
          <w:sz w:val="28"/>
          <w:szCs w:val="28"/>
          <w:rtl w:val="true"/>
          <w:lang w:bidi="fa-IR"/>
        </w:rPr>
        <w:t>لُصّ از نظر اعراب به فتح و ضمّ و کسر لام صحیح است، همان‌طوری که در المنجد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این است که آیا لُصّ یکی از مصادیق محارب است؟ سه نظر، بلکه سه قول در این مسأله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در شرایع، لُصّ را به‌طور مطلق از مصادیق محارب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اللّص 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یکی از مصادیق واقعی محارب است</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حکمه حکم المحارب</w:t>
      </w:r>
      <w:r>
        <w:rPr>
          <w:rFonts w:eastAsia="IRNazanin" w:cs="IRNazanin"/>
          <w:color w:val="111111"/>
          <w:sz w:val="28"/>
          <w:szCs w:val="28"/>
          <w:rtl w:val="true"/>
          <w:lang w:bidi="fa-IR"/>
        </w:rPr>
        <w:t>»</w:t>
      </w:r>
      <w:r>
        <w:rPr>
          <w:rStyle w:val="FootnoteAnchor"/>
          <w:rtl w:val="true"/>
        </w:rPr>
        <w:footnoteReference w:id="554"/>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اللّص بحکم المحارب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لُصّ از مصادیق محارب نیست، لیکن از روایات استفاده می‌شود حکمش همان حکم محارب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تعبیر امام راحل استفاده می‌شود که لُصّ بر دو قسم است، یک قسم از مصادیق محارب است و قسمی از مصادیق آن نیست</w:t>
      </w:r>
      <w:r>
        <w:rPr>
          <w:rFonts w:eastAsia="IRNazanin" w:cs="IRNazanin"/>
          <w:color w:val="111111"/>
          <w:sz w:val="28"/>
          <w:szCs w:val="28"/>
          <w:rtl w:val="true"/>
          <w:lang w:bidi="fa-IR"/>
        </w:rPr>
        <w:t>.</w:t>
      </w:r>
    </w:p>
    <w:p>
      <w:pPr>
        <w:pStyle w:val="Heading4"/>
        <w:numPr>
          <w:ilvl w:val="3"/>
          <w:numId w:val="1"/>
        </w:numPr>
        <w:rPr/>
      </w:pPr>
      <w:bookmarkStart w:id="799" w:name="__RefHeading___Toc162691_3244359995"/>
      <w:bookmarkStart w:id="800" w:name="_Toc312"/>
      <w:bookmarkEnd w:id="799"/>
      <w:r>
        <w:rPr>
          <w:rtl w:val="true"/>
        </w:rPr>
        <w:t>بررسی اقوال فقها</w:t>
      </w:r>
      <w:bookmarkEnd w:id="800"/>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لُصّ به معنای مطلق سارق باشد و هر دو نوع دزدی را شامل شود، یعنی سارقی که دست به سرقت مسلّحانه می‌زند و با اتّکای بر سلاحش به صورت زور و غلبه وارد خانه</w:t>
      </w:r>
    </w:p>
    <w:p>
      <w:pPr>
        <w:pStyle w:val="BookText"/>
        <w:rPr/>
      </w:pPr>
      <w:r>
        <w:rPr>
          <w:rFonts w:ascii="IRNazanin" w:hAnsi="IRNazanin" w:eastAsia="IRNazanin"/>
          <w:color w:val="111111"/>
          <w:sz w:val="28"/>
          <w:sz w:val="28"/>
          <w:szCs w:val="28"/>
          <w:rtl w:val="true"/>
          <w:lang w:bidi="fa-IR"/>
        </w:rPr>
        <w:t>می‌شود، بیدار بودن صاحب خانه یا خواب بودنش برای او فرقی نمی‌کند و به تعبیر مرحوم محقّق رحمه الله متغلّبانه وارد خانه می‌شود،</w:t>
      </w:r>
      <w:r>
        <w:rPr>
          <w:rStyle w:val="FootnoteAnchor"/>
          <w:rtl w:val="true"/>
        </w:rPr>
        <w:footnoteReference w:id="555"/>
      </w:r>
      <w:r>
        <w:rPr>
          <w:rFonts w:ascii="IRNazanin" w:hAnsi="IRNazanin" w:eastAsia="IRNazanin"/>
          <w:color w:val="111111"/>
          <w:sz w:val="28"/>
          <w:sz w:val="28"/>
          <w:szCs w:val="28"/>
          <w:rtl w:val="true"/>
          <w:lang w:bidi="fa-IR"/>
        </w:rPr>
        <w:t>و سارقی که مخفیانه با استفاده‌ی از تاریکی شب مرتکب دزدی می‌شود و کوشش می‌کند صاحب خانه بیدار نشود، معمولًا سلاحی همراه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تعریف، تفصیلی که امام راحل رحمه الله داده‌اند، تمام است؛ زیرا سارقی که مسلّح وارد خانه می‌شود تا اموال صاحب خانه را ببرد از مصادیق محارب است، ولی سارقی که بدون اسلحه وارد می‌شود، از مصادیق محارب نیست؛ زیرا، وجود سلاح به معنای خاصّ یا عامش که شامل سنگ و چوب و عصا هم شود، در حقیقت معنای محارب دخالت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اللصّ محارب، فإذا دخل الدار متغلّباً کان لصاحبها محاربته</w:t>
      </w:r>
      <w:r>
        <w:rPr>
          <w:rFonts w:eastAsia="IRNazanin" w:cs="IRNazanin"/>
          <w:color w:val="111111"/>
          <w:sz w:val="28"/>
          <w:szCs w:val="28"/>
          <w:rtl w:val="true"/>
          <w:lang w:bidi="fa-IR"/>
        </w:rPr>
        <w:t>».</w:t>
      </w:r>
      <w:r>
        <w:rPr>
          <w:rStyle w:val="FootnoteAnchor"/>
          <w:rtl w:val="true"/>
        </w:rPr>
        <w:footnoteReference w:id="556"/>
      </w:r>
      <w:r>
        <w:rPr>
          <w:rFonts w:ascii="IRNazanin" w:hAnsi="IRNazanin" w:eastAsia="IRNazanin"/>
          <w:color w:val="111111"/>
          <w:sz w:val="28"/>
          <w:sz w:val="28"/>
          <w:szCs w:val="28"/>
          <w:rtl w:val="true"/>
          <w:lang w:bidi="fa-IR"/>
        </w:rPr>
        <w:t>ظاهر عبارت این است که تغلّب در معنای لصّ دخالت دارد؛ یعنی سارقی که متغلّب و متّکی بر سلاح است؛ نه آن که لُصّ دو نوع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 متغلّب و لصّ غیر متغلّب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 معنای عامی دارد به‌گونه‌ای که هم مصداق محارب و هم غیر آن، هر دو را شامل می‌شود، آیا با استفاده‌ی از روایات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 حکم محارب را دارد؛ هرچند مصداق محارب هم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عن محمّد بن یحیی، عن غیاث بن إبراهیم، عن جعفر،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علیک اللُصّ یرید أهلک ومالک فإن استطعت أن تبدره وتضربه فابدره واضربه،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اللصّ محارب للَّه‌ولرسوله فاقتله، فما منک منه فهو علیّ</w:t>
      </w:r>
      <w:r>
        <w:rPr>
          <w:rFonts w:eastAsia="IRNazanin" w:cs="IRNazanin"/>
          <w:color w:val="111111"/>
          <w:sz w:val="28"/>
          <w:szCs w:val="28"/>
          <w:rtl w:val="true"/>
          <w:lang w:bidi="fa-IR"/>
        </w:rPr>
        <w:t>.</w:t>
      </w:r>
      <w:r>
        <w:rPr>
          <w:rStyle w:val="FootnoteAnchor"/>
          <w:rtl w:val="true"/>
        </w:rPr>
        <w:footnoteReference w:id="557"/>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موثّقه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دزدی به خانه‌ی شما داخل شد که نظر به مال و اهل تو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نظر به هر دو داشته باشد؛ نظر به یکی نیز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داشتی بر او سبقت بگیری و او را بزنی، این کار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 محارب با خدا و رسول است؛ او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قتلی و چیزی از جانب تو بر او واقع شد، اشکالی ندارد و به گردن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باید به دو نکته توجّه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کلام امام علیه السلام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اللصّ 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این است که لصّ مصداق حقیقی یا تعبّدی محارب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مصداق محارب معرّفی شد، باید به لحاظ ترتّب اثر مهم آن باشد؛ وقتی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اللُصّ محارب 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دایره‌ی آیه‌ی شریفه داخل است که یکی از حدود اربعه، حدّ آن است و با اثبات جرم محارب، حاکم می‌تواند حدّش را انتخاب کند، به خصوص بنا بر مبنای تخییر که ممکن است حاکم قتل را انتخاب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اللُصّ محارب للَّه‌ولرسوله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دستوری برای صاحب خانه است و کاری به حاکم شرع ندارد؛ چه تناسبی هست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اللصّ 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فاء تفریع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امام علیه السلام در مقام بیان یک امر کلّی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 محارب با خدا و رسول است؛ اگر قتلی هم محقّق شود، ناراحت نباش به عهده‌ی من؛ و هیچ مشکل شرعی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تقدیر، اگر لُصّ مصداق حقیقی محارب است، در تفریع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نکته‌ای وجود دارد؟ زیرا، در مباحث گذشته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دزدی محارب هم نباشد و اسلحه در دست نداشته باشد، صاحب خانه می‌تواند در مقام دفاع برآید؛ هرچند منجرّ به قتل سارق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اثری بر محارب بودن نیست؛ چرا که هر دو را در مقام دفاع می‌توان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دقّت در مفاد روایت ما را با دو اشکال مواجه می‌کند؛ از طرفی لصّ را مصداق محارب قرار داده است و از سوی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تفریع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روایت دیگر این باب نیز همین تعبیر دیده می‌شود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بإسناده عن أحمد بن محمّد، عن البرقی، عن الحسن بن السرّی، عن منصور،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اللصّ محارب للَّه‌ولرسوله</w:t>
      </w:r>
      <w:bookmarkStart w:id="801" w:name="pg16923_220424"/>
    </w:p>
    <w:p>
      <w:pPr>
        <w:pStyle w:val="BookText"/>
        <w:rPr/>
      </w:pPr>
      <w:bookmarkEnd w:id="801"/>
      <w:r>
        <w:rPr>
          <w:rFonts w:ascii="IRNazanin" w:hAnsi="IRNazanin" w:eastAsia="IRNazanin"/>
          <w:color w:val="111111"/>
          <w:sz w:val="28"/>
          <w:sz w:val="28"/>
          <w:szCs w:val="28"/>
          <w:rtl w:val="true"/>
          <w:lang w:bidi="fa-IR"/>
        </w:rPr>
        <w:t>فاقتلوه فما دخل علیک فعلیّ</w:t>
      </w:r>
      <w:r>
        <w:rPr>
          <w:rFonts w:eastAsia="IRNazanin" w:cs="IRNazanin"/>
          <w:color w:val="111111"/>
          <w:sz w:val="28"/>
          <w:szCs w:val="28"/>
          <w:rtl w:val="true"/>
          <w:lang w:bidi="fa-IR"/>
        </w:rPr>
        <w:t>.</w:t>
      </w:r>
      <w:r>
        <w:rPr>
          <w:rStyle w:val="FootnoteAnchor"/>
        </w:rPr>
        <w:footnoteReference w:id="558"/>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المجالس والأخبار عن الحسین بن إبراهیم القزوینی، عن محمّد بن وهبان، عن علیّ بن حبشی، عن العبّاس بن محمّد بن الحسین، عن أبیه، عن صفوان بن یحیی، عن الحسین بن أبی عقدر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 أیّوب،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علی مؤمن داره محارباً له فدمه مباح فی تلک الحال للمؤمن وهو فی عنقی</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مفاد هر دو روایت این است که اگر خون لُصّ ریخته شود، ناراحت مباش؛ به عهده و به گردن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تفریع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محارب بودن لصّ کار را لنگ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باید به آن توجّه داشت، این است که در حدّ محارب، بحثی از کیفیّت مقابله با محارب نشده است، اگرچه در کتاب دفاع از نفس و مانند آن به‌طور کلّی مباحثی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نمی‌توان گفت مقاتله با محارب جایز بوده و تا سرحدّ مرگ می‌توان با او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أنّه من أحکام المحارب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محارب واقعی هم بحث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وجود این که محارب حکم خاصّی به این صورت ندارد، چگونه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اللُصّ 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تفریع می‌کند؟ توضیحی در آینده در دفع این اشکال خواهیم داشت</w:t>
      </w:r>
      <w:r>
        <w:rPr>
          <w:rFonts w:eastAsia="IRNazanin" w:cs="IRNazanin"/>
          <w:color w:val="111111"/>
          <w:sz w:val="28"/>
          <w:szCs w:val="28"/>
          <w:rtl w:val="true"/>
          <w:lang w:bidi="fa-IR"/>
        </w:rPr>
        <w:t>.</w:t>
      </w:r>
    </w:p>
    <w:p>
      <w:pPr>
        <w:pStyle w:val="Heading4"/>
        <w:numPr>
          <w:ilvl w:val="3"/>
          <w:numId w:val="1"/>
        </w:numPr>
        <w:rPr/>
      </w:pPr>
      <w:bookmarkStart w:id="802" w:name="__RefHeading___Toc162693_3244359995"/>
      <w:bookmarkStart w:id="803" w:name="_Toc313"/>
      <w:bookmarkEnd w:id="802"/>
      <w:r>
        <w:rPr>
          <w:rtl w:val="true"/>
        </w:rPr>
        <w:t>بررسی معنای لُصّ</w:t>
      </w:r>
      <w:bookmarkEnd w:id="803"/>
    </w:p>
    <w:p>
      <w:pPr>
        <w:pStyle w:val="BookText"/>
        <w:rPr/>
      </w:pPr>
      <w:r>
        <w:rPr>
          <w:rFonts w:ascii="IRNazanin" w:hAnsi="IRNazanin" w:eastAsia="IRNazanin"/>
          <w:color w:val="111111"/>
          <w:sz w:val="28"/>
          <w:sz w:val="28"/>
          <w:szCs w:val="28"/>
          <w:rtl w:val="true"/>
          <w:lang w:bidi="fa-IR"/>
        </w:rPr>
        <w:t>با مراجعه‌ی به کتاب لغت می‌بینیم لُصّ همان سارق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لَصَّ الشی‌ء أی سرقه، واللُصّ السارق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سارق بر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مخفیانه دست به سرقت می‌زند و کوشش می‌کند صاحب‌خانه متوجّه او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لُصّ و سارق است؛ لیکن محارب نمی‌باشد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یا فردی مسلح و متغلّبانه وارد خانه یا مغازه‌ای می‌شوند، صاحب خانه</w:t>
      </w:r>
      <w:bookmarkStart w:id="804" w:name="pg16923_220425"/>
    </w:p>
    <w:p>
      <w:pPr>
        <w:pStyle w:val="BookText"/>
        <w:rPr/>
      </w:pPr>
      <w:bookmarkEnd w:id="804"/>
      <w:r>
        <w:rPr>
          <w:rFonts w:ascii="IRNazanin" w:hAnsi="IRNazanin" w:eastAsia="IRNazanin"/>
          <w:color w:val="111111"/>
          <w:sz w:val="28"/>
          <w:sz w:val="28"/>
          <w:szCs w:val="28"/>
          <w:rtl w:val="true"/>
          <w:lang w:bidi="fa-IR"/>
        </w:rPr>
        <w:t>هم بیدار و متوجّه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لصّ و سارقی محارب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محارب به قاطع طریق اختصاص ندارد؛ هرچند شأن نزول آیه‌ی شریفه راهزن و قاطع طریق است؛ ولی اختصاص به آن ندارد، بلکه یکی از مصادیق محارب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بیان امام راحل رحمه الله تا این‌جا تمام است که لصّ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 و غیرمحارب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تعبیر مرحوم محقّق رحمه الله در شرایع استفاده می‌شود لُصّ همان فردی است که شرایط و خصوصیّات محارب را واجد است؛ زیرا،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اللصّ محارب فإذا دخل دار قوم متغلّباً</w:t>
      </w:r>
      <w:r>
        <w:rPr>
          <w:rFonts w:eastAsia="IRNazanin" w:cs="IRNazanin"/>
          <w:color w:val="111111"/>
          <w:sz w:val="28"/>
          <w:szCs w:val="28"/>
          <w:rtl w:val="true"/>
          <w:lang w:bidi="fa-IR"/>
        </w:rPr>
        <w:t>...»</w:t>
      </w:r>
      <w:r>
        <w:rPr>
          <w:rStyle w:val="FootnoteAnchor"/>
          <w:rtl w:val="true"/>
        </w:rPr>
        <w:footnoteReference w:id="560"/>
      </w:r>
      <w:r>
        <w:rPr>
          <w:rFonts w:ascii="IRNazanin" w:hAnsi="IRNazanin" w:eastAsia="IRNazanin"/>
          <w:color w:val="111111"/>
          <w:sz w:val="28"/>
          <w:sz w:val="28"/>
          <w:szCs w:val="28"/>
          <w:rtl w:val="true"/>
          <w:lang w:bidi="fa-IR"/>
        </w:rPr>
        <w:t>لص محارب است، هنگامی که با قهر و غلبه، حکومت و سلطه وارد خانه‌ای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تغلّب و قهر و غلبه در معنای لُصّ مدخلیّت دارد؛ لذا سارق معمولی لُصّ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تعبیر دیگران استفاده می‌شود لُصّ از مصادیق محارب نیست، لیکن حکم محارب را دارد</w:t>
      </w:r>
      <w:r>
        <w:rPr>
          <w:rFonts w:eastAsia="IRNazanin" w:cs="IRNazanin"/>
          <w:color w:val="111111"/>
          <w:sz w:val="28"/>
          <w:szCs w:val="28"/>
          <w:rtl w:val="true"/>
          <w:lang w:bidi="fa-IR"/>
        </w:rPr>
        <w:t>.</w:t>
      </w:r>
    </w:p>
    <w:p>
      <w:pPr>
        <w:pStyle w:val="Heading4"/>
        <w:numPr>
          <w:ilvl w:val="3"/>
          <w:numId w:val="1"/>
        </w:numPr>
        <w:rPr/>
      </w:pPr>
      <w:bookmarkStart w:id="805" w:name="__RefHeading___Toc162695_3244359995"/>
      <w:bookmarkStart w:id="806" w:name="_Toc314"/>
      <w:bookmarkEnd w:id="805"/>
      <w:r>
        <w:rPr>
          <w:rtl w:val="true"/>
        </w:rPr>
        <w:t>طرح اشکال بر عبارت تحریرالوسیله</w:t>
      </w:r>
      <w:bookmarkEnd w:id="806"/>
    </w:p>
    <w:p>
      <w:pPr>
        <w:pStyle w:val="Heading5"/>
        <w:numPr>
          <w:ilvl w:val="4"/>
          <w:numId w:val="1"/>
        </w:numPr>
        <w:rPr/>
      </w:pPr>
      <w:bookmarkStart w:id="807" w:name="__RefHeading___Toc162697_3244359995"/>
      <w:bookmarkStart w:id="808" w:name="_Toc315"/>
      <w:bookmarkEnd w:id="807"/>
      <w:r>
        <w:rPr>
          <w:rtl w:val="true"/>
        </w:rPr>
        <w:t>اشاره</w:t>
      </w:r>
      <w:bookmarkEnd w:id="808"/>
    </w:p>
    <w:p>
      <w:pPr>
        <w:pStyle w:val="BookText"/>
        <w:rPr/>
      </w:pPr>
      <w:r>
        <w:rPr>
          <w:rFonts w:ascii="Amiri" w:hAnsi="Amiri" w:eastAsia="Amiri" w:cs="Amiri"/>
          <w:color w:val="111111"/>
          <w:sz w:val="28"/>
          <w:sz w:val="28"/>
          <w:szCs w:val="28"/>
          <w:rtl w:val="true"/>
          <w:lang w:bidi="ar-SA"/>
        </w:rPr>
        <w:t>مقدّمه</w:t>
      </w:r>
    </w:p>
    <w:p>
      <w:pPr>
        <w:pStyle w:val="BookText"/>
        <w:rPr/>
      </w:pPr>
      <w:r>
        <w:rPr>
          <w:rFonts w:ascii="IRNazanin" w:hAnsi="IRNazanin" w:eastAsia="IRNazanin"/>
          <w:color w:val="111111"/>
          <w:sz w:val="28"/>
          <w:sz w:val="28"/>
          <w:szCs w:val="28"/>
          <w:rtl w:val="true"/>
          <w:lang w:bidi="fa-IR"/>
        </w:rPr>
        <w:t>در مسائل گذشته مطلبی را از بحث دفاع نفس کتاب تحریرالوسیله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رحمه الله در آن بحث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مهاجمی خواست مال دیگری را بِرُباید، خواه در خیابان یا در خانه، اگر مهاجم هیچ اسلحه‌ای ندارد و با اتّکای به زور و قدرتش می‌خواهد مال مردم را ببرد، صاحب مال می‌تواند از مالش دفاع کند؛ هر چند به کشتن مهاجم منتهی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امام راحل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از أسهل فالأسهل شروع کند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با داد و فریاد می‌تواند او را دور کند، حقّ ندارد کتک‌کاری کند؛ اگر با زدن، امکان دفع مهاجم هست، نباید او را مجروح سازد؛ اگر با چاقو زدن، می‌توان او را متواری کرد، حقّ کشتنش را ندارد؛ و اگر تنها راه حفظ مال، قتل مهاجم باشد، در این صورت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دون ماله فهو شهید</w:t>
      </w:r>
      <w:r>
        <w:rPr>
          <w:rFonts w:eastAsia="IRNazanin" w:cs="IRNazanin"/>
          <w:color w:val="111111"/>
          <w:sz w:val="28"/>
          <w:szCs w:val="28"/>
          <w:rtl w:val="true"/>
          <w:lang w:bidi="fa-IR"/>
        </w:rPr>
        <w:t>»</w:t>
      </w:r>
      <w:r>
        <w:rPr>
          <w:rStyle w:val="FootnoteAnchor"/>
          <w:rtl w:val="true"/>
        </w:rPr>
        <w:footnoteReference w:id="561"/>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bookmarkStart w:id="809" w:name="pg16923_220426"/>
    </w:p>
    <w:p>
      <w:pPr>
        <w:pStyle w:val="BookText"/>
        <w:rPr/>
      </w:pPr>
      <w:bookmarkEnd w:id="809"/>
      <w:r>
        <w:rPr>
          <w:rFonts w:ascii="IRNazanin" w:hAnsi="IRNazanin" w:eastAsia="IRNazanin"/>
          <w:color w:val="111111"/>
          <w:sz w:val="28"/>
          <w:sz w:val="28"/>
          <w:szCs w:val="28"/>
          <w:rtl w:val="true"/>
          <w:lang w:bidi="fa-IR"/>
        </w:rPr>
        <w:t>در صورتی که مهاجم غیرمسلّح باشد، باید مراتب دفاع را رعایت کرد؛ امّا اگر مسلّح بود، با او چگونه می‌توان برخورد کرد؟ صاحب جواهر رحمه الله</w:t>
      </w:r>
      <w:r>
        <w:rPr>
          <w:rStyle w:val="FootnoteAnchor"/>
          <w:rtl w:val="true"/>
        </w:rPr>
        <w:footnoteReference w:id="562"/>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صریحی از اصحاب در این رابطه پیدا نکردم؛ لیکن از روایات و کلمات اصحاب این مطلب به دست می‌آید که اگر محاربی حمله‌ور شد، برای دفاع از نفس و مال در همان مرحله‌ی اول می‌توان او را کشت و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قوم و قافله‌ای گرفتار راهزنان و قاطع طریق شدند، لازم نیست از داد و فریاد شروع کنند؛ می‌توان دفاع را با به قتل رساندن محارب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احکام مختصّ به محارب غیر از حدود اربعه و استرداد مال و قصاص، جواز قتل او در هنگام دفاع در مرحله‌ی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مقدّمه، اشکال بر عبارت تحریرالوسیله روشن می‌شود؛ ایشان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اللصّ إذا صدق علیه عنوان المحارب حکمه ما تقدّم و إلّافله أحکام تقدّمت فی ذیل کتاب الأمر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احکامی که در گذشته نسبت به محارب گفتیم، همان حدود اربعه و قصاص و استرداد مال است؛ بنابراین، حکم جواز قتل محارب به عنوان دفاع تا به این‌جا در عبارت تحریرالوسیله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بر مرحوم محقّق وارد نیست؛ زیرا ایشان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اللصّ محارب، فإذا دخل داراً متغلّباً کان لصاحبها محاربته فإن ادّی الدفع إلی قتله کان دمه ضائعاً لایضمنه الدافع</w:t>
      </w:r>
      <w:r>
        <w:rPr>
          <w:rFonts w:eastAsia="IRNazanin" w:cs="IRNazanin"/>
          <w:color w:val="111111"/>
          <w:sz w:val="28"/>
          <w:szCs w:val="28"/>
          <w:rtl w:val="true"/>
          <w:lang w:bidi="fa-IR"/>
        </w:rPr>
        <w:t>».</w:t>
      </w:r>
      <w:r>
        <w:rPr>
          <w:rStyle w:val="FootnoteAnchor"/>
          <w:rtl w:val="true"/>
        </w:rPr>
        <w:footnoteReference w:id="563"/>
      </w:r>
    </w:p>
    <w:p>
      <w:pPr>
        <w:pStyle w:val="Heading5"/>
        <w:numPr>
          <w:ilvl w:val="4"/>
          <w:numId w:val="1"/>
        </w:numPr>
        <w:rPr/>
      </w:pPr>
      <w:bookmarkStart w:id="810" w:name="__RefHeading___Toc162699_3244359995"/>
      <w:bookmarkStart w:id="811" w:name="_Toc316"/>
      <w:bookmarkEnd w:id="810"/>
      <w:r>
        <w:rPr>
          <w:rtl w:val="true"/>
        </w:rPr>
        <w:t>توضیح مفاد روایات</w:t>
      </w:r>
      <w:bookmarkEnd w:id="811"/>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اشکالی که بر دو روایت گذشته داشتیم و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اللصّ 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حدّ محارب را بر آن مترتّب نمی‌کند، بلکه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بین این دو مطلب جمع کنیم؟، با آن‌چه در اشکال بر عبارت تحریرالوسیله گفتیم، مندفع می‌گردد؛ زیرا، مقصود امام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محارب نیست، بلکه می‌خواهد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قتله فی</w:t>
      </w:r>
      <w:bookmarkStart w:id="812" w:name="pg16923_220427"/>
    </w:p>
    <w:p>
      <w:pPr>
        <w:pStyle w:val="BookText"/>
        <w:rPr/>
      </w:pPr>
      <w:bookmarkEnd w:id="812"/>
      <w:r>
        <w:rPr>
          <w:rFonts w:ascii="IRNazanin" w:hAnsi="IRNazanin" w:eastAsia="IRNazanin"/>
          <w:color w:val="111111"/>
          <w:sz w:val="28"/>
          <w:sz w:val="28"/>
          <w:szCs w:val="28"/>
          <w:rtl w:val="true"/>
          <w:lang w:bidi="fa-IR"/>
        </w:rPr>
        <w:t>أول وهلة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فرق محارب با غیرمحارب در این است که اگر مهاجم محارب بود، در همان آغاز کار می‌توان او را از پا درآورد؛ ولی اگر غیرمحارب بود، باید از أسهل فأسهل شروع کرد</w:t>
      </w:r>
      <w:r>
        <w:rPr>
          <w:rFonts w:eastAsia="IRNazanin" w:cs="IRNazanin"/>
          <w:color w:val="111111"/>
          <w:sz w:val="28"/>
          <w:szCs w:val="28"/>
          <w:rtl w:val="true"/>
          <w:lang w:bidi="fa-IR"/>
        </w:rPr>
        <w:t>.</w:t>
      </w:r>
    </w:p>
    <w:p>
      <w:pPr>
        <w:pStyle w:val="Heading4"/>
        <w:numPr>
          <w:ilvl w:val="3"/>
          <w:numId w:val="1"/>
        </w:numPr>
        <w:rPr/>
      </w:pPr>
      <w:bookmarkStart w:id="813" w:name="__RefHeading___Toc162701_3244359995"/>
      <w:bookmarkStart w:id="814" w:name="_Toc317"/>
      <w:bookmarkEnd w:id="813"/>
      <w:r>
        <w:rPr>
          <w:rtl w:val="true"/>
        </w:rPr>
        <w:t xml:space="preserve">بررسی معنای عبارت </w:t>
      </w:r>
      <w:r>
        <w:rPr>
          <w:rtl w:val="true"/>
        </w:rPr>
        <w:t>«</w:t>
      </w:r>
      <w:r>
        <w:rPr>
          <w:rtl w:val="true"/>
        </w:rPr>
        <w:t>اللصّ محارب</w:t>
      </w:r>
      <w:r>
        <w:rPr>
          <w:rtl w:val="true"/>
        </w:rPr>
        <w:t>»</w:t>
      </w:r>
      <w:bookmarkEnd w:id="814"/>
    </w:p>
    <w:p>
      <w:pPr>
        <w:pStyle w:val="Heading5"/>
        <w:numPr>
          <w:ilvl w:val="4"/>
          <w:numId w:val="1"/>
        </w:numPr>
        <w:rPr/>
      </w:pPr>
      <w:bookmarkStart w:id="815" w:name="__RefHeading___Toc162703_3244359995"/>
      <w:bookmarkStart w:id="816" w:name="_Toc318"/>
      <w:bookmarkEnd w:id="815"/>
      <w:r>
        <w:rPr>
          <w:rtl w:val="true"/>
        </w:rPr>
        <w:t>اشاره</w:t>
      </w:r>
      <w:bookmarkEnd w:id="816"/>
    </w:p>
    <w:p>
      <w:pPr>
        <w:pStyle w:val="BookText"/>
        <w:rPr/>
      </w:pPr>
      <w:r>
        <w:rPr>
          <w:rFonts w:ascii="IRNazanin" w:hAnsi="IRNazanin" w:eastAsia="IRNazanin"/>
          <w:color w:val="111111"/>
          <w:sz w:val="28"/>
          <w:sz w:val="28"/>
          <w:szCs w:val="28"/>
          <w:rtl w:val="true"/>
          <w:lang w:bidi="fa-IR"/>
        </w:rPr>
        <w:t>در روایات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اللصّ محارب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4"/>
      </w:r>
      <w:r>
        <w:rPr>
          <w:rFonts w:ascii="IRNazanin" w:hAnsi="IRNazanin" w:eastAsia="IRNazanin"/>
          <w:color w:val="111111"/>
          <w:sz w:val="28"/>
          <w:sz w:val="28"/>
          <w:szCs w:val="28"/>
          <w:rtl w:val="true"/>
          <w:lang w:bidi="fa-IR"/>
        </w:rPr>
        <w:t>آیا می‌خواهد به صورت تعبّدی لصّ را در محدوده‌ی محارب وارد کند؟، یعنی لصّ اگر شرایط محارب را هم واجد نباشد و سلاحی نداشته باشد، تعبّداً محارب است؟ اثر این تنزیل و تعبّد فقط جواز قتل لصّ در اوّلین مرحله دفاع است؛ ولی احکام دیگر محارب بر او اقامه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روایت در مقام بیان این است که تمام افراد لصّ حقیقتاً محارب بوده و خصوصیّات محارب را دارا هستند؟ اگر چنین معنایی مقصود باشد، باید به کلام صاحب شرایع رحمه الله ملتزم شد که در معنای لصّ، عنوان تغلّب و قاهریّت، و قهر و غلبه مأخوذ است و به مطلق سارق لصّ نمی‌گویند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مراجعه‌ی به روایات دیگر امکان حلّ این معمّا هست؟ در روایت زیر 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علیّ بن إبراهیم، عن أبیه، عن ابن أبی عمیر، عن أبان بن عثمان، عن رجل، 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علیک اللصّ المحارب فاقتله، فما أصابک فدمه فی عنقی</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معتبره</w:t>
      </w:r>
      <w:r>
        <w:rPr>
          <w:rStyle w:val="FootnoteAnchor"/>
          <w:rtl w:val="true"/>
        </w:rPr>
        <w:footnoteReference w:id="566"/>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لصّ محارب بر تو داخل شد، قتلش مشروعیّت دارد، و می‌توانی او را بکشی؛ آن‌چه در این رابطه گریبانت را گرفت، خونش به گردن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مسأله‌ای نسبت به قتلش نیست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توضیحی برای لصّ است یا قید احترازی؟ آیا این روایت</w:t>
      </w:r>
    </w:p>
    <w:p>
      <w:pPr>
        <w:pStyle w:val="BookText"/>
        <w:rPr/>
      </w:pPr>
      <w:r>
        <w:rPr>
          <w:rFonts w:ascii="IRNazanin" w:hAnsi="IRNazanin" w:eastAsia="IRNazanin"/>
          <w:color w:val="111111"/>
          <w:sz w:val="28"/>
          <w:sz w:val="28"/>
          <w:szCs w:val="28"/>
          <w:rtl w:val="true"/>
          <w:lang w:bidi="fa-IR"/>
        </w:rPr>
        <w:t>بیانگر آن است که لصّ محارب و غیرمحارب دارد؛ و حکم را بر لصّ محارب مترتب می‌کند؟ یا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 یک قسم بیشتر نیست و آنهم لصّ محارب است؟ از این روایت به خوبی معلوم نمی‌شود کدام اراده شده است؛ ولی روایت دیگری هست که تا حدّی مطلب را روشن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 والأخبار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بن إبراهیم القزوینی، عن محمّد بن وهبان، عن علی بن حبشی، عن العبّاس بن محمّد بن الحسین، عن أبیه، عن صفوان بن یحیی، عن الحسین بن أبی عقدر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 أیّوب،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علی مؤمن داره محارباً له فدمه مباح فی تلک الحال للمؤمن وهو فی عنقی</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سند خوبی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خانه‌ی مؤمنی با حالت محاربه وارد شود، ریختن خونش در آن حال برای مؤمن حلال است و من به گردن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داره محارباً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سارق برای بردن مال مردم به دو صورت می‌تواند وارد خانه شود؛ به صورت محارب و غیرمحارب؛ یعنی روایت با معنای لغوی لصّ مطابقت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روایت، از روایت حلبی رفع ابهام می‌شود و معلوم می‌گردد در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علیک اللصّ المحارب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توضیحی نیست؛ بلکه احترازی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مفید ضرر است می‌فهمیم ورود این فرد به خانه‌ی مؤمن غیرمشروع است و به کمک روایت ابی ایّوب می‌فهمیم داخل غیرمجاز به دو نوع محارب و غیرمحارب تقسیم می‌شود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ما در حدّ لصّ نیست؛ زیرا، اگر لصّ محارب باشد موضوع حدود اربعه است، حال به نحو تخییر یا به نحو ترتیب؛ و اگر محارب نیست این حدود در موردش</w:t>
      </w:r>
    </w:p>
    <w:p>
      <w:pPr>
        <w:pStyle w:val="BookText"/>
        <w:rPr/>
      </w:pPr>
      <w:r>
        <w:rPr>
          <w:rFonts w:ascii="IRNazanin" w:hAnsi="IRNazanin" w:eastAsia="IRNazanin"/>
          <w:color w:val="111111"/>
          <w:sz w:val="28"/>
          <w:sz w:val="28"/>
          <w:szCs w:val="28"/>
          <w:rtl w:val="true"/>
          <w:lang w:bidi="fa-IR"/>
        </w:rPr>
        <w:t>جاری نمی‌گردد، بلکه بحث در جواز قتل لصّ به مجرّد وارد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اثبات این مطلب بحث را دنبال می‌کنیم و روایاتی را مورد دقّت و بررسی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عن أبیه، عن النّوفلی، عن السّکونی،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إنّ اللَّه عزّ وجلّ لیمقت الرجل یدخل علیه اللصّ فی بیته فلا یحارب</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مبغوض می‌دارد کسی را که لصّی وارد خانه‌اش شود و او بی‌تفاوت بنشیند و عکس‌العملی از خود نشان ندهد، آنهم عکس‌العمل محاربه‌ای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هرکجا رسید ولو به سرحدّ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دنبالش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قید توضیحی یا احترازی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مهاجمی که به خانه‌ی انسان برای بردن مالش حمله‌ور شود با مهاجمی که در خیابان به همین قصد حمله می‌کند، چه فرقی است که در اوّلی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در مرحله‌ی اوّلِ دفاع او را کشت و در دوّمی چنین فتوایی نمی‌دهید؟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مانع و محل امنیت زن و بچّه‌ی انسان و حریم و پناگاه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ممکن است شارع مقدّس برای این که امنیّت کامل به آن عطا کند، چنین حکمی را جعل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بدون اجازه و برای بردن مال صاحب خانه به آن وارد گردد چون حریم خانه را شکسته و امنیّتش را متزلزل ساخته است، شارع برای صاحب‌خانه، جواز قتل مهاجم را در مقام دفاع، تشریع کرده باشد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رحمه الله</w:t>
      </w:r>
      <w:r>
        <w:rPr>
          <w:rStyle w:val="FootnoteAnchor"/>
          <w:rtl w:val="true"/>
        </w:rPr>
        <w:footnoteReference w:id="569"/>
      </w:r>
      <w:r>
        <w:rPr>
          <w:rFonts w:ascii="IRNazanin" w:hAnsi="IRNazanin" w:eastAsia="IRNazanin"/>
          <w:color w:val="111111"/>
          <w:sz w:val="28"/>
          <w:sz w:val="28"/>
          <w:szCs w:val="28"/>
          <w:rtl w:val="true"/>
          <w:lang w:bidi="fa-IR"/>
        </w:rPr>
        <w:t>در این باب روایات زیادی ذکر کرده که از آن‌ها می‌توان این مطلب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صورت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اللصّ محارب فاقتلوه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لصّ به منزله‌ی محارب است؛ و اثر این تنزیل، جواز قتلش در ابتدای ورود و دفاع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w:t>
      </w:r>
    </w:p>
    <w:p>
      <w:pPr>
        <w:pStyle w:val="BookText"/>
        <w:rPr/>
      </w:pPr>
      <w:r>
        <w:rPr>
          <w:rFonts w:ascii="IRNazanin" w:hAnsi="IRNazanin" w:eastAsia="IRNazanin"/>
          <w:color w:val="111111"/>
          <w:sz w:val="28"/>
          <w:sz w:val="28"/>
          <w:szCs w:val="28"/>
          <w:rtl w:val="true"/>
          <w:lang w:bidi="fa-IR"/>
        </w:rPr>
        <w:t>عنوان لصوصیّت را از دست بدهد و عنوان مهاجم به خود بگیرد، قتلش ابتداءً جایز نیست؛ بلکه اگر راه دفاع منحصر به کشتن او شد، در آخرین مرحله می‌توان او را به قتل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با توجّه به دو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Style w:val="FootnoteAnchor"/>
          <w:rtl w:val="true"/>
        </w:rPr>
        <w:footnoteReference w:id="570"/>
      </w:r>
      <w:r>
        <w:rPr>
          <w:rFonts w:ascii="IRNazanin" w:hAnsi="IRNazanin" w:eastAsia="IRNazanin"/>
          <w:color w:val="111111"/>
          <w:sz w:val="28"/>
          <w:sz w:val="28"/>
          <w:szCs w:val="28"/>
          <w:rtl w:val="true"/>
          <w:lang w:bidi="fa-IR"/>
        </w:rPr>
        <w:t>و غیاث بن ابراهیم</w:t>
      </w:r>
      <w:r>
        <w:rPr>
          <w:rFonts w:eastAsia="IRNazanin" w:cs="IRNazanin"/>
          <w:color w:val="111111"/>
          <w:sz w:val="28"/>
          <w:szCs w:val="28"/>
          <w:rtl w:val="true"/>
          <w:lang w:bidi="fa-IR"/>
        </w:rPr>
        <w:t>»</w:t>
      </w:r>
      <w:r>
        <w:rPr>
          <w:rStyle w:val="FootnoteAnchor"/>
          <w:rtl w:val="true"/>
        </w:rPr>
        <w:footnoteReference w:id="571"/>
      </w:r>
      <w:r>
        <w:rPr>
          <w:rFonts w:ascii="IRNazanin" w:hAnsi="IRNazanin" w:eastAsia="IRNazanin"/>
          <w:color w:val="111111"/>
          <w:sz w:val="28"/>
          <w:sz w:val="28"/>
          <w:szCs w:val="28"/>
          <w:rtl w:val="true"/>
          <w:lang w:bidi="fa-IR"/>
        </w:rPr>
        <w:t xml:space="preserve">که مفادش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اللصّ محارب للّه ورسوله فاقتله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نتیجه‌ی بحث این شد که لصّ هرچند شرایط محارب را دارا نباشد، یعنی با اسلحه وارد منزل نشده، بلکه به‌طور عادی داخل شده باشد، به همین مقدار که حریم و حرمت منزل را از بین برده و امنیّت خانه را بهم زده و در مخاطره انداخته است، بعید نیست نازل منزله‌ی محارب باشد و بتوان در همان وهله‌ی اوّل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 روایت ابی‌ایّوب و 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 علی مؤمن داره محارباً له فدمه مباح فی تلک الحال</w:t>
      </w:r>
      <w:r>
        <w:rPr>
          <w:rFonts w:eastAsia="IRNazanin" w:cs="IRNazanin"/>
          <w:color w:val="111111"/>
          <w:sz w:val="28"/>
          <w:szCs w:val="28"/>
          <w:rtl w:val="true"/>
          <w:lang w:bidi="fa-IR"/>
        </w:rPr>
        <w:t>»</w:t>
      </w:r>
      <w:r>
        <w:rPr>
          <w:rStyle w:val="FootnoteAnchor"/>
          <w:rtl w:val="true"/>
        </w:rPr>
        <w:footnoteReference w:id="57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 علیک اللصّ المحارب فاقتله</w:t>
      </w:r>
      <w:r>
        <w:rPr>
          <w:rFonts w:eastAsia="IRNazanin" w:cs="IRNazanin"/>
          <w:color w:val="111111"/>
          <w:sz w:val="28"/>
          <w:szCs w:val="28"/>
          <w:rtl w:val="true"/>
          <w:lang w:bidi="fa-IR"/>
        </w:rPr>
        <w:t>»</w:t>
      </w:r>
      <w:r>
        <w:rPr>
          <w:rStyle w:val="FootnoteAnchor"/>
          <w:rtl w:val="true"/>
        </w:rPr>
        <w:footnoteReference w:id="573"/>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لصّی جواز قتل ندارد، بلکه این حکم بر لصّ محارب مترتّب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یک دسته از روایات نیز داریم که می‌گویند اگر کسی به قصد سرقت وارد منزلی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عنوان محارب هم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قتلش جایز است؛ و از این پله بالاتر روایاتی نیز هستند که بر جواز قتل کسی که بدون اجازه وارد خانه‌ی مردم شود دلالت دارد؛ و از این هم بالاتر، اگر کسی از بلندی بر خانه‌ی مردم اشراف پیدا کند و به آن‌جا نظر کند، یا اگر از بلندی هم نباشد از سوراخ دیواری به درون خانه‌ی مردم نگاه کند، کشتن چنین فردی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از این روایات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النوفلی، عن السّکونی،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لیمقت الرجل یدخل علیه اللصّ فی بیته فلا یحارب</w:t>
      </w:r>
      <w:r>
        <w:rPr>
          <w:rFonts w:eastAsia="IRNazanin" w:cs="IRNazanin"/>
          <w:color w:val="111111"/>
          <w:sz w:val="28"/>
          <w:szCs w:val="28"/>
          <w:rtl w:val="true"/>
          <w:lang w:bidi="fa-IR"/>
        </w:rPr>
        <w:t>.</w:t>
      </w:r>
      <w:r>
        <w:rPr>
          <w:rStyle w:val="FootnoteAnchor"/>
          <w:rtl w:val="true"/>
        </w:rPr>
        <w:footnoteReference w:id="574"/>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مبغوض می‌دارد مردی را</w:t>
      </w:r>
    </w:p>
    <w:p>
      <w:pPr>
        <w:pStyle w:val="BookText"/>
        <w:rPr/>
      </w:pPr>
      <w:r>
        <w:rPr>
          <w:rFonts w:ascii="IRNazanin" w:hAnsi="IRNazanin" w:eastAsia="IRNazanin"/>
          <w:color w:val="111111"/>
          <w:sz w:val="28"/>
          <w:sz w:val="28"/>
          <w:szCs w:val="28"/>
          <w:rtl w:val="true"/>
          <w:lang w:bidi="fa-IR"/>
        </w:rPr>
        <w:t>که دزد وارد خانه‌اش شود، امّا با او محاربه و مقاتله ننماید، بی‌تفاوت بنشیند و سکوت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مقاتله به کشتن دزد نیز منتهی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وبإسناده عن جعفر،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لیمقت العبد یدخل علیه فی بیته فلا یقاتل</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همان روایت قبل است 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یحارب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عن المختار بن محمّد بن المختار وعن محمّد بن الحسن، عن عبداللَّه بن الحسن العلوی، جمیعاً عن الفتح بن یزید الجرجانی، عن أبی الحسن علیه السلام فی رجل دخل دار آخر للتلصّص أو الفجور، فقتله صاحب الدّار، أیقتل به أم 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 أنّ من دخل دار غیره فقد أهدر دمه ولا یجب علیه شی‌ء</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صحیحه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بن یزید از امام هفتم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خانه‌ی دیگری برای دزدی یا فجور و فحشا وارد شد و صاحب خانه او را کشت، آیا به عنوان قصاص صاحب خانه را می‌کشند، یا نه؟</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خانه‌ی دیگری وارد شود، خونش هدر است و بر قاتل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راوی از مردی است که برای دزدی یا فجور به خانه‌ی دیگری وارد گردد، امّا امام علیه السلام این عناوین را کنار زده، حکم را بر داخل‌شونده خانه‌ی دیگری بدون اجازه مترتّب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فرد به هر قصدی، خواه به قصد سرقت یا فجور یا تماشا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خانه‌ی غیر گردد، چنین حکمی دارد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بإسناده عن محمّد بن علیّ بن محبوب، عن محمّد بن</w:t>
      </w:r>
    </w:p>
    <w:p>
      <w:pPr>
        <w:pStyle w:val="BookText"/>
        <w:rPr/>
      </w:pPr>
      <w:r>
        <w:rPr>
          <w:rFonts w:ascii="IRNazanin" w:hAnsi="IRNazanin" w:eastAsia="IRNazanin"/>
          <w:color w:val="111111"/>
          <w:sz w:val="28"/>
          <w:sz w:val="28"/>
          <w:szCs w:val="28"/>
          <w:rtl w:val="true"/>
          <w:lang w:bidi="fa-IR"/>
        </w:rPr>
        <w:t>الحسین، عن ابن محبوب، عن أبی حمزة،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دخل رجل علی امرأة وهی حبلی فوقع علیها فقتل ما فی بطنها فوثبت علیه فقتلته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دم اللصّ هدراً وکان دیة ولدها علی المعقلة</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ابوحمزه‌ی ثمالی از امام باقر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بر زنی آبستن داخل شود و با او گلاویز گردد و بچّه‌اش را سقط کند و زن نیز با جهشی او را کشت، حکمش چیست؟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لصّ هدر است؛ و دیه‌ی آن بچّه بر عاقله‌ی 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لصّ قصد کشتن بچّه را نداشته، لذا قتل او خطایی است و دیه‌اش بر عهده‌ی عاقله‌ی دزد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عن محمّد بن عیسی، عن یونس، عن محمّد بن سنان، عن العلاء بن الفضیل،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طلع رجل علی قوم یشرف علیهم أو ینظر من خلل شی‌ء لهم فرموه فأصابوه فقتلوه أو فقؤوا عینیه فلیس علیهم غُرم،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أطلع من خلل حجرة رسول اللَّه صلی الله علیه و آله فجاء رسول اللَّه صلی الله علیه و آله بمشقص لیفقأ عینه فوجده قد انطلق،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خبیث أما واللَّه لو ثبت لی لفقأت عینک</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بر قومی اشراف پیدا کند یا از سوراخی به آنان نگاه کند و از احوالشان خبردار گردد، پس آنان به سویش تیری پرتاب کنند و به هدف بخورد و او را بکشد، و یا چشمش را از حدقه درآورد، بر آن قوم هیچ غرامتی نیست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سوراخ دیوار در حجره‌ی رسول خدا صلی الله علیه و آله نگاه می‌کرد،</w:t>
      </w:r>
      <w:bookmarkStart w:id="817" w:name="pg16923_220433"/>
    </w:p>
    <w:p>
      <w:pPr>
        <w:pStyle w:val="BookText"/>
        <w:rPr/>
      </w:pPr>
      <w:bookmarkEnd w:id="817"/>
      <w:r>
        <w:rPr>
          <w:rFonts w:ascii="IRNazanin" w:hAnsi="IRNazanin" w:eastAsia="IRNazanin"/>
          <w:color w:val="111111"/>
          <w:sz w:val="28"/>
          <w:sz w:val="28"/>
          <w:szCs w:val="28"/>
          <w:rtl w:val="true"/>
          <w:lang w:bidi="fa-IR"/>
        </w:rPr>
        <w:t>آن حضرت، مِشْقَص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پیکان 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برداشتند تا چشمش 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فرار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ایستاده بودی چشمت را بیرون می‌آوردم</w:t>
      </w:r>
      <w:r>
        <w:rPr>
          <w:rFonts w:eastAsia="IRNazanin" w:cs="IRNazanin"/>
          <w:color w:val="111111"/>
          <w:sz w:val="28"/>
          <w:szCs w:val="28"/>
          <w:rtl w:val="true"/>
          <w:lang w:bidi="fa-IR"/>
        </w:rPr>
        <w:t>.</w:t>
      </w:r>
    </w:p>
    <w:p>
      <w:pPr>
        <w:pStyle w:val="Heading5"/>
        <w:numPr>
          <w:ilvl w:val="4"/>
          <w:numId w:val="1"/>
        </w:numPr>
        <w:rPr/>
      </w:pPr>
      <w:bookmarkStart w:id="818" w:name="__RefHeading___Toc162705_3244359995"/>
      <w:bookmarkStart w:id="819" w:name="_Toc319"/>
      <w:bookmarkEnd w:id="818"/>
      <w:r>
        <w:rPr>
          <w:rtl w:val="true"/>
        </w:rPr>
        <w:t>دیدگاه مرحوم صاحب جواهر رحمه الله</w:t>
      </w:r>
      <w:bookmarkEnd w:id="819"/>
    </w:p>
    <w:p>
      <w:pPr>
        <w:pStyle w:val="BookText"/>
        <w:rPr/>
      </w:pPr>
      <w:r>
        <w:rPr>
          <w:rFonts w:ascii="IRNazanin" w:hAnsi="IRNazanin" w:eastAsia="IRNazanin"/>
          <w:color w:val="111111"/>
          <w:sz w:val="28"/>
          <w:sz w:val="28"/>
          <w:szCs w:val="28"/>
          <w:rtl w:val="true"/>
          <w:lang w:bidi="fa-IR"/>
        </w:rPr>
        <w:t>صاحب جواهر رحمه الله</w:t>
      </w:r>
      <w:r>
        <w:rPr>
          <w:rStyle w:val="FootnoteAnchor"/>
          <w:rtl w:val="true"/>
        </w:rPr>
        <w:footnoteReference w:id="579"/>
      </w:r>
      <w:r>
        <w:rPr>
          <w:rFonts w:ascii="IRNazanin" w:hAnsi="IRNazanin" w:eastAsia="IRNazanin"/>
          <w:color w:val="111111"/>
          <w:sz w:val="28"/>
          <w:sz w:val="28"/>
          <w:szCs w:val="28"/>
          <w:rtl w:val="true"/>
          <w:lang w:bidi="fa-IR"/>
        </w:rPr>
        <w:t>پس از نقل این روایات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همه‌ی این روایات سندشان صحیح نباشد، امّا در بین آن‌ها روایات معتبر دیده می‌شود؛ لیکن اجماع و کلمات فقها به ما اجازه‌ی چنین مطلبی را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در مورد کسی که اشراف دارد، یا فردی که بدون اجازه وارد منزلی می‌شود یا در مورد سارق؛ بلکه در مورد لصّ محارب نیز اجازه‌ی به قتل رساندن آن فرد مزاحم را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 حتّی درباره‌ی قاطع طریقی که قدر متیقّن از عنوان محارب است و به قافله‌ها حمله می‌کند و اموال و جانشان را به خطر می‌اندازد، در صورتی که با داد و فریاد یا کتک‌کاری یا جراحت امکان فراری دادن آنان باشد، فقها اجازه نمی‌دهند که در همان ابتدای دفاع به قتل محارب پرداخت؛ بلکه باید تدرّج و أسهل فالأسهل مراعات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نیست فوراً متشبّث به قتل محارب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از فقها فتوا داده‌اند اگر محاربان به قافله هجوم بردند و بدون نیاز به کشتن آن‌ها در دفاع، فردی یا افرادی از آنان را کشتند، قصاص مطرح است؛ و قاتل را می‌توان به عنوان قصاص کشت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بیان صاحب جواهر رحمه الله استفاده می‌شود فتوایی که مرحوم محقّق و شهید اوّل رحمه الله و دیگر فقها داده‌اند مبنی بر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 لصّ محارب را به قتل برسانند</w:t>
      </w:r>
      <w:r>
        <w:rPr>
          <w:rFonts w:eastAsia="IRNazanin" w:cs="IRNazanin"/>
          <w:color w:val="111111"/>
          <w:sz w:val="28"/>
          <w:szCs w:val="28"/>
          <w:rtl w:val="true"/>
          <w:lang w:bidi="fa-IR"/>
        </w:rPr>
        <w:t>»</w:t>
      </w:r>
      <w:r>
        <w:rPr>
          <w:rStyle w:val="FootnoteAnchor"/>
          <w:rtl w:val="true"/>
        </w:rPr>
        <w:footnoteReference w:id="580"/>
      </w:r>
      <w:r>
        <w:rPr>
          <w:rFonts w:ascii="IRNazanin" w:hAnsi="IRNazanin" w:eastAsia="IRNazanin"/>
          <w:color w:val="111111"/>
          <w:sz w:val="28"/>
          <w:sz w:val="28"/>
          <w:szCs w:val="28"/>
          <w:rtl w:val="true"/>
          <w:lang w:bidi="fa-IR"/>
        </w:rPr>
        <w:t>و یا فتوای شهید ثانی رحمه الله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لصّ در حکم محارب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فتوای لغوی است؟ از این‌رو، اثبات عنوان محارب برای لصّ بی‌فایده است؛ زیرا، بین لصّ محارب و فرد مهاجم هیچ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دفاع باید آهسته آهسته و به تدریج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نداریم دفاع را با قتل محارب شروع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آن‌چه را صاحب شرایع رحمه الله فرموده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اللصّ محارب فاذا دخل دار قوم متغلّباً یجوز لصاحبها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اشکال مواجه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مقصود ایشان جواز قتل به عنوان آخرین راه‌حلّ مطرح است، یا می‌توان دفاع را با آن آغاز کرد؟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جواز قتل در آخر کار مطرح است، در این جهت چه فرقی بین لصّ محارب و سارق معمولی است؟</w:t>
      </w:r>
    </w:p>
    <w:p>
      <w:pPr>
        <w:pStyle w:val="BookText"/>
        <w:rPr/>
      </w:pPr>
      <w:r>
        <w:rPr>
          <w:rFonts w:ascii="IRNazanin" w:hAnsi="IRNazanin" w:eastAsia="IRNazanin"/>
          <w:color w:val="111111"/>
          <w:sz w:val="28"/>
          <w:sz w:val="28"/>
          <w:szCs w:val="28"/>
          <w:rtl w:val="true"/>
          <w:lang w:bidi="fa-IR"/>
        </w:rPr>
        <w:t>اگرچه در مسأله‌ی حدّ، حدّ سارق معمولی قطع دست است در حالی که حدّ محارب یکی از حدود چهارگانه تخییراً یا ترتیباً می‌باشد، ولی بحث ما در حدّ نیست؛ بلکه در دفاع از مال و جان است که هر دو از این نظر مساوی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اللصّ محارب فاقتله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این مطلب را استفاده کرد که جواز قتل لصّ محارب از همان ابتداست، وگرنه فایده‌ای در این تنزیل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راحل رحمه الله در تحریرالوسیله گمان کرده‌اند بحث در لصّ از جهت اجرای حدود اربعه است، لذا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 اگر محارب است، احکام محارب را دارد؛ وگرنه چنین حکمی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بحث فقها در حدّ لصّ نیست، بلکه در مرحله‌ی دفاع و جواز قتل است که قدر متیقّن از روایات، لصّ محارب است و نه فرد مهاجم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بحث‌های گذشته نتیجه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لُصّی محارب بود، می‌توان در مقام دفاع در همان دقایق اوّل او را کشت، ولی نمی‌توان این حکم را گسترش داد و در مورد مهاجم یا کسی که بدون اذن وارد خانه‌ای می‌شود، پیاده کرد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در عبارات صاحب جواهر رحمه الله بیانگر این است که گفتار ایشان غیر از چیزی است که محقّق و شهید اوّل و شهید ثانی رحمه الله در روضه و شرح لمعه مطرح کرده‌اند</w:t>
      </w:r>
      <w:r>
        <w:rPr>
          <w:rFonts w:eastAsia="IRNazanin" w:cs="IRNazanin"/>
          <w:color w:val="111111"/>
          <w:sz w:val="28"/>
          <w:szCs w:val="28"/>
          <w:rtl w:val="true"/>
          <w:lang w:bidi="fa-IR"/>
        </w:rPr>
        <w:t>.</w:t>
      </w:r>
      <w:r>
        <w:rPr>
          <w:rStyle w:val="FootnoteAnchor"/>
          <w:rtl w:val="true"/>
        </w:rPr>
        <w:footnoteReference w:id="581"/>
      </w:r>
      <w:bookmarkStart w:id="820" w:name="pg16923_220435"/>
    </w:p>
    <w:p>
      <w:pPr>
        <w:pStyle w:val="BookText"/>
        <w:rPr/>
      </w:pPr>
      <w:bookmarkEnd w:id="8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کیفیّة صلب المحارب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یصلب المحارب حیّاً، ولایجوز الإبقاء مصلوباً أکثر من ثلاثة أیّام ثمّ ینزل، فإن کان میّتاً یغسّل ویکفّن ویصلّی علیه ویدفن، وإن کان حیّاً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یجهّز علیه، وهو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القول بجواز الصلب علی نحو یموت به، وهو أیضاً لا یخلو من إشکال</w:t>
      </w:r>
      <w:r>
        <w:rPr>
          <w:rFonts w:eastAsia="IRNazanin" w:cs="IRNazanin"/>
          <w:color w:val="111111"/>
          <w:sz w:val="28"/>
          <w:szCs w:val="28"/>
          <w:rtl w:val="true"/>
          <w:lang w:bidi="fa-IR"/>
        </w:rPr>
        <w:t>.]</w:t>
      </w:r>
    </w:p>
    <w:p>
      <w:pPr>
        <w:pStyle w:val="Heading3"/>
        <w:numPr>
          <w:ilvl w:val="2"/>
          <w:numId w:val="1"/>
        </w:numPr>
        <w:rPr/>
      </w:pPr>
      <w:bookmarkStart w:id="821" w:name="__RefHeading___Toc162707_3244359995"/>
      <w:bookmarkStart w:id="822" w:name="_Toc320"/>
      <w:bookmarkEnd w:id="821"/>
      <w:r>
        <w:rPr>
          <w:rtl w:val="true"/>
        </w:rPr>
        <w:t>کیفیّت صلب محارب</w:t>
      </w:r>
      <w:bookmarkEnd w:id="822"/>
    </w:p>
    <w:p>
      <w:pPr>
        <w:pStyle w:val="Heading4"/>
        <w:numPr>
          <w:ilvl w:val="3"/>
          <w:numId w:val="1"/>
        </w:numPr>
        <w:rPr/>
      </w:pPr>
      <w:bookmarkStart w:id="823" w:name="__RefHeading___Toc162709_3244359995"/>
      <w:bookmarkStart w:id="824" w:name="_Toc321"/>
      <w:bookmarkEnd w:id="823"/>
      <w:r>
        <w:rPr>
          <w:rtl w:val="true"/>
        </w:rPr>
        <w:t>اشاره</w:t>
      </w:r>
      <w:bookmarkEnd w:id="824"/>
    </w:p>
    <w:p>
      <w:pPr>
        <w:pStyle w:val="BookText"/>
        <w:rPr/>
      </w:pPr>
      <w:r>
        <w:rPr>
          <w:rFonts w:ascii="IRNazanin" w:hAnsi="IRNazanin" w:eastAsia="IRNazanin"/>
          <w:color w:val="111111"/>
          <w:sz w:val="28"/>
          <w:sz w:val="28"/>
          <w:szCs w:val="28"/>
          <w:rtl w:val="true"/>
          <w:lang w:bidi="fa-IR"/>
        </w:rPr>
        <w:t>محارب را در حالی که زنده است به صلیب می‌کشند؛ امّا بیش از سه روز جایز نیست بر بالای‌دار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او را پایین می‌آورند، اگر مرده است، مراسم غسل میّت و تکفین و نماز و تدفین را نسبت به او انجام می‌دهند؛ و اگر زنده باشد، برخی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می‌کشند؛ که این نظریه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به‌گونه‌ای به صلیب بکشند که به سبب آن بمیرد؛ که این قول هم خالی از اشکال نیست</w:t>
      </w:r>
      <w:r>
        <w:rPr>
          <w:rFonts w:eastAsia="IRNazanin" w:cs="IRNazanin"/>
          <w:color w:val="111111"/>
          <w:sz w:val="28"/>
          <w:szCs w:val="28"/>
          <w:rtl w:val="true"/>
          <w:lang w:bidi="fa-IR"/>
        </w:rPr>
        <w:t>.</w:t>
      </w:r>
    </w:p>
    <w:p>
      <w:pPr>
        <w:pStyle w:val="Heading4"/>
        <w:numPr>
          <w:ilvl w:val="3"/>
          <w:numId w:val="1"/>
        </w:numPr>
        <w:rPr/>
      </w:pPr>
      <w:bookmarkStart w:id="825" w:name="__RefHeading___Toc162711_3244359995"/>
      <w:bookmarkStart w:id="826" w:name="_Toc322"/>
      <w:bookmarkEnd w:id="825"/>
      <w:r>
        <w:rPr>
          <w:rtl w:val="true"/>
        </w:rPr>
        <w:t>طرح محلّ نزاع</w:t>
      </w:r>
      <w:bookmarkEnd w:id="826"/>
    </w:p>
    <w:p>
      <w:pPr>
        <w:pStyle w:val="BookText"/>
        <w:rPr/>
      </w:pPr>
      <w:r>
        <w:rPr>
          <w:rFonts w:ascii="IRNazanin" w:hAnsi="IRNazanin" w:eastAsia="IRNazanin"/>
          <w:color w:val="111111"/>
          <w:sz w:val="28"/>
          <w:sz w:val="28"/>
          <w:szCs w:val="28"/>
          <w:rtl w:val="true"/>
          <w:lang w:bidi="fa-IR"/>
        </w:rPr>
        <w:t>اگر در مسأله محارب، به ترتیب قائل باشیم، روایات ترتیب، قتل و صلب را با هم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صحیحه‌ی محمّد بن مسلم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 قتله وصلبه وإن شاء قطع یده ورجله</w:t>
      </w:r>
      <w:r>
        <w:rPr>
          <w:rFonts w:eastAsia="IRNazanin" w:cs="IRNazanin"/>
          <w:color w:val="111111"/>
          <w:sz w:val="28"/>
          <w:szCs w:val="28"/>
          <w:rtl w:val="true"/>
          <w:lang w:bidi="fa-IR"/>
        </w:rPr>
        <w:t>».</w:t>
      </w:r>
      <w:r>
        <w:rPr>
          <w:rStyle w:val="FootnoteAnchor"/>
          <w:rtl w:val="true"/>
        </w:rPr>
        <w:footnoteReference w:id="582"/>
      </w:r>
      <w:r>
        <w:rPr>
          <w:rFonts w:ascii="IRNazanin" w:hAnsi="IRNazanin" w:eastAsia="IRNazanin"/>
          <w:color w:val="111111"/>
          <w:sz w:val="28"/>
          <w:sz w:val="28"/>
          <w:szCs w:val="28"/>
          <w:rtl w:val="true"/>
          <w:lang w:bidi="fa-IR"/>
        </w:rPr>
        <w:t>در حقیقت، بنا بر قول به ترتیب، موردی که صلب جدای از قتل باشد، نداریم؛ لذا،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صلب بعد از قتل چه اثری دارد؟</w:t>
      </w:r>
    </w:p>
    <w:p>
      <w:pPr>
        <w:pStyle w:val="BookText"/>
        <w:rPr/>
      </w:pPr>
      <w:r>
        <w:rPr>
          <w:rFonts w:ascii="IRNazanin" w:hAnsi="IRNazanin" w:eastAsia="IRNazanin"/>
          <w:color w:val="111111"/>
          <w:sz w:val="28"/>
          <w:sz w:val="28"/>
          <w:szCs w:val="28"/>
          <w:rtl w:val="true"/>
          <w:lang w:bidi="fa-IR"/>
        </w:rPr>
        <w:t>پاسخ این شبهه روشن است، هرچند نسبت به مقتول اثری ندارد؛ لیکن برای عبرت گرفتن دیگران مفید فایده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کسی که به ترتیب معتقد است،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یصلب المحارب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 بر تخییر، قتل در مقابل صلب و قطع دست وپا و نفی بلد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یصلب المحارب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دار آویختن عقوبت محارب است</w:t>
      </w:r>
      <w:r>
        <w:rPr>
          <w:rFonts w:eastAsia="IRNazanin" w:cs="IRNazanin"/>
          <w:color w:val="111111"/>
          <w:sz w:val="28"/>
          <w:szCs w:val="28"/>
          <w:rtl w:val="true"/>
          <w:lang w:bidi="fa-IR"/>
        </w:rPr>
        <w:t>.</w:t>
      </w:r>
      <w:bookmarkStart w:id="827" w:name="pg16923_220436"/>
    </w:p>
    <w:p>
      <w:pPr>
        <w:pStyle w:val="Heading4"/>
        <w:numPr>
          <w:ilvl w:val="3"/>
          <w:numId w:val="1"/>
        </w:numPr>
        <w:rPr/>
      </w:pPr>
      <w:bookmarkStart w:id="828" w:name="__RefHeading___Toc162713_3244359995"/>
      <w:bookmarkStart w:id="829" w:name="_Toc323"/>
      <w:bookmarkEnd w:id="827"/>
      <w:bookmarkEnd w:id="828"/>
      <w:r>
        <w:rPr>
          <w:rtl w:val="true"/>
        </w:rPr>
        <w:t>عدم جواز ابقای مصلوب بر دار بیش از سه روز</w:t>
      </w:r>
      <w:bookmarkEnd w:id="829"/>
    </w:p>
    <w:p>
      <w:pPr>
        <w:pStyle w:val="BookText"/>
        <w:rPr/>
      </w:pPr>
      <w:r>
        <w:rPr>
          <w:rFonts w:ascii="IRNazanin" w:hAnsi="IRNazanin" w:eastAsia="IRNazanin"/>
          <w:color w:val="111111"/>
          <w:sz w:val="28"/>
          <w:sz w:val="28"/>
          <w:szCs w:val="28"/>
          <w:rtl w:val="true"/>
          <w:lang w:bidi="fa-IR"/>
        </w:rPr>
        <w:t>کیفیّت دار زدن مجرم در عصر ما با زمان گذشته تفاوت دارد؛ امروز، با انداختن طناب به گردن مجرم و آویزان کردن او، راه تنفّس بسته می‌شود و قتل محقّق می‌گردد؛ ولی در زمان گذشته، چوب دار وسیله‌ای برای آویزان کردن مجرم بوده است؛ او بالای دار می‌ماند تا از گرسنگی و تشنگی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داستان میثم تمّار خوانده‌اید که بر بالای دار فضائل امیر مؤمنان علیه السلام را روایت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است مصلوب بیش از سه روز نیز بر بالای دار زنده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محاربی را به صلیب کشیدند، خواه در این حدّ به ترتیب قائل باشیم یا تخییر، بیش از سه روز جایز نیست او را بر بالای دار نگاه دارند؛ بلکه باید او را پایین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مرده است، او را تجهیز کرده و به خاک بسپارند؛ امّا اگر زنده باشد، فقها در حکمش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ریاض رحمه الله</w:t>
      </w:r>
      <w:r>
        <w:rPr>
          <w:rStyle w:val="FootnoteAnchor"/>
          <w:rtl w:val="true"/>
        </w:rPr>
        <w:footnoteReference w:id="583"/>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سه روز مطرح نیست، بلکه باید تا زمان حصول مرگ بر بالای دار باقی بماند؛ هرچند ده یا پانزده روز طول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رحمه الله</w:t>
      </w:r>
      <w:r>
        <w:rPr>
          <w:rStyle w:val="FootnoteAnchor"/>
          <w:rtl w:val="true"/>
        </w:rPr>
        <w:footnoteReference w:id="584"/>
      </w:r>
      <w:r>
        <w:rPr>
          <w:rFonts w:ascii="IRNazanin" w:hAnsi="IRNazanin" w:eastAsia="IRNazanin"/>
          <w:color w:val="111111"/>
          <w:sz w:val="28"/>
          <w:sz w:val="28"/>
          <w:szCs w:val="28"/>
          <w:rtl w:val="true"/>
          <w:lang w:bidi="fa-IR"/>
        </w:rPr>
        <w:t>و فاضل هندی رحمه الله</w:t>
      </w:r>
      <w:r>
        <w:rPr>
          <w:rStyle w:val="FootnoteAnchor"/>
          <w:rtl w:val="true"/>
        </w:rPr>
        <w:footnoteReference w:id="585"/>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مجرم از دار پایین آورده می‌شود؛ لیکن او را با وسیله‌ی دیگری کشته و به حیاتش خاتمه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راحل رحمه الله فتوای به هر دو قول را مشکل می‌داند؛ پس، باید به بررسی روایات بپردازیم تا ببینیم چه نتیجه‌ای از آن‌ها به دست می‌آید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علیّ بن إبراهیم، عن أبیه، عن النّوفلی، عن السّکونی، عن أبی عبد اللَّه علیه السلام أنّ أمیر المؤمنین علیه السلام صلب رجلًا بالحیرة ثلاثة أیّام ثمّ أنزله فی الیوم الرّابع فصلّی علیه ودفنه</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روایت معتبر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علیه السلام مردی را در حیره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به دار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روز چهارم او را پایین آورد؛ بر او نماز گذاشت و به خاکش سپرد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الإسناد أنّ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تدعوا المصلوب بعد ثلاثة أیّام حتّی ینزل فیدفن</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معتبر نیز 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مصلوب را بعد از سه روز بر بالای دار رها نکنید؛ بلکه او را پایین آورده و دفن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المصلوب ینزل عن الخشبة بعد ثلاثة أیّام ویغسّل ویدفن ولا یجوز صلبه أکثر من ثلاثة أیّام</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مرسلات معتبر صدوق رحمه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مصلوب را بعد از سه روز از دار پایین می‌آورند، غسل می‌دهند و دفن می‌کنند؛ و باقی ماندنش بر دار بیش از سه روز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روایت، در مورد مصلوبی رسیده است که پس از سه روز که او را پایین می‌آورند، مرده باشد؛ زیرا، در تمامی آن‌ها مسأله‌ی دفن مطرح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ممکن است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مصلوبی است که یا مرده‌اش را به دار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به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زنده او را دار زده‌اند و در این سه روز جان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به تخییر بین 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موردی که مصلوب پس از سه روز زنده بماند، از روایات خارج است؟ ما دلیلی نداریم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ثلاثة ایّام در مورد فرد زنده‌ی بالای</w:t>
      </w:r>
    </w:p>
    <w:p>
      <w:pPr>
        <w:pStyle w:val="BookText"/>
        <w:rPr/>
      </w:pPr>
      <w:r>
        <w:rPr>
          <w:rFonts w:ascii="IRNazanin" w:hAnsi="IRNazanin" w:eastAsia="IRNazanin"/>
          <w:color w:val="111111"/>
          <w:sz w:val="28"/>
          <w:sz w:val="28"/>
          <w:szCs w:val="28"/>
          <w:rtl w:val="true"/>
          <w:lang w:bidi="fa-IR"/>
        </w:rPr>
        <w:t>دار پس از سه روز پیاده می‌شود؛ از طرفی آیه‌ی شریفه نیز مطلق است و مقیّد به سه روز نیست؛ روایات نیز در خصوص مصلوب میّت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فتوای صاحب ریاض رحمه الله مستدلّ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صاحب ریاض رحمه الله کسی به این مطلب فتوا نداده است، بلکه همه‌ی فقها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باید او را پایین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راحل رحمه الله در تحریرالوسیله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یمکن القول بجواز الصلب علی نحو یموت به وهو أیضاً لایخلو من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این اشکال، لزوم پایین آوردن مصلوب زنده از بالای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فتوای شهید رحمه الله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چیزی به حیاتش خاتمه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 آیا در حدود چهارگانه‌ای که به محارب مربوط است، مردن مطرح است؟ قطع دست و پا، نفی و تبعید دو تا از این حدود است که در آن‌ها مردنی نیست؛ علاوه بر این که صلب نیز در مقابل قتل واقع شده و این هم شاهدی است بر عدم لزوم وقوع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را باید سه روز بالای دار نگاه داشت؛ اگر مُرد، او را پایین بیاورند و به خاک بسپارند؛ و اگر زنده ماند، او را رها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دیگری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دیگر ما در این مطلب که به ضرر صاحب ریاض رحمه الله تمام می‌شود، این است که فقها در حدودی که به قتل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 قبل از قتل غسل کند و پس از مرگش نیازی به غسل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در شرایع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لایصلب إلّا بعد القتل لایفتقر إلی تغسیله لأنّه یقدّمه أمام القتل</w:t>
      </w:r>
      <w:r>
        <w:rPr>
          <w:rFonts w:eastAsia="IRNazanin" w:cs="IRNazanin"/>
          <w:color w:val="111111"/>
          <w:sz w:val="28"/>
          <w:szCs w:val="28"/>
          <w:rtl w:val="true"/>
          <w:lang w:bidi="fa-IR"/>
        </w:rPr>
        <w:t>»</w:t>
      </w:r>
      <w:r>
        <w:rPr>
          <w:rStyle w:val="FootnoteAnchor"/>
          <w:rtl w:val="true"/>
        </w:rPr>
        <w:footnoteReference w:id="589"/>
      </w:r>
      <w:r>
        <w:rPr>
          <w:rFonts w:ascii="IRNazanin" w:hAnsi="IRNazanin" w:eastAsia="IRNazanin"/>
          <w:color w:val="111111"/>
          <w:sz w:val="28"/>
          <w:sz w:val="28"/>
          <w:szCs w:val="28"/>
          <w:rtl w:val="true"/>
          <w:lang w:bidi="fa-IR"/>
        </w:rPr>
        <w:t>بنا بر قول به ترتیب که اوّل محارب را می‌کشند و سپس او را به دار می‌زنند، نیازی به غسل میّت نیست؛ زیرا، آن را قبل از کشته شدنش انجام داده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نکته که در تمام حدود منتهی به قتل جریان دارد، با مراجعه‌ی به این سه روایت، می‌بینیم در روایت اوّل و دوّم متعرّض غسل نشده است؛ ولی در روایت سوّم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المصلوب ینزل عن الخشبة بعد ثلاثة أیّام ویغسّل ویدفن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فتوای صاحب ریاض رحمه الله صحیح بود، یعنی به مقداری بالای دار بماند تا بمیرد و حقّ نداریم او را زنده پایین بیاوریم، مجرم باید غسل میّت را قبل از صلب انجام بدهد؛ زیرا، صلیب و دار</w:t>
      </w:r>
      <w:bookmarkStart w:id="830" w:name="pg16923_220439"/>
    </w:p>
    <w:p>
      <w:pPr>
        <w:pStyle w:val="BookText"/>
        <w:rPr/>
      </w:pPr>
      <w:bookmarkEnd w:id="830"/>
      <w:r>
        <w:rPr>
          <w:rFonts w:ascii="IRNazanin" w:hAnsi="IRNazanin" w:eastAsia="IRNazanin"/>
          <w:color w:val="111111"/>
          <w:sz w:val="28"/>
          <w:sz w:val="28"/>
          <w:szCs w:val="28"/>
          <w:rtl w:val="true"/>
          <w:lang w:bidi="fa-IR"/>
        </w:rPr>
        <w:t>مقدّمه‌ی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روایت غسل را بعد از پایین آوردن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 می‌فهمیم صلب گاه به قتل منجر می‌شود و گاه مصلوب زنده می‌ماند؛ لذا، معنا ندارد غسل را مقدّم بر صلب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را به دار می‌زنند، اگر پس از سه روز مرده بود، غسلش می‌دهند؛ وگرنه نیازی به غسل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گفته شد، معلوم شد بیان صاحب ریاض رحمه الله مبتلا به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 در گفتار شهید ثانی و کاشف اللثام رحمهما الله جدّی‌تر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راحل رحمه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وقیل یجهّز علیه وهو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دلیلی بر فتوای این دو بزرگوار نداریم، بلکه آیه بر خلافش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صلب را به عنوان یکی از چهار حدّ در برابر قتل آورده است، و ظاهرش این است که صلب عقوبتی مستقلّ است و لازم نیست به قتل منتهی گردد؛ پس از نزول نیز دلیلی بر کشتن محارب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روایت دوّم و سوّم به اطلاقش شامل محارب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مصلوب را بیش از سه روز بالای دار نگاه ندارید؛ خواه محارب باشد یا غیرمحارب</w:t>
      </w:r>
      <w:r>
        <w:rPr>
          <w:rFonts w:eastAsia="IRNazanin" w:cs="IRNazanin"/>
          <w:color w:val="111111"/>
          <w:sz w:val="28"/>
          <w:szCs w:val="28"/>
          <w:rtl w:val="true"/>
          <w:lang w:bidi="fa-IR"/>
        </w:rPr>
        <w:t>.</w:t>
      </w:r>
    </w:p>
    <w:p>
      <w:pPr>
        <w:pStyle w:val="Heading4"/>
        <w:numPr>
          <w:ilvl w:val="3"/>
          <w:numId w:val="1"/>
        </w:numPr>
        <w:rPr/>
      </w:pPr>
      <w:bookmarkStart w:id="831" w:name="__RefHeading___Toc162715_3244359995"/>
      <w:bookmarkStart w:id="832" w:name="_Toc324"/>
      <w:bookmarkEnd w:id="831"/>
      <w:r>
        <w:rPr>
          <w:rtl w:val="true"/>
        </w:rPr>
        <w:t xml:space="preserve">بیان مقصود از </w:t>
      </w:r>
      <w:r>
        <w:rPr>
          <w:rtl w:val="true"/>
        </w:rPr>
        <w:t>«</w:t>
      </w:r>
      <w:r>
        <w:rPr>
          <w:rtl w:val="true"/>
        </w:rPr>
        <w:t>ثلاثة أیّام</w:t>
      </w:r>
      <w:r>
        <w:rPr>
          <w:rtl w:val="true"/>
        </w:rPr>
        <w:t>»</w:t>
      </w:r>
      <w:bookmarkEnd w:id="832"/>
    </w:p>
    <w:p>
      <w:pPr>
        <w:pStyle w:val="BookText"/>
        <w:rPr/>
      </w:pPr>
      <w:r>
        <w:rPr>
          <w:rFonts w:ascii="IRNazanin" w:hAnsi="IRNazanin" w:eastAsia="IRNazanin"/>
          <w:color w:val="111111"/>
          <w:sz w:val="28"/>
          <w:sz w:val="28"/>
          <w:szCs w:val="28"/>
          <w:rtl w:val="true"/>
          <w:lang w:bidi="fa-IR"/>
        </w:rPr>
        <w:t xml:space="preserve">آیا مصلوب باید سه شبانه روز بالای دار بماند یا سه روز و دو شب؟ محلّ نزاع در جایی است که در اوّل روز، مصلوب را به دار بزنند؛ مثلًا اگر صبح شنبه او را به صلیب کشیدند، آیا تا صبح روز سه‌شنبه باید بالای دار باقی باشد یا تا غروب روز دوشنبه؟ امّا در صورت تلفیق، بدون شبهه، سه شب داخل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ظهر شنبه آغاز صلب باشد، پایانش ظهر سه‌شنبه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صورت مورد بحث نیست، زیرا شبهه‌ای نیست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ثلاثه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سه‌روز متوالی است نه این که روز به دار بیاویزند و شب پایین بیاورند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طرح این مطلب،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و قرآن در هر دو معنای شبانه‌روز و روز است؛ لیکن در مقام ما مقصود شبانه‌روز است؛ زیرا، در روایت معتبره‌ی سکونی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أمیر المؤمنین علیه السلام صلب رجلًا بالحیرة ثلاثة أیّام ثمّ أنزله فی الیوم الرابع فصلّی علیه ودفنه</w:t>
      </w:r>
      <w:r>
        <w:rPr>
          <w:rFonts w:eastAsia="IRNazanin" w:cs="IRNazanin"/>
          <w:color w:val="111111"/>
          <w:sz w:val="28"/>
          <w:szCs w:val="28"/>
          <w:rtl w:val="true"/>
          <w:lang w:bidi="fa-IR"/>
        </w:rPr>
        <w:t>»</w:t>
      </w:r>
      <w:r>
        <w:rPr>
          <w:rStyle w:val="FootnoteAnchor"/>
          <w:rtl w:val="true"/>
        </w:rPr>
        <w:footnoteReference w:id="590"/>
      </w:r>
      <w:r>
        <w:rPr>
          <w:rFonts w:ascii="IRNazanin" w:hAnsi="IRNazanin" w:eastAsia="IRNazanin"/>
          <w:color w:val="111111"/>
          <w:sz w:val="28"/>
          <w:sz w:val="28"/>
          <w:szCs w:val="28"/>
          <w:rtl w:val="true"/>
          <w:lang w:bidi="fa-IR"/>
        </w:rPr>
        <w:t>پایین آوردن روز چهارم دلیل دخول شب سوّم در ثلاثة ایّام است؛</w:t>
      </w:r>
    </w:p>
    <w:p>
      <w:pPr>
        <w:pStyle w:val="BookText"/>
        <w:rPr/>
      </w:pPr>
      <w:r>
        <w:rPr>
          <w:rFonts w:ascii="IRNazanin" w:hAnsi="IRNazanin" w:eastAsia="IRNazanin"/>
          <w:color w:val="111111"/>
          <w:sz w:val="28"/>
          <w:sz w:val="28"/>
          <w:szCs w:val="28"/>
          <w:rtl w:val="true"/>
          <w:lang w:bidi="fa-IR"/>
        </w:rPr>
        <w:t>همان‌طور که دو شب متوسّط داخل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اشکال بر شهید ثانی رحمه الله در مسالک</w:t>
      </w:r>
      <w:r>
        <w:rPr>
          <w:rStyle w:val="FootnoteAnchor"/>
          <w:rtl w:val="true"/>
        </w:rPr>
        <w:footnoteReference w:id="591"/>
      </w:r>
      <w:r>
        <w:rPr>
          <w:rFonts w:ascii="IRNazanin" w:hAnsi="IRNazanin" w:eastAsia="IRNazanin"/>
          <w:color w:val="111111"/>
          <w:sz w:val="28"/>
          <w:sz w:val="28"/>
          <w:szCs w:val="28"/>
          <w:rtl w:val="true"/>
          <w:lang w:bidi="fa-IR"/>
        </w:rPr>
        <w:t>روشن می‌شود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معتبر است نه سه شبانه‌روز، و دو شب وسط به تبع داخل‌اند</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دفع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ابتدای سه روز از همان زمان صلب باید حساب شود نه از زمان موت؛ زیرا، بنا بر قول به تخییر، محارب را زنده به دار می‌کشند و چه‌بسا ممکن است با این صلب مرگش اتّفاق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احتمال این که مبدأ آویختن به دار از زمان مرگ محارب باشد، احتمال باطلی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تحریرالوسیله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یمکن القول بجواز الصلب علی نحو یموت به، وهو أیضاً لایخلو من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این عبارت ناظر به کلام صاحب ریاض رحمه الله</w:t>
      </w:r>
      <w:r>
        <w:rPr>
          <w:rStyle w:val="FootnoteAnchor"/>
          <w:rtl w:val="true"/>
        </w:rPr>
        <w:footnoteReference w:id="593"/>
      </w:r>
      <w:r>
        <w:rPr>
          <w:rFonts w:ascii="IRNazanin" w:hAnsi="IRNazanin" w:eastAsia="IRNazanin"/>
          <w:color w:val="111111"/>
          <w:sz w:val="28"/>
          <w:sz w:val="28"/>
          <w:szCs w:val="28"/>
          <w:rtl w:val="true"/>
          <w:lang w:bidi="fa-IR"/>
        </w:rPr>
        <w:t>است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یصلب حتّی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نظر امام راحل رحمه الله به کیفیّت دار زدن در این زمان باشد که طناب را به گردن مجرم انداخته او را به دار می‌زنند که منتهی به مرگش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مطلب جمله‌ی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ویمکن القول بجواز الصلب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ایشان بحث را در جواز و عدم جواز مطرح می‌کند؛ در حالی که صاحب ریاض رحمه الله به صورت وجوب آن را می‌فرماید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احتمال،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من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این معنا است که در زمان نزول آیه و صدور روایات، این‌طور نبوده که صلب همیشه مستلزم موت باشد؛ لذا، چگونه می‌توانیم کیفیّت صلب را تغییر دهیم و مجرم را به کیفیّتی که در این زمان متداول است دار بزنیم؟ دلیلی بر مشروعیّت آن وجود ندارد</w:t>
      </w:r>
      <w:r>
        <w:rPr>
          <w:rFonts w:eastAsia="IRNazanin" w:cs="IRNazanin"/>
          <w:color w:val="111111"/>
          <w:sz w:val="28"/>
          <w:szCs w:val="28"/>
          <w:rtl w:val="true"/>
          <w:lang w:bidi="fa-IR"/>
        </w:rPr>
        <w:t>.</w:t>
      </w:r>
      <w:bookmarkStart w:id="833" w:name="pg16923_220441"/>
    </w:p>
    <w:p>
      <w:pPr>
        <w:pStyle w:val="BookText"/>
        <w:rPr/>
      </w:pPr>
      <w:bookmarkEnd w:id="8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کیفیّة نفی المحارب عن البلد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نفی المحارب عن بلده إلی بلد آخر یکتب الوالی إلی کلّ بلد یأوی إلیه بالمنع عن مؤاکلته ومعاشرته ومبایعته ومناکحته ومشاورته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أن لا یکون أقلّ من سنة وإن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یتب استمرّ النفی إلی أن یتوب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أراد بلاد الشرک یمنع منها،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مکّنوه من دخولها قوتلوا حتّی یخرجوه</w:t>
      </w:r>
      <w:r>
        <w:rPr>
          <w:rFonts w:eastAsia="IRNazanin" w:cs="IRNazanin"/>
          <w:color w:val="111111"/>
          <w:sz w:val="28"/>
          <w:szCs w:val="28"/>
          <w:rtl w:val="true"/>
          <w:lang w:bidi="fa-IR"/>
        </w:rPr>
        <w:t>.]</w:t>
      </w:r>
    </w:p>
    <w:p>
      <w:pPr>
        <w:pStyle w:val="Heading3"/>
        <w:numPr>
          <w:ilvl w:val="2"/>
          <w:numId w:val="1"/>
        </w:numPr>
        <w:rPr/>
      </w:pPr>
      <w:bookmarkStart w:id="834" w:name="__RefHeading___Toc162717_3244359995"/>
      <w:bookmarkStart w:id="835" w:name="_Toc325"/>
      <w:bookmarkEnd w:id="834"/>
      <w:r>
        <w:rPr>
          <w:rtl w:val="true"/>
        </w:rPr>
        <w:t>کیفیّت تبعید محارب</w:t>
      </w:r>
      <w:bookmarkEnd w:id="835"/>
    </w:p>
    <w:p>
      <w:pPr>
        <w:pStyle w:val="Heading4"/>
        <w:numPr>
          <w:ilvl w:val="3"/>
          <w:numId w:val="1"/>
        </w:numPr>
        <w:rPr/>
      </w:pPr>
      <w:bookmarkStart w:id="836" w:name="__RefHeading___Toc162719_3244359995"/>
      <w:bookmarkStart w:id="837" w:name="_Toc326"/>
      <w:bookmarkEnd w:id="836"/>
      <w:r>
        <w:rPr>
          <w:rtl w:val="true"/>
        </w:rPr>
        <w:t>اشاره</w:t>
      </w:r>
      <w:bookmarkEnd w:id="837"/>
    </w:p>
    <w:p>
      <w:pPr>
        <w:pStyle w:val="BookText"/>
        <w:rPr/>
      </w:pPr>
      <w:r>
        <w:rPr>
          <w:rFonts w:ascii="IRNazanin" w:hAnsi="IRNazanin" w:eastAsia="IRNazanin"/>
          <w:color w:val="111111"/>
          <w:sz w:val="28"/>
          <w:sz w:val="28"/>
          <w:szCs w:val="28"/>
          <w:rtl w:val="true"/>
          <w:lang w:bidi="fa-IR"/>
        </w:rPr>
        <w:t>زمانی که حاکم شرع حدّ محارب را تبعید به شهری دیگر معیّن کرد، به والی آن شهر نامه می‌نویسد و از او می‌خواهد که از هم‌غذا شدن مردم با محارب جلوگیری کند؛ و مانع معاشرت، خرید و فروش و طرف مشورت واقع شدن محارب با مردم گردد و کسی به او زن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واجب این است که زمان تبعید کمتر از یک سال نباشد؛ هرچند در این مدّت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توبه نکرد، تبعیدش تا وقوع توبه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محارب بخواهد به سرزمین شرک برود، نمی‌گذارند به آن‌جا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مشرکان امکانات ورودش را فراهم کردند و او را راه دادند، باید با آنان جنگید تا محارب را بیرون کنند و به سرزمین‌های اسلام برگردد</w:t>
      </w:r>
      <w:r>
        <w:rPr>
          <w:rFonts w:eastAsia="IRNazanin" w:cs="IRNazanin"/>
          <w:color w:val="111111"/>
          <w:sz w:val="28"/>
          <w:szCs w:val="28"/>
          <w:rtl w:val="true"/>
          <w:lang w:bidi="fa-IR"/>
        </w:rPr>
        <w:t>.</w:t>
      </w:r>
    </w:p>
    <w:p>
      <w:pPr>
        <w:pStyle w:val="Heading4"/>
        <w:numPr>
          <w:ilvl w:val="3"/>
          <w:numId w:val="1"/>
        </w:numPr>
        <w:rPr/>
      </w:pPr>
      <w:bookmarkStart w:id="838" w:name="__RefHeading___Toc162721_3244359995"/>
      <w:bookmarkStart w:id="839" w:name="_Toc327"/>
      <w:bookmarkEnd w:id="838"/>
      <w:r>
        <w:rPr>
          <w:rtl w:val="true"/>
        </w:rPr>
        <w:t xml:space="preserve">بیان مقصود از </w:t>
      </w:r>
      <w:r>
        <w:rPr>
          <w:rtl w:val="true"/>
        </w:rPr>
        <w:t>«</w:t>
      </w:r>
      <w:r>
        <w:rPr>
          <w:rtl w:val="true"/>
        </w:rPr>
        <w:t>ینفوا من الأرض</w:t>
      </w:r>
      <w:r>
        <w:rPr>
          <w:rtl w:val="true"/>
        </w:rPr>
        <w:t>»</w:t>
      </w:r>
      <w:bookmarkEnd w:id="839"/>
    </w:p>
    <w:p>
      <w:pPr>
        <w:pStyle w:val="BookText"/>
        <w:rPr/>
      </w:pPr>
      <w:r>
        <w:rPr>
          <w:rFonts w:ascii="IRNazanin" w:hAnsi="IRNazanin" w:eastAsia="IRNazanin"/>
          <w:color w:val="111111"/>
          <w:sz w:val="28"/>
          <w:sz w:val="28"/>
          <w:szCs w:val="28"/>
          <w:rtl w:val="true"/>
          <w:lang w:bidi="fa-IR"/>
        </w:rPr>
        <w:t>احتمالات، بلکه اقوالی در معنای این جمله از آیه‌ی شریفه وجود دارد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رحمه الله در مبسوط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یُنفَوْاْ مِنَ الْأَرْضِ معناه إذا وقع منهم فی المحاربة ما یوجب شیئاً من هذه العقوبات یتبعهم الإمام أبداً حتّی یحدّهم ولا یدعهم فی مکان، هذا هو النفی من الأرض عندنا وعند قوم المنفی من قدر علیه بعد أن شهر السّلاح وقبل أن یعمل شیئاً</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در تفسیر آیه‌ی شریفه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سبب محاربه یکی از حدود بر محاربین واجب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طوسی رحمه الله به ترتیب قائل است لیکن ترتیبی که در نهایه</w:t>
      </w:r>
      <w:r>
        <w:rPr>
          <w:rStyle w:val="FootnoteAnchor"/>
          <w:rtl w:val="true"/>
        </w:rPr>
        <w:footnoteReference w:id="595"/>
      </w:r>
      <w:r>
        <w:rPr>
          <w:rFonts w:ascii="IRNazanin" w:hAnsi="IRNazanin" w:eastAsia="IRNazanin"/>
          <w:color w:val="111111"/>
          <w:sz w:val="28"/>
          <w:sz w:val="28"/>
          <w:szCs w:val="28"/>
          <w:rtl w:val="true"/>
          <w:lang w:bidi="fa-IR"/>
        </w:rPr>
        <w:t>گفته غیر از ترتیبی است که در تبیان</w:t>
      </w:r>
      <w:r>
        <w:rPr>
          <w:rStyle w:val="FootnoteAnchor"/>
          <w:rtl w:val="true"/>
        </w:rPr>
        <w:footnoteReference w:id="596"/>
      </w:r>
      <w:r>
        <w:rPr>
          <w:rFonts w:ascii="IRNazanin" w:hAnsi="IRNazanin" w:eastAsia="IRNazanin"/>
          <w:color w:val="111111"/>
          <w:sz w:val="28"/>
          <w:sz w:val="28"/>
          <w:szCs w:val="28"/>
          <w:rtl w:val="true"/>
          <w:lang w:bidi="fa-IR"/>
        </w:rPr>
        <w:t>و مبسوط</w:t>
      </w:r>
      <w:r>
        <w:rPr>
          <w:rStyle w:val="FootnoteAnchor"/>
          <w:rtl w:val="true"/>
        </w:rPr>
        <w:footnoteReference w:id="597"/>
      </w:r>
      <w:r>
        <w:rPr>
          <w:rFonts w:ascii="IRNazanin" w:hAnsi="IRNazanin" w:eastAsia="IRNazanin"/>
          <w:color w:val="111111"/>
          <w:sz w:val="28"/>
          <w:sz w:val="28"/>
          <w:szCs w:val="28"/>
          <w:rtl w:val="true"/>
          <w:lang w:bidi="fa-IR"/>
        </w:rPr>
        <w:t>و خلاف</w:t>
      </w:r>
      <w:r>
        <w:rPr>
          <w:rStyle w:val="FootnoteAnchor"/>
          <w:rtl w:val="true"/>
        </w:rPr>
        <w:footnoteReference w:id="598"/>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محاربین را تعقیب کند تا به آنان دسترسی پیدا کرده و حدّ را بر آنان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شهر آنان را نیافت، در شهر دیگر دنبالشان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یُنفَوْاْ مِنَ الْأَرْضِ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بیان مرحوم شیخ در صورتی تمام است 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آیه‌ی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حدّ محارب یکی از سه امر قتل، صلب و قطع خواهد بود، و حاکم شرع نباید بنشیند که اگر به‌طور اتّفاقی محارب را دستگیر کردند و آوردند حدّ را درباره‌اش پیاده کند، بلکه باید به راه افتاده به تعقیب او بپردازد تا او را پیدا کند و حدّش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حدود محارب در ردیف قتل و صلب و قطع نیست و عنوان حدّی ندارد؛ بلکه در رابطه‌ی با اجرای حدّ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نفی درباره‌اش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است که او را پس از اسلحه‌کشی دستگیر کنند، در حالی که مرتکب اخذ مال و قتلی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نزد این جماعت، زندانی کردن است؛ یعنی چنین فردی را از جامعه بیرون می‌بریم و دستش را از اجتماع کوتاه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حبس محارب محقّق می‌گردد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رحمه الله</w:t>
      </w:r>
      <w:r>
        <w:rPr>
          <w:rStyle w:val="FootnoteAnchor"/>
          <w:rtl w:val="true"/>
        </w:rPr>
        <w:footnoteReference w:id="599"/>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ینبغی أن یکون نفیاً شبیهاً بالصلب والقتل، تثقل رجلاه ویرمی فی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باید عملی باشد که به صلب و قتل بخورد و در ردیف آن‌ها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نفی، بستن چیز سنگینی به پای محارب و به دریا انداختن اوست تا به اعماق دریا برود</w:t>
      </w:r>
      <w:r>
        <w:rPr>
          <w:rFonts w:eastAsia="IRNazanin" w:cs="IRNazanin"/>
          <w:color w:val="111111"/>
          <w:sz w:val="28"/>
          <w:szCs w:val="28"/>
          <w:rtl w:val="true"/>
          <w:lang w:bidi="fa-IR"/>
        </w:rPr>
        <w:t>.</w:t>
      </w:r>
      <w:bookmarkStart w:id="840" w:name="pg16923_220443"/>
    </w:p>
    <w:p>
      <w:pPr>
        <w:pStyle w:val="BookText"/>
        <w:rPr/>
      </w:pPr>
      <w:bookmarkEnd w:id="840"/>
      <w:r>
        <w:rPr>
          <w:rFonts w:ascii="IRNazanin" w:hAnsi="IRNazanin" w:eastAsia="IRNazanin"/>
          <w:color w:val="111111"/>
          <w:sz w:val="28"/>
          <w:sz w:val="28"/>
          <w:szCs w:val="28"/>
          <w:rtl w:val="true"/>
          <w:lang w:bidi="fa-IR"/>
        </w:rPr>
        <w:t xml:space="preserve">در حقیقت، مرحوم صدوق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خشکی گرفته است؛ و به همین جهت،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باید از خشکی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هم این بیان را تأیید می‌کند که در آینده نقل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ابن‌سعید رحمه الله در جامع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نفی من الأرض بأن یغرق علی قول أو یحبس علی آخر أو ینفی من بلاد الإسلام سنة حتّی یتوب وکتبوا أنّه منفی محارب، فلا تؤووه ولاتعاملوه فإن أبوا قوتلوا</w:t>
      </w:r>
      <w:r>
        <w:rPr>
          <w:rFonts w:eastAsia="IRNazanin" w:cs="IRNazanin"/>
          <w:color w:val="111111"/>
          <w:sz w:val="28"/>
          <w:szCs w:val="28"/>
          <w:rtl w:val="true"/>
          <w:lang w:bidi="fa-IR"/>
        </w:rPr>
        <w:t>».</w:t>
      </w:r>
      <w:r>
        <w:rPr>
          <w:rStyle w:val="FootnoteAnchor"/>
          <w:rtl w:val="true"/>
        </w:rPr>
        <w:footnoteReference w:id="600"/>
      </w:r>
      <w:r>
        <w:rPr>
          <w:rFonts w:ascii="IRNazanin" w:hAnsi="IRNazanin" w:eastAsia="IRNazanin"/>
          <w:color w:val="111111"/>
          <w:sz w:val="28"/>
          <w:sz w:val="28"/>
          <w:szCs w:val="28"/>
          <w:rtl w:val="true"/>
          <w:lang w:bidi="fa-IR"/>
        </w:rPr>
        <w:t>نفی محارب از زمین به غرق کردن او بنا بر قولی، یا به حبس کردنش بنا بر قول دیگر و یا به یک سال تبعید از بلاد اسلام تا توبه کند، صورت می‌پذیرد؛ و به مشرکان نامه نوشته می‌شود که او محارب است، به او جا و مکان ندهید و با او داد و ستد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زیربار نرفتند و به او مأوی و مسکن دادند و با او معامله کردند، با آنان مقاتله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برگزیده</w:t>
      </w:r>
    </w:p>
    <w:p>
      <w:pPr>
        <w:pStyle w:val="BookText"/>
        <w:rPr/>
      </w:pPr>
      <w:r>
        <w:rPr>
          <w:rFonts w:ascii="IRNazanin" w:hAnsi="IRNazanin" w:eastAsia="IRNazanin"/>
          <w:color w:val="111111"/>
          <w:sz w:val="28"/>
          <w:sz w:val="28"/>
          <w:szCs w:val="28"/>
          <w:rtl w:val="true"/>
          <w:lang w:bidi="fa-IR"/>
        </w:rPr>
        <w:t xml:space="preserve">در تفسیر و معنای آیه‌ی شریفه اگر به ظاهر آیه اکتفا شود و کاری به روایات نداشته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ینفوا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 در مقابل حدود سه‌گانه دیگر است؛ و ناظر به اجرای آن سه حدّ نیست</w:t>
      </w:r>
      <w:r>
        <w:rPr>
          <w:rFonts w:eastAsia="IRNazanin" w:cs="IRNazanin"/>
          <w:color w:val="111111"/>
          <w:sz w:val="28"/>
          <w:szCs w:val="28"/>
          <w:rtl w:val="true"/>
          <w:lang w:bidi="fa-IR"/>
        </w:rPr>
        <w:t>.</w:t>
      </w:r>
    </w:p>
    <w:p>
      <w:pPr>
        <w:pStyle w:val="Heading4"/>
        <w:numPr>
          <w:ilvl w:val="3"/>
          <w:numId w:val="1"/>
        </w:numPr>
        <w:rPr/>
      </w:pPr>
      <w:bookmarkStart w:id="841" w:name="__RefHeading___Toc162723_3244359995"/>
      <w:bookmarkStart w:id="842" w:name="_Toc328"/>
      <w:bookmarkEnd w:id="841"/>
      <w:r>
        <w:rPr>
          <w:rtl w:val="true"/>
        </w:rPr>
        <w:t xml:space="preserve">بررسی معنای </w:t>
      </w:r>
      <w:r>
        <w:rPr>
          <w:rtl w:val="true"/>
        </w:rPr>
        <w:t>«</w:t>
      </w:r>
      <w:r>
        <w:rPr>
          <w:rtl w:val="true"/>
        </w:rPr>
        <w:t>نفی أرض</w:t>
      </w:r>
      <w:r>
        <w:rPr>
          <w:rtl w:val="true"/>
        </w:rPr>
        <w:t>»</w:t>
      </w:r>
      <w:bookmarkEnd w:id="842"/>
    </w:p>
    <w:p>
      <w:pPr>
        <w:pStyle w:val="BookText"/>
        <w:rPr/>
      </w:pPr>
      <w:r>
        <w:rPr>
          <w:rFonts w:ascii="IRNazanin" w:hAnsi="IRNazanin" w:eastAsia="IRNazanin"/>
          <w:color w:val="111111"/>
          <w:sz w:val="28"/>
          <w:sz w:val="28"/>
          <w:szCs w:val="28"/>
          <w:rtl w:val="true"/>
          <w:lang w:bidi="fa-IR"/>
        </w:rPr>
        <w:t>آیا مقصود، نفی از زمین اسلام است یا نفی از زمینی که در آن جنایت واقع شده، یا نفی از مطلق ارض است؛ یعنی باید او را از خشکی راند و به دریا انداخت و یا نفی از مطلق ارض؛ به این معنا که نگذاریم در یک‌جا آرام بگیرد و ساکن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محاربه او را بیرون کنیم و به هر شهری که وارد می‌شود، نامه بنویسیم تا با او معامله و داد و ستد نشود، مأوی و مسکن به او ندهند؛ و با این حال، نگذاریم حالت استقرار و آرامش پیدا کند؟</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دلیل احتمال اخیر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اطلاق دارد و مقیّد به اسلام نیست؛ زیرا، در زمان نزول آیه‌ی شریفه ارض اسلام یک منطقه‌ی کوچکی بود؛ چرا که هنوز اسلام گسترش پیدا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لازمه‌ی تقیید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ارض اسلام، تخصیص اکثر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این که تخصیص اکثر لازم نیاید، آن را مطلق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معنای یُنفَوْاْ مِنَ الْأَرْضِ آوارگی و تبعید از شهر به شهر است تا به‌وسیله تبعید استقرار و آرامشی پیدا نکند</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نقد این احتمال</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با نفی تناسبی ندارد؛ زیرا، نفی به معنای تبعید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از تقیید کردن مطلق ارض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روایات و نظر مشهور، ارض مطلق باید مقیّد گردد؛ خواه به ارض الجنایة یا ارض الإسلام؛ و با این تقیید، مشکلی پدید نمی‌آید؛ زیرا، باید بین دو باب تخصیص و تقیید فرق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مستهجن است، تخصیص اکثر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تخصیص، چون عام ناظر به افراد است و حکم به‌طور مستقیم بر روی افراد رفته است،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هشتاد درصد علما را خارج کند، تخصیص مستهجن است؛ امّا در باب اطلاق و تقیید کاری به افراد ندارد؛ بلکه حکم یا روی طبیعت مطلق رفته است یا طبیعت مقیّد، لذا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رقبة 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شود، کاری به تعداد افراد مطلق و مقیّد نداریم؛ به همین جهت، اگر تعداد رقبه‌ی کافره بیش از رقبه‌ی مؤمنه باشد، این تقیید باطل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آیه‌ی شریفه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را به اسلام یا محل وقوع جنایت مقیّد کنیم، اطلاقی تقیید شده است؛ نه این که عامّی تخصیص 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استهجان و قبحی لازم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احتمال بسیار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تقیید ارض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محاربه و جنایت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موافق با متفاهم عرفی است، بیشتر به ذهن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ینفوا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از بلد و مکان جنایت و محاربه تبعید کنند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به معنای تبعید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تضییقاتی که در فتاوای فقها وجود دارد مبنی بر آن که حاکم شرع با والی هر شهری که محارب به آن‌جا می‌رود، مکاتبه کند و از او بخواهد در خوردن و نشست و برخاست و معامله و ازدواج بر او سخت بگیرند، در اصل نفی و</w:t>
      </w:r>
      <w:bookmarkStart w:id="843" w:name="pg16923_220445"/>
    </w:p>
    <w:p>
      <w:pPr>
        <w:pStyle w:val="BookText"/>
        <w:rPr/>
      </w:pPr>
      <w:bookmarkEnd w:id="843"/>
      <w:r>
        <w:rPr>
          <w:rFonts w:ascii="IRNazanin" w:hAnsi="IRNazanin" w:eastAsia="IRNazanin"/>
          <w:color w:val="111111"/>
          <w:sz w:val="28"/>
          <w:sz w:val="28"/>
          <w:szCs w:val="28"/>
          <w:rtl w:val="true"/>
          <w:lang w:bidi="fa-IR"/>
        </w:rPr>
        <w:t>تبعید دخالتی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با منفی چه برخوردی باید صورت پذیرد، چه ربطی به اصل تبعید و نفی دارد؟</w:t>
      </w:r>
    </w:p>
    <w:p>
      <w:pPr>
        <w:pStyle w:val="BookText"/>
        <w:rPr/>
      </w:pPr>
      <w:r>
        <w:rPr>
          <w:rFonts w:ascii="IRNazanin" w:hAnsi="IRNazanin" w:eastAsia="IRNazanin"/>
          <w:color w:val="111111"/>
          <w:sz w:val="28"/>
          <w:sz w:val="28"/>
          <w:szCs w:val="28"/>
          <w:rtl w:val="true"/>
          <w:lang w:bidi="fa-IR"/>
        </w:rPr>
        <w:t>چیزی که در نفی نقش دارد، این است که او را از محل جنایت و محاربه بیرون کنند؛ از این رو، فقها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ینفی من بلده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تعیین بلد دیگر هیچ ربطی به نفی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آن‌چه در تحریرالوسیله فرموده‌اند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نفی المحارب عن بلده إلی بلد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نیست و حقّ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بلد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محارب می‌تواند به هر کجا که می‌خواهد برود، و به اختیار خودش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هرجا خواست استقرار پیدا کند، حاکم شرع دستور می‌دهد او را از آن‌جا اخراج کنند؛ امّا انتخاب محلّ سوّم با خودش هست، نه با 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برگزیده در نفی أرض</w:t>
      </w:r>
    </w:p>
    <w:p>
      <w:pPr>
        <w:pStyle w:val="BookText"/>
        <w:rPr/>
      </w:pPr>
      <w:r>
        <w:rPr>
          <w:rFonts w:ascii="IRNazanin" w:hAnsi="IRNazanin" w:eastAsia="IRNazanin"/>
          <w:color w:val="111111"/>
          <w:sz w:val="28"/>
          <w:sz w:val="28"/>
          <w:szCs w:val="28"/>
          <w:rtl w:val="true"/>
          <w:lang w:bidi="fa-IR"/>
        </w:rPr>
        <w:t xml:space="preserve">اگر تمام نظر ما به آیه‌ی شریفه باشد،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ینفوا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دلالتی بر قول شیخ طوسی، شیخ صدوق، ابن‌سعید حلّی رحمهم الله و بعضی از متأخّران ندارد؛ بلکه مقصود، نفی از سرزمین جنایت و محاربه است</w:t>
      </w:r>
      <w:r>
        <w:rPr>
          <w:rFonts w:eastAsia="IRNazanin" w:cs="IRNazanin"/>
          <w:color w:val="111111"/>
          <w:sz w:val="28"/>
          <w:szCs w:val="28"/>
          <w:rtl w:val="true"/>
          <w:lang w:bidi="fa-IR"/>
        </w:rPr>
        <w:t>.</w:t>
      </w:r>
    </w:p>
    <w:p>
      <w:pPr>
        <w:pStyle w:val="Heading4"/>
        <w:numPr>
          <w:ilvl w:val="3"/>
          <w:numId w:val="1"/>
        </w:numPr>
        <w:rPr/>
      </w:pPr>
      <w:bookmarkStart w:id="844" w:name="__RefHeading___Toc162725_3244359995"/>
      <w:bookmarkStart w:id="845" w:name="_Toc329"/>
      <w:bookmarkEnd w:id="844"/>
      <w:r>
        <w:rPr>
          <w:rtl w:val="true"/>
        </w:rPr>
        <w:t>دلالت روایات بر نفی ارض</w:t>
      </w:r>
      <w:bookmarkEnd w:id="845"/>
    </w:p>
    <w:p>
      <w:pPr>
        <w:pStyle w:val="Heading5"/>
        <w:numPr>
          <w:ilvl w:val="4"/>
          <w:numId w:val="1"/>
        </w:numPr>
        <w:rPr/>
      </w:pPr>
      <w:bookmarkStart w:id="846" w:name="__RefHeading___Toc162727_3244359995"/>
      <w:bookmarkStart w:id="847" w:name="_Toc330"/>
      <w:bookmarkEnd w:id="846"/>
      <w:r>
        <w:rPr>
          <w:rtl w:val="true"/>
        </w:rPr>
        <w:t>اشاره</w:t>
      </w:r>
      <w:bookmarkEnd w:id="8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عن أبیه، عن ابن أبی عمیر،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جَزَ ؤُاْ الَّذِینَ یُحَارِبُونَ اللَّهَ وَرَسُولَهُ‌و وَیَسْعَوْنَ فِی الْأَرْضِ فَسَادًا أَن یُقَتَّلُواْ أَوْ یُصَلَّبُواْ أَوْ تُقَطَّعَ أَیْدِیهِمْ إلی آخر الآیة أیّ شی‌ء علیه من هذه الحدود الّتی سمّی اللَّه عزّ 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إلی الإمام إن شاء قطع وإن شاء نفی، وإن شاء صلب، وإن شاء قتل</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النفی إلی أین؟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مصر إلی مصر آخر، وقال إنّ علیّاً علیه السلام نفی رجلین من الکوفة إلی البصرة</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صحیحه که یکی از ادلّه‌ی تخییر بود و در گذشته مطرح شد، جمیل در سؤال دوّمش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 به کجا تبعید می‌شود؟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شهری به شهر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تأیید این مطلب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دو نفر را از کوفه به بصره تبعید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روایت بیانگر این است که کوفه محلّ جنایت و محاربه بوده، امام علیه السلام آنان را به بصره فرستاده و محاربان در آن‌جا مستقرّ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از نوشتن نامه‌ی امام علیه السلام به والی بصره در انتقال‌دادنشان به شهر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صحیحه با احتمال اخیر مناسبت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ضمیمه‌ای در آن وجود دارد، یعنی امام علیه السلام بلد دیگر را معیّن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سؤال دوّم جمیل یعنی قسمت اخیر روایت کسی غیر از مرحوم صدوق رحمه الله در مقنع</w:t>
      </w:r>
      <w:r>
        <w:rPr>
          <w:rStyle w:val="FootnoteAnchor"/>
          <w:rtl w:val="true"/>
        </w:rPr>
        <w:footnoteReference w:id="603"/>
      </w:r>
      <w:r>
        <w:rPr>
          <w:rFonts w:ascii="IRNazanin" w:hAnsi="IRNazanin" w:eastAsia="IRNazanin"/>
          <w:color w:val="111111"/>
          <w:sz w:val="28"/>
          <w:sz w:val="28"/>
          <w:szCs w:val="28"/>
          <w:rtl w:val="true"/>
          <w:lang w:bidi="fa-IR"/>
        </w:rPr>
        <w:t>عمل نکرده است، و او هم در من لایحضره الفقیه</w:t>
      </w:r>
      <w:r>
        <w:rPr>
          <w:rStyle w:val="FootnoteAnchor"/>
          <w:rtl w:val="true"/>
        </w:rPr>
        <w:footnoteReference w:id="604"/>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چیز سنگینی به پای محارب بسته و او را به دریا بیندازند؛ یعنی او را از خشکی به دریا تبعید کنند</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صاحب جواهر رحمه الله در ادامه‌ی کلامش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استظهار من از آیه، زمین و ارض محاربه است که باید از آن‌جا نفی گردد؛ و کلام امیرمؤمنان علیه السلام با آن کمال ملایمت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جنایتی در قم واقع شد، او را باید از قم تبعید کرد به یزد؛ نه از اصفهان به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اصفهان و یزد جنایتی انجام نداده، و برای او هر دو شهر مساوی است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توهّم این که دائماً از شهری به شهر دیگر باید تبعید گردد، آن‌طور که برخی از بزرگان گفته‌اند، با استشهاد امام صادق علیه السلام به فعل امیرمؤمنان علیه السلام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رابطه با</w:t>
      </w:r>
    </w:p>
    <w:p>
      <w:pPr>
        <w:pStyle w:val="BookText"/>
        <w:rPr/>
      </w:pPr>
      <w:r>
        <w:rPr>
          <w:rFonts w:ascii="IRNazanin" w:hAnsi="IRNazanin" w:eastAsia="IRNazanin"/>
          <w:color w:val="111111"/>
          <w:sz w:val="28"/>
          <w:sz w:val="28"/>
          <w:szCs w:val="28"/>
          <w:rtl w:val="true"/>
          <w:lang w:bidi="fa-IR"/>
        </w:rPr>
        <w:t>محاربه، دو نفر را از کوفه به بصره تبعید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مسأله‌ی تبعید به همین‌جا ختم شد و دنباله‌ای نداشت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عن أبیه، عن محمّد بن حفص، عن عبداللَّه بن طلحة، عن أبی عبداللَّه علیه السلام فی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جَزَ ؤُاْ الَّذِینَ یُحَارِبُونَ اللَّهَ وَرَسُولَهُ‌و وَیَسْعَوْنَ فِی الْأَرْضِ فَسَادًا الآیه، هذا نفی المحارب غیر هذا النفی،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یحکم علیه الحاکم بقدر ما عمل وینفی ویحمل فی البحر ثمّ یقذف به، لو کان النفی من بلد إلی بلد کأن یکون إخراجه من بلد إلی بلد عدل القتل والصّلب والقطع، ولکن یکون حدّاً یوافق القطع والصلب</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فقه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در رابطه‌ی با آیه‌ی شریفه إِنَّمَا جَزَ ؤُاْ الَّذِینَ یُحَارِبُونَ اللَّهَ وَرَسُولَهُ‌و </w:t>
      </w:r>
      <w:r>
        <w:rPr>
          <w:rFonts w:eastAsia="Amiri" w:cs="Amiri" w:ascii="Amiri" w:hAnsi="Amiri"/>
          <w:color w:val="111111"/>
          <w:sz w:val="28"/>
          <w:szCs w:val="28"/>
          <w:rtl w:val="true"/>
          <w:lang w:bidi="ar-SA"/>
        </w:rPr>
        <w:t>...</w:t>
      </w:r>
      <w:r>
        <w:rPr>
          <w:rStyle w:val="FootnoteAnchor"/>
          <w:rtl w:val="true"/>
        </w:rPr>
        <w:footnoteReference w:id="607"/>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محارب غیر از نفی و تبعید در ابواب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قبل از آن که محارب را نفی کند، از حدود سه‌گانه‌ی دیگر متناسب با جنایتش حدّی بر او اجرا می‌کند؛ سپس او را برمی‌دارند و دور می‌کنند و به دریا می‌اندازند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تبعید از شهری به شهر دیگر بود، باید این اخراج از بلدی به بلد دیگر، عِدل و برابر قتل و صلب و قطع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نفی از شهری به شهر دیگر، نمی‌تواند با سه حدّ دیگر سنخیّت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نفی متناسب با حدود 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نظر سند صحیح نیست؛ لذا، اعتباری ندارد و بر فرض این که سندش هم معتبر باشد، نمی‌توانستیم به آن فتوا دهیم؛ زیرا، غیر از شیخ صدوق رحمه الله در کتاب مقنع</w:t>
      </w:r>
      <w:r>
        <w:rPr>
          <w:rStyle w:val="FootnoteAnchor"/>
          <w:rtl w:val="true"/>
        </w:rPr>
        <w:footnoteReference w:id="608"/>
      </w:r>
      <w:r>
        <w:rPr>
          <w:rFonts w:ascii="IRNazanin" w:hAnsi="IRNazanin" w:eastAsia="IRNazanin"/>
          <w:color w:val="111111"/>
          <w:sz w:val="28"/>
          <w:sz w:val="28"/>
          <w:szCs w:val="28"/>
          <w:rtl w:val="true"/>
          <w:lang w:bidi="fa-IR"/>
        </w:rPr>
        <w:t>کسی به آن عمل نکرده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بإسناده عن أحمد بن محمّد، عن خلف بن حمّاد، عن موسی بن بکر، عن بکیر بن أعین،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المؤمنین علیه السلام إذا نفی أحداً من أهل الإسلام نفاه إلی أقرب بلد من أهل الشرک إلی الإسلام فنظر فی ذلک فکانت الدیلم أقرب أهل الشرک إلی الإسلام</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صحیحه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امیرمؤمنان علیه السلام می‌خواست مسلمانی را به تبعید بفرستد، او را به نزدیک‌ترین بلاد شرک به اسلام تبعید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بلدی که از نظر فکری و اعتقادی به اسلام نزدیک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آن حضرت، بلاد دیلم از این نظر، نزدیک‌ترین بلاد به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با قول ابن‌سعید حلّی رحمه الله در جامع</w:t>
      </w:r>
      <w:r>
        <w:rPr>
          <w:rStyle w:val="FootnoteAnchor"/>
          <w:rtl w:val="true"/>
        </w:rPr>
        <w:footnoteReference w:id="610"/>
      </w:r>
      <w:r>
        <w:rPr>
          <w:rFonts w:ascii="IRNazanin" w:hAnsi="IRNazanin" w:eastAsia="IRNazanin"/>
          <w:color w:val="111111"/>
          <w:sz w:val="28"/>
          <w:sz w:val="28"/>
          <w:szCs w:val="28"/>
          <w:rtl w:val="true"/>
          <w:lang w:bidi="fa-IR"/>
        </w:rPr>
        <w:t>موافق است؛ یعنی محارب را از سرزمین اسلام به بلاد غیر اسلام تبعید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عن الحسین بن سعید، عن الحسن، عن زرعة، عن سماعة،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الإنفاء من الأرض کیف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ینفی من بلاد الإسلام کلّها، فإن قدر علیه فی شی‌ء من أرض الإسلام قتل، ولا أمان له حتّی یلحق بأرض الشّرک</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صحیحه نیز بر قول ابن‌سعید حلّی رحمه الله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مضمره است؛ یعنی راوی، امامی را که مسئولٌ عنه بوده، ذکر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از ارض چگونه است؟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تمامی بلاد اسلام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او در سرزمین اسلام دست یافتند، او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در دارالاسلام امانی نیست تا به سرزمین شرک بپیوندد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این دو روایت</w:t>
      </w:r>
    </w:p>
    <w:p>
      <w:pPr>
        <w:pStyle w:val="BookText"/>
        <w:rPr/>
      </w:pPr>
      <w:r>
        <w:rPr>
          <w:rFonts w:ascii="IRNazanin" w:hAnsi="IRNazanin" w:eastAsia="IRNazanin"/>
          <w:color w:val="111111"/>
          <w:sz w:val="28"/>
          <w:sz w:val="28"/>
          <w:szCs w:val="28"/>
          <w:rtl w:val="true"/>
          <w:lang w:bidi="fa-IR"/>
        </w:rPr>
        <w:t>برخی از فقها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صحیحه برخلاف ظاهر قرآن است؛ لذا آن‌ها را کنار می‌گذاریم</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تمام نیست؛ زیرا، تمام مقیّدات برخلاف اطلاقات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این</w:t>
      </w:r>
    </w:p>
    <w:p>
      <w:pPr>
        <w:pStyle w:val="BookText"/>
        <w:rPr/>
      </w:pPr>
      <w:r>
        <w:rPr>
          <w:rFonts w:ascii="IRNazanin" w:hAnsi="IRNazanin" w:eastAsia="IRNazanin"/>
          <w:color w:val="111111"/>
          <w:sz w:val="28"/>
          <w:sz w:val="28"/>
          <w:szCs w:val="28"/>
          <w:rtl w:val="true"/>
          <w:lang w:bidi="fa-IR"/>
        </w:rPr>
        <w:t>کلام این است که نتوانید مطلقات و عمومات کتاب را تقیید یا تخصیص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به اطلاق و تقیید و عامّ و خاصّ، مخالفت شمرده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این جهت نمی‌توان دو روایت را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جهت اعراض مشهور غیر از ابن‌سعید حلّی رحمه الله طرح می‌شوند؛ زیرا، مشهور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بلاد اسلام فرار کرد و به بلاد شرک رفت، از والی آن‌جا می‌خواهند او را برگرداند و اگر حاضر نشدند، با آنان مقاتله و جنگ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حنّان، عن أبی عبد اللَّه علیه السلام فی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جَزَ ؤُاْ الَّذِینَ یُحَارِبُونَ اللَّهَ وَرَسُولَهُ‌و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یبایع ولا یؤوی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یتصدّق علیه</w:t>
      </w:r>
      <w:r>
        <w:rPr>
          <w:rFonts w:eastAsia="Amiri" w:cs="Amiri" w:ascii="Amiri" w:hAnsi="Amiri"/>
          <w:color w:val="111111"/>
          <w:sz w:val="28"/>
          <w:szCs w:val="28"/>
          <w:rtl w:val="true"/>
          <w:lang w:bidi="ar-SA"/>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صحیحه امام صادق علیه السلام در رابطه‌ی با آیه‌ی إِنَّمَا جَزَ ؤُاْ الَّذِینَ یُحَارِبُونَ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محارب مبایعه و معامله نشود؛ به او پناه و مکان ندهند؛ او را اطعام نکنند؛ و به او صدقه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در روایت ذکری از نفی و تبعید نیست؛ لیکن طبق قاعده این امور در رابطه‌ی با نفی از ارض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معنای نفی از ارض، عدم مبایعه و اطعام و پناه دادن و تصدّق است، یا این امور را باید پس از تبعید مراعات کرد؟</w:t>
      </w:r>
    </w:p>
    <w:p>
      <w:pPr>
        <w:pStyle w:val="BookText"/>
        <w:rPr/>
      </w:pPr>
      <w:r>
        <w:rPr>
          <w:rFonts w:ascii="IRNazanin" w:hAnsi="IRNazanin" w:eastAsia="IRNazanin"/>
          <w:color w:val="111111"/>
          <w:sz w:val="28"/>
          <w:sz w:val="28"/>
          <w:szCs w:val="28"/>
          <w:rtl w:val="true"/>
          <w:lang w:bidi="fa-IR"/>
        </w:rPr>
        <w:t>بنا بر ظاهر، باید احتمال دوّم را گرفت؛ زیرا، در حقیقت نفی، این امور نقش ندارد؛ بلکه باید او را از مکان جنایت و محاربه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فقط به تبعید اکتفا نمی‌شود، بلکه باید امور مذکور در روایت نیز در حقّش اجرا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العیّاشی فی تفسیره، عن زرارة، عن أحدهما علیهما السلام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جَزَ ؤُاْ الَّذِینَ یُحَارِبُونَ اللَّهَ وَرَسُولَهُ‌و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یصلبوا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یبایع ولا یؤتی بطعام ولا یتصدّق علیه</w:t>
      </w:r>
      <w:r>
        <w:rPr>
          <w:rFonts w:eastAsia="Amiri" w:cs="Amiri" w:ascii="Amiri" w:hAnsi="Amiri"/>
          <w:color w:val="111111"/>
          <w:sz w:val="28"/>
          <w:szCs w:val="28"/>
          <w:rtl w:val="true"/>
          <w:lang w:bidi="ar-SA"/>
        </w:rPr>
        <w:t>.</w:t>
      </w:r>
      <w:r>
        <w:rPr>
          <w:rStyle w:val="FootnoteAnchor"/>
          <w:rtl w:val="true"/>
        </w:rPr>
        <w:footnoteReference w:id="613"/>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شبیه روایت گذشته است با این تفاوت که نمی‌توان سندش را تصحیح کرد و در این روایت مشتمل بر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لایؤتی بطعام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قرینه است که در روایت گذشته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یؤوی ولایطعم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یؤتی بطعام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به این‌گونه تحریف شده است؛ یعنی در حقیقت، سه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یبایع ولا یؤتی بطعام ولا یتصدّق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امام علیه السلام فرموده است نه این که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روایت مردّد بین وجود و عدم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یا صادق علیهما السلام در رابطه با آیه‌ی شریفه‌ی إِنَّمَا جَزَ ؤُاْ الَّذِینَ یُحَارِبُونَ اللَّهَ وَرَسُولَهُ‌و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نباید با او معامله کرد؛ نباید او را بر سر سفره‌ای حاضر کنند؛ و نبایستی به او صدقه 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عن أبیه، عن عمرو بن عثمان، عن عبیداللَّه المدائنی، عن أبی الحسن الرضا علیه السلام فی حدیث المحارب،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ینفی؟ وما حدّ نفیه؟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ینفی من المصر الّذی فعل فیه ما فعل إلی مصر غیره، ویکتب إلی أهل ذلک المصر أنّه منفی فلا تجالسوه ولا تبایعوه ولا تناکحوه ولا تؤاکلوه ولا تشاربوه، فیفعل ذلک به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خرج من ذلک المصر إلی غیره کتب إلیهم بمثل ذلک حتّی تتمّ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توجّه إلی أرض الشّرک لیدخلها؟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توجّه إلی أرض الشّرک لیدخلها قوتل أهلها</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المدائنی توثیق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هشتم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 را چگونه تبعید می‌کنند، و مقدار تبعیدش چه اندازه است؟</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شهری که در آن مرتکب جنایت شده است، به شهر دیگری تبعید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اهالی آن شهر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تبعیدی است با او مجالست، معامله، مناکحه نکنید و هم‌غذا و هم‌مشرب او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جواهر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Style w:val="FootnoteAnchor"/>
          <w:rtl w:val="true"/>
        </w:rPr>
        <w:footnoteReference w:id="615"/>
      </w:r>
      <w:r>
        <w:rPr>
          <w:rFonts w:ascii="IRNazanin" w:hAnsi="IRNazanin" w:eastAsia="IRNazanin"/>
          <w:color w:val="111111"/>
          <w:sz w:val="28"/>
          <w:sz w:val="28"/>
          <w:szCs w:val="28"/>
          <w:rtl w:val="true"/>
          <w:lang w:bidi="fa-IR"/>
        </w:rPr>
        <w:t>یعنی طرف مشورت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تا یک سال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شهر به شهر</w:t>
      </w:r>
      <w:bookmarkStart w:id="848" w:name="pg16923_220451"/>
    </w:p>
    <w:p>
      <w:pPr>
        <w:pStyle w:val="BookText"/>
        <w:rPr/>
      </w:pPr>
      <w:bookmarkEnd w:id="848"/>
      <w:r>
        <w:rPr>
          <w:rFonts w:ascii="IRNazanin" w:hAnsi="IRNazanin" w:eastAsia="IRNazanin"/>
          <w:color w:val="111111"/>
          <w:sz w:val="28"/>
          <w:sz w:val="28"/>
          <w:szCs w:val="28"/>
          <w:rtl w:val="true"/>
          <w:lang w:bidi="fa-IR"/>
        </w:rPr>
        <w:t>دیگر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مانع سفرش نمی‌شوند، کسی حقّ ندارد او را از خروج منع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اهالی آن شهر نیز همین امور را می‌نویسند تا یک سال به پایان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مدائنی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فکر پناهنده شدن به مشرکان افتاد و به سرزمین شرک رفت؟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آن‌جا رفته با اهل شرک مقاتله می‌کنند تا او را اخراج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أیضاً عن إسحاق المدائنی، عن أبی الحسن علیه السلام نحوه إلّا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الرّجل فإن أتی أرض الشّرک فدخلها؟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عنقه إن أراد الدّخول فی أرض الشّرک</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روایت گذشته را اسحاق مدائنی از امام رضا علیه السلام با اضافه‌ای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محارب به سرزمین شرک آمد و به آن داخل شد؟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می‌خواهد به سرزمین شرک برود، گردنش را می‌زنند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عن محمّد بن عیسی، عن یونس، عن محمّد بن سلیمان، عن عبیداللَّه بن إسحاق، عن أبی الحسن علیه السلام مثله إلّا أنّه قال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یفعل ذلک به سنة فإنّه سیتوب وهو صاغر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أمّ أرض الشّرک یدخلها؟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همان روایت مدائنی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آخرش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سال با محارب به طریق مذکور عمل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توبه کند در حالی که خوار و ذلیل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دارد به سرزمین شرک برود، حکمش چیست؟ 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می‌کشند</w:t>
      </w:r>
      <w:r>
        <w:rPr>
          <w:rFonts w:eastAsia="IRNazanin" w:cs="IRNazanin"/>
          <w:color w:val="111111"/>
          <w:sz w:val="28"/>
          <w:szCs w:val="28"/>
          <w:rtl w:val="true"/>
          <w:lang w:bidi="fa-IR"/>
        </w:rPr>
        <w:t>.</w:t>
      </w:r>
    </w:p>
    <w:p>
      <w:pPr>
        <w:pStyle w:val="Heading5"/>
        <w:numPr>
          <w:ilvl w:val="4"/>
          <w:numId w:val="1"/>
        </w:numPr>
        <w:rPr/>
      </w:pPr>
      <w:bookmarkStart w:id="849" w:name="__RefHeading___Toc162729_3244359995"/>
      <w:bookmarkStart w:id="850" w:name="_Toc331"/>
      <w:bookmarkEnd w:id="849"/>
      <w:r>
        <w:rPr>
          <w:rtl w:val="true"/>
        </w:rPr>
        <w:t>جمع‌بندی روایات</w:t>
      </w:r>
      <w:bookmarkEnd w:id="850"/>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قبل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آیه‌ی شریفه أَوْ یُنفَوْاْ مِنَ الْأَرْضِ بر تبعید محارب از محل وقوع جنایت دلالت دارد، امّا آیه نسبت به محل تبعید بیانی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w:t>
      </w:r>
    </w:p>
    <w:p>
      <w:pPr>
        <w:pStyle w:val="BookText"/>
        <w:rPr/>
      </w:pPr>
      <w:r>
        <w:rPr>
          <w:rFonts w:ascii="IRNazanin" w:hAnsi="IRNazanin" w:eastAsia="IRNazanin"/>
          <w:color w:val="111111"/>
          <w:sz w:val="28"/>
          <w:sz w:val="28"/>
          <w:szCs w:val="28"/>
          <w:rtl w:val="true"/>
          <w:lang w:bidi="fa-IR"/>
        </w:rPr>
        <w:t>نیست جای دیگری را برایش مشخّص کنند به طوری که حقّ خروج از آن‌جا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مدائنی هم بر این مطلب دلالت داشت؛ زیرا،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خرج من ذلک المصر إلی غیره کتب إلیهم بمثل ذلک حتّی تتمّ السنة </w:t>
      </w:r>
      <w:r>
        <w:rPr>
          <w:rFonts w:eastAsia="IRNazanin" w:cs="IRNazanin"/>
          <w:color w:val="111111"/>
          <w:sz w:val="28"/>
          <w:szCs w:val="28"/>
          <w:rtl w:val="true"/>
          <w:lang w:bidi="fa-IR"/>
        </w:rPr>
        <w:t>...»</w:t>
      </w:r>
      <w:r>
        <w:rPr>
          <w:rStyle w:val="FootnoteAnchor"/>
          <w:rtl w:val="true"/>
        </w:rPr>
        <w:footnoteReference w:id="618"/>
      </w:r>
      <w:r>
        <w:rPr>
          <w:rFonts w:ascii="IRNazanin" w:hAnsi="IRNazanin" w:eastAsia="IRNazanin"/>
          <w:color w:val="111111"/>
          <w:sz w:val="28"/>
          <w:sz w:val="28"/>
          <w:szCs w:val="28"/>
          <w:rtl w:val="true"/>
          <w:lang w:bidi="fa-IR"/>
        </w:rPr>
        <w:t>اگر از آن شهر خارج شد، لازم نیست او را برگردانند؛ بلکه به شهر دوّمی که به آن وارد می‌شود نامه می‌نویسند که با او ازدواج و رفت و آمد نکنند و از او نخواهند در میهمانی شرکت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نمی‌توان منکر این معنا شد که محارب را از محل وقوع جنایت باید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روایاتی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ارض شرک تبعید می‌کنند، بر این مطلب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استفاده می‌شود حاکم شرع باید به والی شهری که محارب به آن‌جا می‌رود نامه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صحیحه‌ی حنّان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لایبایع ولا یطعم ولا یتصدّق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9"/>
      </w:r>
      <w:r>
        <w:rPr>
          <w:rFonts w:ascii="IRNazanin" w:hAnsi="IRNazanin" w:eastAsia="IRNazanin"/>
          <w:color w:val="111111"/>
          <w:sz w:val="28"/>
          <w:sz w:val="28"/>
          <w:szCs w:val="28"/>
          <w:rtl w:val="true"/>
          <w:lang w:bidi="fa-IR"/>
        </w:rPr>
        <w:t>روایت مدائنی نیز این مطلب را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ویکتب إلی أهل ذلک المصر أنّه منفی فلا تجالسوه ولا تبایعوه ولا تناکحوه ولا تؤاکلوه ولا تشاربوه </w:t>
      </w:r>
      <w:r>
        <w:rPr>
          <w:rFonts w:eastAsia="IRNazanin" w:cs="IRNazanin"/>
          <w:color w:val="111111"/>
          <w:sz w:val="28"/>
          <w:szCs w:val="28"/>
          <w:rtl w:val="true"/>
          <w:lang w:bidi="fa-IR"/>
        </w:rPr>
        <w:t>...».</w:t>
      </w:r>
      <w:r>
        <w:rPr>
          <w:rStyle w:val="FootnoteAnchor"/>
          <w:rtl w:val="true"/>
        </w:rPr>
        <w:footnoteReference w:id="620"/>
      </w:r>
      <w:r>
        <w:rPr>
          <w:rFonts w:ascii="IRNazanin" w:hAnsi="IRNazanin" w:eastAsia="IRNazanin"/>
          <w:color w:val="111111"/>
          <w:sz w:val="28"/>
          <w:sz w:val="28"/>
          <w:szCs w:val="28"/>
          <w:rtl w:val="true"/>
          <w:lang w:bidi="fa-IR"/>
        </w:rPr>
        <w:t>مشهور نیز به این مطلب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نیز به صحیحه‌ی حنّان عمل می‌کنیم و به این امور، بعد از تبعید، فتوا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صحیحه‌ی حنّان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یبایع، ولا یؤوی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یتصدّق علیه</w:t>
      </w:r>
      <w:r>
        <w:rPr>
          <w:rFonts w:eastAsia="IRNazanin" w:cs="IRNazanin"/>
          <w:color w:val="111111"/>
          <w:sz w:val="28"/>
          <w:szCs w:val="28"/>
          <w:rtl w:val="true"/>
          <w:lang w:bidi="fa-IR"/>
        </w:rPr>
        <w:t>»</w:t>
      </w:r>
      <w:r>
        <w:rPr>
          <w:rStyle w:val="FootnoteAnchor"/>
          <w:rtl w:val="true"/>
        </w:rPr>
        <w:footnoteReference w:id="621"/>
      </w:r>
      <w:r>
        <w:rPr>
          <w:rFonts w:ascii="IRNazanin" w:hAnsi="IRNazanin" w:eastAsia="IRNazanin"/>
          <w:color w:val="111111"/>
          <w:sz w:val="28"/>
          <w:sz w:val="28"/>
          <w:szCs w:val="28"/>
          <w:rtl w:val="true"/>
          <w:lang w:bidi="fa-IR"/>
        </w:rPr>
        <w:t xml:space="preserve">بود؛ نسبت به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مأوی و مسکن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فقط در این روایت آمده است،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لایؤوی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نیز به آن فتوا نداده‌اند؛ بلکه فتوای مشهور برخلاف است؛ زیرا، عباراتشان همانند عبارت تحریرالوسیله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یکتب الوالی إلی کلّ بلدٍ یأوی إلیه بالمنع عن مؤاکلته ومعاشرته ومبایعته ومناکحته ومشاورته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مکانی را که مأوی و مسکن خود قرار داد، به والی آن‌جا می‌نویسد که امور فوق در رابطه با او انجام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 عدم ثبوت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فتوای مشهور به آن بر فرض ثبوت، کلام بعضی از محقّقان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نفی ارض سلب آرامش از محارب است و در این مطلب خلافی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مخدوش است؛ زیرا، از نفی ارض چنین مطلبی استفاده نمی‌شود و هیچ فقیهی نیز به این مطلب فتوا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مقدار تبعید سه قول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یحیی بن سعید رحمه الله مؤلّف کتاب جامع‌الشرایع نسبت می‌دهند مقدارش را یک سال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او را رها می‌کنند که به دنبال کارش برود؛ خواه توبه کرده باشد یا نه</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قائل‌اند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حدودی برای نفی نیست و تا زمان مرگش ادامه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همانند محقّق رحمه الله در کتاب نافع</w:t>
      </w:r>
      <w:r>
        <w:rPr>
          <w:rStyle w:val="FootnoteAnchor"/>
          <w:rtl w:val="true"/>
        </w:rPr>
        <w:footnoteReference w:id="623"/>
      </w:r>
      <w:r>
        <w:rPr>
          <w:rFonts w:ascii="IRNazanin" w:hAnsi="IRNazanin" w:eastAsia="IRNazanin"/>
          <w:color w:val="111111"/>
          <w:sz w:val="28"/>
          <w:sz w:val="28"/>
          <w:szCs w:val="28"/>
          <w:rtl w:val="true"/>
          <w:lang w:bidi="fa-IR"/>
        </w:rPr>
        <w:t>و شهید ثانی رحمه الله در شرح لمعه</w:t>
      </w:r>
      <w:r>
        <w:rPr>
          <w:rStyle w:val="FootnoteAnchor"/>
          <w:rtl w:val="true"/>
        </w:rPr>
        <w:footnoteReference w:id="624"/>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تا زمان مرگش ادامه دارد مگر آن که در وسط توبه کند که با توبه، نفی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ابن‌سعید رحمه الله روایت مدائنی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فیفعل ذلک به سنة</w:t>
      </w:r>
      <w:r>
        <w:rPr>
          <w:rFonts w:eastAsia="IRNazanin" w:cs="IRNazanin"/>
          <w:color w:val="111111"/>
          <w:sz w:val="28"/>
          <w:szCs w:val="28"/>
          <w:rtl w:val="true"/>
          <w:lang w:bidi="fa-IR"/>
        </w:rPr>
        <w:t>».</w:t>
      </w:r>
      <w:r>
        <w:rPr>
          <w:rStyle w:val="FootnoteAnchor"/>
          <w:rtl w:val="true"/>
        </w:rPr>
        <w:footnoteReference w:id="625"/>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ضعیف است و مشهور به آن در این جهت عمل نکرده‌اند؛ لذا، جابری برای ضعف سند آن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قول مشهور به اطلاق صحیحه‌ی حنّان تمسّک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یبایع ولا یؤوی ولا یطعم ولا یتصدّق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احکام مقیّد به چیزی نشده است، لذا می‌فهمیم لایبایع مطلقاً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تا این موضوع باقی است، لا یبایع، تا این تبعیدی وجود دارد، لایؤوی و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روایت حنّان از این جهت در مقام بیان نیست تا بتوان به اطلاقش تمسّک کرد؛ بلکه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تبعیدی پس از تبعید آزاد و راحت نیست؛ و باید تحت فشار و مضیقه قرار گیرد؛ کاری ندارد زمان حدّش یک سال است یا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از این</w:t>
      </w:r>
    </w:p>
    <w:p>
      <w:pPr>
        <w:pStyle w:val="BookText"/>
        <w:rPr/>
      </w:pPr>
      <w:r>
        <w:rPr>
          <w:rFonts w:ascii="IRNazanin" w:hAnsi="IRNazanin" w:eastAsia="IRNazanin"/>
          <w:color w:val="111111"/>
          <w:sz w:val="28"/>
          <w:sz w:val="28"/>
          <w:szCs w:val="28"/>
          <w:rtl w:val="true"/>
          <w:lang w:bidi="fa-IR"/>
        </w:rPr>
        <w:t>جهت اطلاقی ندارد تا بتوان به آن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مشهور اطلاق آیه‌ی شریفه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ینفوا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تبعید برای یک سال بود، باید آن را تقیید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عدم تقیید استفاده می‌شود که برای تبعید، حدّ و اندازه‌ای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راحل رحمه الله در این مورد در تحریرالوسیله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این است که تبعید کمتر از یک سال نباشد؛ هرچند در بین سال توبه هم کرده باشد؛ ولی اگر توبه نکرد، نفی تا زمان توبه استمرار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استمرار نفی و ادامه‌اش را تا زمان توبه قرار داده‌اند نه تا زمان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ایشان همان قول محقّق و شهید ثانی رحمهما الله را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مدائنی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یفعل ذلک به سنة فإنّه سیتوب وهو صاغر </w:t>
      </w:r>
      <w:r>
        <w:rPr>
          <w:rFonts w:eastAsia="IRNazanin" w:cs="IRNazanin"/>
          <w:color w:val="111111"/>
          <w:sz w:val="28"/>
          <w:szCs w:val="28"/>
          <w:rtl w:val="true"/>
          <w:lang w:bidi="fa-IR"/>
        </w:rPr>
        <w:t>...»</w:t>
      </w:r>
      <w:r>
        <w:rPr>
          <w:rStyle w:val="FootnoteAnchor"/>
          <w:rtl w:val="true"/>
        </w:rPr>
        <w:footnoteReference w:id="626"/>
      </w:r>
      <w:r>
        <w:rPr>
          <w:rFonts w:ascii="IRNazanin" w:hAnsi="IRNazanin" w:eastAsia="IRNazanin"/>
          <w:color w:val="111111"/>
          <w:sz w:val="28"/>
          <w:sz w:val="28"/>
          <w:szCs w:val="28"/>
          <w:rtl w:val="true"/>
          <w:lang w:bidi="fa-IR"/>
        </w:rPr>
        <w:t xml:space="preserve">تا یک سال با او معاشرت و مبایعه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پس زود است که توبه کند در حالی که خوار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استفاده می‌شود ملاک پایان حدّ نفی توبه است؛ زیرا، به طور معمول کسی که تا یک سال در تبعید بماند، توبه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ضعیف و مورد عمل مشهور نیز واقع نشده است تا ضعف سندش جبران شود؛ لذا، مشکل است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إستمرار النفی إلی أن یتوب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أن یتوب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آیه‌ی شریفه بر قبولی توبه قبل از دستگیری دلالت دارد و ما دلیلی بر قبول توبه در حین اجرای حدّ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محارب بخواهد از تبعیدگاه به بلاد شرک برود، در روایت مدائنی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w:t>
      </w:r>
      <w:r>
        <w:rPr>
          <w:rFonts w:eastAsia="IRNazanin" w:cs="IRNazanin"/>
          <w:color w:val="111111"/>
          <w:sz w:val="28"/>
          <w:szCs w:val="28"/>
          <w:rtl w:val="true"/>
          <w:lang w:bidi="fa-IR"/>
        </w:rPr>
        <w:t>»</w:t>
      </w:r>
      <w:r>
        <w:rPr>
          <w:rStyle w:val="FootnoteAnchor"/>
          <w:rtl w:val="true"/>
        </w:rPr>
        <w:footnoteReference w:id="627"/>
      </w:r>
      <w:r>
        <w:rPr>
          <w:rFonts w:ascii="IRNazanin" w:hAnsi="IRNazanin" w:eastAsia="IRNazanin"/>
          <w:color w:val="111111"/>
          <w:sz w:val="28"/>
          <w:sz w:val="28"/>
          <w:szCs w:val="28"/>
          <w:rtl w:val="true"/>
          <w:lang w:bidi="fa-IR"/>
        </w:rPr>
        <w:t>و اگر خود را به آن بلاد رسانید،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قوتل أهلها</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در این قسمت، از دو جهت بحث هست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محاربی تصمیم داشته باشد به بلاد کفر برود، نباید بگذارند به دولت شرک پناه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می‌توانیم از طبع قضیه استفاده کنیم؛ زیرا، ممکن است این فرد سبب انحراف دیگران شده و به عنوان مبلّغی بر ضدّ اسلام در آن‌جا فعالیّت کند؛ و</w:t>
      </w:r>
    </w:p>
    <w:p>
      <w:pPr>
        <w:pStyle w:val="BookText"/>
        <w:rPr/>
      </w:pPr>
      <w:r>
        <w:rPr>
          <w:rFonts w:ascii="IRNazanin" w:hAnsi="IRNazanin" w:eastAsia="IRNazanin"/>
          <w:color w:val="111111"/>
          <w:sz w:val="28"/>
          <w:sz w:val="28"/>
          <w:szCs w:val="28"/>
          <w:rtl w:val="true"/>
          <w:lang w:bidi="fa-IR"/>
        </w:rPr>
        <w:t>چه‌بسا انحراف‌های دیگری نیز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فرار کرد و خود را به بلاد شرک رسانید،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جنگ با کفّار برای استرداد محارب همان روایت مداینی است که ضعیف می‌باشد، علاوه بر این که به راه انداختن جنگ با کفّار برای برگرداندن یک محارب تناسبی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صاحب جواهر رحمه الله کفّاری که محارب به آنان پناهنده شده است، از دو حال خارج نیستند؛ یا خود محارب هستند که برای جنگیدن با آنان نیازی به فرار محارب نیست؛ دولت اسلام باید همیشه با کفّار حربی در حال جنگ باشد؛ و یا با آنان قرارداد صلح و هدنه منعقد شده است، که اگر شرط استرداد مجرم یکی از نکات قرارداد نباشد، معنا ندارد به مجرّد فرار یک محارب، پیمان صلح را زیرپا گذاشته به جنگ با آنان قیام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اهل ذمّه چنین مطلبی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راحل نسبت به جهت اوّل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رفتن محارب به بلاد شرک می‌شوند، و نسبت به جهت دوّم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مکّنوه من دخولها قوتلوا حتّی یخرجوه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معلوم نیست این نظر صحیح باشد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مقدار نفی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آن است که کمتر از یک سال نباشد؛ زیرا، کسی به کمتر از آن قائل نشده است؛ ولی بحث ما با ایشان در استمرار نفی تا توبه بود</w:t>
      </w:r>
      <w:r>
        <w:rPr>
          <w:rFonts w:eastAsia="IRNazanin" w:cs="IRNazanin"/>
          <w:color w:val="111111"/>
          <w:sz w:val="28"/>
          <w:szCs w:val="28"/>
          <w:rtl w:val="true"/>
          <w:lang w:bidi="fa-IR"/>
        </w:rPr>
        <w:t>.</w:t>
      </w:r>
      <w:bookmarkStart w:id="851" w:name="pg16923_220456"/>
    </w:p>
    <w:p>
      <w:pPr>
        <w:pStyle w:val="BookText"/>
        <w:rPr/>
      </w:pPr>
      <w:bookmarkEnd w:id="8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اعتبار السرقة فی حدّ المحارب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لایعتبر فی قطع المحارب السرقة فضلًا عن اعتبار النصاب أو الحرز، بل الإمام علیه السلام مخیّر بمجرّد صدق المحارب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قطع فالأحوط البدأة بقطع الید الیمنی ثمّ یقطع الرجل الیسری، والأولی الصبر بعد قطع الیمنی حتّی تحسم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فقدت الیمنی أو فقد العضوان یختار الإمام علیه السلام غیر القطع</w:t>
      </w:r>
      <w:r>
        <w:rPr>
          <w:rFonts w:eastAsia="IRNazanin" w:cs="IRNazanin"/>
          <w:color w:val="111111"/>
          <w:sz w:val="28"/>
          <w:szCs w:val="28"/>
          <w:rtl w:val="true"/>
          <w:lang w:bidi="fa-IR"/>
        </w:rPr>
        <w:t>.]</w:t>
      </w:r>
    </w:p>
    <w:p>
      <w:pPr>
        <w:pStyle w:val="Heading3"/>
        <w:numPr>
          <w:ilvl w:val="2"/>
          <w:numId w:val="1"/>
        </w:numPr>
        <w:rPr/>
      </w:pPr>
      <w:bookmarkStart w:id="852" w:name="__RefHeading___Toc162731_3244359995"/>
      <w:bookmarkStart w:id="853" w:name="_Toc332"/>
      <w:bookmarkEnd w:id="852"/>
      <w:r>
        <w:rPr>
          <w:rtl w:val="true"/>
        </w:rPr>
        <w:t>عدم اعتبار سرقت در حدّ محارب</w:t>
      </w:r>
      <w:bookmarkEnd w:id="853"/>
    </w:p>
    <w:p>
      <w:pPr>
        <w:pStyle w:val="Heading4"/>
        <w:numPr>
          <w:ilvl w:val="3"/>
          <w:numId w:val="1"/>
        </w:numPr>
        <w:rPr/>
      </w:pPr>
      <w:bookmarkStart w:id="854" w:name="__RefHeading___Toc162733_3244359995"/>
      <w:bookmarkStart w:id="855" w:name="_Toc333"/>
      <w:bookmarkEnd w:id="854"/>
      <w:r>
        <w:rPr>
          <w:rtl w:val="true"/>
        </w:rPr>
        <w:t>اشاره</w:t>
      </w:r>
      <w:bookmarkEnd w:id="855"/>
    </w:p>
    <w:p>
      <w:pPr>
        <w:pStyle w:val="BookText"/>
        <w:rPr/>
      </w:pPr>
      <w:r>
        <w:rPr>
          <w:rFonts w:ascii="IRNazanin" w:hAnsi="IRNazanin" w:eastAsia="IRNazanin"/>
          <w:color w:val="111111"/>
          <w:sz w:val="28"/>
          <w:sz w:val="28"/>
          <w:szCs w:val="28"/>
          <w:rtl w:val="true"/>
          <w:lang w:bidi="fa-IR"/>
        </w:rPr>
        <w:t>در این مسأله سه فرع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قطع دست و پای محارب، سرقت و نصاب و حرز مطرح نیست؛ بلکه امام علیه السلام به مجرد صدق محارب در اجرای حدود چهارگانه مخیّر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قطع را اختیار کرد، احتیاط واجب آن است که به قطع دست راست آغاز کند، و سپس پای چپ را ببرد؛ و اولی این است که بریدن پا پس از قطع خونریزی دست راست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فاقد دست راست یا دست راست و پای چپ بود، امام حدّ دیگری را انتخاب می‌کند</w:t>
      </w:r>
      <w:r>
        <w:rPr>
          <w:rFonts w:eastAsia="IRNazanin" w:cs="IRNazanin"/>
          <w:color w:val="111111"/>
          <w:sz w:val="28"/>
          <w:szCs w:val="28"/>
          <w:rtl w:val="true"/>
          <w:lang w:bidi="fa-IR"/>
        </w:rPr>
        <w:t>.</w:t>
      </w:r>
    </w:p>
    <w:p>
      <w:pPr>
        <w:pStyle w:val="Heading4"/>
        <w:numPr>
          <w:ilvl w:val="3"/>
          <w:numId w:val="1"/>
        </w:numPr>
        <w:rPr/>
      </w:pPr>
      <w:bookmarkStart w:id="856" w:name="__RefHeading___Toc162735_3244359995"/>
      <w:bookmarkStart w:id="857" w:name="_Toc334"/>
      <w:bookmarkEnd w:id="856"/>
      <w:r>
        <w:rPr>
          <w:rtl w:val="true"/>
        </w:rPr>
        <w:t>فرع اوّل</w:t>
      </w:r>
      <w:r>
        <w:rPr>
          <w:rtl w:val="true"/>
        </w:rPr>
        <w:t xml:space="preserve">: </w:t>
      </w:r>
      <w:r>
        <w:rPr>
          <w:rtl w:val="true"/>
        </w:rPr>
        <w:t>عدم اعتبار سرقت، نصاب و حرز در حدّ قطع</w:t>
      </w:r>
      <w:bookmarkEnd w:id="857"/>
    </w:p>
    <w:p>
      <w:pPr>
        <w:pStyle w:val="Heading5"/>
        <w:numPr>
          <w:ilvl w:val="4"/>
          <w:numId w:val="1"/>
        </w:numPr>
        <w:rPr/>
      </w:pPr>
      <w:bookmarkStart w:id="858" w:name="__RefHeading___Toc162737_3244359995"/>
      <w:bookmarkStart w:id="859" w:name="_Toc335"/>
      <w:bookmarkEnd w:id="858"/>
      <w:r>
        <w:rPr>
          <w:rtl w:val="true"/>
        </w:rPr>
        <w:t>اشاره</w:t>
      </w:r>
      <w:bookmarkEnd w:id="859"/>
    </w:p>
    <w:p>
      <w:pPr>
        <w:pStyle w:val="BookText"/>
        <w:rPr/>
      </w:pPr>
      <w:r>
        <w:rPr>
          <w:rFonts w:ascii="IRNazanin" w:hAnsi="IRNazanin" w:eastAsia="IRNazanin"/>
          <w:color w:val="111111"/>
          <w:sz w:val="28"/>
          <w:sz w:val="28"/>
          <w:szCs w:val="28"/>
          <w:rtl w:val="true"/>
          <w:lang w:bidi="fa-IR"/>
        </w:rPr>
        <w:t xml:space="preserve">بر مبنای ما که به اختیار حاکم شرع بین حدود چهارگانه قائل شدیم، در قطع دست و پای محارب شرط و قیدی غیر از صدق عنوان محارب وجود ندارد؛ یعنی وقتی محارب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جهزّ سلاحه أو شهره لإخافة النّاس وإرادة الفساد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حدود چهارگانه محقّق شده است، دیگر لازم نیست مالی را گرفته باشد، یا کسی را مجروح کرده و یا مرتکب قتل شده باشد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بیان دیگر، حاکم شرع می‌تواند برای موردی که محارب مالی را نگرفته است، حدّ</w:t>
      </w:r>
    </w:p>
    <w:p>
      <w:pPr>
        <w:pStyle w:val="BookText"/>
        <w:rPr/>
      </w:pPr>
      <w:r>
        <w:rPr>
          <w:rFonts w:ascii="IRNazanin" w:hAnsi="IRNazanin" w:eastAsia="IRNazanin"/>
          <w:color w:val="111111"/>
          <w:sz w:val="28"/>
          <w:sz w:val="28"/>
          <w:szCs w:val="28"/>
          <w:rtl w:val="true"/>
          <w:lang w:bidi="fa-IR"/>
        </w:rPr>
        <w:t>قطع را از میان چهار حدّ گفته‌شده اختیار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معلوم می‌شود اخذ مال هیچ دخلی در این حدّ ندارد؛ لذا، بحث از اعتبار سرقت و نصاب و حرز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عنوان محارب صدق، و حاکم شرع نیز این حدّ را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قول به ترتیب، حدّ قطع در جایی است که محارب مالی را برده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مسأله قطع با اخذ مال ارتباط پیدا می‌کند؛ لذا، جای این بحث هست که آیا نصاب و سرقت و حرز معتبر است یا نه؟</w:t>
      </w:r>
    </w:p>
    <w:p>
      <w:pPr>
        <w:pStyle w:val="BookText"/>
        <w:rPr/>
      </w:pPr>
      <w:r>
        <w:rPr>
          <w:rFonts w:ascii="IRNazanin" w:hAnsi="IRNazanin" w:eastAsia="IRNazanin"/>
          <w:color w:val="111111"/>
          <w:sz w:val="28"/>
          <w:sz w:val="28"/>
          <w:szCs w:val="28"/>
          <w:rtl w:val="true"/>
          <w:lang w:bidi="fa-IR"/>
        </w:rPr>
        <w:t>شیخ طوسی رحمه الله در خلاف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محاربی مالی را برده باشد، در صورتی حدّ قطع در موردش اجرا می‌شود که به اندازه‌ی نصاب باشد</w:t>
      </w:r>
      <w:r>
        <w:rPr>
          <w:rFonts w:eastAsia="IRNazanin" w:cs="IRNazanin"/>
          <w:color w:val="111111"/>
          <w:sz w:val="28"/>
          <w:szCs w:val="28"/>
          <w:rtl w:val="true"/>
          <w:lang w:bidi="fa-IR"/>
        </w:rPr>
        <w:t>.</w:t>
      </w:r>
      <w:r>
        <w:rPr>
          <w:rStyle w:val="FootnoteAnchor"/>
          <w:rtl w:val="true"/>
        </w:rPr>
        <w:footnoteReference w:id="629"/>
      </w:r>
      <w:r>
        <w:rPr>
          <w:rFonts w:ascii="IRNazanin" w:hAnsi="IRNazanin" w:eastAsia="IRNazanin"/>
          <w:color w:val="111111"/>
          <w:sz w:val="28"/>
          <w:sz w:val="28"/>
          <w:szCs w:val="28"/>
          <w:rtl w:val="true"/>
          <w:lang w:bidi="fa-IR"/>
        </w:rPr>
        <w:t>دلیل ایشان اطلاق روایت نبوی است که اهل سنّت نقل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القطع فی ربع دینار</w:t>
      </w:r>
      <w:r>
        <w:rPr>
          <w:rFonts w:eastAsia="IRNazanin" w:cs="IRNazanin"/>
          <w:color w:val="111111"/>
          <w:sz w:val="28"/>
          <w:szCs w:val="28"/>
          <w:rtl w:val="true"/>
          <w:lang w:bidi="fa-IR"/>
        </w:rPr>
        <w:t>»</w:t>
      </w:r>
      <w:r>
        <w:rPr>
          <w:rStyle w:val="FootnoteAnchor"/>
          <w:rtl w:val="true"/>
        </w:rPr>
        <w:footnoteReference w:id="630"/>
      </w:r>
      <w:r>
        <w:rPr>
          <w:rFonts w:ascii="IRNazanin" w:hAnsi="IRNazanin" w:eastAsia="IRNazanin"/>
          <w:color w:val="111111"/>
          <w:sz w:val="28"/>
          <w:sz w:val="28"/>
          <w:szCs w:val="28"/>
          <w:rtl w:val="true"/>
          <w:lang w:bidi="fa-IR"/>
        </w:rPr>
        <w:t>یعنی قطع در هر کجا که باشد، در ربع دینار است و در کمتر از آن قطع نیست؛ خواه در باب سرقت یا باب محاربه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روایات دالّ بر ترتیب حدّ محارب به قرینه‌ی کلمه‌ی قطع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محارب به اندازه ربع دینار یا بیشتر برداشته باشد، حدّش قطع است؛ امّا اگر مالی را نبرده یا کمتر از ربع دینار است، حدّش قطع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قول شیخ طوسی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روایت نبوی سند مورد اعتمادی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این روایت منصرف به باب سرقت است؛ یعنی به جایی انصراف دارد که حدّش به‌طور متعیّن قطع است؛ نه جایی که قطع به عنوان یکی از حدود و در ردیف سه حدّ دیگر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وجود این که متفاهم عرفی از روایت، باب سرقت است، نمی‌توان اطلاقی برایش ثابت کرد؛ زیرا، با وجود انصراف، مقدّمات حکمت تمام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انصراف این است که وقتی مطلق را شنید، معنای مقیّد به ذهنش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اطلاقی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اعتبار حرز نیز دلیلی نداریم؛ به خصوص با توجّه به شأن نزول آیه‌ی شریفه که در مورد راهزن و قاطع طریق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قافله‌ای حمله کرده اموالشان را به غارت می‌برند، ممکن است بعضی از اموال در حرز باشد ولی مقداری از آن‌ها مانند گندم، جو و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داخل در حرز نیست؛ زیرا، داخل در کیسه یا صندوق، بر پشت مرکب یا داخل ماشین</w:t>
      </w:r>
      <w:bookmarkStart w:id="860" w:name="pg16923_220458"/>
    </w:p>
    <w:p>
      <w:pPr>
        <w:pStyle w:val="BookText"/>
        <w:rPr/>
      </w:pPr>
      <w:bookmarkEnd w:id="860"/>
      <w:r>
        <w:rPr>
          <w:rFonts w:ascii="IRNazanin" w:hAnsi="IRNazanin" w:eastAsia="IRNazanin"/>
          <w:color w:val="111111"/>
          <w:sz w:val="28"/>
          <w:sz w:val="28"/>
          <w:szCs w:val="28"/>
          <w:rtl w:val="true"/>
          <w:lang w:bidi="fa-IR"/>
        </w:rPr>
        <w:t>است، در وسط بیابان این‌گونه از اموال حرز ندارد؛ پس معلوم می‌شود در اصل حکم، حرز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قاطع طریق و محارب غیر از مورد سرقت است</w:t>
      </w:r>
      <w:r>
        <w:rPr>
          <w:rFonts w:eastAsia="IRNazanin" w:cs="IRNazanin"/>
          <w:color w:val="111111"/>
          <w:sz w:val="28"/>
          <w:szCs w:val="28"/>
          <w:rtl w:val="true"/>
          <w:lang w:bidi="fa-IR"/>
        </w:rPr>
        <w:t>.</w:t>
      </w:r>
    </w:p>
    <w:p>
      <w:pPr>
        <w:pStyle w:val="Heading5"/>
        <w:numPr>
          <w:ilvl w:val="4"/>
          <w:numId w:val="1"/>
        </w:numPr>
        <w:rPr/>
      </w:pPr>
      <w:bookmarkStart w:id="861" w:name="__RefHeading___Toc162739_3244359995"/>
      <w:bookmarkStart w:id="862" w:name="_Toc336"/>
      <w:bookmarkEnd w:id="861"/>
      <w:r>
        <w:rPr>
          <w:rtl w:val="true"/>
        </w:rPr>
        <w:t>طرح یک مسأله</w:t>
      </w:r>
      <w:bookmarkEnd w:id="862"/>
    </w:p>
    <w:p>
      <w:pPr>
        <w:pStyle w:val="BookText"/>
        <w:rPr/>
      </w:pPr>
      <w:r>
        <w:rPr>
          <w:rFonts w:ascii="IRNazanin" w:hAnsi="IRNazanin" w:eastAsia="IRNazanin"/>
          <w:color w:val="111111"/>
          <w:sz w:val="28"/>
          <w:sz w:val="28"/>
          <w:szCs w:val="28"/>
          <w:rtl w:val="true"/>
          <w:lang w:bidi="fa-IR"/>
        </w:rPr>
        <w:t>بنا بر قول به ترتیب و اعتبار نصاب و حرز، اگر محاربی بیش از نصاب را از حرز برداشت، در این حال دو عنوان محارب و سارق بر او صدق می‌کند؛ حال کدام حدّ بر او اجرا شود؟</w:t>
      </w:r>
    </w:p>
    <w:p>
      <w:pPr>
        <w:pStyle w:val="BookText"/>
        <w:rPr/>
      </w:pPr>
      <w:r>
        <w:rPr>
          <w:rFonts w:ascii="IRNazanin" w:hAnsi="IRNazanin" w:eastAsia="IRNazanin"/>
          <w:color w:val="111111"/>
          <w:sz w:val="28"/>
          <w:sz w:val="28"/>
          <w:szCs w:val="28"/>
          <w:rtl w:val="true"/>
          <w:lang w:bidi="fa-IR"/>
        </w:rPr>
        <w:t>آیا حاکم شرع مخیّر است هر کدام از دو عنوان را که بخواهد بر او منطبق کرده، و حدّش را اقامه کند؟</w:t>
      </w:r>
    </w:p>
    <w:p>
      <w:pPr>
        <w:pStyle w:val="BookText"/>
        <w:rPr/>
      </w:pPr>
      <w:r>
        <w:rPr>
          <w:rFonts w:ascii="IRNazanin" w:hAnsi="IRNazanin" w:eastAsia="IRNazanin"/>
          <w:color w:val="111111"/>
          <w:sz w:val="28"/>
          <w:sz w:val="28"/>
          <w:szCs w:val="28"/>
          <w:rtl w:val="true"/>
          <w:lang w:bidi="fa-IR"/>
        </w:rPr>
        <w:t>ظاهراً باید حدّ محارب اجرا گردد؛ زیرا، حدّ محارب و سارق در این صورت یکسان است؛ ولی از ناحیه‌ی قلّت و کثرت با هم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سرقت فقط قطع دست است، در حالی که حدّ محارب قطع دست و پا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اجرای حدّ محارب، در حقیقت هر دو حدّ پیاده شده است، مگر آن که محارب سارقی باشد که مرتبه‌ی سوّم و چهارم حدّ سرقت باید در موردش اقامه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حدّ اوّل و دوّم سرقت، با حدّ محارب مشترک است و اتّحاد دارند؛ و هر دو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اساسی در مطالبه‌ی مسروق‌منه برای اجرای حدّ سرقت است که در محاربه نیازی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آن جا که حدّ سرقت و محارب هر دو در قرآن آمده، لازم نیست پس از صدق عنوان محارب، خود را گرفتار شرایط اجرای حدّ سرقت بنماییم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ادلّه‌ای که مطالبه و مرافعه‌ی مسروق‌منه را برای اجرای حدّ سرقت شرط می‌دانست، مربوط به موردی است که سارق بما هو سارق باشد و متّصف به عنوان دیگری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این مقام، ادلّه‌ی محارب، اطلاق دارد و مقیّد به مرافعه‌ی مسروق منه نیست</w:t>
      </w:r>
      <w:r>
        <w:rPr>
          <w:rFonts w:eastAsia="IRNazanin" w:cs="IRNazanin"/>
          <w:color w:val="111111"/>
          <w:sz w:val="28"/>
          <w:szCs w:val="28"/>
          <w:rtl w:val="true"/>
          <w:lang w:bidi="fa-IR"/>
        </w:rPr>
        <w:t>.</w:t>
      </w:r>
    </w:p>
    <w:p>
      <w:pPr>
        <w:pStyle w:val="Heading4"/>
        <w:numPr>
          <w:ilvl w:val="3"/>
          <w:numId w:val="1"/>
        </w:numPr>
        <w:rPr/>
      </w:pPr>
      <w:bookmarkStart w:id="863" w:name="__RefHeading___Toc162741_3244359995"/>
      <w:bookmarkStart w:id="864" w:name="_Toc337"/>
      <w:bookmarkEnd w:id="863"/>
      <w:r>
        <w:rPr>
          <w:rtl w:val="true"/>
        </w:rPr>
        <w:t>فرع دوّم</w:t>
      </w:r>
      <w:r>
        <w:rPr>
          <w:rtl w:val="true"/>
        </w:rPr>
        <w:t xml:space="preserve">: </w:t>
      </w:r>
      <w:r>
        <w:rPr>
          <w:rtl w:val="true"/>
        </w:rPr>
        <w:t>کیفیّت قطع دست و پا</w:t>
      </w:r>
      <w:bookmarkEnd w:id="864"/>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امام در تحریرالوسیله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اوّل دست راست را ببرند و سپس پای چپ را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آیه‌ی شریفه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p>
    <w:p>
      <w:pPr>
        <w:pStyle w:val="BookText"/>
        <w:rPr/>
      </w:pPr>
      <w:r>
        <w:rPr>
          <w:rFonts w:ascii="Amiri" w:hAnsi="Amiri" w:eastAsia="Amiri" w:cs="Amiri"/>
          <w:color w:val="111111"/>
          <w:sz w:val="28"/>
          <w:sz w:val="28"/>
          <w:szCs w:val="28"/>
          <w:rtl w:val="true"/>
          <w:lang w:bidi="ar-SA"/>
        </w:rPr>
        <w:t>تُقَطَّعَ أَیْدِیهِمْ وَأَرْجُلُهُم مّنْ خِلفٍ</w:t>
      </w:r>
      <w:r>
        <w:rPr>
          <w:rStyle w:val="FootnoteAnchor"/>
          <w:rtl w:val="true"/>
        </w:rPr>
        <w:footnoteReference w:id="631"/>
      </w:r>
      <w:r>
        <w:rPr>
          <w:rFonts w:ascii="IRNazanin" w:hAnsi="IRNazanin" w:eastAsia="IRNazanin"/>
          <w:color w:val="111111"/>
          <w:sz w:val="28"/>
          <w:sz w:val="28"/>
          <w:szCs w:val="28"/>
          <w:rtl w:val="true"/>
          <w:lang w:bidi="fa-IR"/>
        </w:rPr>
        <w:t xml:space="preserve">قطع دست و پا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عطف داد، عطف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ترتیب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بیانگر این است که هر دو آمده‌اند ولی کدام مقدّم بوده است یا با هم آمده‌اند، از عبارت چیزی معلوم نمی‌شود؛ لذا، وجه احتیاط وجوبی امام راحل رحمه الله باید مشخص شود؟</w:t>
      </w:r>
    </w:p>
    <w:p>
      <w:pPr>
        <w:pStyle w:val="BookText"/>
        <w:rPr/>
      </w:pPr>
      <w:r>
        <w:rPr>
          <w:rFonts w:ascii="IRNazanin" w:hAnsi="IRNazanin" w:eastAsia="IRNazanin"/>
          <w:color w:val="111111"/>
          <w:sz w:val="28"/>
          <w:sz w:val="28"/>
          <w:szCs w:val="28"/>
          <w:rtl w:val="true"/>
          <w:lang w:bidi="fa-IR"/>
        </w:rPr>
        <w:t>مبنای احتیاط این است که قطع پا شدیدتر از قطع دست است؛ لذا می‌بینیم حدّ اوّل سرقت قطع دست راست و حدّ دوّمش قطع پای چپ است، متناسب با حدود همین است که عقوبتِ مراتب بعدی سنگین‌تر از مراتب قبل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شاید امام رحمه الله به خاطر انتقال از ادنی به اعلی احتیاط کرده‌اند؛ به خصوص با توجّه به این که در آیه و تمام روایاتی که بر قطع دلالت دارد، به قطع دست آغاز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رحمه الله در پایان این فرع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این است که اوّل دست راست را ببرند، و بعد مقداری صبر کنند تا التیام پیدا کند؛ آن‌گاه پای چپ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دلیلی بر این مطلب نداریم؛ بلکه بر خلافش دلیل داریم؛ یعنی ادلّه‌ای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اجرای حدود تأخیر جایز نیست، مورد ما را نیز شامل می‌شود؛ بنابراین، باید بررسی کرد که چه مجوزی برای تأخیر داریم؟ آیا در باب سرقت می‌توان گفت یک انگشت را امروز قطع می‌کنیم، پس از بهبود یافتن، انگشت دوّم 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احتمالی در باب سرقت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نیز، قطع دست و پا به عنوان یک حدّ مطرح است، لذا اگر دلیلی بر تأخیر پیدا نکنیم، نمی‌توان به آن قائل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التیام و بهبودی باشد، این اشکال وارد است؛ لیکن اگر مقصود جلوگیری از خون آمدن باشد، اشکالی در عبارت نیست؛ در روایات باب سرقت به این مطلب اشاره شده بود که امیرمؤمنان علیه السلام پس از قطع دست دزد به قنبر فرمان داد به آنان عسل و روغن بخوراند تا دستشان خوب شود</w:t>
      </w:r>
      <w:r>
        <w:rPr>
          <w:rFonts w:eastAsia="IRNazanin" w:cs="IRNazanin"/>
          <w:color w:val="111111"/>
          <w:sz w:val="28"/>
          <w:szCs w:val="28"/>
          <w:rtl w:val="true"/>
          <w:lang w:bidi="fa-IR"/>
        </w:rPr>
        <w:t>.</w:t>
      </w:r>
      <w:r>
        <w:rPr>
          <w:rStyle w:val="FootnoteAnchor"/>
          <w:rtl w:val="true"/>
        </w:rPr>
        <w:footnoteReference w:id="632"/>
      </w:r>
      <w:r>
        <w:rPr>
          <w:rFonts w:ascii="IRNazanin" w:hAnsi="IRNazanin" w:eastAsia="IRNazanin"/>
          <w:color w:val="111111"/>
          <w:sz w:val="28"/>
          <w:sz w:val="28"/>
          <w:szCs w:val="28"/>
          <w:rtl w:val="true"/>
          <w:lang w:bidi="fa-IR"/>
        </w:rPr>
        <w:t xml:space="preserve">در آن روایات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بود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پس از بریدن دست راست، اگر با وسیله‌ای خونریزی را قطع کنیم و پس از آن به بریدن پای چپ اقدام شد، بنا بر نظر امام راحل رحمه الله سزاوارتر است</w:t>
      </w:r>
      <w:r>
        <w:rPr>
          <w:rFonts w:eastAsia="IRNazanin" w:cs="IRNazanin"/>
          <w:color w:val="111111"/>
          <w:sz w:val="28"/>
          <w:szCs w:val="28"/>
          <w:rtl w:val="true"/>
          <w:lang w:bidi="fa-IR"/>
        </w:rPr>
        <w:t>.</w:t>
      </w:r>
      <w:bookmarkStart w:id="865" w:name="pg16923_220460"/>
    </w:p>
    <w:p>
      <w:pPr>
        <w:pStyle w:val="BookText"/>
        <w:rPr/>
      </w:pPr>
      <w:bookmarkEnd w:id="865"/>
      <w:r>
        <w:rPr>
          <w:rFonts w:ascii="IRNazanin" w:hAnsi="IRNazanin" w:eastAsia="IRNazanin"/>
          <w:color w:val="111111"/>
          <w:sz w:val="28"/>
          <w:sz w:val="28"/>
          <w:szCs w:val="28"/>
          <w:rtl w:val="true"/>
          <w:lang w:bidi="fa-IR"/>
        </w:rPr>
        <w:t>محقّق 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وکیفیّة قطعه أن تقطع یمناه ثمّ تحسم ثمّ تقطع رجله الیسری وتحسم، ولو لم تحسم فی الموضعین جاز</w:t>
      </w:r>
      <w:r>
        <w:rPr>
          <w:rFonts w:eastAsia="IRNazanin" w:cs="IRNazanin"/>
          <w:color w:val="111111"/>
          <w:sz w:val="28"/>
          <w:szCs w:val="28"/>
          <w:rtl w:val="true"/>
          <w:lang w:bidi="fa-IR"/>
        </w:rPr>
        <w:t>»</w:t>
      </w:r>
      <w:r>
        <w:rPr>
          <w:rStyle w:val="FootnoteAnchor"/>
          <w:rtl w:val="true"/>
        </w:rPr>
        <w:footnoteReference w:id="633"/>
      </w:r>
      <w:r>
        <w:rPr>
          <w:rFonts w:ascii="IRNazanin" w:hAnsi="IRNazanin" w:eastAsia="IRNazanin"/>
          <w:color w:val="111111"/>
          <w:sz w:val="28"/>
          <w:sz w:val="28"/>
          <w:szCs w:val="28"/>
          <w:rtl w:val="true"/>
          <w:lang w:bidi="fa-IR"/>
        </w:rPr>
        <w:t>ایشان در کیفیّت قطع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راستش را می‌بُرند و خونریزی آن را قطع می‌کنند؛ سپس پای چپ را می‌بُرند و مانع خونریزی آن می‌شوند؛ اگر جلوی خون آمدن را نگرفتند، اشکالی ندارد؛ زیرا، وظیفه‌ی حاکم اجرای حدّ است؛ و کاری به مداوا و بند آمدن خون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سرقت سخنی از مرحوم شیخ طوسی آوردیم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عقوبتی که در حدّ سرقت در مورد سارق مطرح است، درد کشیدن و ناراحتی به هنگام قطع نیست؛ بلکه کیفرش یک عمر محرومیّت از دست و پا می‌باشد تا علاوه بر این که دیگران عبرت می‌گیرند، او نتواند بسیاری از کارها را انجام دهد یا درست راه برود؛ لذا، قطع خونریزی و مانند آن در حقّ محارب اشکالی ندارد</w:t>
      </w:r>
      <w:r>
        <w:rPr>
          <w:rFonts w:eastAsia="IRNazanin" w:cs="IRNazanin"/>
          <w:color w:val="111111"/>
          <w:sz w:val="28"/>
          <w:szCs w:val="28"/>
          <w:rtl w:val="true"/>
          <w:lang w:bidi="fa-IR"/>
        </w:rPr>
        <w:t>.</w:t>
      </w:r>
    </w:p>
    <w:p>
      <w:pPr>
        <w:pStyle w:val="Heading4"/>
        <w:numPr>
          <w:ilvl w:val="3"/>
          <w:numId w:val="1"/>
        </w:numPr>
        <w:rPr/>
      </w:pPr>
      <w:bookmarkStart w:id="866" w:name="__RefHeading___Toc162743_3244359995"/>
      <w:bookmarkStart w:id="867" w:name="_Toc338"/>
      <w:bookmarkEnd w:id="866"/>
      <w:r>
        <w:rPr>
          <w:rtl w:val="true"/>
        </w:rPr>
        <w:t>فرع سوّم</w:t>
      </w:r>
      <w:r>
        <w:rPr>
          <w:rtl w:val="true"/>
        </w:rPr>
        <w:t xml:space="preserve">: </w:t>
      </w:r>
      <w:r>
        <w:rPr>
          <w:rtl w:val="true"/>
        </w:rPr>
        <w:t>حکم فاقد دست راست و پای چپ</w:t>
      </w:r>
      <w:bookmarkEnd w:id="867"/>
    </w:p>
    <w:p>
      <w:pPr>
        <w:pStyle w:val="BookText"/>
        <w:rPr/>
      </w:pPr>
      <w:r>
        <w:rPr>
          <w:rFonts w:ascii="IRNazanin" w:hAnsi="IRNazanin" w:eastAsia="IRNazanin"/>
          <w:color w:val="111111"/>
          <w:sz w:val="28"/>
          <w:sz w:val="28"/>
          <w:szCs w:val="28"/>
          <w:rtl w:val="true"/>
          <w:lang w:bidi="fa-IR"/>
        </w:rPr>
        <w:t>اگر فردی فاقد دست راست بود، مانند این که دست راستش را به عنوان قصاص یا حدّ سرقت بریده‌اند یا فاقد دست راست و پای چپ بود، مانند فردی که دوبار سرقت کرده و دو حدّ قطع دست راست و پای چپ در حقّش اجرا شده است یا محارب بوده و حدّ قطع را ترتیباً یا تخییراً در موردش پیاده کرده‌اند، یا دست راست و پای چپش را به عنوان قصاص قطع کرده‌اند، اگر چنین فردی متّصف به عنوان محارب گردد، حکمش چیست؟</w:t>
      </w:r>
    </w:p>
    <w:p>
      <w:pPr>
        <w:pStyle w:val="BookText"/>
        <w:rPr/>
      </w:pPr>
      <w:r>
        <w:rPr>
          <w:rFonts w:ascii="IRNazanin" w:hAnsi="IRNazanin" w:eastAsia="IRNazanin"/>
          <w:color w:val="111111"/>
          <w:sz w:val="28"/>
          <w:sz w:val="28"/>
          <w:szCs w:val="28"/>
          <w:rtl w:val="true"/>
          <w:lang w:bidi="fa-IR"/>
        </w:rPr>
        <w:t>اگر مبنای ما در حدّ محارب تخییر باشد، در این صورت، یک طرف از اطراف واجب تخییری امکان ندارد؛ وظیفه اختیار اطراف دیگر است، همان‌گونه که در خصال افطار عمدی روزه‌ی ماه رمضان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شصت روز روزه یا اطعام شصت مسکین یا آزاد کردن یک بنده در راه خدا مخیّر است؛ امروز که عتق رقبه امکان ندارد، بین دو طرف دیگر مخیّر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قول به ترتیب، در محاربی که مال برده ولی قتل و جرحی انجام نداده است، قطع دست راست و پای چپ متعیّن است؛ ولی این فرد فاقد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امر دائر است</w:t>
      </w:r>
      <w:bookmarkStart w:id="868" w:name="pg16923_220461"/>
    </w:p>
    <w:p>
      <w:pPr>
        <w:pStyle w:val="BookText"/>
        <w:rPr/>
      </w:pPr>
      <w:bookmarkEnd w:id="868"/>
      <w:r>
        <w:rPr>
          <w:rFonts w:ascii="IRNazanin" w:hAnsi="IRNazanin" w:eastAsia="IRNazanin"/>
          <w:color w:val="111111"/>
          <w:sz w:val="28"/>
          <w:sz w:val="28"/>
          <w:szCs w:val="28"/>
          <w:rtl w:val="true"/>
          <w:lang w:bidi="fa-IR"/>
        </w:rPr>
        <w:t>بین سقوط حدّ، یا تنزّل به مرتبه‌ی بعد و یا قطع دست چپ و پای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سقوط حدّ بعید است؛ زیرا محاربی که در درجه‌ی بعد قرار گرفته، یعنی فقط اسلحه کشیده و مردم را ترسانیده، حکمش نفی از ارض است؛ امّا محاربی که علاوه بر آن، اخذ مال هم کرده است، به علّت بی‌دست و پا بودن حدّ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قاعده این است که حدّ بعد، یعنی أَوْ یُنفَوْاْ مِنَ الْأَرْضِ جریان پیدا کند؛ هرچند در بحث سرقت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راستش مقطوع بود، حدّ ساقط می‌شود و تعزیر ثابت است؛ امّا در این‌جا این مطلب را نمی‌گوییم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 بحث برای حدّ مراتبی نبود؛ لیکن در این‌جا، حدّی ضعیف‌تر در مرتبه‌ی بعد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می‌دهیم به جای دست راست و پای چپ، دست چپ و پای راست را قطع کنند؛ همان طور که در باب سرقت در موردی که دست راست را نداشت، احتمال انتقال به دست چپ داده می‌شد</w:t>
      </w:r>
      <w:r>
        <w:rPr>
          <w:rFonts w:eastAsia="IRNazanin" w:cs="IRNazanin"/>
          <w:color w:val="111111"/>
          <w:sz w:val="28"/>
          <w:szCs w:val="28"/>
          <w:rtl w:val="true"/>
          <w:lang w:bidi="fa-IR"/>
        </w:rPr>
        <w:t>.</w:t>
      </w:r>
    </w:p>
    <w:p>
      <w:pPr>
        <w:pStyle w:val="Heading4"/>
        <w:numPr>
          <w:ilvl w:val="3"/>
          <w:numId w:val="1"/>
        </w:numPr>
        <w:rPr/>
      </w:pPr>
      <w:bookmarkStart w:id="869" w:name="__RefHeading___Toc162745_3244359995"/>
      <w:bookmarkStart w:id="870" w:name="_Toc339"/>
      <w:bookmarkEnd w:id="869"/>
      <w:r>
        <w:rPr>
          <w:rtl w:val="true"/>
        </w:rPr>
        <w:t>حکم فاقد دست راست</w:t>
      </w:r>
      <w:bookmarkEnd w:id="870"/>
    </w:p>
    <w:p>
      <w:pPr>
        <w:pStyle w:val="BookText"/>
        <w:rPr/>
      </w:pPr>
      <w:r>
        <w:rPr>
          <w:rFonts w:ascii="IRNazanin" w:hAnsi="IRNazanin" w:eastAsia="IRNazanin"/>
          <w:color w:val="111111"/>
          <w:sz w:val="28"/>
          <w:sz w:val="28"/>
          <w:szCs w:val="28"/>
          <w:rtl w:val="true"/>
          <w:lang w:bidi="fa-IR"/>
        </w:rPr>
        <w:t>در صورتی که دست راست نداشته ولی پای چپ داشته باشد، بنا بر قول به تخییر، حاکم شرع باید یکی از سه حدّ دیگر را انتخاب کند؛ زیرا، این صورت در واجب تخییری ممکن التحقّق و مقدور نیست؛ زیرا دستی وجود ندارد تا آن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حاکم باید افراد دیگر واجب تخییری را اختیار کند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رحمه الله با آن که قائل به تخییر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فقد أحد العضوین اقتصرنا علی قطع الموجود ولم ینتقل إلی غیره</w:t>
      </w:r>
      <w:r>
        <w:rPr>
          <w:rFonts w:eastAsia="IRNazanin" w:cs="IRNazanin"/>
          <w:color w:val="111111"/>
          <w:sz w:val="28"/>
          <w:szCs w:val="28"/>
          <w:rtl w:val="true"/>
          <w:lang w:bidi="fa-IR"/>
        </w:rPr>
        <w:t>»</w:t>
      </w:r>
      <w:r>
        <w:rPr>
          <w:rStyle w:val="FootnoteAnchor"/>
          <w:rtl w:val="true"/>
        </w:rPr>
        <w:footnoteReference w:id="634"/>
      </w:r>
      <w:r>
        <w:rPr>
          <w:rFonts w:ascii="IRNazanin" w:hAnsi="IRNazanin" w:eastAsia="IRNazanin"/>
          <w:color w:val="111111"/>
          <w:sz w:val="28"/>
          <w:sz w:val="28"/>
          <w:szCs w:val="28"/>
          <w:rtl w:val="true"/>
          <w:lang w:bidi="fa-IR"/>
        </w:rPr>
        <w:t>مرحوم صاحب جواهر نیز بر ایشان اشکال نمی‌کند</w:t>
      </w:r>
      <w:r>
        <w:rPr>
          <w:rFonts w:eastAsia="IRNazanin" w:cs="IRNazanin"/>
          <w:color w:val="111111"/>
          <w:sz w:val="28"/>
          <w:szCs w:val="28"/>
          <w:rtl w:val="true"/>
          <w:lang w:bidi="fa-IR"/>
        </w:rPr>
        <w:t>.</w:t>
      </w:r>
      <w:r>
        <w:rPr>
          <w:rStyle w:val="FootnoteAnchor"/>
          <w:rtl w:val="true"/>
        </w:rPr>
        <w:footnoteReference w:id="635"/>
      </w:r>
      <w:r>
        <w:rPr>
          <w:rFonts w:ascii="IRNazanin" w:hAnsi="IRNazanin" w:eastAsia="IRNazanin"/>
          <w:color w:val="111111"/>
          <w:sz w:val="28"/>
          <w:sz w:val="28"/>
          <w:szCs w:val="28"/>
          <w:rtl w:val="true"/>
          <w:lang w:bidi="fa-IR"/>
        </w:rPr>
        <w:t>در حالی که اشکال بر نظر هر دو بزرگوار روشن است؛ زیرا، قطع دست وپا، یکی از اطراف واجب تخییری است؛ اگر تحقّقش در خارج با تمام خصوصیّات امکان دارد، می‌توان به عنوان فردی از افراد واجب تخییری آن را آورد و امتثال واقع شده است؛ امّا در صورتی که امکان تحقّق این فرد با تمام خصوصیّاتش در خارج نیست، چاره‌ای جز</w:t>
      </w:r>
    </w:p>
    <w:p>
      <w:pPr>
        <w:pStyle w:val="BookText"/>
        <w:rPr/>
      </w:pPr>
      <w:r>
        <w:rPr>
          <w:rFonts w:ascii="IRNazanin" w:hAnsi="IRNazanin" w:eastAsia="IRNazanin"/>
          <w:color w:val="111111"/>
          <w:sz w:val="28"/>
          <w:sz w:val="28"/>
          <w:szCs w:val="28"/>
          <w:rtl w:val="true"/>
          <w:lang w:bidi="fa-IR"/>
        </w:rPr>
        <w:t>اختیار افراد دیگر واجب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قائل به ترتیب هستیم،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حاکم قطع دست راست و پای چپ بوده است، اکنون که دست راست وجود ندارد، باید به همان موجود اکتفا کند؛ زیرا، قطع دست امکان ندارد ولی قطع پا مقدور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فتوای امام راحل رحمه الله بنا بر تخییر، تمام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تحریرالوسیله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فقدت الیمنی أو فقد العضوان یختار الإمام علیه السلام غیر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مقصود از امام، مطلق حاکم است و این حکم اختصاصی معصوم علیه السلام نیست؛ لذا، احتمال دارد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به صورت سهوی نوشته شده باشد</w:t>
      </w:r>
      <w:r>
        <w:rPr>
          <w:rFonts w:eastAsia="IRNazanin" w:cs="IRNazanin"/>
          <w:color w:val="111111"/>
          <w:sz w:val="28"/>
          <w:szCs w:val="28"/>
          <w:rtl w:val="true"/>
          <w:lang w:bidi="fa-IR"/>
        </w:rPr>
        <w:t>.</w:t>
      </w:r>
      <w:bookmarkStart w:id="871" w:name="pg16923_220463"/>
    </w:p>
    <w:p>
      <w:pPr>
        <w:pStyle w:val="BookText"/>
        <w:rPr/>
      </w:pPr>
      <w:bookmarkEnd w:id="8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أخذ المال بغیر المحاربة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أخذ المال بغیر محاربة لا یجری علیه حکمها، کما لو أخذ المال وهرب، أو أخذ قهراً من غیر إشهار سلاح، أو احتال فی أخذ الأموال بوسائل کتزویر الأسناد أو الرسائل ونحو ذلک، ففیها لا یجری حدّ المحارب ولا حدّ السارق، ولکن علیه التعزیر حسب ما یراه الحاکم</w:t>
      </w:r>
      <w:r>
        <w:rPr>
          <w:rFonts w:eastAsia="IRNazanin" w:cs="IRNazanin"/>
          <w:color w:val="111111"/>
          <w:sz w:val="28"/>
          <w:szCs w:val="28"/>
          <w:rtl w:val="true"/>
          <w:lang w:bidi="fa-IR"/>
        </w:rPr>
        <w:t>.]</w:t>
      </w:r>
    </w:p>
    <w:p>
      <w:pPr>
        <w:pStyle w:val="Heading3"/>
        <w:numPr>
          <w:ilvl w:val="2"/>
          <w:numId w:val="1"/>
        </w:numPr>
        <w:rPr/>
      </w:pPr>
      <w:bookmarkStart w:id="872" w:name="__RefHeading___Toc162747_3244359995"/>
      <w:bookmarkStart w:id="873" w:name="_Toc340"/>
      <w:bookmarkEnd w:id="872"/>
      <w:r>
        <w:rPr>
          <w:rtl w:val="true"/>
        </w:rPr>
        <w:t>حکم گرفتن مال به غیر از محاربه</w:t>
      </w:r>
      <w:bookmarkEnd w:id="873"/>
    </w:p>
    <w:p>
      <w:pPr>
        <w:pStyle w:val="Heading4"/>
        <w:numPr>
          <w:ilvl w:val="3"/>
          <w:numId w:val="1"/>
        </w:numPr>
        <w:rPr/>
      </w:pPr>
      <w:bookmarkStart w:id="874" w:name="__RefHeading___Toc162749_3244359995"/>
      <w:bookmarkStart w:id="875" w:name="_Toc341"/>
      <w:bookmarkEnd w:id="874"/>
      <w:r>
        <w:rPr>
          <w:rtl w:val="true"/>
        </w:rPr>
        <w:t>اشاره</w:t>
      </w:r>
      <w:bookmarkEnd w:id="875"/>
    </w:p>
    <w:p>
      <w:pPr>
        <w:pStyle w:val="BookText"/>
        <w:rPr/>
      </w:pPr>
      <w:r>
        <w:rPr>
          <w:rFonts w:ascii="IRNazanin" w:hAnsi="IRNazanin" w:eastAsia="IRNazanin"/>
          <w:color w:val="111111"/>
          <w:sz w:val="28"/>
          <w:sz w:val="28"/>
          <w:szCs w:val="28"/>
          <w:rtl w:val="true"/>
          <w:lang w:bidi="fa-IR"/>
        </w:rPr>
        <w:t>اگر کسی مال مردم را بدون محاربه بگیرد، احکام محارب بر او جاری نمی‌شود؛ مانند این که مال مردم را چاپیده و فرار کند، یا با زور و قهر بدون اسلحه‌کشی، آن را بگیرد، و یا با حیله و کلک و جعل اسناد و نامه و مانند آن مال مردم را بالا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موضوع حدّ محارب و حدّ سارق نیست؛ بلکه به هر چیزی که حاکم مصلحت می‌بیند، او را تعزیر می‌کند</w:t>
      </w:r>
      <w:r>
        <w:rPr>
          <w:rFonts w:eastAsia="IRNazanin" w:cs="IRNazanin"/>
          <w:color w:val="111111"/>
          <w:sz w:val="28"/>
          <w:szCs w:val="28"/>
          <w:rtl w:val="true"/>
          <w:lang w:bidi="fa-IR"/>
        </w:rPr>
        <w:t>.</w:t>
      </w:r>
    </w:p>
    <w:p>
      <w:pPr>
        <w:pStyle w:val="Heading4"/>
        <w:numPr>
          <w:ilvl w:val="3"/>
          <w:numId w:val="1"/>
        </w:numPr>
        <w:rPr/>
      </w:pPr>
      <w:bookmarkStart w:id="876" w:name="__RefHeading___Toc162751_3244359995"/>
      <w:bookmarkStart w:id="877" w:name="_Toc342"/>
      <w:bookmarkEnd w:id="876"/>
      <w:r>
        <w:rPr>
          <w:rtl w:val="true"/>
        </w:rPr>
        <w:t>وجوه اخذ عدوانی مال مردم</w:t>
      </w:r>
      <w:bookmarkEnd w:id="877"/>
    </w:p>
    <w:p>
      <w:pPr>
        <w:pStyle w:val="BookText"/>
        <w:rPr/>
      </w:pPr>
      <w:r>
        <w:rPr>
          <w:rFonts w:ascii="IRNazanin" w:hAnsi="IRNazanin" w:eastAsia="IRNazanin"/>
          <w:color w:val="111111"/>
          <w:sz w:val="28"/>
          <w:sz w:val="28"/>
          <w:szCs w:val="28"/>
          <w:rtl w:val="true"/>
          <w:lang w:bidi="fa-IR"/>
        </w:rPr>
        <w:t>در بحث‌های گذشته حکم فردی را که مال مردم را از راه سرقت یا محاربه ببرد، به طور مفصل بررسی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فرع بحث در مورد حکم آخذ مال مردم به غیر طریق محاربه و سرقت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سلب مشتقّ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فردی گفته می‌شود که در روز روشن مالی را از دست کسی می‌رباید و فرار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افرادی که در اطراف بانک کمین کرده، وقتی فردی با دسته‌ای اسکناس خارج می‌شود، چنگ می‌زنند و کیف پول را برداشته و می‌گریزند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فردی اطلاق می‌شود که از غفلت صاحب مغازه استفاده می‌کند و چیزی را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پشت کاسب به سمت اوست، دست در صندوق برده و مقداری پول برمی‌دارد</w:t>
      </w:r>
      <w:r>
        <w:rPr>
          <w:rFonts w:eastAsia="IRNazanin" w:cs="IRNazanin"/>
          <w:color w:val="111111"/>
          <w:sz w:val="28"/>
          <w:szCs w:val="28"/>
          <w:rtl w:val="true"/>
          <w:lang w:bidi="fa-IR"/>
        </w:rPr>
        <w:t>.</w:t>
      </w:r>
      <w:bookmarkStart w:id="878" w:name="pg16923_220464"/>
    </w:p>
    <w:p>
      <w:pPr>
        <w:pStyle w:val="BookText"/>
        <w:rPr/>
      </w:pPr>
      <w:bookmarkEnd w:id="878"/>
      <w:r>
        <w:rPr>
          <w:rFonts w:ascii="IRNazanin" w:hAnsi="IRNazanin" w:eastAsia="IRNazanin"/>
          <w:color w:val="111111"/>
          <w:sz w:val="28"/>
          <w:sz w:val="28"/>
          <w:szCs w:val="28"/>
          <w:rtl w:val="true"/>
          <w:lang w:bidi="fa-IR"/>
        </w:rPr>
        <w:t>بعضی از اهل لغت، مختلس را با مستلب یکی دانسته‌اند؛ ولی برخی دیگر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واژه، دو معنای مقابل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نیز مستلب و مختلس در مقابل یکدیگر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مختلس کسی است که بدون قهر و غلبه و فرار کردن، از غفلت صاحب مال استفاده می‌کند، مالی را برداشته و به‌طور طبیعی بیرون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که با نیروی بدنی و قهر و غلبه و بدون نشان دادن سلاح و استفاده از آن، مال مردم را بگیرد، مانند فرد تنومند و قوی که در راه خلوتی به صاحب مال ناتوانی برخورد می‌کند و با اتّکای به نیروی بدنی مال ضعیف را می‌گیرد، عنوان و اصطلاحی در کلمات فقها وضع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با حقّه‌بازی، حیله و نقشه‌کشی مال مردم را می‌خورد؛ مانند کسی که جعل امضا کرده، با چک جعلی و یا اسناد جعلی اموال دیگری را تصاحب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مُبْنِج و 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با خورانیدن غذا یا دوایی، صاحب مال را بیهوش سازد و یا خواب کند و در زمان وقوع این حالت، مال او را چپاول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یعنی بیهوش‌کننده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خوراننده‌ی غذای خواب‌آور می‌گویند</w:t>
      </w:r>
      <w:r>
        <w:rPr>
          <w:rFonts w:eastAsia="IRNazanin" w:cs="IRNazanin"/>
          <w:color w:val="111111"/>
          <w:sz w:val="28"/>
          <w:szCs w:val="28"/>
          <w:rtl w:val="true"/>
          <w:lang w:bidi="fa-IR"/>
        </w:rPr>
        <w:t>.</w:t>
      </w:r>
    </w:p>
    <w:p>
      <w:pPr>
        <w:pStyle w:val="Heading4"/>
        <w:numPr>
          <w:ilvl w:val="3"/>
          <w:numId w:val="1"/>
        </w:numPr>
        <w:rPr/>
      </w:pPr>
      <w:bookmarkStart w:id="879" w:name="__RefHeading___Toc162753_3244359995"/>
      <w:bookmarkStart w:id="880" w:name="_Toc343"/>
      <w:bookmarkEnd w:id="879"/>
      <w:r>
        <w:rPr>
          <w:rtl w:val="true"/>
        </w:rPr>
        <w:t>حکم گیرنده‌ی مال به غیرسرقت و محاربه</w:t>
      </w:r>
      <w:bookmarkEnd w:id="880"/>
    </w:p>
    <w:p>
      <w:pPr>
        <w:pStyle w:val="BookText"/>
        <w:rPr/>
      </w:pPr>
      <w:r>
        <w:rPr>
          <w:rFonts w:ascii="IRNazanin" w:hAnsi="IRNazanin" w:eastAsia="IRNazanin"/>
          <w:color w:val="111111"/>
          <w:sz w:val="28"/>
          <w:sz w:val="28"/>
          <w:szCs w:val="28"/>
          <w:rtl w:val="true"/>
          <w:lang w:bidi="fa-IR"/>
        </w:rPr>
        <w:t>عقوبت فردی که مال مردم را به غیر از طریق سرقت و محاربه می‌برد، تعزیر است؛ زیرا، در کتاب و سنّت برای این اعمال خلاف، حدّی معیّن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سارق و محارب نیز بر آنان صادق نیست، بلکه عناوین مستلب، مختلس، مهاجم، محتال، مبنج، مرقد و مانند آن صدق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دلیل بر ثبوت حدّ کافی است تا بگوییم حدّ ندارد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روایت، عقوبت مزوّر قطع گفته شده است؛ ولی روایاتی نیز داریم که قطع را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روایات به عنوان مؤیّد بحث اشاره می‌کنیم؛ وگرنه صرف این که دلیلی بر ثبوت حدّ در این موارد نداشتیم، برای ما کافی است؛ و لازم نیست دلیل اقامه کنیم مبنی بر آن که این عناوین، موضوع حدود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أبی علیّ الأشعری، عن محمّد بن عبدالجبّار، عن صفوان بن یحیی، عن إسحاق بن عمّار، عن أبی بصیر،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لا أقطع فی الدّغارة المعلنة وهی الخلسة ولکن اعزّره</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موثّقه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دغاره‌ی آشکار، یعنی اختلاس دست کسی را نمی‌برم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خَلَسه در مقابل سرقت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 در خفا و پنهانی است، ولی اختلاس یک امر آشکار و ظاهر است؛ لیکن از غفلت صاحب مال سوء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فرد مختلس را تعزیر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 نیز تقریباً همین معنا را افاده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عن أبیه، عن النّوفلی، عن السّکونی،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أربعة لا قطع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المختلس والغلول ومن سرق من الغنیمة، وسرقة الأجیر فإنّها خیانة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چهار گروه قطع دست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این چهار گروه مفید حصر نیست تا گفته شود در غیر این چهار دسته حدّ قطع وجود دارد؛ بلکه از جهت نزدیک بودن عملشان به سرقت، که سبب توهّم انطباق عنوان سرقت بر آنان و اجرای حدّ سرقت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امام علیه السلام آنان را نام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مختلس کسی است که از غفلت دیگری استفاده می‌کند و مالش را می‌رباید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غلول فردی است که از راه خیانت و حقّه‌بازی مال مردم را بالا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دایره‌ی غلول وسیع است؛ شاید غشّ در معامله نیز از مصادیق غلول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گندم فروخته، جو تحویل دهد نیز خیانتکار است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 که از غنیمت سرقت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غنیمت مال اشتراکی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قبل از</w:t>
      </w:r>
    </w:p>
    <w:p>
      <w:pPr>
        <w:pStyle w:val="BookText"/>
        <w:rPr/>
      </w:pPr>
      <w:r>
        <w:rPr>
          <w:rFonts w:ascii="IRNazanin" w:hAnsi="IRNazanin" w:eastAsia="IRNazanin"/>
          <w:color w:val="111111"/>
          <w:sz w:val="28"/>
          <w:sz w:val="28"/>
          <w:szCs w:val="28"/>
          <w:rtl w:val="true"/>
          <w:lang w:bidi="fa-IR"/>
        </w:rPr>
        <w:t>تقسیم، سهمش مشخّص نیست؛ پس دست سارقش را نمی‌برند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اجیر اگر از خانه‌ی موجر سرقت کند، بر عملش خیانت صادق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سرقت؛ زیرا، در مورد او حرزی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آشکار بوده را برداشته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الإسناد أنّ أمیر المؤمنین علیه السلام أتی برجل اختلس درّة من اذن جاریة،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الدّغارة المعلنة، فضربه وحبسه</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نزد امیرمؤمنان علیه السلام آوردند که گوشواره‌ای را از گوش دختری اختلاس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غفلت او استفاده کرده و گوشواره را از گوشش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اختلاسی روشن است؛ او را زد و به زندان انداخت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بإسناده عن الحسن بن محبوب، عن عیسی بن صبیح،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الطرّار والنبّاش والمختلس؛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یقطع</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صحیحه امام صادق علیه السلام در جواب سؤال راوی از حکم طرّار و نبّاش و مختلس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نبّاش کسی است که قبر را برای بردن کفن می‌شکافد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سرقت نسبت به نبّاش، قطع دست را ثابت کردیم؛ و نسبت به طرّار نیز تفصیل دادیم که از جیب ظاهر و آشکار چیزی را برباید یا از جیب‌های مخفی و درونی؛ و روایت دیگری با همین سند حکم به قطع دست نبّاش و طرّار و نفی قطع از مختلس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هر دو روایت در نفی قطع از مختلس موافق‌اند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وبإسناده عن الحسین بن سعید، عن ابن محبوب، عن عیسی بن صبیح،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الطرّار والنبّاش والمختلس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یقطع الطرّار والنبّاش، ولا یقطع المختلس</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حمید بن زیاد، عن الحسن بن محمّد بن سماعة، عن عدّة من أصحابه، عن أبان بن عثمان، عن عبدالرّحمن بن أبی عبداللَّه،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الّذی یستلب قطع، ولیس علی الّذی یطرّ الدراهم من ثوب قطع</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موثّقه،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رباینده قطعی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طرّاری که دراهم را به طرّاری می‌رباید، قطعی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طرّار به واسطه‌ی روایات تفصیل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منافی</w:t>
      </w:r>
    </w:p>
    <w:p>
      <w:pPr>
        <w:pStyle w:val="BookText"/>
        <w:rPr/>
      </w:pPr>
      <w:r>
        <w:rPr>
          <w:rFonts w:ascii="IRNazanin" w:hAnsi="IRNazanin" w:eastAsia="IRNazanin"/>
          <w:color w:val="111111"/>
          <w:sz w:val="28"/>
          <w:sz w:val="28"/>
          <w:szCs w:val="28"/>
          <w:rtl w:val="true"/>
          <w:lang w:bidi="fa-IR"/>
        </w:rPr>
        <w:t>محمّد بن یعقوب، عن علیّ بن إبراهیم، عن أبیه، عن ابن أبی عمیر، عن حمّاد، عن الحلبی، 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استأجر أجیراً وأقعده علی متاعه فسرقه،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مؤتمن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رجل أتی رجلًا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أرسلنی فلان إلیک لترسل إلیه بکذا وکذا فأعطاه وصدّقه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رسولک أتانی فبعثت إلیک معه بکذا وکذا،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أرسلته إلیک وما أتانی بشی‌ء، فزعم الرَّسول أنّه قد أرسله وقد دفعه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وجد علیه بیّنة أنّه لم یرسله قطع یده، ومعنی ذلک أن یکون الرَّسول قد أقرّ مرّة أنّه لم یرسله، وإن لم یجد بیّنة فیمینه باللَّه ما أرسلته ویستوفی الآخر من الرَّسول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زعم أنّه إنّما حمله علی ذلک الحاجة،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یقطع لأنّه سرق من مال الرَّجل</w:t>
      </w:r>
      <w:r>
        <w:rPr>
          <w:rFonts w:eastAsia="IRNazanin" w:cs="IRNazanin"/>
          <w:color w:val="111111"/>
          <w:sz w:val="28"/>
          <w:szCs w:val="28"/>
          <w:rtl w:val="true"/>
          <w:lang w:bidi="fa-IR"/>
        </w:rPr>
        <w:t>.</w:t>
      </w:r>
      <w:r>
        <w:rPr>
          <w:rStyle w:val="FootnoteAnchor"/>
          <w:rtl w:val="true"/>
        </w:rPr>
        <w:footnoteReference w:id="641"/>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 بسیار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شخصی را اجیر، و اموالش را به او سپرد تا حفاظت کند و او سرقت کرد؟ 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اجیر امین است، عنوان خائن بر او صادق است نه عنوان سارق،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بر مالی امین قرار دهند اگر آن مال را ببرد از مصادیق غلول و خیانت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 نزد عمرو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مرا نزد تو فرستاده تا فلان مال را از تو بگیرم و به او برسانم؛ عمرو پس از تصدیق زید، مال را به او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که بکر را ملاقات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واسطه‌ات پیش من آمد و فلان مال را برای تو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کسی را نفرستادم و مالی به دستم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واسطه آمدند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مرا واسطه قرار داد و من اموال عمرو را در اختیارش قرار دادم، بکر بی‌جهت رسالتم و گرفتن اموال را انکار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چنین موردی چیست؟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بیّنه‌ای به نفع بکر اقامه شود که زید را به عنوان رسول و واسطه نفرستاده است، در این صورت دست واسطه را قطع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توهّم پیش می‌آید که بیّنه برای ثبوت چیزی اقامه می‌کنند و نه بر عدم؟ اگر فردی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به من تهمت زد، بیّنه اقامه می‌کند بر اثبات تهمت؛ زیرا، فعل در یک لحظه واقع می‌شود و در آن لحظه ممکن است بیّنه حاضر باشد و آن را مشاهده کند؛ ولی عدم مستمرّ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بیّنه اقامه کرد که این فرد تهمت نزده است؟</w:t>
      </w:r>
    </w:p>
    <w:p>
      <w:pPr>
        <w:pStyle w:val="BookText"/>
        <w:rPr/>
      </w:pPr>
      <w:r>
        <w:rPr>
          <w:rFonts w:ascii="IRNazanin" w:hAnsi="IRNazanin" w:eastAsia="IRNazanin"/>
          <w:color w:val="111111"/>
          <w:sz w:val="28"/>
          <w:sz w:val="28"/>
          <w:szCs w:val="28"/>
          <w:rtl w:val="true"/>
          <w:lang w:bidi="fa-IR"/>
        </w:rPr>
        <w:t>بنابراین، در این مقام نمی‌توان بیّنه‌ای به نفع بکر، بر عدم ارسال زید شهادت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برای رفع این اشکال در کیفیّت شهادت بیّنه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شهادت بیّنه این است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نزد ما اقرار کرد که واسطه نبوده و بکر او را ارسال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بیّنه‌ای در کار نبود، بکر قسم 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او را نفرستادم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قسمش، عمرو اموالش را از زید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قبل نیز با قیام بیّنه عمرو اموالش را از زید باز پس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حلبی از امام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فقر و حاجت زید را وادار به این کار کرده است، او چاره‌ای ندیده مگر این که از این راه مالی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قطع می‌گردد؛ زیرا، مال مردم را به سرقت برده است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تعلیلی که در آخر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یقطع لأنّه سرق من مال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کار این فرد جور درمی‌آید؟ در سرقت اصطلاحی خفا و پنهان‌کاری</w:t>
      </w:r>
    </w:p>
    <w:p>
      <w:pPr>
        <w:pStyle w:val="BookText"/>
        <w:rPr/>
      </w:pPr>
      <w:r>
        <w:rPr>
          <w:rFonts w:ascii="IRNazanin" w:hAnsi="IRNazanin" w:eastAsia="IRNazanin"/>
          <w:color w:val="111111"/>
          <w:sz w:val="28"/>
          <w:sz w:val="28"/>
          <w:szCs w:val="28"/>
          <w:rtl w:val="true"/>
          <w:lang w:bidi="fa-IR"/>
        </w:rPr>
        <w:t>نقش دارد؛ در این‌جا یک نوع فریب و احتیال و حیله‌گری است، چگونه امام علیه السلام به کار او عنوان سرقت می‌دهد و با آن تعلیل می‌کند؟</w:t>
      </w:r>
    </w:p>
    <w:p>
      <w:pPr>
        <w:pStyle w:val="BookText"/>
        <w:rPr/>
      </w:pPr>
      <w:r>
        <w:rPr>
          <w:rFonts w:ascii="IRNazanin" w:hAnsi="IRNazanin" w:eastAsia="IRNazanin"/>
          <w:color w:val="111111"/>
          <w:sz w:val="28"/>
          <w:sz w:val="28"/>
          <w:szCs w:val="28"/>
          <w:rtl w:val="true"/>
          <w:lang w:bidi="fa-IR"/>
        </w:rPr>
        <w:t>اگر بخواهیم حکم قطع را اثبات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باب سرقت و محاربه نیز قطع دست داریم، با تعلیل منافات دارد؛ و اگر تعلیل را بگیریم، با خصوصیّت خفا که در حقیقت و ماهیّت سرقت معتبر است،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علم این روایت را به اهلش واگذاشت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نکته‌ی ابهام دیگر در روایت، متوجّه کردن یمین و بیّنه به یک نفر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وجد علیه بیّنه أنّه لم یرسله قطع 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لم یجد بیّنة فیمینه باللَّه ما أرسلته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بنا بر قواعد، بیّنه آوردن با مدّعی و قسم خوردن با منکر است؛ اگر منکر قسم نخورد و نکول کرد، نوبت به قسم خوردن مدّعی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زید مدّعی رسالت و بکر منکر آن است؛ بنا بر قاعده زید باید بر رسالتش بیّنه بیاورد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باب سرقت و محارب در رابطه با اخذ مال، عنوانی که حدّش قطع دست باشد نداریم؛ بلکه درتمام فروضش به هرچه حاکم مصلحت بداند، تعزیر می‌شود</w:t>
      </w:r>
      <w:r>
        <w:rPr>
          <w:rFonts w:eastAsia="IRNazanin" w:cs="IRNazanin"/>
          <w:color w:val="111111"/>
          <w:sz w:val="28"/>
          <w:szCs w:val="28"/>
          <w:rtl w:val="true"/>
          <w:lang w:bidi="fa-IR"/>
        </w:rPr>
        <w:t>.</w:t>
      </w:r>
      <w:bookmarkStart w:id="881" w:name="pg16923_220470"/>
    </w:p>
    <w:p>
      <w:pPr>
        <w:pStyle w:val="Heading3"/>
        <w:numPr>
          <w:ilvl w:val="2"/>
          <w:numId w:val="1"/>
        </w:numPr>
        <w:rPr/>
      </w:pPr>
      <w:bookmarkStart w:id="882" w:name="__RefHeading___Toc162755_3244359995"/>
      <w:bookmarkStart w:id="883" w:name="_Toc344"/>
      <w:bookmarkEnd w:id="881"/>
      <w:bookmarkEnd w:id="882"/>
      <w:r>
        <w:rPr>
          <w:rtl w:val="true"/>
        </w:rPr>
        <w:t>فصل یکم</w:t>
      </w:r>
      <w:r>
        <w:rPr>
          <w:rtl w:val="true"/>
        </w:rPr>
        <w:t xml:space="preserve">: </w:t>
      </w:r>
      <w:r>
        <w:rPr>
          <w:rtl w:val="true"/>
        </w:rPr>
        <w:t>حکم ارتداد، وطی میته و حیوان</w:t>
      </w:r>
      <w:bookmarkEnd w:id="883"/>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84" w:name="__RefHeading___Toc162757_3244359995"/>
      <w:bookmarkStart w:id="885" w:name="_Toc345"/>
      <w:bookmarkEnd w:id="884"/>
      <w:r>
        <w:rPr>
          <w:rtl w:val="true"/>
        </w:rPr>
        <w:t>اشاره</w:t>
      </w:r>
      <w:bookmarkStart w:id="886" w:name="pg16923_220472"/>
      <w:bookmarkEnd w:id="885"/>
    </w:p>
    <w:p>
      <w:pPr>
        <w:pStyle w:val="BookText"/>
        <w:rPr/>
      </w:pPr>
      <w:bookmarkEnd w:id="8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المرتدّ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فی المیراث، المرتدّ بقسمیه وبعض أحکامه، فالفطری لا یقبل إسلامه ظاهراً، ویقتل إن کان رجلًا، ولا تقتل المرأة المرتدّة ولو عن فطرة، بل تحبس دائماً، وتضرب فی أوقات الصلوة ویضیق علیها فی المعیشة، وتقبل توبتها، فإن تابت أخرجت عن الحبس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والمرتدّ الملّی یستتاب، فإن امتنع قتل، والأحوط استتابته ثلاثة أیّام وقتل الیوم الرابع</w:t>
      </w:r>
      <w:r>
        <w:rPr>
          <w:rFonts w:eastAsia="IRNazanin" w:cs="IRNazanin"/>
          <w:color w:val="111111"/>
          <w:sz w:val="28"/>
          <w:szCs w:val="28"/>
          <w:rtl w:val="true"/>
          <w:lang w:bidi="fa-IR"/>
        </w:rPr>
        <w:t>.]</w:t>
      </w:r>
    </w:p>
    <w:p>
      <w:pPr>
        <w:pStyle w:val="Heading4"/>
        <w:numPr>
          <w:ilvl w:val="3"/>
          <w:numId w:val="1"/>
        </w:numPr>
        <w:rPr/>
      </w:pPr>
      <w:bookmarkStart w:id="887" w:name="__RefHeading___Toc162759_3244359995"/>
      <w:bookmarkStart w:id="888" w:name="_Toc346"/>
      <w:bookmarkEnd w:id="887"/>
      <w:r>
        <w:rPr>
          <w:rtl w:val="true"/>
        </w:rPr>
        <w:t>احکام مرتدّ ملّی و فطری</w:t>
      </w:r>
      <w:bookmarkEnd w:id="888"/>
    </w:p>
    <w:p>
      <w:pPr>
        <w:pStyle w:val="Heading5"/>
        <w:numPr>
          <w:ilvl w:val="4"/>
          <w:numId w:val="1"/>
        </w:numPr>
        <w:rPr/>
      </w:pPr>
      <w:bookmarkStart w:id="889" w:name="__RefHeading___Toc162761_3244359995"/>
      <w:bookmarkStart w:id="890" w:name="_Toc347"/>
      <w:bookmarkEnd w:id="889"/>
      <w:r>
        <w:rPr>
          <w:rtl w:val="true"/>
        </w:rPr>
        <w:t>اشاره</w:t>
      </w:r>
      <w:bookmarkEnd w:id="890"/>
    </w:p>
    <w:p>
      <w:pPr>
        <w:pStyle w:val="BookText"/>
        <w:rPr/>
      </w:pPr>
      <w:r>
        <w:rPr>
          <w:rFonts w:ascii="IRNazanin" w:hAnsi="IRNazanin" w:eastAsia="IRNazanin"/>
          <w:color w:val="111111"/>
          <w:sz w:val="28"/>
          <w:sz w:val="28"/>
          <w:szCs w:val="28"/>
          <w:rtl w:val="true"/>
          <w:lang w:bidi="fa-IR"/>
        </w:rPr>
        <w:t>در باب میراث، به دو قسم مرتد و پاره‌ای از احکامش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فطری، پس از ارتدادش، بنا بر ظاهر، اسلام و توبه‌اش پذیرفته نمی‌شود و در صورتی که مرد باشد، او را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زنی مرتد شد، خواه ارتداد ملّی یا ارتداد فطری داشته باشد، او را نمی‌کشند؛ بلکه وی را به حبس ابد می‌اندازند؛ در اوقات نماز او را می‌زنند و در نفقه و معیشت بر او سخت می‌گیرند؛ اگر توبه کند، توبه‌اش مقبول است و از حبس آزاد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مردی مرتد ملّی شد، او را توبه می‌دهند؛ اگر توبه کرد، می‌پذیرند؛ ولی اگر امتناع نمود، او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سه روز او را توبه داده، در روز چهارم به قتل برسانند</w:t>
      </w:r>
      <w:r>
        <w:rPr>
          <w:rFonts w:eastAsia="IRNazanin" w:cs="IRNazanin"/>
          <w:color w:val="111111"/>
          <w:sz w:val="28"/>
          <w:szCs w:val="28"/>
          <w:rtl w:val="true"/>
          <w:lang w:bidi="fa-IR"/>
        </w:rPr>
        <w:t>.</w:t>
      </w:r>
    </w:p>
    <w:p>
      <w:pPr>
        <w:pStyle w:val="Heading5"/>
        <w:numPr>
          <w:ilvl w:val="4"/>
          <w:numId w:val="1"/>
        </w:numPr>
        <w:rPr/>
      </w:pPr>
      <w:bookmarkStart w:id="891" w:name="__RefHeading___Toc162763_3244359995"/>
      <w:bookmarkStart w:id="892" w:name="_Toc348"/>
      <w:bookmarkEnd w:id="891"/>
      <w:r>
        <w:rPr>
          <w:rtl w:val="true"/>
        </w:rPr>
        <w:t>ضابطه‌ی اسلام و کفر</w:t>
      </w:r>
      <w:bookmarkEnd w:id="892"/>
    </w:p>
    <w:p>
      <w:pPr>
        <w:pStyle w:val="BookText"/>
        <w:rPr/>
      </w:pPr>
      <w:r>
        <w:rPr>
          <w:rFonts w:ascii="IRNazanin" w:hAnsi="IRNazanin" w:eastAsia="IRNazanin"/>
          <w:color w:val="111111"/>
          <w:sz w:val="28"/>
          <w:sz w:val="28"/>
          <w:szCs w:val="28"/>
          <w:rtl w:val="true"/>
          <w:lang w:bidi="fa-IR"/>
        </w:rPr>
        <w:t>یکی از عناوینی که در فقه، موضوع احکام متعدّدی واقع شده، عنوان ارتداد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ارث به لحاظ تقسیم اموال مرتدّ و محرومیّتش از ارث، در باب نکاح به سبب انفساخ علقه‌ی زوجیّت، در باب عِدد به سبب وجوب عدّه‌ی وفات بر زوجه‌ی مرتد، و سرانجام در کتاب حدود برای اثبات حدّش مورد بحث واقع شده 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مرتد یعنی رجوع‌کننده، ارتداد به معنای رجوع است؛ به شخصی که از اسلام به کفر</w:t>
      </w:r>
      <w:bookmarkStart w:id="893" w:name="pg16923_220473"/>
    </w:p>
    <w:p>
      <w:pPr>
        <w:pStyle w:val="BookText"/>
        <w:rPr/>
      </w:pPr>
      <w:bookmarkEnd w:id="893"/>
      <w:r>
        <w:rPr>
          <w:rFonts w:ascii="IRNazanin" w:hAnsi="IRNazanin" w:eastAsia="IRNazanin"/>
          <w:color w:val="111111"/>
          <w:sz w:val="28"/>
          <w:sz w:val="28"/>
          <w:szCs w:val="28"/>
          <w:rtl w:val="true"/>
          <w:lang w:bidi="fa-IR"/>
        </w:rPr>
        <w:t>رجوع کند، مرتد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به‌طور خلاصه ملاک اسلام و کفر مطرح شود تا بفهمیم کفر و اسلام به چه چیزی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بحث کامل و تحقیقی آن در کتاب طهارت در ابواب نجاسات و در مسأله نجاست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تحقّق کفر، انکار ضروری دین و مسلّمات آن است؛ انکار قولی باشد، یا فعلی و یا اعتقادی،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 خلاف ضروری مذهب، اعتقادی پیدا کند، مرتد است؛ خواه علم به ارتدادش پیدا کنیم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اثبات، مقام دیگری است؛ و متوقّف بر عمل یا قول نیست</w:t>
      </w:r>
      <w:r>
        <w:rPr>
          <w:rFonts w:eastAsia="IRNazanin" w:cs="IRNazanin"/>
          <w:color w:val="111111"/>
          <w:sz w:val="28"/>
          <w:szCs w:val="28"/>
          <w:rtl w:val="true"/>
          <w:lang w:bidi="fa-IR"/>
        </w:rPr>
        <w:t>.</w:t>
      </w:r>
    </w:p>
    <w:p>
      <w:pPr>
        <w:pStyle w:val="Heading5"/>
        <w:numPr>
          <w:ilvl w:val="4"/>
          <w:numId w:val="1"/>
        </w:numPr>
        <w:rPr/>
      </w:pPr>
      <w:bookmarkStart w:id="894" w:name="__RefHeading___Toc162765_3244359995"/>
      <w:bookmarkStart w:id="895" w:name="_Toc349"/>
      <w:bookmarkEnd w:id="894"/>
      <w:r>
        <w:rPr>
          <w:rtl w:val="true"/>
        </w:rPr>
        <w:t>تقسیم مرتد به ملّی و فطری</w:t>
      </w:r>
      <w:bookmarkEnd w:id="895"/>
    </w:p>
    <w:p>
      <w:pPr>
        <w:pStyle w:val="BookText"/>
        <w:rPr/>
      </w:pPr>
      <w:r>
        <w:rPr>
          <w:rFonts w:ascii="IRNazanin" w:hAnsi="IRNazanin" w:eastAsia="IRNazanin"/>
          <w:color w:val="111111"/>
          <w:sz w:val="28"/>
          <w:sz w:val="28"/>
          <w:szCs w:val="28"/>
          <w:rtl w:val="true"/>
          <w:lang w:bidi="fa-IR"/>
        </w:rPr>
        <w:t>امام راحل رحمه الله این مطلب را در این بحث مطرح نکرده‌اند، بلکه بخشی از آن را در کتاب میراث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ما برای تشخیص موضوع حدّ ناچاریم در این‌جا از سه خصوصیّتی که در حقیقت مرتدّ فطری دخالت دارد، بحث کنیم</w:t>
      </w:r>
      <w:r>
        <w:rPr>
          <w:rFonts w:eastAsia="IRNazanin" w:cs="IRNazanin"/>
          <w:color w:val="111111"/>
          <w:sz w:val="28"/>
          <w:szCs w:val="28"/>
          <w:rtl w:val="true"/>
          <w:lang w:bidi="fa-IR"/>
        </w:rPr>
        <w:t>.</w:t>
      </w:r>
    </w:p>
    <w:p>
      <w:pPr>
        <w:pStyle w:val="Heading5"/>
        <w:numPr>
          <w:ilvl w:val="4"/>
          <w:numId w:val="1"/>
        </w:numPr>
        <w:rPr/>
      </w:pPr>
      <w:bookmarkStart w:id="896" w:name="__RefHeading___Toc162767_3244359995"/>
      <w:bookmarkStart w:id="897" w:name="_Toc350"/>
      <w:bookmarkEnd w:id="896"/>
      <w:r>
        <w:rPr>
          <w:rtl w:val="true"/>
        </w:rPr>
        <w:t>سه خصوصیّت در مرتدّ فطری</w:t>
      </w:r>
      <w:bookmarkEnd w:id="897"/>
    </w:p>
    <w:p>
      <w:pPr>
        <w:pStyle w:val="Heading6"/>
        <w:numPr>
          <w:ilvl w:val="5"/>
          <w:numId w:val="1"/>
        </w:numPr>
        <w:rPr/>
      </w:pPr>
      <w:bookmarkStart w:id="898" w:name="__RefHeading___Toc162769_3244359995"/>
      <w:bookmarkStart w:id="899" w:name="_Toc351"/>
      <w:bookmarkEnd w:id="898"/>
      <w:r>
        <w:rPr>
          <w:rtl w:val="true"/>
        </w:rPr>
        <w:t>اشاره</w:t>
      </w:r>
      <w:bookmarkEnd w:id="899"/>
    </w:p>
    <w:p>
      <w:pPr>
        <w:pStyle w:val="BookText"/>
        <w:rPr/>
      </w:pPr>
      <w:r>
        <w:rPr>
          <w:rFonts w:ascii="IRNazanin" w:hAnsi="IRNazanin" w:eastAsia="IRNazanin"/>
          <w:color w:val="111111"/>
          <w:sz w:val="28"/>
          <w:sz w:val="28"/>
          <w:szCs w:val="28"/>
          <w:rtl w:val="true"/>
          <w:lang w:bidi="fa-IR"/>
        </w:rPr>
        <w:t>در تعریف مرتدّ فطری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فطری کسی است که در هنگام ولادت، پدر یا مادرش یا یکی از آن دو مسلمان باشد</w:t>
      </w:r>
      <w:r>
        <w:rPr>
          <w:rFonts w:eastAsia="IRNazanin" w:cs="IRNazanin"/>
          <w:color w:val="111111"/>
          <w:sz w:val="28"/>
          <w:szCs w:val="28"/>
          <w:rtl w:val="true"/>
          <w:lang w:bidi="fa-IR"/>
        </w:rPr>
        <w:t>.</w:t>
      </w:r>
      <w:r>
        <w:rPr>
          <w:rStyle w:val="FootnoteAnchor"/>
          <w:rtl w:val="true"/>
        </w:rPr>
        <w:footnoteReference w:id="642"/>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انعقدت نطفته وکانت أبواه أو أحدهما 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4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انعقاد نطفه والدینش یا یکی از آنان مسلمان باشد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فاصله‌ی زیادی که بین انعقاد نطفه و وضع حمل هست و ممکن است در این زمان طولانی از نظر اسلام و کفر حالات مختلفی برای پدر و مادر پیش بیاید، لذا باید به بررسی این خصوصیّت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در زمان انعقاد نطفه ابوین مسلمان باشند و در زمان تولد کافر شده باشند؛ و برعکس نیز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زمان انعقاد نطفه کافر باشند و در زمان ولادت اسلام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ما زمان انعقاد نطفه است</w:t>
      </w:r>
      <w:r>
        <w:rPr>
          <w:rFonts w:eastAsia="IRNazanin" w:cs="IRNazanin"/>
          <w:color w:val="111111"/>
          <w:sz w:val="28"/>
          <w:szCs w:val="28"/>
          <w:rtl w:val="true"/>
          <w:lang w:bidi="fa-IR"/>
        </w:rPr>
        <w:t>.</w:t>
      </w:r>
      <w:bookmarkStart w:id="900" w:name="pg16923_220474"/>
    </w:p>
    <w:p>
      <w:pPr>
        <w:pStyle w:val="Heading6"/>
        <w:numPr>
          <w:ilvl w:val="5"/>
          <w:numId w:val="1"/>
        </w:numPr>
        <w:rPr/>
      </w:pPr>
      <w:bookmarkStart w:id="901" w:name="__RefHeading___Toc162771_3244359995"/>
      <w:bookmarkStart w:id="902" w:name="_Toc352"/>
      <w:bookmarkEnd w:id="900"/>
      <w:bookmarkEnd w:id="901"/>
      <w:r>
        <w:rPr/>
        <w:t>1</w:t>
      </w:r>
      <w:r>
        <w:rPr>
          <w:rtl w:val="true"/>
        </w:rPr>
        <w:t xml:space="preserve">- </w:t>
      </w:r>
      <w:r>
        <w:rPr>
          <w:rtl w:val="true"/>
        </w:rPr>
        <w:t>مقتضای عنوان مرتدّ فطری</w:t>
      </w:r>
      <w:bookmarkEnd w:id="902"/>
    </w:p>
    <w:p>
      <w:pPr>
        <w:pStyle w:val="BookText"/>
        <w:rPr/>
      </w:pPr>
      <w:r>
        <w:rPr>
          <w:rFonts w:ascii="IRNazanin" w:hAnsi="IRNazanin" w:eastAsia="IRNazanin"/>
          <w:color w:val="111111"/>
          <w:sz w:val="28"/>
          <w:sz w:val="28"/>
          <w:szCs w:val="28"/>
          <w:rtl w:val="true"/>
          <w:lang w:bidi="fa-IR"/>
        </w:rPr>
        <w:t>مقتضای عنوان مرتدّ فطری چیست؟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فطری آن است که فطرتش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خلقتش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اسلام باشد و از آن برگشته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از چه زمانی محقّق می‌شود؛ از حین انعقاد نطفه یا هنگام ولادت؟</w:t>
      </w:r>
    </w:p>
    <w:p>
      <w:pPr>
        <w:pStyle w:val="BookText"/>
        <w:rPr/>
      </w:pPr>
      <w:r>
        <w:rPr>
          <w:rFonts w:ascii="IRNazanin" w:hAnsi="IRNazanin" w:eastAsia="IRNazanin"/>
          <w:color w:val="111111"/>
          <w:sz w:val="28"/>
          <w:sz w:val="28"/>
          <w:szCs w:val="28"/>
          <w:rtl w:val="true"/>
          <w:lang w:bidi="fa-IR"/>
        </w:rPr>
        <w:t>با توجّه به عنوان مرتدّ فطری باید ملاک را زمان انعقاد نطفه بدانیم؛ زیرا، اولین مرحله‌ی خلقت انسان همان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ولادت مانند مرگ، انتقال از عالمی به عالم دیگر است</w:t>
      </w:r>
      <w:r>
        <w:rPr>
          <w:rFonts w:eastAsia="IRNazanin" w:cs="IRNazanin"/>
          <w:color w:val="111111"/>
          <w:sz w:val="28"/>
          <w:szCs w:val="28"/>
          <w:rtl w:val="true"/>
          <w:lang w:bidi="fa-IR"/>
        </w:rPr>
        <w:t>.</w:t>
      </w:r>
    </w:p>
    <w:p>
      <w:pPr>
        <w:pStyle w:val="Heading6"/>
        <w:numPr>
          <w:ilvl w:val="5"/>
          <w:numId w:val="1"/>
        </w:numPr>
        <w:rPr/>
      </w:pPr>
      <w:bookmarkStart w:id="903" w:name="__RefHeading___Toc162773_3244359995"/>
      <w:bookmarkStart w:id="904" w:name="_Toc353"/>
      <w:bookmarkEnd w:id="903"/>
      <w:r>
        <w:rPr/>
        <w:t>2</w:t>
      </w:r>
      <w:r>
        <w:rPr>
          <w:rtl w:val="true"/>
        </w:rPr>
        <w:t xml:space="preserve">- </w:t>
      </w:r>
      <w:r>
        <w:rPr>
          <w:rtl w:val="true"/>
        </w:rPr>
        <w:t>روایات</w:t>
      </w:r>
      <w:bookmarkEnd w:id="904"/>
    </w:p>
    <w:p>
      <w:pPr>
        <w:pStyle w:val="BookText"/>
        <w:rPr/>
      </w:pPr>
      <w:r>
        <w:rPr>
          <w:rFonts w:ascii="IRNazanin" w:hAnsi="IRNazanin" w:eastAsia="IRNazanin"/>
          <w:color w:val="111111"/>
          <w:sz w:val="28"/>
          <w:sz w:val="28"/>
          <w:szCs w:val="28"/>
          <w:rtl w:val="true"/>
          <w:lang w:bidi="fa-IR"/>
        </w:rPr>
        <w:t>محمّد بن الحسن بإسناده عن الحسین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بخطّ رجل إلی أبی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ولد علی الإسلام ثمّ کفر وأشرک وخرج عن الإسلام، هل یستتاب أو یقتل ولا یستتاب؟ فکتب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سعید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نامه‌ی مردی را خواندم که به امام هشتم علیه السلام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 اسلام متولّد شد؛ سپس کفر ورزید، شرک آورد و از اسلام خارج شد، آیا او را توبه می‌دهند یا می‌کشند؟ امام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علی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در برابر انعقاد نطفه فهمیده می‌شود یا روایت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ریشه‌اش ریشه‌ی اسلام، و مبدأش مبدأ اسلام است؟ و به بیان دیگر، ولادت دو نوع استعمال دارد؛ گاه به معنای خاصّ و در برابر انعقاد نطفه؛ و گاه به معنای ریشه و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و اساس آدمی از حین انعقاد نطفه می‌باشد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عرف، بدون نیاز به دقّت عقلی، در تعبیرهای وسیع و مسامحی ولادت در معنای ریشه و اساس به کار می‌رود، لذا اگر ذهنی خالی از مطلب باشد، با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ولد علی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خاصّ ولادت به ذهنش خطور نمی‌کند؛ به خصوص اگر تناسب حکم و موضوع را در نظر بگیریم، ولادت بماهی ولادت هیچ نقشی ندارد، بلکه تمام اثر و نقش</w:t>
      </w:r>
    </w:p>
    <w:p>
      <w:pPr>
        <w:pStyle w:val="BookText"/>
        <w:rPr/>
      </w:pPr>
      <w:r>
        <w:rPr>
          <w:rFonts w:ascii="IRNazanin" w:hAnsi="IRNazanin" w:eastAsia="IRNazanin"/>
          <w:color w:val="111111"/>
          <w:sz w:val="28"/>
          <w:sz w:val="28"/>
          <w:szCs w:val="28"/>
          <w:rtl w:val="true"/>
          <w:lang w:bidi="fa-IR"/>
        </w:rPr>
        <w:t>مال نطفه‌ی مرد است که در رحم زن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با حالات مرد و زن می‌تواند ارتباط داشته باشد، حال انعقاد نطفه است؛ و الّا ولادت انتقال از مکانی به مکان دیگر، یعنی انتقال از شکم مادر به دنیای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احتمال می‌دهیم نظر مرحوم محقّق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علی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ولادت در برابر انعقاد نطفه نباشد؛ بلکه این تعبیر را از روایات اقتباس کرده و مقصود از آن انعقاد نطفه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وبإسناده عن الحسین بن سعید، عن عثمان بن عیسی،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علیه السلام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أصبت قوماً من المسلمین زنادقة، وقوماً من النصاری زنادقة، فکتب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کان من المسلمین ولد علی الفطرة ثمّ تزندق فاضرب عنقه ولاتستتبه ومن لم یولد منهم علی الفطرة فاستتبه فإن تاب وإلّا فاضرب عنقه وأمّا النصاری فما هم علیه أعظم من الزندقة</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مرفوعه، عثمان بن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یا غلام امیرمؤمنان علیه السلام به آن حضرت در نامه‌ای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مأموریتم با گروهی از مسلمانان و مسیحیان برخورد کرده‌ام که زندیق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تکلیفم با آنان چیست؟</w:t>
      </w:r>
    </w:p>
    <w:p>
      <w:pPr>
        <w:pStyle w:val="BookText"/>
        <w:rPr/>
      </w:pPr>
      <w:r>
        <w:rPr>
          <w:rFonts w:ascii="IRNazanin" w:hAnsi="IRNazanin" w:eastAsia="IRNazanin"/>
          <w:color w:val="111111"/>
          <w:sz w:val="28"/>
          <w:sz w:val="28"/>
          <w:szCs w:val="28"/>
          <w:rtl w:val="true"/>
          <w:lang w:bidi="fa-IR"/>
        </w:rPr>
        <w:t>امام علیه السلام در جوابش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مسلمانانی که بر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یافته‌اند، گردنشان را بزن؛ و آنانی که ولادتشان بر اسلام نیست، توبه بده؛ اگر پذیرفتند، حدّی ندارند؛ وگرنه گردنشان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نصاری دینشان بزرگتر از هر زندقه‌ای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امام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علی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به معنای اسلام است؛ و به اسلام، فطرت می‌گویند؛ زیرا، خلقت، خلقت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و خلقت نیز از زمان انعقاد نطفه است؛ یعنی قبل از زمان تولّد، او خلقت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علی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علی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یا دلیلی که می‌توان بر این مطلب آورد، فتوایی است که فقها در کتاب ارث در باب ارث حمل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مسلمانی از دنیا رفت و همسر یا کنیزش از او</w:t>
      </w:r>
      <w:bookmarkStart w:id="905" w:name="pg16923_220476"/>
    </w:p>
    <w:p>
      <w:pPr>
        <w:pStyle w:val="BookText"/>
        <w:rPr/>
      </w:pPr>
      <w:bookmarkEnd w:id="905"/>
      <w:r>
        <w:rPr>
          <w:rFonts w:ascii="IRNazanin" w:hAnsi="IRNazanin" w:eastAsia="IRNazanin"/>
          <w:color w:val="111111"/>
          <w:sz w:val="28"/>
          <w:sz w:val="28"/>
          <w:szCs w:val="28"/>
          <w:rtl w:val="true"/>
          <w:lang w:bidi="fa-IR"/>
        </w:rPr>
        <w:t>حمل داشت، باید به اندازه‌ی سهم دو مذکّر کنار بگذارند تا اگر بچّه زنده به دنیا آمد، سهمش از ارث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امکان آبستن بودن زن به بیش از دو فرزند، فرض نادری است، لذا، سهم دو مذکّر، جدا می‌شود؛ و بقیه‌ی مال بین ورثه تقسیم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دو طفل مذکّر به دنیا بیاید سهم الارث خود را می‌گیرند و اگر دختر بود یا پسر نصیبش را می‌برد و مابقی بین ورثه تقسیم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فتوای فقها در آن‌جا، معلوم می‌شود اسلام ملاک را انعقاد می‌داند؛ وگرنه در صورتی که پدر مسلمان از دنیا رفته و زوجه یا کنیزش غیرمسلمان باشد، در زمان ولادت أحد الابوین مسلمان نیست؛ زیرا، پدر که مرده است و دیگر به عنوان مسلم مطرح نیست؛ مادر هم بنا بر فرض غیرمسلمان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فقها به‌طور مسلّم حکم به اسلام ولد می‌کنند، راهی ندارند جز این که ملاک را زمان انعقاد نطفه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راحل رحمه الله در تحریرالوسیله به انعقاد نطفه تصریح کرده‌اند و فقهای دیگر نیز به تبع روایات، تعبیراتی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 علی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کرده‌اند؛ در روایات نیز مقصود، همان انعقاد نطفه است</w:t>
      </w:r>
      <w:r>
        <w:rPr>
          <w:rFonts w:eastAsia="IRNazanin" w:cs="IRNazanin"/>
          <w:color w:val="111111"/>
          <w:sz w:val="28"/>
          <w:szCs w:val="28"/>
          <w:rtl w:val="true"/>
          <w:lang w:bidi="fa-IR"/>
        </w:rPr>
        <w:t>.</w:t>
      </w:r>
    </w:p>
    <w:p>
      <w:pPr>
        <w:pStyle w:val="Heading6"/>
        <w:numPr>
          <w:ilvl w:val="5"/>
          <w:numId w:val="1"/>
        </w:numPr>
        <w:rPr/>
      </w:pPr>
      <w:bookmarkStart w:id="906" w:name="__RefHeading___Toc162775_3244359995"/>
      <w:bookmarkStart w:id="907" w:name="_Toc354"/>
      <w:bookmarkEnd w:id="906"/>
      <w:r>
        <w:rPr>
          <w:rtl w:val="true"/>
        </w:rPr>
        <w:t>خصوصیّت دوّم</w:t>
      </w:r>
      <w:r>
        <w:rPr>
          <w:rtl w:val="true"/>
        </w:rPr>
        <w:t xml:space="preserve">: </w:t>
      </w:r>
      <w:r>
        <w:rPr>
          <w:rtl w:val="true"/>
        </w:rPr>
        <w:t>اسلام حکمی یا حقیقی؟</w:t>
      </w:r>
      <w:bookmarkEnd w:id="907"/>
    </w:p>
    <w:p>
      <w:pPr>
        <w:pStyle w:val="BookText"/>
        <w:rPr/>
      </w:pPr>
      <w:r>
        <w:rPr>
          <w:rFonts w:ascii="IRNazanin" w:hAnsi="IRNazanin" w:eastAsia="IRNazanin"/>
          <w:color w:val="111111"/>
          <w:sz w:val="28"/>
          <w:sz w:val="28"/>
          <w:szCs w:val="28"/>
          <w:rtl w:val="true"/>
          <w:lang w:bidi="fa-IR"/>
        </w:rPr>
        <w:t>طفلی که نطفه‌اش بر اسلام احد الأبوین یا هر دو منعقد شده است و تا قبل از بلوغ به حکم والدینش هست، آیا این اسلام تبعی برای حکم به ارتداد فطری بعد از بلوغ کافی است یا آن که به اسلام حقیقی نیاز است؟</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اگر نطفه‌ی بچّه‌ای در حال اسلامِ پدر و مادرش منعقد شد و در حال ولادتش نیز ابوین بر اسلام باقی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بچّه به مجرّدی که بالغ شد، در اثر شبهات کفر را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بلوغ، اسلامش حکمی و تبعی بود، یعنی به تبع پدر و مادرش، پس از بلوغ بلافاصله اظهار کفر کرد، آیا این اسلام حکمی و تبعی برای حکم به ارتدادش کافی است یا لازم است اسلام حقیقی بیاورد؛ و آن‌گاه اگر کفر و ارتدادی عارض شد، ارتدادش فطری خواهد بود؛ وگرنه حکم بقیه‌ی کفّار را دارد و احکام مخصوص ارتداد در موردش جاری نیست؟</w:t>
      </w:r>
    </w:p>
    <w:p>
      <w:pPr>
        <w:pStyle w:val="BookText"/>
        <w:rPr/>
      </w:pPr>
      <w:r>
        <w:rPr>
          <w:rFonts w:ascii="IRNazanin" w:hAnsi="IRNazanin" w:eastAsia="IRNazanin"/>
          <w:color w:val="111111"/>
          <w:sz w:val="28"/>
          <w:sz w:val="28"/>
          <w:szCs w:val="28"/>
          <w:rtl w:val="true"/>
          <w:lang w:bidi="fa-IR"/>
        </w:rPr>
        <w:t>کلمات فقها در این مورد نیز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کاشف اللثام اسلام اصلی و اختیاری او را پس از بلوغ لازم می‌داند؛</w:t>
      </w:r>
      <w:r>
        <w:rPr>
          <w:rStyle w:val="FootnoteAnchor"/>
          <w:rtl w:val="true"/>
        </w:rPr>
        <w:footnoteReference w:id="646"/>
      </w:r>
      <w:r>
        <w:rPr>
          <w:rFonts w:ascii="IRNazanin" w:hAnsi="IRNazanin" w:eastAsia="IRNazanin"/>
          <w:color w:val="111111"/>
          <w:sz w:val="28"/>
          <w:sz w:val="28"/>
          <w:szCs w:val="28"/>
          <w:rtl w:val="true"/>
          <w:lang w:bidi="fa-IR"/>
        </w:rPr>
        <w:t>ولی شهید ثانی رحمه الله همان اسلام حکمی را کافی می‌داند</w:t>
      </w:r>
      <w:r>
        <w:rPr>
          <w:rFonts w:eastAsia="IRNazanin" w:cs="IRNazanin"/>
          <w:color w:val="111111"/>
          <w:sz w:val="28"/>
          <w:szCs w:val="28"/>
          <w:rtl w:val="true"/>
          <w:lang w:bidi="fa-IR"/>
        </w:rPr>
        <w:t>.</w:t>
      </w:r>
      <w:r>
        <w:rPr>
          <w:rStyle w:val="FootnoteAnchor"/>
          <w:rtl w:val="true"/>
        </w:rPr>
        <w:footnoteReference w:id="647"/>
      </w:r>
      <w:r>
        <w:rPr>
          <w:rFonts w:ascii="IRNazanin" w:hAnsi="IRNazanin" w:eastAsia="IRNazanin"/>
          <w:color w:val="111111"/>
          <w:sz w:val="28"/>
          <w:sz w:val="28"/>
          <w:szCs w:val="28"/>
          <w:rtl w:val="true"/>
          <w:lang w:bidi="fa-IR"/>
        </w:rPr>
        <w:t>امام راحل رحمه الله در بحث ارث به کلام کاشف اللثام رحمه الله تصریح کرده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پس از بلوغ برهه‌ای از زمان بر او بگذرد تا مسلمان اصلی شده باشد؛ پس، اگر ارتدادی از او سر زد، احکام مرتدّ فطری بر او مترتّب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باید به روایات متوسّل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وبالإسناد عن ابن محبوب، عن هشام بن سالم، عن عمّار السّاباطی،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مسلم بین مسلمین ارتّد عن الإسلام وجحد محمّداً صلی الله علیه و آله نبوَّته وکذّبه فإنّ دمه مباح لمن سمع ذلک منه، وامرأته بائنة منه یوم ارتّد، ویقسّم ماله علی ورثته وتعتدّ امرأته عدّة المتوفّی عنها زوجها وعلی الإمام أن یقتله ولا یستتیبه</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موثّقه،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که پدر و مادرش مسلمان بودند، اگر از اسلام برگشت و نبوّت محمد صلی الله علیه و آله را انکار، و آن حضرت را تکذیب کرد، خونش برای هر کسی که ارتدادش را شنیده باشد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ارتداد، زنش از او جدا، و مالش بین ورثه‌اش تقسیم می‌شود و زنش عدّه‌ی وفات می‌گیرد؛ و بر امام واجب است او را بکشد و توبه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ظاهر عرفی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است که هم مسلمان بالاصل را بگیرد و هم محکوم به اسلام را به خاطر عدم بلوغ؟ تا نتیجه این باشد که اگر یک بچّه‌ی مسلمانی مقارن با بلوغ یا یک لحظه بعد از بلوغ ارتداد پیدا کرد او را نیز شامل شود؟</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واقعی و بالأصاله است؛ یعنی کسی که بعد از بلوغ اسلام را اختیار کرده باشد، بر چنین فردی اگر نبوّت نبیّ را انکار و رسالت آن حضرت را تکذیب</w:t>
      </w:r>
    </w:p>
    <w:p>
      <w:pPr>
        <w:pStyle w:val="BookText"/>
        <w:rPr/>
      </w:pPr>
      <w:r>
        <w:rPr>
          <w:rFonts w:ascii="IRNazanin" w:hAnsi="IRNazanin" w:eastAsia="IRNazanin"/>
          <w:color w:val="111111"/>
          <w:sz w:val="28"/>
          <w:sz w:val="28"/>
          <w:szCs w:val="28"/>
          <w:rtl w:val="true"/>
          <w:lang w:bidi="fa-IR"/>
        </w:rPr>
        <w:t>کند، احکام مرتدّ فطری از قتل و عدم پذیرش توبه مترتّب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با اختیار خودش اسلام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مسلم بالأصاله نمی‌توان انکار کرد؛ و در مسلمان تبعی و حکمی ظهور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فرد بعد از بلوغ با تشخیص و انتخاب خودش اسلام را به عنوان دین برگزید، ارتدادش فطری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الحسین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بخطّ رجل إلی أبی الحسن الرّضا علیه السلام رجل ولد علی الإسلام ثمّ کفر وأشرک وخرج من الإسلام هل یستتاب أو یقتل ولا یستتاب؟ فکتب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کیفیّت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صحیحه، راوی از امام علیه السلام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ولد علی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اصطلاح، به غیربالغ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نمی‌گویند؛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راوی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بالغی که بر اسلام ولادت یافته سپس کفر و شرک ورزید و از اسلام خارج شد، آیا توبه داده می‌شود یا او را به قتل می‌رسانند؟ امام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ولد علی الإسلام ثمّ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به‌کارگیری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فاصله‌ی بین اسلام و کفر را بیان می‌کند؛ اگر این حرف نبود، ممکن بود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و بلوغش مقارن بوده است ولی با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می‌فهمیم شرکش متأخّر از رجولیّت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فاصله‌ی بین رجولیّت و کفر، این فرد اسلام اصلی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روایت اقوای از روایت سابق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مرفوعه‌ی عثمان بن عیسی، عامل امیرالمؤمنین علیه السلام به آن حضرت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أصبت قوماً من المسلمین زنادقة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امام علیه السلام در جوابش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من کان من المسلمین ولد علی الفطرة ثمّ تزندق فاضرب عنقه ولا تستتبه ومن لم یولد منهم علی الفطرة فاستتبه، فإن تاب وإلّا فاضرب عنقه</w:t>
      </w:r>
      <w:r>
        <w:rPr>
          <w:rFonts w:eastAsia="IRNazanin" w:cs="IRNazanin"/>
          <w:color w:val="111111"/>
          <w:sz w:val="28"/>
          <w:szCs w:val="28"/>
          <w:rtl w:val="true"/>
          <w:lang w:bidi="fa-IR"/>
        </w:rPr>
        <w:t>».</w:t>
      </w:r>
      <w:r>
        <w:rPr>
          <w:rStyle w:val="FootnoteAnchor"/>
          <w:rtl w:val="true"/>
        </w:rPr>
        <w:footnoteReference w:id="650"/>
      </w:r>
      <w:r>
        <w:rPr>
          <w:rFonts w:ascii="IRNazanin" w:hAnsi="IRNazanin" w:eastAsia="IRNazanin"/>
          <w:color w:val="111111"/>
          <w:sz w:val="28"/>
          <w:sz w:val="28"/>
          <w:szCs w:val="28"/>
          <w:rtl w:val="true"/>
          <w:lang w:bidi="fa-IR"/>
        </w:rPr>
        <w:t>بیان امیرمؤمنان علیه السلام جواب یک واقعه‌ی</w:t>
      </w:r>
      <w:bookmarkStart w:id="908" w:name="pg16923_220479"/>
    </w:p>
    <w:p>
      <w:pPr>
        <w:pStyle w:val="BookText"/>
        <w:rPr/>
      </w:pPr>
      <w:bookmarkEnd w:id="908"/>
      <w:r>
        <w:rPr>
          <w:rFonts w:ascii="IRNazanin" w:hAnsi="IRNazanin" w:eastAsia="IRNazanin"/>
          <w:color w:val="111111"/>
          <w:sz w:val="28"/>
          <w:sz w:val="28"/>
          <w:szCs w:val="28"/>
          <w:rtl w:val="true"/>
          <w:lang w:bidi="fa-IR"/>
        </w:rPr>
        <w:t>خارجی است؛ ولی تعبیری روشن دارد؛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من کان من المسلمین ولد علی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مفید آن است که باید به عنوان یک اصل و حقیقت، اسلامشان قبل از حالت زندقه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آیا تعبیر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من المسلمین ولد علی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بچّه مسلمانی که بالغ شده و اسلامش به تبع والدینش بوده است، می‌شود؟ و آیا عامل آن حضرت نسبت به قتل چنین کودکانی بدون توبه می‌تواند اقدام کند یا باید مسلمان بودن طرف را احراز کند؟</w:t>
      </w:r>
    </w:p>
    <w:p>
      <w:pPr>
        <w:pStyle w:val="BookText"/>
        <w:rPr/>
      </w:pP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بالأصاله است و شامل مسلمان حکمی و تبعی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مجموعه‌ی این چند روایت، همان نتیجه‌ای را می‌گیریم که امام راحل در کتاب میراث بیان نمودند</w:t>
      </w:r>
      <w:r>
        <w:rPr>
          <w:rFonts w:eastAsia="IRNazanin" w:cs="IRNazanin"/>
          <w:color w:val="111111"/>
          <w:sz w:val="28"/>
          <w:szCs w:val="28"/>
          <w:rtl w:val="true"/>
          <w:lang w:bidi="fa-IR"/>
        </w:rPr>
        <w:t>.</w:t>
      </w:r>
    </w:p>
    <w:p>
      <w:pPr>
        <w:pStyle w:val="Heading6"/>
        <w:numPr>
          <w:ilvl w:val="5"/>
          <w:numId w:val="1"/>
        </w:numPr>
        <w:rPr/>
      </w:pPr>
      <w:bookmarkStart w:id="909" w:name="__RefHeading___Toc162777_3244359995"/>
      <w:bookmarkStart w:id="910" w:name="_Toc355"/>
      <w:bookmarkEnd w:id="909"/>
      <w:r>
        <w:rPr>
          <w:rtl w:val="true"/>
        </w:rPr>
        <w:t>خصوصیّت سوّم</w:t>
      </w:r>
      <w:r>
        <w:rPr>
          <w:rtl w:val="true"/>
        </w:rPr>
        <w:t xml:space="preserve">: </w:t>
      </w:r>
      <w:r>
        <w:rPr>
          <w:rtl w:val="true"/>
        </w:rPr>
        <w:t>اسلام أحد الوالدین</w:t>
      </w:r>
      <w:bookmarkEnd w:id="910"/>
    </w:p>
    <w:p>
      <w:pPr>
        <w:pStyle w:val="BookText"/>
        <w:rPr/>
      </w:pPr>
      <w:r>
        <w:rPr>
          <w:rFonts w:ascii="IRNazanin" w:hAnsi="IRNazanin" w:eastAsia="IRNazanin"/>
          <w:color w:val="111111"/>
          <w:sz w:val="28"/>
          <w:sz w:val="28"/>
          <w:szCs w:val="28"/>
          <w:rtl w:val="true"/>
          <w:lang w:bidi="fa-IR"/>
        </w:rPr>
        <w:t>شکّی نیست که اگر در حین انعقاد نطفه والدین هر دو مسلمان باشند، فرزند محکوم به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مسلّمات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فتوا موثّقه‌ی عمّار ساباطی است که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مسلم بین المسلمَین</w:t>
      </w:r>
      <w:r>
        <w:rPr>
          <w:rFonts w:eastAsia="IRNazanin" w:cs="IRNazanin"/>
          <w:color w:val="111111"/>
          <w:sz w:val="28"/>
          <w:szCs w:val="28"/>
          <w:rtl w:val="true"/>
          <w:lang w:bidi="fa-IR"/>
        </w:rPr>
        <w:t>»</w:t>
      </w:r>
      <w:r>
        <w:rPr>
          <w:rStyle w:val="FootnoteAnchor"/>
          <w:rtl w:val="true"/>
        </w:rPr>
        <w:footnoteReference w:id="651"/>
      </w:r>
      <w:r>
        <w:rPr>
          <w:rFonts w:ascii="IRNazanin" w:hAnsi="IRNazanin" w:eastAsia="IRNazanin"/>
          <w:color w:val="111111"/>
          <w:sz w:val="28"/>
          <w:sz w:val="28"/>
          <w:szCs w:val="28"/>
          <w:rtl w:val="true"/>
          <w:lang w:bidi="fa-IR"/>
        </w:rPr>
        <w:t>یعنی هر مسلمانی که از دو مسلمان به وجود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است که آیا برای حکم کردن به اسلام بچّه، اسلام احد الأبوین کافی است؟</w:t>
      </w:r>
    </w:p>
    <w:p>
      <w:pPr>
        <w:pStyle w:val="BookText"/>
        <w:rPr/>
      </w:pP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مسلم بین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فهمیده نمی‌شود به‌گونه‌ای که فقط در مورد متولّد از پدر و مادر مسلمان این حکم مترتّب باشد، بلکه روایت در مقام بیان این است که اگر والدین هر دو مسلمان بودند، بچّه اسلام تبعی پیدا می‌کند؛ امّا اثبات شیی‌ء نفی ماعدا نمی‌کند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مسلمان بودن طفل به تبع احدالوالدین دو دلیل اقامه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باب ارث در مورد فوت مرد مسلمانی رسیده است که زوجه یا کنیزش حامله باشد، باید به اندازه‌ی سهم دو پسر از ارث به عنوان این حمل کنار بگذاریم و مترصّد آینده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بچّه‌ای زنده متولّد شد سهم‌الارثش را به او بدهیم و مابقی را به ورثه برگردانیم؛ و اگر بچه سقط شد، آن‌چه کنار گذاشته‌اند، بین ورثه تقسیم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بحث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بچّه‌ی مسلمان در صورتی از میّت ارث می‌برد که مسلمان واقعی یا محکوم به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کافر واقعی یا حکمی، ارث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اطلاق دارد؛ گفته است اگر مَرد مسلمانی مُرد و همسرش حامله بود، اطلاق زوجه و کنیز شامل مسلمان و غیرمسلمان می‌شود؛ لذا، نتیجه می‌گیریم اگر بچّه‌ای زنده متولّد شد، چون پدرش مسلمان بوده، محکوم به اسلام است و ارث می‌برد؛ خواه مادرش مسلمان، نصرانی یا یهودی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معلوم می‌شود اسلام احدالأبوین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دلیل به وجود اطلاق در روایات است؛ و شرط اوّل اطلاق، در مقام بیان بودن متکلّم است از آن جهتی که می‌خواهیم اطلاق‌گیری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باب ارث فقط در مقام بیان عدم مانعیّت حمل برای ارث بردن است؛ بچّه‌ای که در شکم مادری باشد از پدرش ارث می‌برد به شرط این که زنده به دنیا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قسمت روایت می‌فهمید بین بچّه‌ای که از مادر مسلمان به دنیا بیاید با بچّه‌ای که مادرش کافر است،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به کفر و اسلام نظر ندارد؛ 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بودن جُرمی نیست که به سببش بچّه ارث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روایات باب ارث کاری به شرایط ارث ندارد؛ ممکن است بچّه‌ای از جهت حمل بودنش ممنوع از ارث نباشد؛ لیکن از جهت کفر مادرش از ارث محروم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در باب ارتداد مطرح است که باید آن‌ها را ملاحظه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عدّة من أصحابنا، عن أحمد بن محمّد بن عیسی، عن الحسین بن سعید، عن النّضر بن سوید، عن القاسم بن سلیمان، عن عبید بن زرارة، عن أبی عبد اللَّه علیه السلام فی الصّبی یختار الشّرک وهو بین أبویه،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لایترک وذاک إذا کان أحد أبویه نصرانیّاً</w:t>
      </w:r>
      <w:r>
        <w:rPr>
          <w:rFonts w:eastAsia="IRNazanin" w:cs="IRNazanin"/>
          <w:color w:val="111111"/>
          <w:sz w:val="28"/>
          <w:szCs w:val="28"/>
          <w:rtl w:val="true"/>
          <w:lang w:bidi="fa-IR"/>
        </w:rPr>
        <w:t>.</w:t>
      </w:r>
      <w:r>
        <w:rPr>
          <w:rStyle w:val="FootnoteAnchor"/>
          <w:rtl w:val="true"/>
        </w:rPr>
        <w:footnoteReference w:id="652"/>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معتبره، از امام صادق علیه السلام درباره‌ی کودکی پرسید که همراه</w:t>
      </w:r>
    </w:p>
    <w:p>
      <w:pPr>
        <w:pStyle w:val="BookText"/>
        <w:rPr/>
      </w:pPr>
      <w:r>
        <w:rPr>
          <w:rFonts w:ascii="IRNazanin" w:hAnsi="IRNazanin" w:eastAsia="IRNazanin"/>
          <w:color w:val="111111"/>
          <w:sz w:val="28"/>
          <w:sz w:val="28"/>
          <w:szCs w:val="28"/>
          <w:rtl w:val="true"/>
          <w:lang w:bidi="fa-IR"/>
        </w:rPr>
        <w:t>پدر و مادرش مشرک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نمی‌کنند به شرط این که یکی از والدینش نصرانی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جواب امام علیه السلام مسأله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بچّه‌ای که مشرک شده در کنار پدر و مادر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آنان نصرانی است، معلوم است که شرک را از همان گرفته است، اگر پدر و مادر هر دو نصرانی هستند، کاری به این بچّه ندارند؛ امّا اگر یکی از آنان نصرانی است، طبعاً دیگری مسلمان است و این بچّه محکوم به اسلام می‌باشد و تحت‌تأثیر احدالأبوین مشرک قرار گرفته است؛ بنابراین، او را رها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مستفاد از روایت، محکوم به اسلام بودن فرزندی است که احدالوالدینش مُسلِم باشند؛ و الّا اگر بین این بچّه با بچّه‌ای که پدر و مادرش نصرانی هستند، فرقی نباشد، چه خصوصیّتی برای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أحد أبویه نصرانیّاً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به بیان دیگر،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الصبیّ یختار الشرک وهو بین أبویه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می‌سازد با این که والدین هر دو مشرک باشند، یا یکی مشرک و دیگری مسلمان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امام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لایترک وذاک إذا کان أحد أبویه نصرانیّاً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عدم ترک در صورتی که یکی از آنان نصرانی باشد،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در این صورت، بچّه محکوم به اسلام است، لذا نباید او را رها کرد و باید به حسابش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حمید بن زیاد، عن الحسن بن محمّد بن سماعة، عن غیر واحد من أصحابه، عن أبان بن عثمان، عن بعض أصحابه، عن أبی عبد اللَّه علیه السلام فی الصّبی إذا شَبَّ فاختار النصرانیّة وأحد أبویه نصرانی أو مسلمَین،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یترک، ولکن یضرب علی الإسلام</w:t>
      </w:r>
      <w:r>
        <w:rPr>
          <w:rFonts w:eastAsia="IRNazanin" w:cs="IRNazanin"/>
          <w:color w:val="111111"/>
          <w:sz w:val="28"/>
          <w:szCs w:val="28"/>
          <w:rtl w:val="true"/>
          <w:lang w:bidi="fa-IR"/>
        </w:rPr>
        <w:t>.</w:t>
      </w:r>
      <w:r>
        <w:rPr>
          <w:rStyle w:val="FootnoteAnchor"/>
          <w:rtl w:val="true"/>
        </w:rPr>
        <w:footnoteReference w:id="653"/>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طریق کلینی رحمه الله مرسل است؛ امّا صدوق رحمه الله همین روایت را با اسناد خودش از فضاله نقل می‌کند که اسنادش به فضاله صحیح است و فضاله از أبان از امام صادق علیه السلام آن را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سند به روایت مرحوم صدوق صحیح و</w:t>
      </w:r>
      <w:bookmarkStart w:id="911" w:name="pg16923_220482"/>
    </w:p>
    <w:p>
      <w:pPr>
        <w:pStyle w:val="BookText"/>
        <w:rPr/>
      </w:pPr>
      <w:bookmarkEnd w:id="911"/>
      <w:r>
        <w:rPr>
          <w:rFonts w:ascii="IRNazanin" w:hAnsi="IRNazanin" w:eastAsia="IRNazanin"/>
          <w:color w:val="111111"/>
          <w:sz w:val="28"/>
          <w:sz w:val="28"/>
          <w:szCs w:val="28"/>
          <w:rtl w:val="true"/>
          <w:lang w:bidi="fa-IR"/>
        </w:rPr>
        <w:t>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پیرامون کودکی که پس از بلوغ نصرانی شد در حالی که یکی از والدینش نصرانی یا هر دو مسلمان بودند،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نمی‌کنند، بلکه کتکش می‌زنند تا به اسلام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دلالت این روایت روشن‌تر از روایت قبل است؛ لیکن اشکال ادبی در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ظاهراً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 روایت سقط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نتیجه‌ی بحث‌های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خصوصیّتی که لازم بود در مرتدّ فطری بحث شود، چنین نتیجه گرفتیم که ملاک در حکم کردن به اسلام طفل، زمان انعقاد نطفه است، و اسلام احدالوالدین کفایت می‌کند؛ شرط اجرای احکام مرتدّ فطری بر چنین فردی نیز گذشتن برهه‌ای از زمان پس از بلوغ است که در آن، اسلام اصیل و واقعی را اختیار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پس از بلوغ، اسلام واقعی را اختیار کرد و سپس مرتدّ شد، عنوان ارتداد بر وی صادق است؛ زیرا، معنای ارتداد، رجوع از اسلام حقیقی به کفر حقیقی است</w:t>
      </w:r>
      <w:r>
        <w:rPr>
          <w:rFonts w:eastAsia="IRNazanin" w:cs="IRNazanin"/>
          <w:color w:val="111111"/>
          <w:sz w:val="28"/>
          <w:szCs w:val="28"/>
          <w:rtl w:val="true"/>
          <w:lang w:bidi="fa-IR"/>
        </w:rPr>
        <w:t>.</w:t>
      </w:r>
    </w:p>
    <w:p>
      <w:pPr>
        <w:pStyle w:val="Heading5"/>
        <w:numPr>
          <w:ilvl w:val="4"/>
          <w:numId w:val="1"/>
        </w:numPr>
        <w:rPr/>
      </w:pPr>
      <w:bookmarkStart w:id="912" w:name="__RefHeading___Toc162779_3244359995"/>
      <w:bookmarkStart w:id="913" w:name="_Toc356"/>
      <w:bookmarkEnd w:id="912"/>
      <w:r>
        <w:rPr>
          <w:rtl w:val="true"/>
        </w:rPr>
        <w:t>خصوصیّت مرتدّ ملی</w:t>
      </w:r>
      <w:bookmarkEnd w:id="913"/>
    </w:p>
    <w:p>
      <w:pPr>
        <w:pStyle w:val="BookText"/>
        <w:rPr/>
      </w:pPr>
      <w:r>
        <w:rPr>
          <w:rFonts w:ascii="IRNazanin" w:hAnsi="IRNazanin" w:eastAsia="IRNazanin"/>
          <w:color w:val="111111"/>
          <w:sz w:val="28"/>
          <w:sz w:val="28"/>
          <w:szCs w:val="28"/>
          <w:rtl w:val="true"/>
          <w:lang w:bidi="fa-IR"/>
        </w:rPr>
        <w:t>امام راحل رحمه الله در تحریرالوسیله در باب ارث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ملّی کسی است که در زمان انعقاد نطفه‌اش والدین او هر دو کافر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بحث مرتدّ فطری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این است که آیا باید پس از بلوغ یک کفر اصیل و واقعی را انتخاب کند، و سپس اسلام واقعی را بپذیرد تا ارتدادش ملّی باشد یا اگر بدون فاصله پس از بلوغ اسلام را اختیار کرد و سپس کافر شد، باز مرتدّ ملّی بر او صادق است؟</w:t>
      </w:r>
    </w:p>
    <w:p>
      <w:pPr>
        <w:pStyle w:val="BookText"/>
        <w:rPr/>
      </w:pPr>
      <w:r>
        <w:rPr>
          <w:rFonts w:ascii="IRNazanin" w:hAnsi="IRNazanin" w:eastAsia="IRNazanin"/>
          <w:color w:val="111111"/>
          <w:sz w:val="28"/>
          <w:sz w:val="28"/>
          <w:szCs w:val="28"/>
          <w:rtl w:val="true"/>
          <w:lang w:bidi="fa-IR"/>
        </w:rPr>
        <w:t>امام رحمه الله در آن بحث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بعد از بلوغ، کفر واقعی را اختیار کند و پس از آن مسلمان گردد، سپس کافر شود تا ارتدادش ملّی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آیا این مطلب از روایات استفاده می‌شود؟</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عن العمرکی بن علیّ، عن علیّ بن جعفر، عن أخیه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مسلم تنصّر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ولا یستتاب،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فنصرانی أسلم ثمّ</w:t>
      </w:r>
    </w:p>
    <w:p>
      <w:pPr>
        <w:pStyle w:val="BookText"/>
        <w:rPr/>
      </w:pPr>
      <w:r>
        <w:rPr>
          <w:rFonts w:ascii="IRNazanin" w:hAnsi="IRNazanin" w:eastAsia="IRNazanin"/>
          <w:color w:val="111111"/>
          <w:sz w:val="28"/>
          <w:sz w:val="28"/>
          <w:szCs w:val="28"/>
          <w:rtl w:val="true"/>
          <w:lang w:bidi="fa-IR"/>
        </w:rPr>
        <w:t>ارتدّ،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یستتاب فإن رجع وإلّا قتل</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صحیحه، علی بن جعفر از برادرش موسی بن جعفر علیهما السلام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مسلمانی نصرانی شد؛ چه حکمی دارد؟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می‌کشند و توبه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اسلام آورد، سپس مرتدّ شد؟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می‌دهند؛ اگر دست از کفر برداشت که هیچ؛ وگرنه او را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همان طور که در روایت عمّار ساباطی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مسلمان حقیقی و 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نیز در معنای نصرانی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نصرانی حقیقی و بالأصالة، یعنی کسی که بعد از بلوغ با نیروی عقلش نصرانیّت را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چنین فردی اسلام آورد یعنی واقعاً مسلمان شد؛ و سپس مرتدّ گشت؛ یعنی سه حالت کفر، اسلام، کفر، پس از بلوغ برایش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جمله‌ی اوّل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تنصّر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مرتدّ فطری و جمله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نصرانی أسلم ثمّ ارتدّ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ارتداد ملّی دلالت دارد؛ به صورتی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داریم روایت در مرتدّ فطری و مرتدّ ملّی، بر اسلام و کفر حقیقی تکیه دارد، لیکن به چه دلیل مرتدّ ملّی، مختصّ به همین فرد باشد؟ در این روایت یک مصداق روشن از مرتدّ ملّی را ذکر کرده‌اند، ممکن است دو فرد و دو مصداق داشته باشد که علیّ بن جعفر از یک موردش پرسیده و امام علیه السلام نیز پاسخ همان مورد را داده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ثبوت حکم مرتدّ ملّی در غیر این صورت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مکاتبه‌ی والی امیرمؤمنان علیه السلام به آن حضرت این جمله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من کان من المسلمین ولد علی الفطرة ثمّ تزندق فاضرب عنقه ولا تستتبه، ومن لم یولد منهم علی الفطرة فاستتبه فإن تاب وإلّا فاضرب عنقه </w:t>
      </w:r>
      <w:r>
        <w:rPr>
          <w:rFonts w:eastAsia="IRNazanin" w:cs="IRNazanin"/>
          <w:color w:val="111111"/>
          <w:sz w:val="28"/>
          <w:szCs w:val="28"/>
          <w:rtl w:val="true"/>
          <w:lang w:bidi="fa-IR"/>
        </w:rPr>
        <w:t>...».</w:t>
      </w:r>
      <w:r>
        <w:rPr>
          <w:rStyle w:val="FootnoteAnchor"/>
          <w:rtl w:val="true"/>
        </w:rPr>
        <w:footnoteReference w:id="655"/>
      </w:r>
      <w:r>
        <w:rPr>
          <w:rFonts w:ascii="IRNazanin" w:hAnsi="IRNazanin" w:eastAsia="IRNazanin"/>
          <w:color w:val="111111"/>
          <w:sz w:val="28"/>
          <w:sz w:val="28"/>
          <w:szCs w:val="28"/>
          <w:rtl w:val="true"/>
          <w:lang w:bidi="fa-IR"/>
        </w:rPr>
        <w:t>امام علیه السلام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مسلمان‌ها که زندیق شده و بر فطرت متولّد نشده‌اند، آنان را توبه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قسمت روایت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که زندیق شده باید قبل از اسلامش یک حالت کفری بعد از</w:t>
      </w:r>
      <w:bookmarkStart w:id="914" w:name="pg16923_220484"/>
    </w:p>
    <w:p>
      <w:pPr>
        <w:pStyle w:val="BookText"/>
        <w:rPr/>
      </w:pPr>
      <w:bookmarkEnd w:id="914"/>
      <w:r>
        <w:rPr>
          <w:rFonts w:ascii="IRNazanin" w:hAnsi="IRNazanin" w:eastAsia="IRNazanin"/>
          <w:color w:val="111111"/>
          <w:sz w:val="28"/>
          <w:sz w:val="28"/>
          <w:szCs w:val="28"/>
          <w:rtl w:val="true"/>
          <w:lang w:bidi="fa-IR"/>
        </w:rPr>
        <w:t>بلوغ داشته باشد؟ و در حقیقت، روایت توسعه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مرفوعه است و اعتباری ندارد؛ در حالی که روایت علی بن جعفر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عنوان مؤیّدی علاوه بر صحیحه‌ی حسین بن سعید آن را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دلیل معتبری بر ترتّب احکام مرتدّ ملّی بر فردی که نطفه‌اش بر کفر منعقد شد، لیکن بلافاصله قبل از بلوغ اسلام آورد و سپس مرتدّ شده است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 استفاده می‌شود محل حکومت عامل امیرمؤمنان علیه السلام جایی بوده است که مسلمان و نصرانی در کنار هم زندگی می‌کرده‌اند؛ زیرا، به امام علیه السلام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أصبت قوماً من المسلمین زنادقة وقوماً من النصاری زنادقة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روایت اطلاقی ندارد که موردی را که حالت نصرانیّت مقارن یا بعد از بلوغ نباشد، شامل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مناقشه را می‌توان دفع کرد؛ لیکن عمده همان اشکال سندی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مرتدّ فطری، باید پس از بلوغ، اسلام را با عقلش پذیرفته باشد علاوه بر این که در زمان انعقاد نطفه‌اش والدین یا یکی از آنان مسلمان باشد و در مرتدّ ملّی نیز باید پس از بلوغ یک کفر بالاصاله‌ای پیدا کند، سپس اسلام بالاصاله‌ای بیاورد و پس از آن مرتدّ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با کلمه‌ی ارتداد نیز مساعدت دارد</w:t>
      </w:r>
      <w:r>
        <w:rPr>
          <w:rFonts w:eastAsia="IRNazanin" w:cs="IRNazanin"/>
          <w:color w:val="111111"/>
          <w:sz w:val="28"/>
          <w:szCs w:val="28"/>
          <w:rtl w:val="true"/>
          <w:lang w:bidi="fa-IR"/>
        </w:rPr>
        <w:t>.</w:t>
      </w:r>
    </w:p>
    <w:p>
      <w:pPr>
        <w:pStyle w:val="Heading5"/>
        <w:numPr>
          <w:ilvl w:val="4"/>
          <w:numId w:val="1"/>
        </w:numPr>
        <w:rPr/>
      </w:pPr>
      <w:bookmarkStart w:id="915" w:name="__RefHeading___Toc162781_3244359995"/>
      <w:bookmarkStart w:id="916" w:name="_Toc357"/>
      <w:bookmarkEnd w:id="915"/>
      <w:r>
        <w:rPr>
          <w:rtl w:val="true"/>
        </w:rPr>
        <w:t>احکام مرتدّ فطری</w:t>
      </w:r>
      <w:bookmarkEnd w:id="916"/>
    </w:p>
    <w:p>
      <w:pPr>
        <w:pStyle w:val="BookText"/>
        <w:rPr/>
      </w:pPr>
      <w:r>
        <w:rPr>
          <w:rFonts w:ascii="IRNazanin" w:hAnsi="IRNazanin" w:eastAsia="IRNazanin"/>
          <w:color w:val="111111"/>
          <w:sz w:val="28"/>
          <w:sz w:val="28"/>
          <w:szCs w:val="28"/>
          <w:rtl w:val="true"/>
          <w:lang w:bidi="fa-IR"/>
        </w:rPr>
        <w:t>امام راحل در تحریرالوسیله در باب ارث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توبه‌ی مردی که ارتدادش فطری باشد، مقبول نیست و باید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زوجه‌اش از او جدا می‌شود و باید عدّه‌ی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ماه و ده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اموالش نیز بین ورثه‌اش تقسیم می‌گردد؛ یعنی شارع به سبب ارتداد از او سلب مالکیّت کرده و حکم موت را بر او جاری می‌کند؛ و همان‌طور که به سبب مرگ اموالش به ورثه منتقل می‌شود، ارتداد نیز همان خصوصیّت را دارد</w:t>
      </w:r>
      <w:r>
        <w:rPr>
          <w:rFonts w:eastAsia="IRNazanin" w:cs="IRNazanin"/>
          <w:color w:val="111111"/>
          <w:sz w:val="28"/>
          <w:szCs w:val="28"/>
          <w:rtl w:val="true"/>
          <w:lang w:bidi="fa-IR"/>
        </w:rPr>
        <w:t>.</w:t>
      </w:r>
    </w:p>
    <w:p>
      <w:pPr>
        <w:pStyle w:val="Heading5"/>
        <w:numPr>
          <w:ilvl w:val="4"/>
          <w:numId w:val="1"/>
        </w:numPr>
        <w:rPr/>
      </w:pPr>
      <w:bookmarkStart w:id="917" w:name="__RefHeading___Toc162783_3244359995"/>
      <w:bookmarkStart w:id="918" w:name="_Toc358"/>
      <w:bookmarkEnd w:id="917"/>
      <w:r>
        <w:rPr>
          <w:rtl w:val="true"/>
        </w:rPr>
        <w:t>توبه‌ی مرتدّ فطری</w:t>
      </w:r>
      <w:bookmarkEnd w:id="918"/>
    </w:p>
    <w:p>
      <w:pPr>
        <w:pStyle w:val="BookText"/>
        <w:rPr/>
      </w:pPr>
      <w:r>
        <w:rPr>
          <w:rFonts w:ascii="IRNazanin" w:hAnsi="IRNazanin" w:eastAsia="IRNazanin"/>
          <w:color w:val="111111"/>
          <w:sz w:val="28"/>
          <w:sz w:val="28"/>
          <w:szCs w:val="28"/>
          <w:rtl w:val="true"/>
          <w:lang w:bidi="fa-IR"/>
        </w:rPr>
        <w:t>در مورد توبه‌ی مرتدّ فطری سه احتمال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و باطناً قبول نمی‌شود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باطن قبول است، ولی در ظاهر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توبه‌ی مرتدّ فطری مانند مرتدّ ملّی</w:t>
      </w:r>
      <w:bookmarkStart w:id="919" w:name="pg16923_220485"/>
    </w:p>
    <w:p>
      <w:pPr>
        <w:pStyle w:val="BookText"/>
        <w:rPr/>
      </w:pPr>
      <w:bookmarkEnd w:id="91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اسکافی رحمه الله احتمال سوّم را نسبت داده‌اند؛</w:t>
      </w:r>
      <w:r>
        <w:rPr>
          <w:rStyle w:val="FootnoteAnchor"/>
          <w:rtl w:val="true"/>
        </w:rPr>
        <w:footnoteReference w:id="656"/>
      </w:r>
      <w:r>
        <w:rPr>
          <w:rFonts w:ascii="IRNazanin" w:hAnsi="IRNazanin" w:eastAsia="IRNazanin"/>
          <w:color w:val="111111"/>
          <w:sz w:val="28"/>
          <w:sz w:val="28"/>
          <w:szCs w:val="28"/>
          <w:rtl w:val="true"/>
          <w:lang w:bidi="fa-IR"/>
        </w:rPr>
        <w:t>یعنی اگر توبه کرد، تمام احکام مذکور لغو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نظر، توبه‌اش ظاهراً و باطناً قبول می‌شود</w:t>
      </w:r>
      <w:r>
        <w:rPr>
          <w:rFonts w:eastAsia="IRNazanin" w:cs="IRNazanin"/>
          <w:color w:val="111111"/>
          <w:sz w:val="28"/>
          <w:szCs w:val="28"/>
          <w:rtl w:val="true"/>
          <w:lang w:bidi="fa-IR"/>
        </w:rPr>
        <w:t>.</w:t>
      </w:r>
    </w:p>
    <w:p>
      <w:pPr>
        <w:pStyle w:val="Heading5"/>
        <w:numPr>
          <w:ilvl w:val="4"/>
          <w:numId w:val="1"/>
        </w:numPr>
        <w:rPr/>
      </w:pPr>
      <w:bookmarkStart w:id="920" w:name="__RefHeading___Toc162785_3244359995"/>
      <w:bookmarkStart w:id="921" w:name="_Toc359"/>
      <w:bookmarkEnd w:id="920"/>
      <w:r>
        <w:rPr>
          <w:rtl w:val="true"/>
        </w:rPr>
        <w:t>مقصود از ظاهر و باطن</w:t>
      </w:r>
      <w:bookmarkEnd w:id="921"/>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باطن، عالم آخرت است؛ یعنی اگر از مرتدّ فطری توبه‌ی جدّی سر زند و واقعاً توبه کند، توبه‌اش باطناً پذیرفته می‌شود و با آن توبه، او را در آخرت عقاب نمی‌کنند و به جهنّم نمی‌رود؛ جهنّمی که برای کافران مهیّا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ظاهر، احکام عالم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کافر نجس است، مرتدّ فطری نجاستی شدیدتر از او دارد؛ زیرا، با توبه نجاست او از بین نمی‌رود و عباداتش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به‌جهت این که صحّت عمل عبادی مشروط به اسلام است و این فرد غیرمسلمان است؛ پس از ارتداد، حقّ ازدواج با زن مسلمان را ندارد، حتّی پس از توبه به همسر سابقش نمی‌تواند رجوع کرده یا با او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توبه‌اش نسبت به این عالم و احکام شرعی آن هیچ اثری ندارد؛ گویا از او توبه‌ای سر نزده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اشکال بر احتمال اوّل</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رحمه الله در شرایع تعبیر جالبی دارد</w:t>
      </w:r>
      <w:r>
        <w:rPr>
          <w:rFonts w:eastAsia="IRNazanin" w:cs="IRNazanin"/>
          <w:color w:val="111111"/>
          <w:sz w:val="28"/>
          <w:szCs w:val="28"/>
          <w:rtl w:val="true"/>
          <w:lang w:bidi="fa-IR"/>
        </w:rPr>
        <w:t>.</w:t>
      </w:r>
      <w:r>
        <w:rPr>
          <w:rStyle w:val="FootnoteAnchor"/>
          <w:rtl w:val="true"/>
        </w:rPr>
        <w:footnoteReference w:id="657"/>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یقبل إسلامه لو رجع، یتحتّم قتله وتبین منه زوجته وتعتدّ منه عدّة الوفاة وتقسم أمواله بین ورثته وإن التحق بدار الحرب أو اعتصم بما یحول بین الإمام وقتله</w:t>
      </w:r>
      <w:r>
        <w:rPr>
          <w:rFonts w:eastAsia="IRNazanin" w:cs="IRNazanin"/>
          <w:color w:val="111111"/>
          <w:sz w:val="28"/>
          <w:szCs w:val="28"/>
          <w:rtl w:val="true"/>
          <w:lang w:bidi="fa-IR"/>
        </w:rPr>
        <w:t>».</w:t>
      </w:r>
      <w:r>
        <w:rPr>
          <w:rStyle w:val="FootnoteAnchor"/>
          <w:rtl w:val="true"/>
        </w:rPr>
        <w:footnoteReference w:id="658"/>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احکام باید بر مرتدّ فطری بار شود؛ هر چند مرتدّ فطری به یک کشور بیگانه پناهنده و کافر حربی گردد یا</w:t>
      </w:r>
    </w:p>
    <w:p>
      <w:pPr>
        <w:pStyle w:val="BookText"/>
        <w:rPr/>
      </w:pPr>
      <w:r>
        <w:rPr>
          <w:rFonts w:ascii="IRNazanin" w:hAnsi="IRNazanin" w:eastAsia="IRNazanin"/>
          <w:color w:val="111111"/>
          <w:sz w:val="28"/>
          <w:sz w:val="28"/>
          <w:szCs w:val="28"/>
          <w:rtl w:val="true"/>
          <w:lang w:bidi="fa-IR"/>
        </w:rPr>
        <w:t>نقشه‌ای بکشد که حاکم شرع نتواند او را به قتل برساند؛ مانند این که خود را مخفی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فرد پس از توبه، مکلّف به عبادت است؟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تکلیفی نسبت به عبادات ندارد، لازمه‌اش وجود فردی با عقل و کمال و تمیز است که از دایره‌ی تکلیف به نماز، روزه، حجّ و سایر عبادات خارج است؛ در حالی که کفّار مکلّف به فروع‌اند، همان‌گونه که مکلّف به اصول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توجیه این مطلب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برای کفّار باز است، می‌توانند مسلمان شوند و نماز صحیح بخوانند؛ زیرا، نماز با کفر صحیح نیست؛ و شرط صحّت عبادات، اسلام فاعل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پس از توبه، مکلّف به عبادات است، با قبول نشدن توبه‌اش قدرت بر انجام عبادت ندارد؛ زیرا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تکلیف در حقّش، تکلیف به غیرمقدور است و راهی برای تصحیح عباداتش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فقها در باب قضای نماز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مرتدّ فطری از ارتدادش توبه کرد، باید نمازهای زمان ارتدادش را قضا کند؛ زیرا، در حال ارتداد اگر نماز نخوانده است، به سبب فوت شدن نماز باید قضا کند؛ و اگر نماز خوانده است به واسطه‌ی کفر، آن نمازها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فتوای فقها در مسأله قضای نماز دلیل قبول توبه‌ی مرتدّ فطری در ظاهر است؛ و بر وجوب قضا اجماع شده است؛ بلکه سیّد مرتضی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بر وجوب قضای نماز و عبادات فوت شده‌ی در حال ارتداد اجماع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فقیه کاری به قبول و عدم قبول عبادت ندارد، بلکه دنبال صحّت و فساد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وجوب قضا فتوا می‌دهد، معنایش این است که اگر انجام داد، صحیح خواهد بود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قبول عبادت، ربطی به فقیه ندارد و بحث دیگری است که إِنَّمَا یَتَقَبَّلُ اللَّهُ مِنَ الْمُتَّقِینَ</w:t>
      </w:r>
      <w:r>
        <w:rPr>
          <w:rFonts w:eastAsia="IRNazanin" w:cs="IRNazanin"/>
          <w:color w:val="111111"/>
          <w:sz w:val="28"/>
          <w:szCs w:val="28"/>
          <w:rtl w:val="true"/>
          <w:lang w:bidi="fa-IR"/>
        </w:rPr>
        <w:t>.</w:t>
      </w:r>
      <w:r>
        <w:rPr>
          <w:rStyle w:val="FootnoteAnchor"/>
          <w:rtl w:val="true"/>
        </w:rPr>
        <w:footnoteReference w:id="659"/>
      </w:r>
      <w:r>
        <w:rPr>
          <w:rFonts w:ascii="IRNazanin" w:hAnsi="IRNazanin" w:eastAsia="IRNazanin"/>
          <w:color w:val="111111"/>
          <w:sz w:val="28"/>
          <w:sz w:val="28"/>
          <w:szCs w:val="28"/>
          <w:rtl w:val="true"/>
          <w:lang w:bidi="fa-IR"/>
        </w:rPr>
        <w:t>از این رو، روایاتی</w:t>
      </w:r>
      <w:r>
        <w:rPr>
          <w:rStyle w:val="FootnoteAnchor"/>
          <w:rtl w:val="true"/>
        </w:rPr>
        <w:footnoteReference w:id="660"/>
      </w:r>
      <w:r>
        <w:rPr>
          <w:rFonts w:ascii="IRNazanin" w:hAnsi="IRNazanin" w:eastAsia="IRNazanin"/>
          <w:color w:val="111111"/>
          <w:sz w:val="28"/>
          <w:sz w:val="28"/>
          <w:szCs w:val="28"/>
          <w:rtl w:val="true"/>
          <w:lang w:bidi="fa-IR"/>
        </w:rPr>
        <w:t>داریم که مفادش قبول شدن نمازی است که در تمام اجزایش متوجّه پروردگارش باشد؛ اگر در مقداری از آن توجّه داشته باشد، همان مقدار مقبول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اشکال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آیه‌ی شریفه‌ای که حکم ارتداد را بیان کرده است استفاده می‌شود توبه‌ی مرتدّ فطری قبول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یَرْتَدِدْ مِنکُمْ عَن دِینِهِ‌ی فَیَمُتْ وَهُوَ کَافِرٌ فَأُوْللِکَ حَبِطَتْ أَعْملُهُمْ فِی الدُّنْیَا وَالْأَخِرَةِ وَأُوْللِکَ أَصْحبُ النَّارِ هُمْ فِیهَا خلِدُونَ</w:t>
      </w:r>
      <w:r>
        <w:rPr>
          <w:rFonts w:eastAsia="Amiri" w:cs="Amiri" w:ascii="Amiri" w:hAnsi="Amiri"/>
          <w:color w:val="111111"/>
          <w:sz w:val="28"/>
          <w:szCs w:val="28"/>
          <w:rtl w:val="true"/>
          <w:lang w:bidi="ar-SA"/>
        </w:rPr>
        <w:t>.</w:t>
      </w:r>
      <w:r>
        <w:rPr>
          <w:rStyle w:val="FootnoteAnchor"/>
          <w:rtl w:val="true"/>
        </w:rPr>
        <w:footnoteReference w:id="6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از شما که از دینشان برگردند و کافر بمیرند، اعمالشان در دنیا و آخرت باطل می‌گردد و آنان اصحاب آتش‌اند و در آن مخلّد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قرار است توبه‌ی مرتدّ فطری قبول نشود، پس چرا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فیمت وهو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 در این صورت، فرقی نمی‌کند ارتداد تا هنگام مرگ ادامه پیدا 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بیانگر فرق بین ارتدادی است که تا مرگ ادامه پیدا کند و ارتدادی که استمرارش با توبه از بین برود؛ که در آن صورت، حکم عوض شده و جزایی که در آن مطرح است بر شخص مترتّب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مورد مرتدّ ملّی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اطلاق دارد و مرتدّ فطری و ملّی، هر دو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اطلاقش نیز مؤثّر بودن توبه برای مرتدّ فطری و 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صاحب جواهر رحمه الله بر دو اشکال</w:t>
      </w:r>
    </w:p>
    <w:p>
      <w:pPr>
        <w:pStyle w:val="BookText"/>
        <w:rPr/>
      </w:pPr>
      <w:r>
        <w:rPr>
          <w:rFonts w:ascii="IRNazanin" w:hAnsi="IRNazanin" w:eastAsia="IRNazanin"/>
          <w:color w:val="111111"/>
          <w:sz w:val="28"/>
          <w:sz w:val="28"/>
          <w:szCs w:val="28"/>
          <w:rtl w:val="true"/>
          <w:lang w:bidi="fa-IR"/>
        </w:rPr>
        <w:t>ایشان در نقد اشکال اوّل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می‌کنیم مرتدّ مکلّف به عبادت است؛ امّا در عین حال عبادتش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قدرت بر انجام دادن عبادت ندارد، مسبّب این امتناع خودش است؛ زیرا، با اختیار مرتدّ شده است و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الإمتناع بالإختیار لا ینافی الإختیار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با اراده‌ی خود مرتدّ شده و قدرتش را نسبت به انجام عبادت از بین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کار سلب قدرت می‌گویند، نه غیر مقدور؛ زیرا، این امتناع منافاتی با اختیار ندارد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اختیار کنیم مکلّف به عبادت نیست، باز هم محذوری پیش نمی‌آید؛ زیرا، شارع او را میّت فرض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به همسرش دستور می‌دهد عدّه‌ی وفات بگیرد؛ اموالش را بین ورثه تقسیم کنند؛ لذا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تکلیفی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فقها مسأله‌ی نماز قضا را در رابطه‌ی با مطلب دیگری مطرح می‌کنند، می‌خواهند بین کافر و مرتدّ فرق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کافر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یجبّ ما قبله</w:t>
      </w:r>
      <w:r>
        <w:rPr>
          <w:rFonts w:eastAsia="IRNazanin" w:cs="IRNazanin"/>
          <w:color w:val="111111"/>
          <w:sz w:val="28"/>
          <w:szCs w:val="28"/>
          <w:rtl w:val="true"/>
          <w:lang w:bidi="fa-IR"/>
        </w:rPr>
        <w:t>».</w:t>
      </w:r>
      <w:r>
        <w:rPr>
          <w:rStyle w:val="FootnoteAnchor"/>
          <w:rtl w:val="true"/>
        </w:rPr>
        <w:footnoteReference w:id="662"/>
      </w:r>
      <w:r>
        <w:rPr>
          <w:rFonts w:ascii="IRNazanin" w:hAnsi="IRNazanin" w:eastAsia="IRNazanin"/>
          <w:color w:val="111111"/>
          <w:sz w:val="28"/>
          <w:sz w:val="28"/>
          <w:szCs w:val="28"/>
          <w:rtl w:val="true"/>
          <w:lang w:bidi="fa-IR"/>
        </w:rPr>
        <w:t>لذا، عبادت‌های زمان کفرش قضا ندارد؛ به خلاف مرتدّ که عبادات زمان ارتدادش را باید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بحث نکرده‌اند از کدام مرتدّ فطری قضا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نظرشان به زن مرتدّ فطری باشد که توبه‌اش قبول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طرح وجوب قضای عبادات فوت شده در زمان ارتداد فقط به خاطر فرق گذاشتن بین باب کفر و ارتداد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مرد مرتدّ فطری به علّت عدم امکان قضا، از مسأله خارج باشد و این خروج، سبب نمی‌شود مسأله بدون مورد باقی بماند؛ زیرا، زنی که مرتدّ فطری است موضوع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صاحب جواهر رحمه الله مایل به همین احتمال اوّل است؛ زیرا، در ادامه‌ی کلامش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رابطه‌ی با توبه دو دسته دلیل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ادلّه‌ای که به‌طور کلّی و مطلق در باب توبه وارد شده مبنی بر این که خداوند توبه‌ی هر گناهکاری را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نصّ در عدم قبول توبه‌ی مرتدّ فطری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دسته دلیل با هم معارض‌اند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عمومات و مطلقات اقتضای قبول توبه‌ی مرتدّ را دارد، امّا نصوص خاص بر عدم قبول توبه‌ی مرتدّ فطری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شهرت، مرجّح روایات عدم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ترجیح، شبهه و اشکال شود و نوبت به مقام شکّ برسد، استصحاب بر عدم قبول توبه‌ی مرتدّ فطری دلالت دارد؛ زیرا، یقین داریم قبل از تحقّق توبه این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نجاست بدن، بطلان نکاح و عبادات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بود، شکّ می‌کنیم آیا با توبه آن احکام زائل شد یا نه، مقتضای استصحاب بقای احکام است</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نقد بیان صاحب جواهر رحمه الله</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مطلبی مورد اتّفاق که جای تردید نیست، این است که اگر مرتدّ فطری توبه کند و توبه‌اش مقبول هم واقع شود، ربطی به قتلش ندارد؛ یعنی کسانی که توبه‌اش را قبول می‌دانند،</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توبه، حدّ قتلش ساقط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دیگری که مسلّم و اتّفاقی است، این است که توبه‌ی مرتدّ فطری سبب نمی‌شود علقه‌ی زوجیّتی که بین او و زوجه‌اش بود برگردد و نیازی به عقد جدید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توبه‌اش مانند رجوع در طلاق رجعی نیست که سبب بازگشت علقه‌ی سابق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دو نکته، محل نزاع و بحث در غیر این دو حکم است؛ آیا با توبه، کفر و نجاستش مبدّل به طهارت می‌شود؟ آیا حقّ دارد با زن مسلمانی ازدواج کند؟ بیانات صاحب جواهر رحمه الله وافی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باید دلیل اقامه کند که توبه‌ی مرتدّ فطری کفرش را از بین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بالاختیار لا ینافی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در این‌جا پیاده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شانزده ساله‌ای از روی جهالت و نادانی، سخنی گفت و مرتدّ شد، پس از توجّه، توبه کرد، آیا هیچ عبادت صحیحی نمی‌تواند انجام دهد؟ اگر نودسال عمر کند به او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بالغ عاقل صاحب تمیز و شعور، نماز شما فایده‌ای ندارد؛ شارع تو را میّت فرض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اگر شارع فرمان داد زنش عدّه‌ی وفات نگاه دارد و اموالش تقسیم شود، معنایش آن است که این فرد میّتی به تمام معناست؛ حتّی معامله و خرید و فروش با او صحیح نیست؟ به او نمی‌توان چیزی را هبه یا صلح کرد، ارث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شارع در دو مورد احکام میّت را تعبّداً بر اوبار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زوجه‌اش عدّه‌ی وفات نگه دارد و اموالش بین ورثه تقسیم شود،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آثار، او را به منزله‌ی میّت دانسته است؟ اگر توبه‌ی واقعی از او سرزد، انسان آشنا به احکام و شریعت می‌تواند حکم به مکلّف نبودن این فرد بنماید؟ یا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هست امّا چون به اختیار خود مرتدّ شده، پس عباداتش صحیح نیست؟</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سخن دیگر، ما در باب مرتدّ فطری دلیلی خاص بر عدم قبول توبه‌اش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روایات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یستتاب</w:t>
      </w:r>
      <w:r>
        <w:rPr>
          <w:rFonts w:eastAsia="IRNazanin" w:cs="IRNazanin"/>
          <w:color w:val="111111"/>
          <w:sz w:val="28"/>
          <w:szCs w:val="28"/>
          <w:rtl w:val="true"/>
          <w:lang w:bidi="fa-IR"/>
        </w:rPr>
        <w:t>»</w:t>
      </w:r>
      <w:r>
        <w:rPr>
          <w:rStyle w:val="FootnoteAnchor"/>
          <w:rtl w:val="true"/>
        </w:rPr>
        <w:footnoteReference w:id="664"/>
      </w:r>
      <w:r>
        <w:rPr>
          <w:rFonts w:ascii="IRNazanin" w:hAnsi="IRNazanin" w:eastAsia="IRNazanin"/>
          <w:color w:val="111111"/>
          <w:sz w:val="28"/>
          <w:sz w:val="28"/>
          <w:szCs w:val="28"/>
          <w:rtl w:val="true"/>
          <w:lang w:bidi="fa-IR"/>
        </w:rPr>
        <w:t>است؛ یعنی از او طلب توبه نمی‌کنند، و او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در مقابل مرتدّ ملّی است که او را توبه می‌دهند؛ اگر توبه نکرد، او را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روایات نقش توبه را در باب مرتدّ ملّی و فطری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مرتدّ ملّی توبه‌اش سبب سقوط حدّ قتل است ولی در مرتدّ فطری این اثر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تعبیرات نیز در رابطه‌ی با حاکم است که از مرتدّ ملّی طلب توبه می‌کند ولی از مرتدّ فطری چنین تقاضایی را نمی‌کند؛ حتّی اگر خودش نیز توبه کند، مؤثر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روشن‌تر، اگر بخواهیم بر ظاهر روایات جمود کنیم، آن‌ها مسأله استتابه را مطرح کرده‌اند نه مسأله توبه را؛ در مرتدّ ملّی حاکم باید طلب توبه کند؛ امّا در مرتدّ فطری حق ندارد چنین چیزی را طلب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مطلب توسعه می‌دهیم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خودش نیز توبه کند، فایده ندارد؛ حدّ قتل برداشته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گفتیم، صاحب جواهر رحمه الله باید دلیل اقامه کند مبنی بر این که توبه‌ی مرتدّ فطری برای از بین بردن کفر، نجاست و صحّت عباداتش مؤثّر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این مطلب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نصّ و فتوا، اطلاق و عمومی نداریم که بر عدم قبول توبه‌ی مرتدّ فطری در همه‌ی احکام دلالت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مرحوم صاحب جواهر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فطری یا مکلّف نیست و یا عباداتش صحیح نمی‌باشد، به هیچ وجه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بالغِ عاقل، صاحب تمیز و شعور از تمام افراد عالم مستثنی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اختصاص دادن مسأله‌ی قضای عبادات زمان ارتداد به زن مرتدّ فطری وجهی ندارد در حالی که در کلمات فقها اشعاری به این اختصاص وجود ندارد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از آیه‌ی شریفه که به نفع ما و بر ضرر صاحب جواهر رحمه الله است نیز هیچ 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آیه مربوط به کسانی است که ارتدادشان به مرگشان متّصل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در دنیا و آخرت مشمول حبط اعمال‌اند؛ قول پروردگار وَمَن یَرْتَدِدْ مِنکُمْ عَن دِینِهِ‌ی فَیَمُتْ وَهُوَ کَافِرٌ</w:t>
      </w:r>
      <w:r>
        <w:rPr>
          <w:rStyle w:val="FootnoteAnchor"/>
          <w:rtl w:val="true"/>
        </w:rPr>
        <w:footnoteReference w:id="665"/>
      </w:r>
      <w:r>
        <w:rPr>
          <w:rFonts w:ascii="IRNazanin" w:hAnsi="IRNazanin" w:eastAsia="IRNazanin"/>
          <w:color w:val="111111"/>
          <w:sz w:val="28"/>
          <w:sz w:val="28"/>
          <w:szCs w:val="28"/>
          <w:rtl w:val="true"/>
          <w:lang w:bidi="fa-IR"/>
        </w:rPr>
        <w:t>یعنی مرگش در حالی باشد که از ارتداد و کفر توبه نکرده</w:t>
      </w:r>
    </w:p>
    <w:p>
      <w:pPr>
        <w:pStyle w:val="BookText"/>
        <w:rPr/>
      </w:pPr>
      <w:r>
        <w:rPr>
          <w:rFonts w:ascii="IRNazanin" w:hAnsi="IRNazanin" w:eastAsia="IRNazanin"/>
          <w:color w:val="111111"/>
          <w:sz w:val="28"/>
          <w:sz w:val="28"/>
          <w:szCs w:val="28"/>
          <w:rtl w:val="true"/>
          <w:lang w:bidi="fa-IR"/>
        </w:rPr>
        <w:t>است، مفهومش این است که اگر مرتدّ شد ولی توبه کرده، یعنی کافر نمُرد، حبط اعمالی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تعارضی که بین عمومات و مطلقات ادلّه‌ی توبه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تقبل توبة المرتدّ الفطری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کردند و شهرت را مرجّح عدم قبول قرار داد و بر فرض شکّ با استصحاب کار را تمام کرد نیز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مرتدّ فطری چنین دلیلی نداریم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تقبل توبة المرتدّ الفطری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ادلّه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هم فقط نسبت به حدّ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توسعه‌ای که دادیم،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خودش نیز توبه کند،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عموم و اطلاقی در باب مرتدّ فطری وجود ندارد تا با عمومات و اطلاقات ادلّه‌ی توبه معارضه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اصول، این مطلب تحقیق شده است که اگر عامّی داشتیم و در برابر آن، خاصّ منفصلی که مردّد بین اقلّ و اکثر است وجود داشت، نسبت به اقلّ به دلیل مخصّص مراجعه می‌شود؛ ولی نسبت به مازاد بر آن عموم عامّ مرجع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خورد و معنای فاسق مشکوک بود که آیا به خصوص مرتکب کبیره می‌گویند یا اعمّ از مرتکب کبیره و صغیره است؟ نسبت به مرتکب کبیره، به خاص مراجعه می‌شود و در غیر آن، عموم عامّ و اصالة العموم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ما، بر فرض ورود 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تقبل توبة المرتدّ الفطری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یقین داریم این دلیل در مورد قتل و جدایی زوجه‌اش وارد شده است؛ شکّ داریم آیا حکم به طهارت و صحّت عباداتش را نیز شامل می‌شود یا نه؟ باید به ادلّه‌ی عامّه‌ی توبه رجوع کنیم و حکم به قبولی توبه در این امور نماییم؛ از این رو، آثار قبولی توبه را مترتّب می‌سازیم</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 ترجیح به شهرت، مخصوص جایی است که دو دلیل با هم معارض باشند؛ ولی جایی که بین دو دلیل امکان جمع دلالی باشد، قواعد تعارض جا ندارد؛ بلکه وظیفه‌ی ما از نظر قواعد این است که به عامّ یا خاصّ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حلّ مشکل به کمک</w:t>
      </w:r>
      <w:bookmarkStart w:id="922" w:name="pg16923_220492"/>
    </w:p>
    <w:p>
      <w:pPr>
        <w:pStyle w:val="BookText"/>
        <w:rPr/>
      </w:pPr>
      <w:bookmarkEnd w:id="922"/>
      <w:r>
        <w:rPr>
          <w:rFonts w:ascii="IRNazanin" w:hAnsi="IRNazanin" w:eastAsia="IRNazanin"/>
          <w:color w:val="111111"/>
          <w:sz w:val="28"/>
          <w:sz w:val="28"/>
          <w:szCs w:val="28"/>
          <w:rtl w:val="true"/>
          <w:lang w:bidi="fa-IR"/>
        </w:rPr>
        <w:t>أصالة العموم و أصالة الإطلاق تعارضی باقی نمی‌ماند که موضوع ترجیح به شهرت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فطری پس از آن که توبه کرد، پاک می‌شود؛ بنابراین، عباداتش صحیح خواهد بود، با زن مسلمان می‌تواند ازدواج کند، ازدواج با زوجه‌ی سابقش پس از گذشتن ایّام عدّه‌ی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قدر متیقّن و إلّابرخی از فقها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عقد جدید اشکالی ندارد؛ اگر پدر یا مادرش مُرد، از آنان ارث می‌برد؛ و اگر کسب و تجارت و معامله‌ای کرد، مالک می‌شود</w:t>
      </w:r>
      <w:r>
        <w:rPr>
          <w:rFonts w:eastAsia="IRNazanin" w:cs="IRNazanin"/>
          <w:color w:val="111111"/>
          <w:sz w:val="28"/>
          <w:szCs w:val="28"/>
          <w:rtl w:val="true"/>
          <w:lang w:bidi="fa-IR"/>
        </w:rPr>
        <w:t>.</w:t>
      </w:r>
    </w:p>
    <w:p>
      <w:pPr>
        <w:pStyle w:val="Heading5"/>
        <w:numPr>
          <w:ilvl w:val="4"/>
          <w:numId w:val="1"/>
        </w:numPr>
        <w:rPr/>
      </w:pPr>
      <w:bookmarkStart w:id="923" w:name="__RefHeading___Toc162787_3244359995"/>
      <w:bookmarkStart w:id="924" w:name="_Toc360"/>
      <w:bookmarkEnd w:id="923"/>
      <w:r>
        <w:rPr>
          <w:rtl w:val="true"/>
        </w:rPr>
        <w:t>تحقیقی در مفاد روایات</w:t>
      </w:r>
      <w:bookmarkEnd w:id="924"/>
    </w:p>
    <w:p>
      <w:pPr>
        <w:pStyle w:val="BookText"/>
        <w:rPr/>
      </w:pPr>
      <w:r>
        <w:rPr>
          <w:rFonts w:ascii="IRNazanin" w:hAnsi="IRNazanin" w:eastAsia="IRNazanin"/>
          <w:color w:val="111111"/>
          <w:sz w:val="28"/>
          <w:sz w:val="28"/>
          <w:szCs w:val="28"/>
          <w:rtl w:val="true"/>
          <w:lang w:bidi="fa-IR"/>
        </w:rPr>
        <w:t>استتابه‌ای که در روایات استعمال شده، در درجه‌ی اوّل مربوط به قتل است و با مقداری توسعه، شامل جدایی و اعتداد زوجه و تقسیم اموال نیز می‌شود؛ یعنی با توبه، حدّش ساقط نمی‌شود، بینونت از بین نمی‌رود، و اموالی که تقسیم شده به ملکش برنمی‌گردد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نوع روایات،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شده است؛ امّا در یک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توبة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آن روایت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عن علیّ بن إبراهیم، عن أبیه، وعن عدّة من أصحابنا، عن سهل بن زیاد جمیعاً، عن ابن محبوب، عن العلاء بن رزین،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المرتدّ،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رغب عن الإسلام وکفر بما انزل علی محمّد صلی الله علیه و آله بعد إسلامه فلا توبة له وقد وجب قتله وبانت منه امرأته ویقسّم ما ترک علی ولده</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سند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دو سند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یعقوب، عن علیّ بن ابراهیم، عن أبیه، عن الحسن بن محبوب، عن العلاء بن رزین، عن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سندی صحیح است؛ امّا سند دیگر مشتمل بر سهل بن زیاد است که هرچند درباره‌اش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فی سهل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لیکن خالی از مناقشه نیست</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علیه السلام از حکم مرتدّ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مطلق است، شامل مرتدّ ملّی و فطری می‌شود، لیکن جواب امام علیه السلام در خصوص مرتدّ فطری است و</w:t>
      </w:r>
    </w:p>
    <w:p>
      <w:pPr>
        <w:pStyle w:val="BookText"/>
        <w:rPr/>
      </w:pPr>
      <w:r>
        <w:rPr>
          <w:rFonts w:ascii="IRNazanin" w:hAnsi="IRNazanin" w:eastAsia="IRNazanin"/>
          <w:color w:val="111111"/>
          <w:sz w:val="28"/>
          <w:sz w:val="28"/>
          <w:szCs w:val="28"/>
          <w:rtl w:val="true"/>
          <w:lang w:bidi="fa-IR"/>
        </w:rPr>
        <w:t>شاید، جواب، قرینه‌ای بر مورد سؤال راوی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اسلام رو برگرداند و به آن‌چه بر پیامبر اسلام صلی الله علیه و آله نازل شده کافر شود، پس از آن که اسلام آورده است، توبه‌ای برایش نیست؛ قتلش واجب می‌شود، زنش از او جدا گشته و اموالش بین ورثه تقسیم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توبة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ذیلی نداشت و روایات دیگر هم نبود، بر مطلوب صاحب جواهر رحمه الله دلالت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علیه السلام پس از این جمله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وجب قتله وبانت منه امرأته ویقسّم ماترک علی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قرینه‌ی جمله‌ی صدر می‌شود؛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توبة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رابطه‌ی با وجوب قتل، جدایی زوجه و تقسیم ترکه‌اش است؛ حتّی اگر جمله‌ی ذیل هم نبود، روایات دیگر قرینه‌ی بر مراد از این روایت بود؛ مانند روایت صحیحه‌ی حسین بن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بخطّ رجل إلی أبی الحسن الرضا علیه السلام رجل ولد علی الإسلام ثمّ کفر وأشرک وخرج عن الإسلام، هل یستتاب أو یقتل ولا یستتاب؟ فکتب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یقتل</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از امام علیه السلام سؤال می‌کند آیا مرتدّ فطری را توبه می‌دهند یا می‌کشند؟ استتابه و عدم آن را در رابطه‌ی با قتل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ما برای استتابه موضوعیّت قائل نیستیم و در صورتی که خودش نیز توبه کند، نمی‌پذیریم؛ لیکن جواب امام علیه السلام بر عدم قبولی توبه در رابطه‌ی با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این روایت، محطّ سؤال در رابطه‌ی با قتل بوده، لیکن روایات عمّار ساباطی نسبت به امور دیگر نیز تعمیم داده است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مسلم بین مسلمین ارتدّ عن الإسلام وجحد محمّداً صلی الله علیه و آله نبوّته وکذّبه فإنّ دمه مباح لمن سمع ذلک منه، وامرأته بائنة منه یوم ارتدّ ویقسّم ماله علی ورثته وتعتدّ امرأته عدّة المتوفّی عنها زوجها وعلی الإمام أن یقتله ولا یستتیبه</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در این روایت، امام علیه السلام همه‌ی احکام را ذکر کرده‌اند و مسأله‌ی استتابه را در آخر روایت در رابطه‌ی با قتل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الغای خصوصیّت کرده و می‌گوییم نسبت به تمام اموری که در روایت آمده، توبه قبول نیست؛ امّا نسبت به مسائل و احکام دیگر به چه دلیل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توبه‌اش مثل توبه نکردن است؟ کدام دلیل بر بقای نجاست مرتدّ فطری پس از توبه دلالت دارد؟ و کدام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عباداتش باطل و حقّ ازدواج با زن مسلمان پس از توبه ندارد؟</w:t>
      </w:r>
    </w:p>
    <w:p>
      <w:pPr>
        <w:pStyle w:val="BookText"/>
        <w:rPr/>
      </w:pPr>
      <w:r>
        <w:rPr>
          <w:rFonts w:ascii="IRNazanin" w:hAnsi="IRNazanin" w:eastAsia="IRNazanin"/>
          <w:color w:val="111111"/>
          <w:sz w:val="28"/>
          <w:sz w:val="28"/>
          <w:szCs w:val="28"/>
          <w:rtl w:val="true"/>
          <w:lang w:bidi="fa-IR"/>
        </w:rPr>
        <w:t>بلکه بالاتر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مرتدّ فطری بعد از توبه اموالی را به عقد و تجارت و حیازت و مانند آن کسب کرد، مالک می‌شود و دلیلی بر وجوب تقسیم آن‌ها نداریم؛ بلکه ترقّی کرده،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ارتدادش، مالی را تحصیل کرد، مالک است و بر ملکیّتش باقی می‌ماند؛ هرچند توبه هم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نداریم بر این که هرچه مرتدّ فطری به دست می‌آورد به ورثه‌اش منتقل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دلیل به همین اندازه است که اگر مسلمانی مرتدّ شد، اموالش بین ورثه تقسیم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 از این دلیل، اموال حین ارتداد است، نه اموالی که پس از ارتداد مالک شده است؛ مگر کفّار مالک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شرط مالک شدن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ادلّه‌ای که بر صحّت معاملات دلالت دارد، در این‌جا نیز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اموال بین ورثه حکم اختصاصی مرتدّ است؛ و در کفّار این مسأله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همین مقدار را دلالت دارد و این حکم نیز برخلاف قاعده است که بگوییم اموال انسان زنده‌ای بین ورثه‌اش تقسیم گردد؛ لیکن به واسطه‌ی ورود روایات این حکم را تعبّداً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دایره‌ی این تعبّد فقط نسبت به اموال موجود در حین ارتداد وسعت دارد، امّا مازاد بر آن را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مرحوم آیت‌اللَّه بروجردی در رابطه با اموال فرد بهایی پرسیدند، ایشان جواب داد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اموالی را که قبل از بهائیّت مالک بوده است، به مجرّد بهایی شدن به ورثه منتقل می‌گردد؛ زیرا، پذیرش این مسلک کفر و ارتداد است؛ امّا اموالی را که بعد از بهائیت کسب می‌کند،</w:t>
      </w:r>
      <w:bookmarkStart w:id="925" w:name="pg16923_220495"/>
    </w:p>
    <w:p>
      <w:pPr>
        <w:pStyle w:val="BookText"/>
        <w:rPr/>
      </w:pPr>
      <w:bookmarkEnd w:id="925"/>
      <w:r>
        <w:rPr>
          <w:rFonts w:ascii="IRNazanin" w:hAnsi="IRNazanin" w:eastAsia="IRNazanin"/>
          <w:color w:val="111111"/>
          <w:sz w:val="28"/>
          <w:sz w:val="28"/>
          <w:szCs w:val="28"/>
          <w:rtl w:val="true"/>
          <w:lang w:bidi="fa-IR"/>
        </w:rPr>
        <w:t>مالک هست و به ورثه منتقل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روایات مفید همین فتوا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بهائیت به عنوان مصداقی از مصادیق ارتداد مطرح شد؛ ما بیش از این مقدار نمی‌توانیم از روایات استفاده کنیم</w:t>
      </w:r>
      <w:r>
        <w:rPr>
          <w:rFonts w:eastAsia="IRNazanin" w:cs="IRNazanin"/>
          <w:color w:val="111111"/>
          <w:sz w:val="28"/>
          <w:szCs w:val="28"/>
          <w:rtl w:val="true"/>
          <w:lang w:bidi="fa-IR"/>
        </w:rPr>
        <w:t>.</w:t>
      </w:r>
    </w:p>
    <w:p>
      <w:pPr>
        <w:pStyle w:val="Heading4"/>
        <w:numPr>
          <w:ilvl w:val="3"/>
          <w:numId w:val="1"/>
        </w:numPr>
        <w:rPr/>
      </w:pPr>
      <w:bookmarkStart w:id="926" w:name="__RefHeading___Toc162789_3244359995"/>
      <w:bookmarkStart w:id="927" w:name="_Toc361"/>
      <w:bookmarkEnd w:id="926"/>
      <w:r>
        <w:rPr>
          <w:rtl w:val="true"/>
        </w:rPr>
        <w:t>تنافی در عبارت تحریرالوسیله</w:t>
      </w:r>
      <w:bookmarkEnd w:id="927"/>
    </w:p>
    <w:p>
      <w:pPr>
        <w:pStyle w:val="BookText"/>
        <w:rPr/>
      </w:pPr>
      <w:r>
        <w:rPr>
          <w:rFonts w:ascii="IRNazanin" w:hAnsi="IRNazanin" w:eastAsia="IRNazanin"/>
          <w:color w:val="111111"/>
          <w:sz w:val="28"/>
          <w:sz w:val="28"/>
          <w:szCs w:val="28"/>
          <w:rtl w:val="true"/>
          <w:lang w:bidi="fa-IR"/>
        </w:rPr>
        <w:t>امام راحل رحمه الله در تحریرالوسیله در باب حدّ مرتدّ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فالفطری لا یقبل إسلامه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قیدی به آن نزده است؛ پس معنای آن، قبول توبه در باطن و عدم قبول در ظاهر است؛ لیکن در کتاب ارث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تقبل توبته باطناً وظاهراً أیضاً بالنسبة إلی بعض الأحکام فیطهر بدنه وتصحّ عباداته ویملک الأموال الجدیدة بأسبابه الإختیاریة کالتجارة والحیازة، والقهریة کالإرث، ویجوز له التزویج بالمسلمة بل له تجدید العقد علی زوجته السابقة</w:t>
      </w:r>
      <w:r>
        <w:rPr>
          <w:rFonts w:eastAsia="IRNazanin" w:cs="IRNazanin"/>
          <w:color w:val="111111"/>
          <w:sz w:val="28"/>
          <w:szCs w:val="28"/>
          <w:rtl w:val="true"/>
          <w:lang w:bidi="fa-IR"/>
        </w:rPr>
        <w:t>»</w:t>
      </w:r>
      <w:r>
        <w:rPr>
          <w:rStyle w:val="FootnoteAnchor"/>
          <w:rtl w:val="true"/>
        </w:rPr>
        <w:footnoteReference w:id="669"/>
      </w:r>
      <w:r>
        <w:rPr>
          <w:rFonts w:ascii="IRNazanin" w:hAnsi="IRNazanin" w:eastAsia="IRNazanin"/>
          <w:color w:val="111111"/>
          <w:sz w:val="28"/>
          <w:sz w:val="28"/>
          <w:szCs w:val="28"/>
          <w:rtl w:val="true"/>
          <w:lang w:bidi="fa-IR"/>
        </w:rPr>
        <w:t>توبه‌ی مرتدّ فطری در باطن و ظاهر نسبت به بعضی از احکام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توبه‌اش، بدنش طاهر، عباداتش صحیح می‌گردد، و مالک اموال جدیدی می‌شود که با اسباب اختیاری مانند تجارت و حیازت یا اسباب قهری همانند ارث کسب می‌کند، ازدواج با زن مسلمان برایش جایز می‌گردد، بلکه می‌تواند عقد ازدواج زن سابقش را تجدید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بین دو فتوا تنافی وجود دارد</w:t>
      </w:r>
      <w:r>
        <w:rPr>
          <w:rFonts w:eastAsia="IRNazanin" w:cs="IRNazanin"/>
          <w:color w:val="111111"/>
          <w:sz w:val="28"/>
          <w:szCs w:val="28"/>
          <w:rtl w:val="true"/>
          <w:lang w:bidi="fa-IR"/>
        </w:rPr>
        <w:t>.</w:t>
      </w:r>
    </w:p>
    <w:p>
      <w:pPr>
        <w:pStyle w:val="Heading4"/>
        <w:numPr>
          <w:ilvl w:val="3"/>
          <w:numId w:val="1"/>
        </w:numPr>
        <w:rPr/>
      </w:pPr>
      <w:bookmarkStart w:id="928" w:name="__RefHeading___Toc162791_3244359995"/>
      <w:bookmarkStart w:id="929" w:name="_Toc362"/>
      <w:bookmarkEnd w:id="928"/>
      <w:r>
        <w:rPr>
          <w:rtl w:val="true"/>
        </w:rPr>
        <w:t>توجیه تنافی</w:t>
      </w:r>
      <w:bookmarkEnd w:id="929"/>
    </w:p>
    <w:p>
      <w:pPr>
        <w:pStyle w:val="BookText"/>
        <w:rPr/>
      </w:pPr>
      <w:r>
        <w:rPr>
          <w:rFonts w:ascii="IRNazanin" w:hAnsi="IRNazanin" w:eastAsia="IRNazanin"/>
          <w:color w:val="111111"/>
          <w:sz w:val="28"/>
          <w:sz w:val="28"/>
          <w:szCs w:val="28"/>
          <w:rtl w:val="true"/>
          <w:lang w:bidi="fa-IR"/>
        </w:rPr>
        <w:t>ممکن است در توجیه این مطلب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یقبل توبته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حدود نسبت به احکام خاصّی مانند قتل و بینونت و اعتداد زوجه و تقسیم اموال است که در روایات به آن تصریح شده است، نه نسبت به تمام 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توجیه، احتمال دوّم در معنای باطن و ظاهر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رحمه الله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یقبل توبته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نسبت به هیچ حکمی از احکام توبه‌اش پذیرفته نیست؛ ولی باطناً توبه‌اش مقبول بوده و اثر آن رفع عذاب اخروی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دوّم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یقبل اسلامه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همین چند حکم است؛ اگر ده سال از ارتدادش گذشته و صدبار هم توبه کرده باشد، هرگاه حاکم شرع او را یافت،</w:t>
      </w:r>
      <w:bookmarkStart w:id="930" w:name="pg16923_220496"/>
    </w:p>
    <w:p>
      <w:pPr>
        <w:pStyle w:val="BookText"/>
        <w:rPr/>
      </w:pPr>
      <w:bookmarkEnd w:id="930"/>
      <w:r>
        <w:rPr>
          <w:rFonts w:ascii="IRNazanin" w:hAnsi="IRNazanin" w:eastAsia="IRNazanin"/>
          <w:color w:val="111111"/>
          <w:sz w:val="28"/>
          <w:sz w:val="28"/>
          <w:szCs w:val="28"/>
          <w:rtl w:val="true"/>
          <w:lang w:bidi="fa-IR"/>
        </w:rPr>
        <w:t>می‌کشد؛ اموالش بین ورثه‌اش تقسیم و زنش از او جدا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ویقبل توبته باطناً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نسبت به رفع عذاب اخروی و احکام دیگر توبه‌اش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توجیه، تنافی از دو عبارت تحریرالوسیله برطرف می‌گردد و این احتمال مختار ما می‌باشد</w:t>
      </w:r>
      <w:r>
        <w:rPr>
          <w:rFonts w:eastAsia="IRNazanin" w:cs="IRNazanin"/>
          <w:color w:val="111111"/>
          <w:sz w:val="28"/>
          <w:szCs w:val="28"/>
          <w:rtl w:val="true"/>
          <w:lang w:bidi="fa-IR"/>
        </w:rPr>
        <w:t>.</w:t>
      </w:r>
    </w:p>
    <w:p>
      <w:pPr>
        <w:pStyle w:val="Heading4"/>
        <w:numPr>
          <w:ilvl w:val="3"/>
          <w:numId w:val="1"/>
        </w:numPr>
        <w:rPr/>
      </w:pPr>
      <w:bookmarkStart w:id="931" w:name="__RefHeading___Toc162793_3244359995"/>
      <w:bookmarkStart w:id="932" w:name="_Toc363"/>
      <w:bookmarkEnd w:id="931"/>
      <w:r>
        <w:rPr>
          <w:rtl w:val="true"/>
        </w:rPr>
        <w:t>احکام زن مرتدّ</w:t>
      </w:r>
      <w:bookmarkEnd w:id="932"/>
    </w:p>
    <w:p>
      <w:pPr>
        <w:pStyle w:val="BookText"/>
        <w:rPr/>
      </w:pPr>
      <w:r>
        <w:rPr>
          <w:rFonts w:ascii="IRNazanin" w:hAnsi="IRNazanin" w:eastAsia="IRNazanin"/>
          <w:color w:val="111111"/>
          <w:sz w:val="28"/>
          <w:sz w:val="28"/>
          <w:szCs w:val="28"/>
          <w:rtl w:val="true"/>
          <w:lang w:bidi="fa-IR"/>
        </w:rPr>
        <w:t>بحث در مطلق زن مرتدّ است خواه فطری باشد یا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تحریرالوسیله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مرتدّ را نمی‌کشند خواه ملّی باشد یا فطری؛ بلکه او را به زندان ابد می‌اندازند و در اوقات نماز او را می‌زنند و در خورد و خوراک بر او سخت می‌گیرند؛ توبه‌اش پذیرفته می‌شود؛ پس، اگر توبه کرد، از زندان آزاد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زن مرتدّ دو مطلب مسلّم است و فتوا و نصّ بر آن اتّفاق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حدّش قتل نیست؛ اگر بر ارتدادش باقی ماند و حاضر نشد توبه کند، تا آخر عمر در زندان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اختلاف در توبه‌ی زن مرتدّ است، آیا توبه‌ی زن مرتدّ اعمّ از ملّی و فطری پذیرفته است و سبب آزادی‌اش از زندان می‌شود؟ یا باید بین مرتدّ ملّی و فطری فرق گذاشت؟ در مرتدّ فطری توبه‌اش در ارتباط با اخراج از زندان پذیرفته نمی‌شود، اما در رابطه‌ی با طهارت و عباداتش اثر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رحمه الله در مسالک به تفصیل قائل است</w:t>
      </w:r>
      <w:r>
        <w:rPr>
          <w:rFonts w:eastAsia="IRNazanin" w:cs="IRNazanin"/>
          <w:color w:val="111111"/>
          <w:sz w:val="28"/>
          <w:szCs w:val="28"/>
          <w:rtl w:val="true"/>
          <w:lang w:bidi="fa-IR"/>
        </w:rPr>
        <w:t>.</w:t>
      </w:r>
      <w:r>
        <w:rPr>
          <w:rStyle w:val="FootnoteAnchor"/>
          <w:rtl w:val="true"/>
        </w:rPr>
        <w:footnoteReference w:id="670"/>
      </w:r>
      <w:r>
        <w:rPr>
          <w:rFonts w:ascii="IRNazanin" w:hAnsi="IRNazanin" w:eastAsia="IRNazanin"/>
          <w:color w:val="111111"/>
          <w:sz w:val="28"/>
          <w:sz w:val="28"/>
          <w:szCs w:val="28"/>
          <w:rtl w:val="true"/>
          <w:lang w:bidi="fa-IR"/>
        </w:rPr>
        <w:t>لذا، باید روایات را برای بررسی تمام احکام زن مرتدّ ملاحظه کنیم، تا معلوم شود حقّ با شهید ثانی رحمه الله است یا با امام راحل رحمه الله و بسیاری از فقها که توبه‌ی مطلق زن مرتدّ را مقبول می‌دانند؛ و در نتیجه، حکم به آزادی او می‌دهند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بإسناده عن محمّد بن علیّ بن محبوب، عن یعقوب بن یزید، عن ابن أبی عمیر، عن حمّاد، عن أبی عبد اللَّه علیه السلام فی المرتدّة عن الإسلام،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تقتل وتستخدم خدمة شدیدة وتمنع الطعام والشّراب إلّا ما یمسک نفسها وتلبس خشن الثیاب وتضرب علی الصّلوات</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صحیحه حمّاد از امام صادق علیه السلام احکام زن مرتدّ را 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نمی‌کشند؛ بلکه او را به کار سختی وادار می‌کنند؛ طعام و شراب به او نمی‌دهند، مگر مقداری که حیات او را حفظ کند و مانع مرگش شود؛ بر او لباس‌های خشن می‌پوشانند؛ و بر ترک نماز او را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سؤال راوی از مطلق زن مرتدّ بود؛ زیرا، ظهوری در مرتدّ فطری یا مرتدّ ملّی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تضرب علی 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ضرب این است که مرتدّ کافر است، یا نماز نمی‌خواند و یا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کفر مانع صحّت نمازش می‌باشد؛ لیکن آن‌چه در این روایت آمده است با فتوای فقها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تضرب فی أوقات 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در حالی که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تضرب علی 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این دو با هم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برای ترک یک هفته نماز یک‌بار او را بزنند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تضرب علی 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شده است؛ ولی بنا بر فتوای فقها باید در هر شبانه‌روز دست‌کم سه مرتبه او را بزنند؛ یعنی در بین‌الطلوعین به عنوان نماز صبح، بین زوال و غروب به عنوان نماز ظهر و عصر و بین غروب و نصف شب برای نماز مغرب و عشا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 که در روایت دیده نمی‌شود، حبس و زندان زن مرتدّ است؛ بلکه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تستخدم خدمة شدیدة وتمنع الطعام والشراب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بخواهند او را به خدمت سختی وادار کنند و از طعام و شراب بازدارند، باید دائماً در اختیار حاکم شرع باشد و راهی برای انجام این امور غیر از مسأله‌ی زندان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تستخدم خدمة شدیدة وتمنع الطعام والشراب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و مقیّد به زمانی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مطلب نیز استفاده می‌کنیم که این امور دائمی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اطلاق روایت، زندان و حبس دائم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روایات دیگر نیز بر این مطلب دلالت دارد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وبإسناده عن الحسین بن سعید بن حمّاد، عن حریز،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یخلد فی السّجن إلّا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یمسک علی الموت والمرأة ترتدّ عن الإسلام، والسارق بعد قطع الید والرِّجل</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در سه مورد حبس ابد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او را در زندان نگاه می‌دارند تا مرگش فرا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روایت‌امساک بیان نشده است؛ ممکن است مقصود انسان خطرناکی است که آزادی او برخلاف مصلحت حکومت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آزاد باشد، سبب فساد و فتنه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دائماً تحت‌نظر و مراقبت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از اسلام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این عبارت شامل مرتدّ فطری و ملّی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که دست و پایش به عنوان حدّ اوّل و دوّم سرقت قطع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روایت، سخنی از توبه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وجود اطلاق در روایت حریز اشکال کرده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فقط در مقام بیان موارد حبس ابد در اسلام است؛ و از جهت خصوصیّات زن مرتدّ در مقام بیان نیست تا به اطلاقش تمسّک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در این روایت مستثنی و مستثنی‌منه وجود دارد؛ اگر در مقام بیان هر دو یا در مقام بیان مستثنی بود، می‌توانستیم از آن اطلاق‌گیری کنیم؛ امّا اگر هدف اصلی روایت، بیان مستثنی‌منه باشد، یعنی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نکنید در اسلام در همه‌جا حبس ابد وجود دارد، غیر از این سه مورد حبس ابد نداریم و دیگر کاری به خصوصیّات این سه مورد ندارد؛ و نسبت به این که آیا در تمام افراد و حالاتش حبس ابد هست یا در بعضی از موارد؟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اشکال در روایت حریز وجود دارد؛ ولی در روایت حمّاد از این جهت اشکالی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علیّ بن إبراهیم، عن أبیه، عن ابن محبوب، عن غیر واحد من أصحابنا، عن أبی جعفر وأبی عبد اللَّه علیهما السلام فی المرتدّ یستتاب، فإن تاب وإلّا قتل، والمرأة إذا ارتدّت عن الإسلام استتیبت، فإن تاب وإلّا خلّدت فی السجن وضیّق علیها فی حبسها</w:t>
      </w:r>
      <w:r>
        <w:rPr>
          <w:rFonts w:eastAsia="IRNazanin" w:cs="IRNazanin"/>
          <w:color w:val="111111"/>
          <w:sz w:val="28"/>
          <w:szCs w:val="28"/>
          <w:rtl w:val="true"/>
          <w:lang w:bidi="fa-IR"/>
        </w:rPr>
        <w:t>.</w:t>
      </w:r>
      <w:r>
        <w:rPr>
          <w:rStyle w:val="FootnoteAnchor"/>
          <w:rtl w:val="true"/>
        </w:rPr>
        <w:footnoteReference w:id="673"/>
      </w:r>
      <w:r>
        <w:rPr>
          <w:rFonts w:ascii="IRNazanin" w:hAnsi="IRNazanin" w:eastAsia="IRNazanin"/>
          <w:color w:val="111111"/>
          <w:sz w:val="28"/>
          <w:sz w:val="28"/>
          <w:szCs w:val="28"/>
          <w:rtl w:val="true"/>
          <w:lang w:bidi="fa-IR"/>
        </w:rPr>
        <w:t>سند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ابن محبوب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واحد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این نکته لازم است که باید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اصحابنا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p>
    <w:p>
      <w:pPr>
        <w:pStyle w:val="BookText"/>
        <w:rPr/>
      </w:pPr>
      <w:r>
        <w:rPr>
          <w:rFonts w:ascii="IRNazanin" w:hAnsi="IRNazanin" w:eastAsia="IRNazanin"/>
          <w:color w:val="111111"/>
          <w:sz w:val="28"/>
          <w:sz w:val="28"/>
          <w:szCs w:val="28"/>
          <w:rtl w:val="true"/>
          <w:lang w:bidi="fa-IR"/>
        </w:rPr>
        <w:t>واحد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اوّل سبب ارسال در روایت می‌شود؛ به خلاف تعبیر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دو تعبیر بیانگر روات متعدّد و فراوان است به‌گونه‌ای که اگر بخواهد همه را نام ببرد، سند مفصل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یکی از این دو تعبیر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کلمات صاحب جواهر و شیخ انصاری رحمهما الله نیز این‌گونه تعبیرات دیده می‌شود؛ مثلًا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 غیر واحد من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جمعیّت زیادی به این معنا تصریح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رحمه الله روایت را مرسله دانسته است؛</w:t>
      </w:r>
      <w:r>
        <w:rPr>
          <w:rStyle w:val="FootnoteAnchor"/>
          <w:rtl w:val="true"/>
        </w:rPr>
        <w:footnoteReference w:id="674"/>
      </w:r>
      <w:r>
        <w:rPr>
          <w:rFonts w:ascii="IRNazanin" w:hAnsi="IRNazanin" w:eastAsia="IRNazanin"/>
          <w:color w:val="111111"/>
          <w:sz w:val="28"/>
          <w:sz w:val="28"/>
          <w:szCs w:val="28"/>
          <w:rtl w:val="true"/>
          <w:lang w:bidi="fa-IR"/>
        </w:rPr>
        <w:t>لیکن روایت را باید صحیحه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راوی غیرمشخّص که نمی‌دانیم توثیق دارد یا نه، سبب ارسال می‌شد؛ ولی وقتی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جماعة من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واحد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روایت مرسل نیست و نیازی به جابر ضعف مسند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به نظر ما صحیحه است؛ همان طور که بعضی از بزرگان نیز آن را صحیحه شمرده است</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صادق علیه السلام درباره‌ی مرتدّ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توبه می‌دهند؛ اگر توبه کرد، مطلبی نیست؛ وگرنه او را می‌کشند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 مرتدّ فطری قرینه می‌شود بر این که حکم در این فقره‌ی روایت مربوط به مرتدّ ملّی است؛ زیرا در مرتدّ فطری مسأله‌ی استتابه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را که از اسلام برگشته است، توبه می‌دهند؛ اگر توبه کرد، رهایش می‌کنند؛ وگرنه حکمش زندان ابد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حبس او را در مضایقه و تنگنا و فشار قرار می‌دهند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جمله‌ی اوّل روایت را به سبب روایات مرتدّ فطری مجبور شدیم بر مرتدّ ملی حمل کنیم؛ امّا آیا این حمل ضرری به اطلاق جمله‌ی دوّم می‌زند؟ صاحب مسالک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وحدت سیاق این جمله را نیز باید بر مرتدّ ملّی حمل کنید؛ مقیّد اطلاق روایت حمّاد می‌شود و نتیجه می‌دهد توبه‌ی مرتدّ فطری اثری در زندانش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بین زن مرتدّ ملّی و فطری تفاوت است؛ در مرتدّ ملّی پس از توبه از حبس آزاد</w:t>
      </w:r>
    </w:p>
    <w:p>
      <w:pPr>
        <w:pStyle w:val="BookText"/>
        <w:rPr/>
      </w:pPr>
      <w:r>
        <w:rPr>
          <w:rFonts w:ascii="IRNazanin" w:hAnsi="IRNazanin" w:eastAsia="IRNazanin"/>
          <w:color w:val="111111"/>
          <w:sz w:val="28"/>
          <w:sz w:val="28"/>
          <w:szCs w:val="28"/>
          <w:rtl w:val="true"/>
          <w:lang w:bidi="fa-IR"/>
        </w:rPr>
        <w:t>می‌شود، ولی در مرتدّ فطری توبه‌اش سبب آزادی نمی‌گردد</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نقد استدلال شهید ثانی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دو حکم بیان شده است؛ زیرا، دو موضوع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درباره‌ی مرد مرتدّ، و دیگری درباره‌ی زن 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موضوع اوّل به قرینه‌ی روایات مرتدّ فطری تصرّف کرده و آن را بر مرد مرتدّ ملّی حمل نمودیم، چه ربطی به موضوع دوّم دارد؟ به چه دلیل دست از اطلاق این قسمت از روایت برداریم؟ دلیلی بر عدم قبول توبه‌ی زن مرتدّ فطری قائم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اطلاقش پا برجاست و ما به آن تمسّک کرده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مطلق زن مرتدّ، ارتدادش فطری باشد یا ملّی، توبه قبول می‌شود؛ همان‌گونه که صاحب جواهر رحمه الله فرموده است</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مؤیّد این مطلب، نحوه بیان امام علیه السلام است که موضوع اوّل را به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المرتدّ یستتاب فإن تاب و إلّاقتل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اگر مسأله عطف موضوع دوّم بر آن بود، باید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بتوانیم به سبب وحدت سیاق، دوّمی را نیز بر ارتداد ملّی حمل کنیم؛ امّا امام علیه السلام به صورت جمله‌ی مستأنفه‌ی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والمرأة إذا ارتدّت عن الإسلام استتیب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یعنی بر جمله‌ی قبلی عطف نکرد؛ یک جمله‌ی مستقلّ و مستأنفه‌ای است که به ماقبل مربوط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عن الحسن بن محبوب، عن عباد بن صهیب،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المرتدّ یستتاب فإن تاب وإلّا قتل، والمرأة تستتاب فإن تابت وإلّا حبست فی السجن واضرّبها</w:t>
      </w:r>
      <w:r>
        <w:rPr>
          <w:rFonts w:eastAsia="IRNazanin" w:cs="IRNazanin"/>
          <w:color w:val="111111"/>
          <w:sz w:val="28"/>
          <w:szCs w:val="28"/>
          <w:rtl w:val="true"/>
          <w:lang w:bidi="fa-IR"/>
        </w:rPr>
        <w:t>.</w:t>
      </w:r>
      <w:r>
        <w:rPr>
          <w:rStyle w:val="FootnoteAnchor"/>
          <w:rtl w:val="true"/>
        </w:rPr>
        <w:footnoteReference w:id="678"/>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رحمه الله از آن به خبر، تعبیر کرده،</w:t>
      </w:r>
      <w:r>
        <w:rPr>
          <w:rStyle w:val="FootnoteAnchor"/>
          <w:rtl w:val="true"/>
        </w:rPr>
        <w:footnoteReference w:id="679"/>
      </w:r>
      <w:r>
        <w:rPr>
          <w:rFonts w:ascii="IRNazanin" w:hAnsi="IRNazanin" w:eastAsia="IRNazanin"/>
          <w:color w:val="111111"/>
          <w:sz w:val="28"/>
          <w:sz w:val="28"/>
          <w:szCs w:val="28"/>
          <w:rtl w:val="true"/>
          <w:lang w:bidi="fa-IR"/>
        </w:rPr>
        <w:t>و ظاهرش این است که آن را ضعیف می‌داند؛ زیرا،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دو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ابن‌محبوب و خبر عباد بن صهیب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وجود دارد؛ در حالی که عباد بن صهیب را نجاشی رحمه الله توثیق کرده است؛</w:t>
      </w:r>
      <w:bookmarkStart w:id="933" w:name="pg16923_220501"/>
    </w:p>
    <w:p>
      <w:pPr>
        <w:pStyle w:val="BookText"/>
        <w:rPr/>
      </w:pPr>
      <w:bookmarkEnd w:id="933"/>
      <w:r>
        <w:rPr>
          <w:rFonts w:ascii="IRNazanin" w:hAnsi="IRNazanin" w:eastAsia="IRNazanin"/>
          <w:color w:val="111111"/>
          <w:sz w:val="28"/>
          <w:sz w:val="28"/>
          <w:szCs w:val="28"/>
          <w:rtl w:val="true"/>
          <w:lang w:bidi="fa-IR"/>
        </w:rPr>
        <w:t>هرچند عامی مذهب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روایت موثّقه است و نیازی به جابر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مرتدّ را توبه می‌دهند؛ اگر نپذیرفت، او را می‌کشند؛ و زن مرتدّ را توبه می‌دهند؛ اگر زیربار نرفت، زندانی شده او را اذیّت و آزار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شکلی که در قسمتی از روایات آمده بود؛ به او قوت لایموت می‌دهند و در اوقات نماز او را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جمله‌ی اول را باید بر مرتدّ ملّی حمل کرد؛ جمله‌ی دوّم نیز به حکم اتّحاد سیاق مربوط به مرتدّ ملّی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بحث استتابه مربوط به مرتدّ ملّی است و برای زنی‌که ارتدادش فطری باشد، دلیلی بر استتابه نداریم</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صاحب جواهر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دو موضوع و دو حکم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صدر روایت به قرینه‌ی روایات دیگر بر مرتدّ ملّی حمل شد، چرا دست از اطلاق ذیل روایت برداریم؟</w:t>
      </w:r>
    </w:p>
    <w:p>
      <w:pPr>
        <w:pStyle w:val="BookText"/>
        <w:rPr/>
      </w:pPr>
      <w:r>
        <w:rPr>
          <w:rFonts w:ascii="IRNazanin" w:hAnsi="IRNazanin" w:eastAsia="IRNazanin"/>
          <w:color w:val="111111"/>
          <w:sz w:val="28"/>
          <w:sz w:val="28"/>
          <w:szCs w:val="28"/>
          <w:rtl w:val="true"/>
          <w:lang w:bidi="fa-IR"/>
        </w:rPr>
        <w:t>ذیل که قرینه‌ی برخلاف و دلیل بر تقیید ندارد؟ بنابراین، به اطلاق موضوع دوّم تمسّک کرده و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المرتدّة تستتاب مطلقاً أی سواء کانت فطریة أم ملّیّة</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ظاهراً حقّ با صاحب جواهر رحمه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رحمه الله نیز فتوای صریحی به تفاوت بین زن مرتدّ ملّی با فطری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نصوص چنین چیزی برداشت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زنی که به ارتداد ملّی یا فطری مرتدّ شد، توبه طلب می‌کنند؛ اگر توبه کرد، از زندان آزاد می‌شود و هیچ مسأله‌ای ندارد؛ و اگر زیربار نرفت، به زندان ابد می‌افتد</w:t>
      </w:r>
      <w:r>
        <w:rPr>
          <w:rFonts w:eastAsia="IRNazanin" w:cs="IRNazanin"/>
          <w:color w:val="111111"/>
          <w:sz w:val="28"/>
          <w:szCs w:val="28"/>
          <w:rtl w:val="true"/>
          <w:lang w:bidi="fa-IR"/>
        </w:rPr>
        <w:t>.</w:t>
      </w:r>
    </w:p>
    <w:p>
      <w:pPr>
        <w:pStyle w:val="Heading4"/>
        <w:numPr>
          <w:ilvl w:val="3"/>
          <w:numId w:val="1"/>
        </w:numPr>
        <w:rPr/>
      </w:pPr>
      <w:bookmarkStart w:id="934" w:name="__RefHeading___Toc162795_3244359995"/>
      <w:bookmarkStart w:id="935" w:name="_Toc364"/>
      <w:bookmarkEnd w:id="934"/>
      <w:r>
        <w:rPr>
          <w:rtl w:val="true"/>
        </w:rPr>
        <w:t>کیفیّت توبه‌ی زن مرتدّ</w:t>
      </w:r>
      <w:bookmarkEnd w:id="935"/>
    </w:p>
    <w:p>
      <w:pPr>
        <w:pStyle w:val="Heading5"/>
        <w:numPr>
          <w:ilvl w:val="4"/>
          <w:numId w:val="1"/>
        </w:numPr>
        <w:rPr/>
      </w:pPr>
      <w:bookmarkStart w:id="936" w:name="__RefHeading___Toc162797_3244359995"/>
      <w:bookmarkStart w:id="937" w:name="_Toc365"/>
      <w:bookmarkEnd w:id="936"/>
      <w:r>
        <w:rPr>
          <w:rtl w:val="true"/>
        </w:rPr>
        <w:t>اشاره</w:t>
      </w:r>
      <w:bookmarkEnd w:id="937"/>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استتابه و طلب توبه فقط یک مرتبه از طرف حاکم است، اگر به دنبال استتابه‌ی حاکم توبه نکرد، لیکن یک ماه بعد خودش اظهار توبه کرد، ظاهراً از او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مسأله در اختیار زن باشد که هر وقت تصمیم گرفت،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توبه غیر از توبه‌ی به درگاه پروردگار است که هر وقت اراده کرد، می‌تواند توبه کند</w:t>
      </w:r>
      <w:r>
        <w:rPr>
          <w:rFonts w:eastAsia="IRNazanin" w:cs="IRNazanin"/>
          <w:color w:val="111111"/>
          <w:sz w:val="28"/>
          <w:szCs w:val="28"/>
          <w:rtl w:val="true"/>
          <w:lang w:bidi="fa-IR"/>
        </w:rPr>
        <w:t>.</w:t>
      </w:r>
      <w:bookmarkStart w:id="938" w:name="pg16923_220502"/>
    </w:p>
    <w:p>
      <w:pPr>
        <w:pStyle w:val="Heading5"/>
        <w:numPr>
          <w:ilvl w:val="4"/>
          <w:numId w:val="1"/>
        </w:numPr>
        <w:rPr/>
      </w:pPr>
      <w:bookmarkStart w:id="939" w:name="__RefHeading___Toc162799_3244359995"/>
      <w:bookmarkStart w:id="940" w:name="_Toc366"/>
      <w:bookmarkEnd w:id="938"/>
      <w:bookmarkEnd w:id="939"/>
      <w:r>
        <w:rPr>
          <w:rtl w:val="true"/>
        </w:rPr>
        <w:t>طرح روایت منافی</w:t>
      </w:r>
      <w:bookmarkEnd w:id="940"/>
    </w:p>
    <w:p>
      <w:pPr>
        <w:pStyle w:val="BookText"/>
        <w:rPr/>
      </w:pPr>
      <w:r>
        <w:rPr>
          <w:rFonts w:ascii="IRNazanin" w:hAnsi="IRNazanin" w:eastAsia="IRNazanin"/>
          <w:color w:val="111111"/>
          <w:sz w:val="28"/>
          <w:sz w:val="28"/>
          <w:szCs w:val="28"/>
          <w:rtl w:val="true"/>
          <w:lang w:bidi="fa-IR"/>
        </w:rPr>
        <w:t>در باب زن مرتدّ سه مطلب مورد اتفاق فقها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قتل، خلود در سجن و قبول 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را صاحب وسائل رحمه الله نقل کرده است که با آن‌چه گفتیم،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عن النّضر بن سوید، عن عاصم بن حمید، عن محمّد بن قیس،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 المؤمنین علیه السلام فی ولیدة کانت نصرانیّة فأسلمت وولدت لسیّدها، ثمّ إنّ سیّدها مات وأوصی بها عتاقة السریّة علی عهد عمر فنکحت نصرانیّاً دیرانیّاً وتنصّرت فولدت منه ولدین وحبلت بالثالث، فقضی فیها أن یعرض علیها الإسلام فعرض علیها الإسلام فأبت،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ولدت من ولد نصرانیّاً فهم عبید لأخیهم الّذی ولدت لسیّدها الأوّل، وأنا أحبسها حتّی تضع ولدها، فإذا ولدت قتلتها</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ولدی نصرانی اسلام آورد و برای مولایش فرزندی زایید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اربابش مُرد و وصیّت کرد پس از مرگش این کنیز آزاد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عتاقة السریة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اگر سهم ولد به اندازه‌ای نباشد که مادرش آزاد شود، کاری کنند که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امّ ولد پس از مرگ صاحبش آزاد شد و با یک نصرانی دیرنشین ازدواج کرد و به دین نصاری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مرد نصرانی دو فرزند به دنیا آورد و به فرزند سوّم آبستن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جریان‌ها در زمان خلافت عمر بن خطّاب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نزد امیرالمؤمنین علیه السلام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بر آن زن عرضه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از پذیرفتن اسلام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بچّه‌ای که در حال نصرانیّت زایید عبد برادر مسلمانشان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حبس می‌کنم تا وضع حمل کند، آن‌گاه او را خواهم کشت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مورد این زنی که مرتدّ ملّی است، پس از امتناع از توبه، حکم به قتل داده است؛ در حالی که بر طبق روایات گذشته، باید او را به زندان ابد بیندازند</w:t>
      </w:r>
      <w:r>
        <w:rPr>
          <w:rFonts w:eastAsia="IRNazanin" w:cs="IRNazanin"/>
          <w:color w:val="111111"/>
          <w:sz w:val="28"/>
          <w:szCs w:val="28"/>
          <w:rtl w:val="true"/>
          <w:lang w:bidi="fa-IR"/>
        </w:rPr>
        <w:t>.</w:t>
      </w:r>
      <w:bookmarkStart w:id="941" w:name="pg16923_220503"/>
    </w:p>
    <w:p>
      <w:pPr>
        <w:pStyle w:val="BookText"/>
        <w:rPr/>
      </w:pPr>
      <w:bookmarkEnd w:id="941"/>
      <w:r>
        <w:rPr>
          <w:rFonts w:ascii="IRNazanin" w:hAnsi="IRNazanin" w:eastAsia="IRNazanin"/>
          <w:color w:val="111111"/>
          <w:sz w:val="28"/>
          <w:sz w:val="28"/>
          <w:szCs w:val="28"/>
          <w:rtl w:val="true"/>
          <w:lang w:bidi="fa-IR"/>
        </w:rPr>
        <w:t>شیخ طوسی رحمه الله در توجیه این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قضیّة فی 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حکمی از امیرمؤمنان علیه السلام می‌باشد که ما به خصوصیّات آن واقعه، و علّت حکم آگاهی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حقّ نداریم از مورد روایت تعدّی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زن با مرد مسلمانی ازدواج کرده، سپس مرتدّ شده و به عقد ازدواج مرد نصرانی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استحقاق قتل پیدا کرده است</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در توجیه کلام مرحوم شیخ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پس از ارتداد باید عدّه‌ی طلاق نگه دارد؛ ولی او عدّه را مراعات نکرده و با مرد نصرانی ازدواج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زنای محصنه از او سرزده است؛ لذا، مستحقّ قتل خواهد بود</w:t>
      </w:r>
      <w:r>
        <w:rPr>
          <w:rFonts w:eastAsia="IRNazanin" w:cs="IRNazanin"/>
          <w:color w:val="111111"/>
          <w:sz w:val="28"/>
          <w:szCs w:val="28"/>
          <w:rtl w:val="true"/>
          <w:lang w:bidi="fa-IR"/>
        </w:rPr>
        <w:t>.</w:t>
      </w:r>
    </w:p>
    <w:p>
      <w:pPr>
        <w:pStyle w:val="Heading5"/>
        <w:numPr>
          <w:ilvl w:val="4"/>
          <w:numId w:val="1"/>
        </w:numPr>
        <w:rPr/>
      </w:pPr>
      <w:bookmarkStart w:id="942" w:name="__RefHeading___Toc162801_3244359995"/>
      <w:bookmarkStart w:id="943" w:name="_Toc367"/>
      <w:bookmarkEnd w:id="942"/>
      <w:r>
        <w:rPr>
          <w:rtl w:val="true"/>
        </w:rPr>
        <w:t>نقد توجیه شیخ طوسی رحمه الله</w:t>
      </w:r>
      <w:bookmarkEnd w:id="943"/>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قسمت روایت ازدواج این زن را با مرد مسلمان مطرح کرده است؟ ناقل این قضاوت امام باقر علیه السلام است، نه یک فرد معمولی تا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تسلیم این مطلب که استحقاق قتل به خاطر وقوع زنای محصنه است، سؤال این است که آیا اگر این زن پس از عرضه‌ی اسلام بر او توبه می‌کرد و اسلام را می‌پذیرفت، باز هم کشته می‌شد یا مسأله‌ی قتل منتفی می‌گشت؟ بنابراین، قتل به سبب ارتداد بوده نه به علّت ازدواج با مرد نصرانی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جهت نمی‌توانیم این روایت صحیحه را بپذیریم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ضابطه و ملاکی دو فرزندی که در حال نصرانیّت به دنیا آورده است، باید عبد برادرشان باشند؟ هیچ یک از ضابطه‌های رقیّت و عبودیّت در این‌جا تطبیق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راه‌های عبد و رقّ شدن یا عبد بودن پدر و مادر است یا اسیر شدن در جنگ؛ ارتداد و عدم قبول توبه سبب عبد شدن بچّه‌هایش نمی‌شود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بحث‌های گذشته نقل شد، هیچ کدام بر قتل زن مرتدّ دلالت نداشت؛ بلکه همه یک صدا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زن مرتدّ قتل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مسائل بعد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مرتدّ ملّی اگر از پذیرفتن توبه امتناع کرد، کشته می‌شود؛ ولی هیچ فقیهی در</w:t>
      </w:r>
      <w:bookmarkStart w:id="944" w:name="pg16923_220504"/>
    </w:p>
    <w:p>
      <w:pPr>
        <w:pStyle w:val="BookText"/>
        <w:rPr/>
      </w:pPr>
      <w:bookmarkEnd w:id="944"/>
      <w:r>
        <w:rPr>
          <w:rFonts w:ascii="IRNazanin" w:hAnsi="IRNazanin" w:eastAsia="IRNazanin"/>
          <w:color w:val="111111"/>
          <w:sz w:val="28"/>
          <w:sz w:val="28"/>
          <w:szCs w:val="28"/>
          <w:rtl w:val="true"/>
          <w:lang w:bidi="fa-IR"/>
        </w:rPr>
        <w:t>مورد زن مرتدّ فتوا به قتل نداده است؛ به خصوص اگر ارتدادش ملّی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علم روایت را به اهلش ارجاع داد</w:t>
      </w:r>
      <w:r>
        <w:rPr>
          <w:rFonts w:eastAsia="IRNazanin" w:cs="IRNazanin"/>
          <w:color w:val="111111"/>
          <w:sz w:val="28"/>
          <w:szCs w:val="28"/>
          <w:rtl w:val="true"/>
          <w:lang w:bidi="fa-IR"/>
        </w:rPr>
        <w:t>.</w:t>
      </w:r>
    </w:p>
    <w:p>
      <w:pPr>
        <w:pStyle w:val="Heading4"/>
        <w:numPr>
          <w:ilvl w:val="3"/>
          <w:numId w:val="1"/>
        </w:numPr>
        <w:rPr/>
      </w:pPr>
      <w:bookmarkStart w:id="945" w:name="__RefHeading___Toc162803_3244359995"/>
      <w:bookmarkStart w:id="946" w:name="_Toc368"/>
      <w:bookmarkEnd w:id="945"/>
      <w:r>
        <w:rPr>
          <w:rtl w:val="true"/>
        </w:rPr>
        <w:t>احکام مرد مرتدّ ملّی</w:t>
      </w:r>
      <w:bookmarkEnd w:id="946"/>
    </w:p>
    <w:p>
      <w:pPr>
        <w:pStyle w:val="Heading5"/>
        <w:numPr>
          <w:ilvl w:val="4"/>
          <w:numId w:val="1"/>
        </w:numPr>
        <w:rPr/>
      </w:pPr>
      <w:bookmarkStart w:id="947" w:name="__RefHeading___Toc162805_3244359995"/>
      <w:bookmarkStart w:id="948" w:name="_Toc369"/>
      <w:bookmarkEnd w:id="947"/>
      <w:r>
        <w:rPr>
          <w:rtl w:val="true"/>
        </w:rPr>
        <w:t>اشاره</w:t>
      </w:r>
      <w:bookmarkEnd w:id="948"/>
    </w:p>
    <w:p>
      <w:pPr>
        <w:pStyle w:val="BookText"/>
        <w:rPr/>
      </w:pPr>
      <w:r>
        <w:rPr>
          <w:rFonts w:ascii="IRNazanin" w:hAnsi="IRNazanin" w:eastAsia="IRNazanin"/>
          <w:color w:val="111111"/>
          <w:sz w:val="28"/>
          <w:sz w:val="28"/>
          <w:szCs w:val="28"/>
          <w:rtl w:val="true"/>
          <w:lang w:bidi="fa-IR"/>
        </w:rPr>
        <w:t>امام راحل رحمه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ملّی را توبه می‌دهند؛ اگر از پذیرش آن امتناع کرد، او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این است که او را سه روز توبه دهند و در روز چهارم او را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مرتدّ ملّی توبه کند، او را آزاد می‌کنند و هیچ حکمی ندارد؛ ولی اگر حاضر به توبه نشد، قتلی که بلافاصله بر مرتدّ فطری اجرا می‌شد، در حقّش اقامه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او را توبه می‌دهند، دو احتمال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روز او را توبه می‌دهند؛ اگر استتابه‌ی در سه روز مفید واقع نشد، او را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از او طلب توبه می‌کنند و تا سه روز مهلت دارد که برگردد و مسلمان شود؛ اگر در ظرف این سه روز برگشت، آزاد می‌گردد؛ وگرنه در روز چهارم او را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احتمال دوّم مقصود است که یک بار استتابه می‌شود و سه روز مهلت دارد تا رجوع کند</w:t>
      </w:r>
      <w:r>
        <w:rPr>
          <w:rFonts w:eastAsia="IRNazanin" w:cs="IRNazanin"/>
          <w:color w:val="111111"/>
          <w:sz w:val="28"/>
          <w:szCs w:val="28"/>
          <w:rtl w:val="true"/>
          <w:lang w:bidi="fa-IR"/>
        </w:rPr>
        <w:t>.</w:t>
      </w:r>
    </w:p>
    <w:p>
      <w:pPr>
        <w:pStyle w:val="Heading5"/>
        <w:numPr>
          <w:ilvl w:val="4"/>
          <w:numId w:val="1"/>
        </w:numPr>
        <w:rPr/>
      </w:pPr>
      <w:bookmarkStart w:id="949" w:name="__RefHeading___Toc162807_3244359995"/>
      <w:bookmarkStart w:id="950" w:name="_Toc370"/>
      <w:bookmarkEnd w:id="949"/>
      <w:r>
        <w:rPr>
          <w:rtl w:val="true"/>
        </w:rPr>
        <w:t>مفاد روایات</w:t>
      </w:r>
      <w:bookmarkEnd w:id="950"/>
    </w:p>
    <w:p>
      <w:pPr>
        <w:pStyle w:val="BookText"/>
        <w:rPr/>
      </w:pPr>
      <w:r>
        <w:rPr>
          <w:rFonts w:ascii="IRNazanin" w:hAnsi="IRNazanin" w:eastAsia="IRNazanin"/>
          <w:color w:val="111111"/>
          <w:sz w:val="28"/>
          <w:sz w:val="28"/>
          <w:szCs w:val="28"/>
          <w:rtl w:val="true"/>
          <w:lang w:bidi="fa-IR"/>
        </w:rPr>
        <w:t>روایاتی که بیانگر این احکام هستند، سه دسته می‌باشد که باید در دلالت آن‌ها دقّت کرد؛ طایفه‌ی اوّل، قتل را برای مطلق مرتدّ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طایفه‌ی دوّم، استتابه برای هر مرتدّی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طایفه‌ی سوّم، بین مرتدّ ملّی و فطری تفصیل می‌دهد، در مرتدّ فطری استتابه نیست به خلاف مرتدّ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طایفه‌ی سوّم شاهد جمع بین دو طایفه‌ی اوّل و دوّم است</w:t>
      </w:r>
      <w:r>
        <w:rPr>
          <w:rFonts w:eastAsia="IRNazanin" w:cs="IRNazanin"/>
          <w:color w:val="111111"/>
          <w:sz w:val="28"/>
          <w:szCs w:val="28"/>
          <w:rtl w:val="true"/>
          <w:lang w:bidi="fa-IR"/>
        </w:rPr>
        <w:t>.</w:t>
      </w:r>
    </w:p>
    <w:p>
      <w:pPr>
        <w:pStyle w:val="Heading5"/>
        <w:numPr>
          <w:ilvl w:val="4"/>
          <w:numId w:val="1"/>
        </w:numPr>
        <w:rPr/>
      </w:pPr>
      <w:bookmarkStart w:id="951" w:name="__RefHeading___Toc162809_3244359995"/>
      <w:bookmarkStart w:id="952" w:name="_Toc371"/>
      <w:bookmarkEnd w:id="951"/>
      <w:r>
        <w:rPr>
          <w:rtl w:val="true"/>
        </w:rPr>
        <w:t>طایفه‌ی اوّل</w:t>
      </w:r>
      <w:bookmarkEnd w:id="952"/>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عن علیّ بن إبراهیم، عن أبیه، وعن عدّة من أصحابنا، عن سهل بن زیاد جمیعاً، عن ابن محبوب، عن العلاء بن رزین،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المرتدّ،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رغب عن الإسلام</w:t>
      </w:r>
      <w:bookmarkStart w:id="953" w:name="pg16923_220505"/>
    </w:p>
    <w:p>
      <w:pPr>
        <w:pStyle w:val="BookText"/>
        <w:rPr/>
      </w:pPr>
      <w:bookmarkEnd w:id="953"/>
      <w:r>
        <w:rPr>
          <w:rFonts w:ascii="IRNazanin" w:hAnsi="IRNazanin" w:eastAsia="IRNazanin"/>
          <w:color w:val="111111"/>
          <w:sz w:val="28"/>
          <w:sz w:val="28"/>
          <w:szCs w:val="28"/>
          <w:rtl w:val="true"/>
          <w:lang w:bidi="fa-IR"/>
        </w:rPr>
        <w:t>وکفر بما انزل علی محمّد صلی الله علیه و آله بعد إسلامه فلا توبة له وقد وجب قتله وبانت منه امرأته ویقسّم ماترک علی ولده</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بحث‌های قبل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دو سند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مشتمل بر سهل بن زیاد است که مورد اختلاف و مناقشه است؛ ولی سند دیگرش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از امام باقر علیه السلام حکم جنس و طبیعت مرتدّ را پرسید، فرقی بین ملّی و فطری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جوابش به‌طور کلّی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 اسلام روبرگرداند و به آن‌چه بر پیامبر صلی الله علیه و آله نازل شده کافر گردد، برایش توبه‌ای نیست؛ قتلش واجب است و زنش از او جدا می‌گردد و ماترکش بین فرزاندانش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امام علیه السلام به سؤال محمّد بن مسلم انصرافی به مرتدّ فطری ندارد؛ زیرا، در زمان امام باقر علیه السلام مسیحی و یهودی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روایتی در مقابل این حدیث نبود، در مطلق مرتدّ حکم به قتل می‌کردیم</w:t>
      </w:r>
      <w:r>
        <w:rPr>
          <w:rFonts w:eastAsia="IRNazanin" w:cs="IRNazanin"/>
          <w:color w:val="111111"/>
          <w:sz w:val="28"/>
          <w:szCs w:val="28"/>
          <w:rtl w:val="true"/>
          <w:lang w:bidi="fa-IR"/>
        </w:rPr>
        <w:t>.</w:t>
      </w:r>
    </w:p>
    <w:p>
      <w:pPr>
        <w:pStyle w:val="Heading5"/>
        <w:numPr>
          <w:ilvl w:val="4"/>
          <w:numId w:val="1"/>
        </w:numPr>
        <w:rPr/>
      </w:pPr>
      <w:bookmarkStart w:id="954" w:name="__RefHeading___Toc162811_3244359995"/>
      <w:bookmarkStart w:id="955" w:name="_Toc372"/>
      <w:bookmarkEnd w:id="954"/>
      <w:r>
        <w:rPr>
          <w:rtl w:val="true"/>
        </w:rPr>
        <w:t>طایفه‌ی دوّم</w:t>
      </w:r>
      <w:bookmarkEnd w:id="955"/>
    </w:p>
    <w:p>
      <w:pPr>
        <w:pStyle w:val="BookText"/>
        <w:rPr/>
      </w:pPr>
      <w:r>
        <w:rPr>
          <w:rFonts w:ascii="IRNazanin" w:hAnsi="IRNazanin" w:eastAsia="IRNazanin"/>
          <w:color w:val="111111"/>
          <w:sz w:val="28"/>
          <w:sz w:val="28"/>
          <w:szCs w:val="28"/>
          <w:rtl w:val="true"/>
          <w:lang w:bidi="fa-IR"/>
        </w:rPr>
        <w:t>وعنه، عن الحسین بن محبوب، عن عباد بن صهیب،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المرتدّ یستتاب فإن تاب وإلّا قتل، والمرأة تستتاب فإن تابت وإلّا حبست فی السّجن واضرّبها</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موثّقه،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مرتدّ توبه داده می‌شود؛ اگر توبه کرد، آزاد می‌گردد؛ وگرنه او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مطلق است و هیچ انصرافی به مرتدّ ملّی ندارد؛ حتّی قیدی هم ندارد تا اختصاص به مرتدّ ملّی پیدا کند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علیّ بن إبراهیم، عن أبیه، عن ابن محبوب، عن غیر واحد من أصحابنا، عن أبی جعفر وأبی عبد اللَّه علیه السلام فی المرتدّ یستتاب، فإن تاب وإلّا قتل </w:t>
      </w:r>
      <w:r>
        <w:rPr>
          <w:rFonts w:eastAsia="IRNazanin" w:cs="IRNazanin"/>
          <w:color w:val="111111"/>
          <w:sz w:val="28"/>
          <w:szCs w:val="28"/>
          <w:rtl w:val="true"/>
          <w:lang w:bidi="fa-IR"/>
        </w:rPr>
        <w:t>....</w:t>
      </w:r>
      <w:r>
        <w:rPr>
          <w:rStyle w:val="FootnoteAnchor"/>
          <w:rtl w:val="true"/>
        </w:rPr>
        <w:footnoteReference w:id="686"/>
      </w:r>
      <w:bookmarkStart w:id="956" w:name="pg16923_220506"/>
    </w:p>
    <w:p>
      <w:pPr>
        <w:pStyle w:val="BookText"/>
        <w:rPr/>
      </w:pPr>
      <w:bookmarkEnd w:id="956"/>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رحمه الله این روایت را مرسل می‌دانست و ما برخلاف ایشان آن را صحیحه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نیز در مطلق مرتدّ، حکم به استتابه می‌کند؛ اگر نپذیرفت، او را می‌کشند</w:t>
      </w:r>
      <w:r>
        <w:rPr>
          <w:rFonts w:eastAsia="IRNazanin" w:cs="IRNazanin"/>
          <w:color w:val="111111"/>
          <w:sz w:val="28"/>
          <w:szCs w:val="28"/>
          <w:rtl w:val="true"/>
          <w:lang w:bidi="fa-IR"/>
        </w:rPr>
        <w:t>.</w:t>
      </w:r>
    </w:p>
    <w:p>
      <w:pPr>
        <w:pStyle w:val="Heading5"/>
        <w:numPr>
          <w:ilvl w:val="4"/>
          <w:numId w:val="1"/>
        </w:numPr>
        <w:rPr/>
      </w:pPr>
      <w:bookmarkStart w:id="957" w:name="__RefHeading___Toc162813_3244359995"/>
      <w:bookmarkStart w:id="958" w:name="_Toc373"/>
      <w:bookmarkEnd w:id="957"/>
      <w:r>
        <w:rPr>
          <w:rtl w:val="true"/>
        </w:rPr>
        <w:t>طایفه‌ی سوّم</w:t>
      </w:r>
      <w:bookmarkEnd w:id="958"/>
    </w:p>
    <w:p>
      <w:pPr>
        <w:pStyle w:val="BookText"/>
        <w:rPr/>
      </w:pPr>
      <w:r>
        <w:rPr>
          <w:rFonts w:ascii="IRNazanin" w:hAnsi="IRNazanin" w:eastAsia="IRNazanin"/>
          <w:color w:val="111111"/>
          <w:sz w:val="28"/>
          <w:sz w:val="28"/>
          <w:szCs w:val="28"/>
          <w:rtl w:val="true"/>
          <w:lang w:bidi="fa-IR"/>
        </w:rPr>
        <w:t>وعنه، عن العمرکی بن علی، عن علی بن جعفر، عن أخیه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مسلم تنصّر،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ولا یستتاب،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فنصرانیّ أسلم ثمّ ارتدّ،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یستتاب فإن رجع، وإلّا قتل</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امام هفتم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که سابقه‌ی کفر نداشته نصرانی شد، چه حکمی دارد؟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بدون توبه دادن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نصرانی مسلمان شد سپس مرتدّ گشت؟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توبه می‌دهند؛ اگر بازگشت، کاری با او ندارند؛ وگرنه اگر حاضر به توبه نشد، او را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شاهد جمع بین دو طایفه‌ی اوّل است؛ یعنی طایفه‌ی اوّل به قرینه‌ی این روایت بر مرتدّ فطری و طایفه‌ی دوّم بر مرتدّ ملّی حمل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حسین بن سعید نیز تا حدّی شاهد این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الحسین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بخطّ رجل إلی أبی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ولد علی الإسلام ثمّ کفر وأشرک وخرج عن الإسلام هل یستتاب؟ أو یقتل ولا یستتاب؟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w:t>
      </w:r>
      <w:r>
        <w:rPr>
          <w:rFonts w:eastAsia="IRNazanin" w:cs="IRNazanin"/>
          <w:color w:val="111111"/>
          <w:sz w:val="28"/>
          <w:szCs w:val="28"/>
          <w:rtl w:val="true"/>
          <w:lang w:bidi="fa-IR"/>
        </w:rPr>
        <w:t>.</w:t>
      </w:r>
      <w:r>
        <w:rPr>
          <w:rStyle w:val="FootnoteAnchor"/>
          <w:rtl w:val="true"/>
        </w:rPr>
        <w:footnoteReference w:id="688"/>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 اسلام متولّد شد سپس کفر ورزید و</w:t>
      </w:r>
      <w:bookmarkStart w:id="959" w:name="pg16923_220507"/>
    </w:p>
    <w:p>
      <w:pPr>
        <w:pStyle w:val="BookText"/>
        <w:rPr/>
      </w:pPr>
      <w:bookmarkEnd w:id="959"/>
      <w:r>
        <w:rPr>
          <w:rFonts w:ascii="IRNazanin" w:hAnsi="IRNazanin" w:eastAsia="IRNazanin"/>
          <w:color w:val="111111"/>
          <w:sz w:val="28"/>
          <w:sz w:val="28"/>
          <w:szCs w:val="28"/>
          <w:rtl w:val="true"/>
          <w:lang w:bidi="fa-IR"/>
        </w:rPr>
        <w:t>شرک آورد و از اسلام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توبه می‌دهند یا او را می‌کشند و توبه نمی‌دهند؟ امام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خصوص مرتدّ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روایات تفصیل بین مرتدّ ملّی و فطری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فتاوای فقها نیز با آن موافق است</w:t>
      </w:r>
      <w:r>
        <w:rPr>
          <w:rFonts w:eastAsia="IRNazanin" w:cs="IRNazanin"/>
          <w:color w:val="111111"/>
          <w:sz w:val="28"/>
          <w:szCs w:val="28"/>
          <w:rtl w:val="true"/>
          <w:lang w:bidi="fa-IR"/>
        </w:rPr>
        <w:t>.</w:t>
      </w:r>
    </w:p>
    <w:p>
      <w:pPr>
        <w:pStyle w:val="Heading4"/>
        <w:numPr>
          <w:ilvl w:val="3"/>
          <w:numId w:val="1"/>
        </w:numPr>
        <w:rPr/>
      </w:pPr>
      <w:bookmarkStart w:id="960" w:name="__RefHeading___Toc162815_3244359995"/>
      <w:bookmarkStart w:id="961" w:name="_Toc374"/>
      <w:bookmarkEnd w:id="960"/>
      <w:r>
        <w:rPr>
          <w:rtl w:val="true"/>
        </w:rPr>
        <w:t>استتابه‌ی مرتدّ</w:t>
      </w:r>
      <w:bookmarkEnd w:id="9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روایاتی که مشتمل بر استتابه‌ی مرتدّ است، استفاده می‌شود این عمل بر حاکم شرع واجب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جمله‌ی خبریّه در مقام انشا است که دلالت بر وجوب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تحریرالوسیله درباره‌ی زن مرتدّ، استتابه مطرح نشده است؛ ولی در مرتدّ ملّی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ویستتاب، فإن امتنع قتل، والأحوط استتابته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بین زن مرتدّ با مرتدّ ملّی است که در یکی مسأله استتابه مطرح شده و در دیگری نیامده است با آن که روایاتی که در خصوص زن مرتدّ رسیده، مشتمل بر این لفظ هست؟ مثلًا در موثقه‌ی عباد بن صهیب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والمرأة تستتاب </w:t>
      </w:r>
      <w:r>
        <w:rPr>
          <w:rFonts w:eastAsia="IRNazanin" w:cs="IRNazanin"/>
          <w:color w:val="111111"/>
          <w:sz w:val="28"/>
          <w:szCs w:val="28"/>
          <w:rtl w:val="true"/>
          <w:lang w:bidi="fa-IR"/>
        </w:rPr>
        <w:t>...»</w:t>
      </w:r>
      <w:r>
        <w:rPr>
          <w:rStyle w:val="FootnoteAnchor"/>
          <w:rtl w:val="true"/>
        </w:rPr>
        <w:footnoteReference w:id="689"/>
      </w:r>
      <w:r>
        <w:rPr>
          <w:rFonts w:ascii="IRNazanin" w:hAnsi="IRNazanin" w:eastAsia="IRNazanin"/>
          <w:color w:val="111111"/>
          <w:sz w:val="28"/>
          <w:sz w:val="28"/>
          <w:szCs w:val="28"/>
          <w:rtl w:val="true"/>
          <w:lang w:bidi="fa-IR"/>
        </w:rPr>
        <w:t>و در صحیحه‌ی ابن‌محبوب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والمرأة إذا ارتدّت عن الإسلام استتیب </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مرتدّ یا مرتدّ ملّی پیش از مطالبه‌ی حاکم توبه کند، توبه‌اش قبول و موضوع استتابه منتفی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توبه متوقّف بر طلب حاکم نیست؛ امّا پس از طلب حاکم، اگر در مدّت مقرّر توبه کرد، آزاد می‌شود؛ وگرنه مرد مرتدّ کشته و زن مرتدّ به زندان ابد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هر وقت مرتدّ توبه کند، توبه‌اش را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اشکال بر عبارت تحریرالوسیله روشن می‌شود؛ زیرا،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وتقبل توبتها فإن تابت أخرجت عن الحبس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زمانی توبه‌اش پذیرفته می‌شود؟ اگر یک سال پس از استتابه‌ی حاکم شرع توبه کند، چه دلیلی بر قبولی توبه‌اش داریم تا او را از زندان آزاد سازیم؟ تعبیر تحریرالوسیله با روایات باب سازش ندارد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موثّقه عباد بن صهیب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تستتاب فإن تابت وإلّا حبست فی السّجن</w:t>
      </w:r>
      <w:r>
        <w:rPr>
          <w:rFonts w:eastAsia="IRNazanin" w:cs="IRNazanin"/>
          <w:color w:val="111111"/>
          <w:sz w:val="28"/>
          <w:szCs w:val="28"/>
          <w:rtl w:val="true"/>
          <w:lang w:bidi="fa-IR"/>
        </w:rPr>
        <w:t>»</w:t>
      </w:r>
      <w:r>
        <w:rPr>
          <w:rStyle w:val="FootnoteAnchor"/>
          <w:rtl w:val="true"/>
        </w:rPr>
        <w:footnoteReference w:id="691"/>
      </w:r>
      <w:r>
        <w:rPr>
          <w:rFonts w:ascii="IRNazanin" w:hAnsi="IRNazanin" w:eastAsia="IRNazanin"/>
          <w:color w:val="111111"/>
          <w:sz w:val="28"/>
          <w:sz w:val="28"/>
          <w:szCs w:val="28"/>
          <w:rtl w:val="true"/>
          <w:lang w:bidi="fa-IR"/>
        </w:rPr>
        <w:t>و در صحیحه حسین بن محبوب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والمرأة إذا ارتدت عن الإسلام استتیبت فإن تابت وإلّا اخلدت فی السّجن </w:t>
      </w:r>
      <w:r>
        <w:rPr>
          <w:rFonts w:eastAsia="IRNazanin" w:cs="IRNazanin"/>
          <w:color w:val="111111"/>
          <w:sz w:val="28"/>
          <w:szCs w:val="28"/>
          <w:rtl w:val="true"/>
          <w:lang w:bidi="fa-IR"/>
        </w:rPr>
        <w:t>...»</w:t>
      </w:r>
      <w:r>
        <w:rPr>
          <w:rStyle w:val="FootnoteAnchor"/>
          <w:rtl w:val="true"/>
        </w:rPr>
        <w:footnoteReference w:id="692"/>
      </w:r>
      <w:r>
        <w:rPr>
          <w:rFonts w:ascii="IRNazanin" w:hAnsi="IRNazanin" w:eastAsia="IRNazanin"/>
          <w:color w:val="111111"/>
          <w:sz w:val="28"/>
          <w:sz w:val="28"/>
          <w:szCs w:val="28"/>
          <w:rtl w:val="true"/>
          <w:lang w:bidi="fa-IR"/>
        </w:rPr>
        <w:t>در این دو روایت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توبه</w:t>
      </w:r>
    </w:p>
    <w:p>
      <w:pPr>
        <w:pStyle w:val="BookText"/>
        <w:rPr/>
      </w:pPr>
      <w:r>
        <w:rPr>
          <w:rFonts w:ascii="IRNazanin" w:hAnsi="IRNazanin" w:eastAsia="IRNazanin"/>
          <w:color w:val="111111"/>
          <w:sz w:val="28"/>
          <w:sz w:val="28"/>
          <w:szCs w:val="28"/>
          <w:rtl w:val="true"/>
          <w:lang w:bidi="fa-IR"/>
        </w:rPr>
        <w:t>کرد، آزاد می‌شود؛ بلکه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از او طلب توبه می‌کند، اگر بلافاصله جواب داد، آزاد می‌شود؛ وگرنه مخلّد در حبس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رحمه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این است که مرتدّ ملّی را سه روز توبه دهند؛ اگر توبه نکرد، در روز چهارم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روایتی است که صاحب جواهر رحمه الله آن را تضعیف کرده است؛</w:t>
      </w:r>
      <w:r>
        <w:rPr>
          <w:rStyle w:val="FootnoteAnchor"/>
          <w:rtl w:val="true"/>
        </w:rPr>
        <w:footnoteReference w:id="693"/>
      </w:r>
      <w:r>
        <w:rPr>
          <w:rFonts w:ascii="IRNazanin" w:hAnsi="IRNazanin" w:eastAsia="IRNazanin"/>
          <w:color w:val="111111"/>
          <w:sz w:val="28"/>
          <w:sz w:val="28"/>
          <w:szCs w:val="28"/>
          <w:rtl w:val="true"/>
          <w:lang w:bidi="fa-IR"/>
        </w:rPr>
        <w:t>لیکن روایت از طریق شیخ و کلینی رحمهما الله مشتمل بر سهل بن زیاد است و سندش مورد اعتماد نیست؛ امّا از طریق صدوق رحمه الله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عدّة من أصحابنا، عن سهل بن زیاد، عن محمّد بن الحسن بن شمّون، عن عبداللَّه بن عبدالرّحمن، عن مسمع بن عبدالملک،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المرتدّ عن الإسلام تعزل عنه امرأته ولا تؤکل ذبیحته، ویستتاب ثلاثة أیّام فإن تاب وإلّا قتل یوم الرابع ورواه الشیخ بإسناده عن سهل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الصدوق بإسناده عن السّکونی عن جعفر عن أبیه عن آبائه علیهم السلام مثله 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صحیح العقل</w:t>
      </w:r>
      <w:r>
        <w:rPr>
          <w:rFonts w:eastAsia="IRNazanin" w:cs="IRNazanin"/>
          <w:color w:val="111111"/>
          <w:sz w:val="28"/>
          <w:szCs w:val="28"/>
          <w:rtl w:val="true"/>
          <w:lang w:bidi="fa-IR"/>
        </w:rPr>
        <w:t>.</w:t>
      </w:r>
      <w:r>
        <w:rPr>
          <w:rStyle w:val="FootnoteAnchor"/>
          <w:rtl w:val="true"/>
        </w:rPr>
        <w:footnoteReference w:id="694"/>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از اسلام به ارتداد ملّی برگردد، زوجه‌اش از او 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زن مسلمان نمی‌تواند شوهر کافر داشته باشد، لیکن نحوه‌ی جدایی آن با جدایی مرتدّ فطری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مرتدّ ملّی عدّه‌ی طلاق می‌گیرد و در مرتدّ فطری عدّه‌ی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مرتدّ ملّی اگر در زمان عدّه توبه کند، نکاح به حال خود باقی است و نیاز به عقد جدید ندارد، ولی در مرتدّ فطری نیاز به عقد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نکاح این مسائل مطرح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ذبیحه‌ی چنین مرتدّی را نمی‌توان خورد؛ و سه روز استتابه می‌شود؛ اگر توبه کرد، آزاد می‌شود؛ وگرنه در روز چهارم او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سکونی اضافه‌ای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فرد عقلش سالم باشد</w:t>
      </w:r>
      <w:r>
        <w:rPr>
          <w:rFonts w:eastAsia="IRNazanin" w:cs="IRNazanin"/>
          <w:color w:val="111111"/>
          <w:sz w:val="28"/>
          <w:szCs w:val="28"/>
          <w:rtl w:val="true"/>
          <w:lang w:bidi="fa-IR"/>
        </w:rPr>
        <w:t>.</w:t>
      </w:r>
      <w:bookmarkStart w:id="962" w:name="pg16923_220509"/>
    </w:p>
    <w:p>
      <w:pPr>
        <w:pStyle w:val="BookText"/>
        <w:rPr/>
      </w:pPr>
      <w:bookmarkEnd w:id="962"/>
      <w:r>
        <w:rPr>
          <w:rFonts w:ascii="IRNazanin" w:hAnsi="IRNazanin" w:eastAsia="IRNazanin"/>
          <w:color w:val="111111"/>
          <w:sz w:val="28"/>
          <w:sz w:val="28"/>
          <w:szCs w:val="28"/>
          <w:rtl w:val="true"/>
          <w:lang w:bidi="fa-IR"/>
        </w:rPr>
        <w:t>در استتابه‌ی سه روز دو احتمال هست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از سه روز حاکم طلب توبه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طلب توبه کرده و تا سه روز به او مهلت می‌دهد تا در این سه روز فکر کند و تصمیم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رحمه الله روایت را به علّت ضعف کنار گذاشته،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اطلاقات اخذ کنیم</w:t>
      </w:r>
      <w:r>
        <w:rPr>
          <w:rFonts w:eastAsia="IRNazanin" w:cs="IRNazanin"/>
          <w:color w:val="111111"/>
          <w:sz w:val="28"/>
          <w:szCs w:val="28"/>
          <w:rtl w:val="true"/>
          <w:lang w:bidi="fa-IR"/>
        </w:rPr>
        <w:t>.</w:t>
      </w:r>
      <w:r>
        <w:rPr>
          <w:rStyle w:val="FootnoteAnchor"/>
          <w:rtl w:val="true"/>
        </w:rPr>
        <w:footnoteReference w:id="695"/>
      </w:r>
      <w:r>
        <w:rPr>
          <w:rFonts w:ascii="IRNazanin" w:hAnsi="IRNazanin" w:eastAsia="IRNazanin"/>
          <w:color w:val="111111"/>
          <w:sz w:val="28"/>
          <w:sz w:val="28"/>
          <w:szCs w:val="28"/>
          <w:rtl w:val="true"/>
          <w:lang w:bidi="fa-IR"/>
        </w:rPr>
        <w:t>روز اوّل حاکم شرع از او می‌خواهد توبه کند؛ اگر بلافاصله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عرفیّت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کرد، می‌پذیرد و رهایش می‌سازد؛ وگرنه در همان روز او را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روایت به طریق مرحوم صدوق معتبر است؛ هرچند راوی آن سکونی از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آن عمل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روایت، احتیاط در باب دماء و فروج نیز این مطلب را اقتضا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بنا بر اقوا یا احتیاط وجوبی، باید سه روز به مرتدّ ملّی مهلت داد؛ اگر توبه نکرد، او را می‌کشند</w:t>
      </w:r>
      <w:r>
        <w:rPr>
          <w:rFonts w:eastAsia="IRNazanin" w:cs="IRNazanin"/>
          <w:color w:val="111111"/>
          <w:sz w:val="28"/>
          <w:szCs w:val="28"/>
          <w:rtl w:val="true"/>
          <w:lang w:bidi="fa-IR"/>
        </w:rPr>
        <w:t>.</w:t>
      </w:r>
    </w:p>
    <w:p>
      <w:pPr>
        <w:pStyle w:val="Heading4"/>
        <w:numPr>
          <w:ilvl w:val="3"/>
          <w:numId w:val="1"/>
        </w:numPr>
        <w:rPr/>
      </w:pPr>
      <w:bookmarkStart w:id="963" w:name="__RefHeading___Toc162817_3244359995"/>
      <w:bookmarkStart w:id="964" w:name="_Toc375"/>
      <w:bookmarkEnd w:id="963"/>
      <w:r>
        <w:rPr>
          <w:rtl w:val="true"/>
        </w:rPr>
        <w:t>تقاضای حلّ شبهه توسط مرتدّ</w:t>
      </w:r>
      <w:bookmarkEnd w:id="964"/>
    </w:p>
    <w:p>
      <w:pPr>
        <w:pStyle w:val="BookText"/>
        <w:rPr/>
      </w:pPr>
      <w:r>
        <w:rPr>
          <w:rFonts w:ascii="IRNazanin" w:hAnsi="IRNazanin" w:eastAsia="IRNazanin"/>
          <w:color w:val="111111"/>
          <w:sz w:val="28"/>
          <w:sz w:val="28"/>
          <w:szCs w:val="28"/>
          <w:rtl w:val="true"/>
          <w:lang w:bidi="fa-IR"/>
        </w:rPr>
        <w:t>اگر حاکم شرع از مرتدّ ملّی طلب توبه کرد،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شبهه‌ای عارض شده است، آن را حل کنید تا به اسلام برگردم و الّا بر کفر باقی خواهم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علّامه‌ی حلّی رحمه الله در کتاب قواعد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در مسأله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مهلت دهیم و از او بخواهیم با مراجعه‌ی به خبرگان و دانشمندان و تحقیق، شبهه‌اش را حلّ کند؛ و در این مدّت او را آزاد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 شبهه‌اش را حلّ کند، او را می‌کشیم؛ و اگر شبهه‌اش برطرف شد، به منزله‌ی توبه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پس از گذشت یک سال یا دو سال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اظهار توبه و بازگشت به اسلام کن ولو در قلب مردّد و متزلزل باشی تا با این حال اظهار توبه‌ات محقّق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توبه، او را به حلّ شبهه موظّف می‌سازیم</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مبتلا به شبهه‌ای در اعتقاد شده، توبه و بازگشت به اسلام خواستن یک نوع تکلیف به مالایطاق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کسی که گرفتار شبهه است، می‌تواند اعتقاد قلبی به اسلام داشته باشد و در برابرش خضوع کند؛ لذا، باید به او مهلت</w:t>
      </w:r>
    </w:p>
    <w:p>
      <w:pPr>
        <w:pStyle w:val="BookText"/>
        <w:rPr/>
      </w:pPr>
      <w:r>
        <w:rPr>
          <w:rFonts w:ascii="IRNazanin" w:hAnsi="IRNazanin" w:eastAsia="IRNazanin"/>
          <w:color w:val="111111"/>
          <w:sz w:val="28"/>
          <w:sz w:val="28"/>
          <w:szCs w:val="28"/>
          <w:rtl w:val="true"/>
          <w:lang w:bidi="fa-IR"/>
        </w:rPr>
        <w:t>داد تا قدرت بر حلّ شبهه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شرع کاری به اعتقاد قلبی فرد ندارد؛ بلکه موظّف است ظواهر احکام را مترتّب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می‌خواهد اسلام را اظهار کند؛ هرچند مخالف با اعتقادش باشد و قلباً در برابر اسلام خاضع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منافقین در صدر اسلام که در نظر رسول اکرم صلی الله علیه و آله محرز بود اظهاراتشان با اعتقادشان مباینت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آثار اسلام و احکامش را بر آنان مترتّب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در کتاب طهارت و نجاسات در باب کفر باید پیگیری شود؛ و در این‌جا باید دید مستفاد از روایات چیست؟ آیا روایاتی که استتابه‌ی مرتدّ را مطرح می‌کند، مربوط به مرتدّی است که گرفتار شبهه نباشد یا اطلاق دارد؟ همان طور که در اصل ارتدادش باید بررسی کرد آیا شخص عذری دارد یا نه؟</w:t>
      </w:r>
    </w:p>
    <w:p>
      <w:pPr>
        <w:pStyle w:val="BookText"/>
        <w:rPr/>
      </w:pPr>
      <w:r>
        <w:rPr>
          <w:rFonts w:ascii="IRNazanin" w:hAnsi="IRNazanin" w:eastAsia="IRNazanin"/>
          <w:color w:val="111111"/>
          <w:sz w:val="28"/>
          <w:sz w:val="28"/>
          <w:szCs w:val="28"/>
          <w:rtl w:val="true"/>
          <w:lang w:bidi="fa-IR"/>
        </w:rPr>
        <w:t>نظر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 فرد معذور نیست؛ زیرا، وقتی اسلام بر پایه‌ی استدلال متکّی بود، با وجود منطق اسلام، جایی برای این شبهات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کسی اسلامش از روی تحقیق و دقّت باشد، امکان ندارد شبهه در اعتقاداتش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عروض شبهه از نقص در تحقیق و عدم بررسی و مطالعه‌ی کامل در باب اسلام کشف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دین اسلام را خالی از تعصّب و عناد مورد مطالعه و بررسی قرار دهد، امکان ندارد آن را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که از یک طرف جهانی، و از طرف دیگر ابدی است، باید به یک اصول و قواعدی ارتباط و بستگی داشته باشد که هر عاقل و هر اهل منطق و محقّقی اگر با تحقیقی صحیح در اطرافش به کاوش پرداخت، در برابر اصولش خاضع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درباره‌ی اسلام چنین اعتقادی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تحقیق کامل و جامعی در اسلام کرد و آن را نپذیرفت، معلوم می‌شود گرفتار عناد و لجاجت یا خوف و وحشت و یا حبّ جاه و مقام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نیز همین معنا علّت عدم ایمان علمای یهود و نصارا معرّفی شده است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فردی که مرتدّ ملّی است؛ در سابق مسلمان نبوده و سپس به اسلام گرویده است؛ اگر اسلامش از روی تحقیق و بررسی مسائل اسلام باشد، گرفتار شبهه نمی‌شود؛ اگر امروز شبهه در اعتقادش پیدا شده، ناشی از عدم تحقیق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خودش مقصّر است و معذور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دلیلی نداریم که باید به مرتدّ ملّی مهلت دهند تا شبهه‌اش را حل کند؛ هرچند زمان حلّ شبهه طولانی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مرتدّ ملّی در اصل شبهه معذور نیست؛ لذا، حکم تغییر نمی‌کند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المرتدّ یستتاب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خود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معذور بود،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او را تحت فشار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مسلمانی که وظیفه‌اش این است که از روی تحقیق به اصول و مبانی اوّلیه‌ی اسلام معتقد گردد، اگر در تحقیق قصور کرده است، معذور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حصول شبهه سبب تغییر حکم ارتداد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رحمه الله نیز همین مطلب را فرموده است</w:t>
      </w:r>
      <w:r>
        <w:rPr>
          <w:rFonts w:eastAsia="IRNazanin" w:cs="IRNazanin"/>
          <w:color w:val="111111"/>
          <w:sz w:val="28"/>
          <w:szCs w:val="28"/>
          <w:rtl w:val="true"/>
          <w:lang w:bidi="fa-IR"/>
        </w:rPr>
        <w:t>.</w:t>
      </w:r>
      <w:r>
        <w:rPr>
          <w:rStyle w:val="FootnoteAnchor"/>
          <w:rtl w:val="true"/>
        </w:rPr>
        <w:footnoteReference w:id="696"/>
      </w:r>
      <w:r>
        <w:rPr>
          <w:rFonts w:ascii="IRNazanin" w:hAnsi="IRNazanin" w:eastAsia="IRNazanin"/>
          <w:color w:val="111111"/>
          <w:sz w:val="28"/>
          <w:sz w:val="28"/>
          <w:szCs w:val="28"/>
          <w:rtl w:val="true"/>
          <w:lang w:bidi="fa-IR"/>
        </w:rPr>
        <w:t>فاضل هندی رحمه الله به برخی از عامّه، مهلتِ تا زمان حلّ شبهه را نسبت می‌دهد؛</w:t>
      </w:r>
      <w:r>
        <w:rPr>
          <w:rStyle w:val="FootnoteAnchor"/>
          <w:rtl w:val="true"/>
        </w:rPr>
        <w:footnoteReference w:id="697"/>
      </w:r>
      <w:r>
        <w:rPr>
          <w:rFonts w:ascii="IRNazanin" w:hAnsi="IRNazanin" w:eastAsia="IRNazanin"/>
          <w:color w:val="111111"/>
          <w:sz w:val="28"/>
          <w:sz w:val="28"/>
          <w:szCs w:val="28"/>
          <w:rtl w:val="true"/>
          <w:lang w:bidi="fa-IR"/>
        </w:rPr>
        <w:t>لیکن مقتضای اطلاقات، عدم امهال بیش از 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رحمه الله روایتی را نیز به عنوان تأیید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سند خوبی ندارد؛ لیکن برای تأیید مطرح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الحسین بن سعید، عن حمّاد وصفوان، عن معاویة بن عمّار، عن أبیه، عن أبی الطفیل، أنّ بنی ناجیة قوماً کانوا یسکنون الأسیاف وکانوا قوماً یدّعون فی قریش نسباً، وکانوا نصاری، فأسلموا، ثمّ رجعوا عن الإسلام، فبعث أمیر المؤمنین علیه السلام معقل بن قیس التمیمی، فخرجنا معه، فلمّا انتهینا إلی القوم جعل بیننا وبینه أمارة،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وضعت یدی علی رأسی فضعوا فیهم السّلاح، فأتاهم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أنتم علیه؟ فخرجت طائفة،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نصاری فأسلمنا لا نعلم دیناً خیراً من دیننا، فنحن علیه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کنّا نصاری ثمّ أسلمنا ثمّ عرفنا أنّه لا خیر من الدین الّذی کنّا علیه فرجعنا إلیه، فدعاهم إلی الإسلام ثلاث مرّات فأبوا، فوضع یده علی رأسه قال فقتل مقاتلیهم وسبی ذراریهم</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بهم علیّاً علیه السلام فاشتراهم مصقلة بن هبیرة، بمأة ألف درهم فأعتقهم وحمل إلی علیّ علیه الصلوة والسلام خمسین ألفاً فأبی أن یقبلها، قال فخرج بها فدفنه بداره ولحق بمعاویة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فخرب أمیر المؤمنین علیه السلام</w:t>
      </w:r>
    </w:p>
    <w:p>
      <w:pPr>
        <w:pStyle w:val="BookText"/>
        <w:rPr/>
      </w:pPr>
      <w:r>
        <w:rPr>
          <w:rFonts w:ascii="IRNazanin" w:hAnsi="IRNazanin" w:eastAsia="IRNazanin"/>
          <w:color w:val="111111"/>
          <w:sz w:val="28"/>
          <w:sz w:val="28"/>
          <w:szCs w:val="28"/>
          <w:rtl w:val="true"/>
          <w:lang w:bidi="fa-IR"/>
        </w:rPr>
        <w:t>داره وأجاز عتقهم</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ناجیه قومی بودند که در اطراف اسیاف سکونت داشتند و ادّعا می‌کردند با قریش ارتباط فامیلی دارند و همگی مسیحی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آوردند و سپس مرتدّ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معقل بن قیس تمیمی را به سوی آنان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همراهان معقل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محلّ آنان رسیدیم، معقل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دست بر سرم گذاشتم معطّل نکنید و با اسلحه به آنان حمله‌ور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معقل نزد آن طایفه آمد و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حرفتان چیست؟ چه می‌گویید؟ جمعیّت دو گروه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نصرانی بودیم، مسلمان شدیم؛ و اکنون دینی را بهتر از اسلام نمی‌دانیم، به آن معتقدیم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نصرانی بودیم، اسلام آوردیم؛ سپس فهمیدیم دین سابق ما بهترین ادیان است، به آن برگشتیم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معقل سه‌بار از آنان تقاضای توبه کرد و آنان سرباز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دست بر سرش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سربازانش هجوم بردند، مردان جنگجو را کشتند و بچّه‌هایشان را به اسارت گرفتند و نزد امیرمؤمنان علیه السلام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مصقلة بن هبیره اسیران را به صد هزار درهم خرید و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معقل پنجاه هزار درهم نزد امیر مؤمنان علیه السلام آورد، حضرت از پذیرفتن آن امتناع کردند؛ او هم آن‌ها را برداشت و به خانه‌اش رفت و در آن‌جا دفن کرد و به معاویه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خانه‌اش را خراب، و آزادی اسرا را اجازه داد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ارتداد بنی‌ناجیه به سبب شبهه‌ای بود که عارض شده بود و مأمور امیرمؤمنان علیه السلام مهلتی برای رفع شبهه نداد؛ بلکه پس از سه‌بار طلب توبه، آنان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به عنوان مؤیّد خوب است</w:t>
      </w:r>
      <w:r>
        <w:rPr>
          <w:rFonts w:eastAsia="IRNazanin" w:cs="IRNazanin"/>
          <w:color w:val="111111"/>
          <w:sz w:val="28"/>
          <w:szCs w:val="28"/>
          <w:rtl w:val="true"/>
          <w:lang w:bidi="fa-IR"/>
        </w:rPr>
        <w:t>.</w:t>
      </w:r>
      <w:bookmarkStart w:id="965" w:name="pg16923_220513"/>
    </w:p>
    <w:p>
      <w:pPr>
        <w:pStyle w:val="BookText"/>
        <w:rPr/>
      </w:pPr>
      <w:bookmarkEnd w:id="9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تحقّق الارتداد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الحکم بالارتداد البلوغ والعقل والاختیار والقصد، فلاعبرة بردّة الصبیّ وإن کان مراهقاً، ولا المجنون وإن کان أدواریاً دور جنونه ولا المکره ولا بما یقع بلا قصد کالهازل والساهی والغافل والمغمی علیه، ولو صدر منه حال غضب غالب لایملک معه نفسه لم یحکم بالإرتداد</w:t>
      </w:r>
      <w:r>
        <w:rPr>
          <w:rFonts w:eastAsia="IRNazanin" w:cs="IRNazanin"/>
          <w:color w:val="111111"/>
          <w:sz w:val="28"/>
          <w:szCs w:val="28"/>
          <w:rtl w:val="true"/>
          <w:lang w:bidi="fa-IR"/>
        </w:rPr>
        <w:t>.]</w:t>
      </w:r>
    </w:p>
    <w:p>
      <w:pPr>
        <w:pStyle w:val="Heading4"/>
        <w:numPr>
          <w:ilvl w:val="3"/>
          <w:numId w:val="1"/>
        </w:numPr>
        <w:rPr/>
      </w:pPr>
      <w:bookmarkStart w:id="966" w:name="__RefHeading___Toc162819_3244359995"/>
      <w:bookmarkStart w:id="967" w:name="_Toc376"/>
      <w:bookmarkEnd w:id="966"/>
      <w:r>
        <w:rPr>
          <w:rtl w:val="true"/>
        </w:rPr>
        <w:t>شرایط تحقّق ارتداد</w:t>
      </w:r>
      <w:bookmarkEnd w:id="967"/>
    </w:p>
    <w:p>
      <w:pPr>
        <w:pStyle w:val="Heading5"/>
        <w:numPr>
          <w:ilvl w:val="4"/>
          <w:numId w:val="1"/>
        </w:numPr>
        <w:rPr/>
      </w:pPr>
      <w:bookmarkStart w:id="968" w:name="__RefHeading___Toc162821_3244359995"/>
      <w:bookmarkStart w:id="969" w:name="_Toc377"/>
      <w:bookmarkEnd w:id="968"/>
      <w:r>
        <w:rPr>
          <w:rtl w:val="true"/>
        </w:rPr>
        <w:t>اشاره</w:t>
      </w:r>
      <w:bookmarkEnd w:id="969"/>
    </w:p>
    <w:p>
      <w:pPr>
        <w:pStyle w:val="BookText"/>
        <w:rPr/>
      </w:pPr>
      <w:r>
        <w:rPr>
          <w:rFonts w:ascii="IRNazanin" w:hAnsi="IRNazanin" w:eastAsia="IRNazanin"/>
          <w:color w:val="111111"/>
          <w:sz w:val="28"/>
          <w:sz w:val="28"/>
          <w:szCs w:val="28"/>
          <w:rtl w:val="true"/>
          <w:lang w:bidi="fa-IR"/>
        </w:rPr>
        <w:t>شرایط تحقّق ارتداد، بلوغ، عقل، اختیار و 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اعتباری به ارتداد صبیّ نیست؛ هرچند در آستانه‌ی بلوغ باشد و همین‌طور مجنون اگرچه ادواری باشد و در حالت جنون، از او عمل یا کلامی صادر شود که اگر فرد کاملی می‌گفت مرتدّ می‌شد از او بی‌اثر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فرد مکره نیز بی‌اثر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کسی بدون قصد جدّی عمل ارتدادی سرزند، مانند هازل، ساهی، غافل و بیهوش، حکم به ارتدادش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انسان در حال غضب که مالک نفسش نیست، ارتدادی تحقّق یابد، مرتدّ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تمام مواردی که موجب حدّ است، مشترک بود؛ و در حدود دیگر تا اندازه‌ای در مورد آن بحث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غیرکاملی مرتکب سرقت یا زنا شود، حدّ در موردش اجرا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ارتداد نیز مطلب همان است</w:t>
      </w:r>
      <w:r>
        <w:rPr>
          <w:rFonts w:eastAsia="IRNazanin" w:cs="IRNazanin"/>
          <w:color w:val="111111"/>
          <w:sz w:val="28"/>
          <w:szCs w:val="28"/>
          <w:rtl w:val="true"/>
          <w:lang w:bidi="fa-IR"/>
        </w:rPr>
        <w:t>.</w:t>
      </w:r>
    </w:p>
    <w:p>
      <w:pPr>
        <w:pStyle w:val="Heading5"/>
        <w:numPr>
          <w:ilvl w:val="4"/>
          <w:numId w:val="1"/>
        </w:numPr>
        <w:rPr/>
      </w:pPr>
      <w:bookmarkStart w:id="970" w:name="__RefHeading___Toc162823_3244359995"/>
      <w:bookmarkStart w:id="971" w:name="_Toc378"/>
      <w:bookmarkEnd w:id="970"/>
      <w:r>
        <w:rPr>
          <w:rtl w:val="true"/>
        </w:rPr>
        <w:t>بلوغ</w:t>
      </w:r>
      <w:bookmarkEnd w:id="971"/>
    </w:p>
    <w:p>
      <w:pPr>
        <w:pStyle w:val="Heading6"/>
        <w:numPr>
          <w:ilvl w:val="5"/>
          <w:numId w:val="1"/>
        </w:numPr>
        <w:rPr/>
      </w:pPr>
      <w:bookmarkStart w:id="972" w:name="__RefHeading___Toc162825_3244359995"/>
      <w:bookmarkStart w:id="973" w:name="_Toc379"/>
      <w:bookmarkEnd w:id="972"/>
      <w:r>
        <w:rPr>
          <w:rtl w:val="true"/>
        </w:rPr>
        <w:t>اشاره</w:t>
      </w:r>
      <w:bookmarkEnd w:id="973"/>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غیربالغی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آستانه‌ی بلوغ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ارتدادی سرزند، حدّ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حدود مانند باب ضمان نیست که اگر در حال صباوت مال مردم را تلف کرد،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بلوغ واجب است از عهده‌ی ضمان و خسارت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صبیّ منشأ اثر نیست؛ پس از بلوغ نمی‌توان او را به جرم ارتداد قبل از بلوغ مجرم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حکم اسلام تبعی بر نابالغ مرتدّ مترتّب بوده و بدنش طاهر است</w:t>
      </w:r>
      <w:r>
        <w:rPr>
          <w:rFonts w:eastAsia="IRNazanin" w:cs="IRNazanin"/>
          <w:color w:val="111111"/>
          <w:sz w:val="28"/>
          <w:szCs w:val="28"/>
          <w:rtl w:val="true"/>
          <w:lang w:bidi="fa-IR"/>
        </w:rPr>
        <w:t>.</w:t>
      </w:r>
      <w:bookmarkStart w:id="974" w:name="pg16923_220514"/>
    </w:p>
    <w:p>
      <w:pPr>
        <w:pStyle w:val="Heading6"/>
        <w:numPr>
          <w:ilvl w:val="5"/>
          <w:numId w:val="1"/>
        </w:numPr>
        <w:rPr/>
      </w:pPr>
      <w:bookmarkStart w:id="975" w:name="__RefHeading___Toc162827_3244359995"/>
      <w:bookmarkStart w:id="976" w:name="_Toc380"/>
      <w:bookmarkEnd w:id="974"/>
      <w:bookmarkEnd w:id="975"/>
      <w:r>
        <w:rPr>
          <w:rtl w:val="true"/>
        </w:rPr>
        <w:t>بیان روایت معارض</w:t>
      </w:r>
      <w:bookmarkEnd w:id="976"/>
    </w:p>
    <w:p>
      <w:pPr>
        <w:pStyle w:val="BookText"/>
        <w:rPr/>
      </w:pPr>
      <w:r>
        <w:rPr>
          <w:rFonts w:ascii="IRNazanin" w:hAnsi="IRNazanin" w:eastAsia="IRNazanin"/>
          <w:color w:val="111111"/>
          <w:sz w:val="28"/>
          <w:sz w:val="28"/>
          <w:szCs w:val="28"/>
          <w:rtl w:val="true"/>
          <w:lang w:bidi="fa-IR"/>
        </w:rPr>
        <w:t>شیخ طوسی رحمه الله روایتی در کتاب خلاف نقل کرده است که با مطالب بالا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الصبیّ إذا بلغ عشر سنین اقیمت علیه الحدود التامّة واقتصّ منه وتنفذ وصیّته وعتقه</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کودک ده ساله شد، تمام حدود در موردش اجرا می‌گردد؛ و اگر مرتکب جنایت و نقص و قتلی شد، از او قصاص می‌شود؛ وصیّت و عتقش نیز نافذ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قابل استدلال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مشهور فقها، بلکه بالاتر از مشهور، برخلافش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آن که روایات زیادی در باب حدود وارد شده و به طور اطلاق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حدّ علی الصبیّ والمجنون</w:t>
      </w:r>
      <w:r>
        <w:rPr>
          <w:rFonts w:eastAsia="IRNazanin" w:cs="IRNazanin"/>
          <w:color w:val="111111"/>
          <w:sz w:val="28"/>
          <w:szCs w:val="28"/>
          <w:rtl w:val="true"/>
          <w:lang w:bidi="fa-IR"/>
        </w:rPr>
        <w:t>».</w:t>
      </w:r>
      <w:r>
        <w:rPr>
          <w:rStyle w:val="FootnoteAnchor"/>
          <w:rtl w:val="true"/>
        </w:rPr>
        <w:footnoteReference w:id="700"/>
      </w:r>
      <w:r>
        <w:rPr>
          <w:rFonts w:ascii="IRNazanin" w:hAnsi="IRNazanin" w:eastAsia="IRNazanin"/>
          <w:color w:val="111111"/>
          <w:sz w:val="28"/>
          <w:sz w:val="28"/>
          <w:szCs w:val="28"/>
          <w:rtl w:val="true"/>
          <w:lang w:bidi="fa-IR"/>
        </w:rPr>
        <w:t>این روایات مورد عمل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قوم اطلاق دارد و فرقی در عدم اجرای حدود بر کودک، بین کمتر از ده سال و بیشتر از آن نگذاشته‌اند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جهت مصالح عمومی و اجتماعی در مورد کودک، قائل به تعزیر هستند؛ امّا موضوع حدود الهی، شخص بالغ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وصیّت غیر از مرحوم شیخ، برخی از فقها</w:t>
      </w:r>
      <w:r>
        <w:rPr>
          <w:rStyle w:val="FootnoteAnchor"/>
          <w:rtl w:val="true"/>
        </w:rPr>
        <w:footnoteReference w:id="701"/>
      </w:r>
      <w:r>
        <w:rPr>
          <w:rFonts w:ascii="IRNazanin" w:hAnsi="IRNazanin" w:eastAsia="IRNazanin"/>
          <w:color w:val="111111"/>
          <w:sz w:val="28"/>
          <w:sz w:val="28"/>
          <w:szCs w:val="28"/>
          <w:rtl w:val="true"/>
          <w:lang w:bidi="fa-IR"/>
        </w:rPr>
        <w:t>به نفوذ وصیّت کودک ده ساله به بعد فتوا داده‌اند؛ ولی این دلیل نمی‌شود که در باب حدود نیز همین مطلب را بگویند</w:t>
      </w:r>
      <w:r>
        <w:rPr>
          <w:rFonts w:eastAsia="IRNazanin" w:cs="IRNazanin"/>
          <w:color w:val="111111"/>
          <w:sz w:val="28"/>
          <w:szCs w:val="28"/>
          <w:rtl w:val="true"/>
          <w:lang w:bidi="fa-IR"/>
        </w:rPr>
        <w:t>.</w:t>
      </w:r>
    </w:p>
    <w:p>
      <w:pPr>
        <w:pStyle w:val="Heading5"/>
        <w:numPr>
          <w:ilvl w:val="4"/>
          <w:numId w:val="1"/>
        </w:numPr>
        <w:rPr/>
      </w:pPr>
      <w:bookmarkStart w:id="977" w:name="__RefHeading___Toc162829_3244359995"/>
      <w:bookmarkStart w:id="978" w:name="_Toc381"/>
      <w:bookmarkEnd w:id="977"/>
      <w:r>
        <w:rPr>
          <w:rtl w:val="true"/>
        </w:rPr>
        <w:t>عقل</w:t>
      </w:r>
      <w:bookmarkEnd w:id="978"/>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مجنون نیز همه به اتّفاق بر عدم اجرای حدّ فتوا داده‌اند؛ فرقی نمی‌کند مجنون اطباقی باشد یا مجنون ادواری در زمان جنونش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باب زنا قولی به تفصیل بین زنای مجنونه بود که حدّی بر آن مترتّب نمی‌شد و زنای مجنون که حدّ داشت و روایتی</w:t>
      </w:r>
      <w:r>
        <w:rPr>
          <w:rStyle w:val="FootnoteAnchor"/>
          <w:rtl w:val="true"/>
        </w:rPr>
        <w:footnoteReference w:id="702"/>
      </w:r>
      <w:r>
        <w:rPr>
          <w:rFonts w:ascii="IRNazanin" w:hAnsi="IRNazanin" w:eastAsia="IRNazanin"/>
          <w:color w:val="111111"/>
          <w:sz w:val="28"/>
          <w:sz w:val="28"/>
          <w:szCs w:val="28"/>
          <w:rtl w:val="true"/>
          <w:lang w:bidi="fa-IR"/>
        </w:rPr>
        <w:t>نیز مؤیّد این قول بود، ولی مشهور آن را ردّ کردند</w:t>
      </w:r>
      <w:r>
        <w:rPr>
          <w:rFonts w:eastAsia="IRNazanin" w:cs="IRNazanin"/>
          <w:color w:val="111111"/>
          <w:sz w:val="28"/>
          <w:szCs w:val="28"/>
          <w:rtl w:val="true"/>
          <w:lang w:bidi="fa-IR"/>
        </w:rPr>
        <w:t>.</w:t>
      </w:r>
      <w:bookmarkStart w:id="979" w:name="pg16923_220515"/>
    </w:p>
    <w:p>
      <w:pPr>
        <w:pStyle w:val="Heading5"/>
        <w:numPr>
          <w:ilvl w:val="4"/>
          <w:numId w:val="1"/>
        </w:numPr>
        <w:rPr/>
      </w:pPr>
      <w:bookmarkStart w:id="980" w:name="__RefHeading___Toc162831_3244359995"/>
      <w:bookmarkStart w:id="981" w:name="_Toc382"/>
      <w:bookmarkEnd w:id="979"/>
      <w:bookmarkEnd w:id="980"/>
      <w:r>
        <w:rPr>
          <w:rtl w:val="true"/>
        </w:rPr>
        <w:t>اختیار</w:t>
      </w:r>
      <w:bookmarkEnd w:id="981"/>
    </w:p>
    <w:p>
      <w:pPr>
        <w:pStyle w:val="BookText"/>
        <w:rPr/>
      </w:pPr>
      <w:r>
        <w:rPr>
          <w:rFonts w:ascii="IRNazanin" w:hAnsi="IRNazanin" w:eastAsia="IRNazanin"/>
          <w:color w:val="111111"/>
          <w:sz w:val="28"/>
          <w:sz w:val="28"/>
          <w:szCs w:val="28"/>
          <w:rtl w:val="true"/>
          <w:lang w:bidi="fa-IR"/>
        </w:rPr>
        <w:t xml:space="preserve">در مورد مکره نیز روایت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استکرهوا علیه</w:t>
      </w:r>
      <w:r>
        <w:rPr>
          <w:rFonts w:eastAsia="IRNazanin" w:cs="IRNazanin"/>
          <w:color w:val="111111"/>
          <w:sz w:val="28"/>
          <w:szCs w:val="28"/>
          <w:rtl w:val="true"/>
          <w:lang w:bidi="fa-IR"/>
        </w:rPr>
        <w:t>»</w:t>
      </w:r>
      <w:r>
        <w:rPr>
          <w:rStyle w:val="FootnoteAnchor"/>
          <w:rtl w:val="true"/>
        </w:rPr>
        <w:footnoteReference w:id="703"/>
      </w:r>
      <w:r>
        <w:rPr>
          <w:rFonts w:ascii="IRNazanin" w:hAnsi="IRNazanin" w:eastAsia="IRNazanin"/>
          <w:color w:val="111111"/>
          <w:sz w:val="28"/>
          <w:sz w:val="28"/>
          <w:szCs w:val="28"/>
          <w:rtl w:val="true"/>
          <w:lang w:bidi="fa-IR"/>
        </w:rPr>
        <w:t>دلالت بر عدم حرمت عمل اکراهی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که حرام نبود، حدّ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حدود دیگر نیز می‌گفتیم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شرب خمر از روی اکراه، حرمت و حدّی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آن که آیه‌ی شریفه‌ای در خصوص اکراه عمّار بن یاسر بر کفر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یَفْتَرِی الْکَذِبَ الَّذِینَ لَایُؤْمِنُونَ بَایتِ اللَّهِ وَأُوْللِکَ هُمُ الْکذِبُونَ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کَفَرَ بِاللَّهِ مِن‌م بَعْدِ إِیمنِهِ‌ی إِلَّا مَنْ أُکْرِهَ وَ قَلْبُهُ‌و مُطْمَلِنُ‌م بِالْإِیمنِ </w:t>
      </w:r>
      <w:r>
        <w:rPr>
          <w:rFonts w:eastAsia="Amiri" w:cs="Amiri" w:ascii="Amiri" w:hAnsi="Amiri"/>
          <w:color w:val="111111"/>
          <w:sz w:val="28"/>
          <w:szCs w:val="28"/>
          <w:rtl w:val="true"/>
          <w:lang w:bidi="ar-SA"/>
        </w:rPr>
        <w:t>....</w:t>
      </w:r>
      <w:r>
        <w:rPr>
          <w:rStyle w:val="FootnoteAnchor"/>
          <w:rtl w:val="true"/>
        </w:rPr>
        <w:footnoteReference w:id="704"/>
      </w:r>
      <w:r>
        <w:rPr>
          <w:rFonts w:ascii="IRNazanin" w:hAnsi="IRNazanin" w:eastAsia="IRNazanin"/>
          <w:color w:val="111111"/>
          <w:sz w:val="28"/>
          <w:sz w:val="28"/>
          <w:szCs w:val="28"/>
          <w:rtl w:val="true"/>
          <w:lang w:bidi="fa-IR"/>
        </w:rPr>
        <w:t>کفّار مکّه، عمّار یاسر و پدر و مادرش را بر کفر اکراه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مادرش حاضر نشدند رسول خدا صلی الله علیه و آله را تکذیب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آنان را شهید کردند؛ ولی عمّار خواسته‌ی کفّار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خدمت پیامبر خدا صلی الله علیه و آله رسید و جریان را گفت،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عادوا علیک فعد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 دیگر نیز گرفتار شدی و از تو خواستند اظهار کفر کنی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آیه‌ی شریفه نیز در همین مورد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آیه‌ی قرآن إِلَّا مَنْ أُکْرِهَ وَ قَلْبُهُ‌و مُطْمَلِنُ‌م بِالْإِیمنِ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را بر کفر و ارتداد مجبور کنند در حالی که قلبش از ایمان مطمئن است، تردید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تقیّه این مطلب مطرح است که آیا تبرّی از تمام مراحل به اکراه جایز می‌شود؛ حتّی تبرّی از رسول خدا و ائمه علیهم السلام یا این که اگر اکراه به آخرین درجه هم برسد، تبرّی از این بزرگان جایز نیست؟ روایاتی بر عدم جواز دلالت دارد؛ ولی در باب تقیّه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اکراه و تقیّه مطرح است، فرقی نمی‌کند مسأله به صورت تبرّی باشد یا کمتر از آن، هر دو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را بر ارتداد اکراه کردند، آیا لازم است پس از رفع اکراه، اسلام را اظهار کند؟ گویا ارتدادی هرچند به صورت اکراه محقّق شد، پس باید اسلام را اظهار کند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 در خصوص عرضه‌ی اسلام بر او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بپذیرد و اظهار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امتناع ورزید، کشف می‌کند ارتدادش اکراهی نبوده و اختیاری بوده است</w:t>
      </w:r>
      <w:r>
        <w:rPr>
          <w:rFonts w:eastAsia="IRNazanin" w:cs="IRNazanin"/>
          <w:color w:val="111111"/>
          <w:sz w:val="28"/>
          <w:szCs w:val="28"/>
          <w:rtl w:val="true"/>
          <w:lang w:bidi="fa-IR"/>
        </w:rPr>
        <w:t>.</w:t>
      </w:r>
      <w:bookmarkStart w:id="982" w:name="pg16923_220516"/>
    </w:p>
    <w:p>
      <w:pPr>
        <w:pStyle w:val="BookText"/>
        <w:rPr/>
      </w:pPr>
      <w:bookmarkEnd w:id="982"/>
      <w:r>
        <w:rPr>
          <w:rFonts w:ascii="IRNazanin" w:hAnsi="IRNazanin" w:eastAsia="IRNazanin"/>
          <w:color w:val="111111"/>
          <w:sz w:val="28"/>
          <w:sz w:val="28"/>
          <w:szCs w:val="28"/>
          <w:rtl w:val="true"/>
          <w:lang w:bidi="fa-IR"/>
        </w:rPr>
        <w:t>صاحب جواهر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اسلام واجب نیست؛ زیرا، ارتداد اکراهی کالعدم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کفر و ارتدادی برای او پیش نیامده، و این فرد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مسخره‌ی مردم است که هر کسی بر او اسلام عرضه کند، اظهار برای او واجب باشد</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اگر بر مسلمانی اسلام را عرضه کنند و او اظهار نکند، کاشف از این است که ارتدادی از او سرزده است؟ لذا، در جایی که می‌دانیم ارتدادش اکراهی بوده، او مسلمان حقیقی است و نیازی به اظهار اسلام ندارد</w:t>
      </w:r>
      <w:r>
        <w:rPr>
          <w:rFonts w:eastAsia="IRNazanin" w:cs="IRNazanin"/>
          <w:color w:val="111111"/>
          <w:sz w:val="28"/>
          <w:szCs w:val="28"/>
          <w:rtl w:val="true"/>
          <w:lang w:bidi="fa-IR"/>
        </w:rPr>
        <w:t>.</w:t>
      </w:r>
    </w:p>
    <w:p>
      <w:pPr>
        <w:pStyle w:val="Heading5"/>
        <w:numPr>
          <w:ilvl w:val="4"/>
          <w:numId w:val="1"/>
        </w:numPr>
        <w:rPr/>
      </w:pPr>
      <w:bookmarkStart w:id="983" w:name="__RefHeading___Toc162833_3244359995"/>
      <w:bookmarkStart w:id="984" w:name="_Toc383"/>
      <w:bookmarkEnd w:id="983"/>
      <w:r>
        <w:rPr>
          <w:rtl w:val="true"/>
        </w:rPr>
        <w:t>قصد</w:t>
      </w:r>
      <w:bookmarkEnd w:id="984"/>
    </w:p>
    <w:p>
      <w:pPr>
        <w:pStyle w:val="BookText"/>
        <w:rPr/>
      </w:pPr>
      <w:r>
        <w:rPr>
          <w:rFonts w:ascii="IRNazanin" w:hAnsi="IRNazanin" w:eastAsia="IRNazanin"/>
          <w:color w:val="111111"/>
          <w:sz w:val="28"/>
          <w:sz w:val="28"/>
          <w:szCs w:val="28"/>
          <w:rtl w:val="true"/>
          <w:lang w:bidi="fa-IR"/>
        </w:rPr>
        <w:t>ارتدادی که از مرتدّ صادر می‌شود باید از روی اراده و حدّی باشد؛ لذا، اگر در مقام شوخی، یا در حال خواب، یا از روی غفلت و یا سهو ارتدادی از او سرزند، کافر نمی‌گردد و احکام مرتدّ بر او مترتّب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ظاهر عناوینی که موضوع احکام واقع شده است، عناوین صادر از 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المرتدّ </w:t>
      </w:r>
      <w:r>
        <w:rPr>
          <w:rFonts w:eastAsia="IRNazanin" w:cs="IRNazanin"/>
          <w:color w:val="111111"/>
          <w:sz w:val="28"/>
          <w:szCs w:val="28"/>
          <w:rtl w:val="true"/>
          <w:lang w:bidi="fa-IR"/>
        </w:rPr>
        <w:t>...»</w:t>
      </w:r>
      <w:r>
        <w:rPr>
          <w:rStyle w:val="FootnoteAnchor"/>
          <w:rtl w:val="true"/>
        </w:rPr>
        <w:footnoteReference w:id="706"/>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رغب الإسلام وکفر بما انزل علی نبیّنا بعد إسلامه</w:t>
      </w:r>
      <w:r>
        <w:rPr>
          <w:rFonts w:eastAsia="IRNazanin" w:cs="IRNazanin"/>
          <w:color w:val="111111"/>
          <w:sz w:val="28"/>
          <w:szCs w:val="28"/>
          <w:rtl w:val="true"/>
          <w:lang w:bidi="fa-IR"/>
        </w:rPr>
        <w:t>»</w:t>
      </w:r>
      <w:r>
        <w:rPr>
          <w:rStyle w:val="FootnoteAnchor"/>
          <w:rtl w:val="true"/>
        </w:rPr>
        <w:footnoteReference w:id="707"/>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رغب عن جِدّ وقصد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عناوین در مورد هازل، نائم، غافل و مانند آن صدق ندارد</w:t>
      </w:r>
      <w:r>
        <w:rPr>
          <w:rFonts w:eastAsia="IRNazanin" w:cs="IRNazanin"/>
          <w:color w:val="111111"/>
          <w:sz w:val="28"/>
          <w:szCs w:val="28"/>
          <w:rtl w:val="true"/>
          <w:lang w:bidi="fa-IR"/>
        </w:rPr>
        <w:t>.</w:t>
      </w:r>
    </w:p>
    <w:p>
      <w:pPr>
        <w:pStyle w:val="Heading5"/>
        <w:numPr>
          <w:ilvl w:val="4"/>
          <w:numId w:val="1"/>
        </w:numPr>
        <w:rPr/>
      </w:pPr>
      <w:bookmarkStart w:id="985" w:name="__RefHeading___Toc162835_3244359995"/>
      <w:bookmarkStart w:id="986" w:name="_Toc384"/>
      <w:bookmarkEnd w:id="985"/>
      <w:r>
        <w:rPr>
          <w:rtl w:val="true"/>
        </w:rPr>
        <w:t>صدور ارتداد از روی غضب</w:t>
      </w:r>
      <w:bookmarkEnd w:id="986"/>
    </w:p>
    <w:p>
      <w:pPr>
        <w:pStyle w:val="BookText"/>
        <w:rPr/>
      </w:pPr>
      <w:r>
        <w:rPr>
          <w:rFonts w:ascii="IRNazanin" w:hAnsi="IRNazanin" w:eastAsia="IRNazanin"/>
          <w:color w:val="111111"/>
          <w:sz w:val="28"/>
          <w:sz w:val="28"/>
          <w:szCs w:val="28"/>
          <w:rtl w:val="true"/>
          <w:lang w:bidi="fa-IR"/>
        </w:rPr>
        <w:t>برای غضب مراتبی وجود دارد؛ بنابراین، نمی‌توان برای همه‌ی مراتبش یک حکم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خیلی از مراتبش اختیار از انسان سلب نشده و مالک نفس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خود را کنترل کند، ولی گاه غضب به مرحله‌ای می‌رسد که عنان اختیار از کف انسان خارج می‌شود و نمی‌تواند خود را کنترل کند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غضب، از قسم اوّل باشد، آثار و احکام ارتداد بر ارتداد شخص مترتّب می‌شود؛ یعنی فرد مرتدّ شده، طهارتش به نجاست مبدّل شده، همسرش از او جدا شده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غضب از قسم دوّم باشد، یعنی ارتداد از روی قصد و اختیار نباشد و نتواند خود را کنترل کند، ارتدادش منشأ اثر نیست؛ و نیازی به دلیل خاص در این رابطه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روایتی در این باب داریم که مؤیّد همین فتوا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عن علیّ بن إبراهیم، عن أبیه، عن ابن أبی عمیر، عن علیّ بن عطیّة،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عنده وسأله رجل عن رجل یجی‌ء منه الشی‌ء علی جهة غضب، یؤاخذه اللَّه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أکرم من أن یستغلق عبده، وفی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یستقلق عبده</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معتبر، علی بن عطیه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صادق علیه السلام بودم، مردی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انسانی در حال غضب مطلبی را بگوید، آیا خداوند او را به آن سخن می‌گیرد و مؤاخذه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سؤال سائل یا از کلام ارتدادی در حین غضب یا اعمّ از آن است که یک مصداقش قذف، مصداق دیگرش ارتداد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مؤاخذه نیز اعمّ از عقوبت دنیایی مانند حدّ و تعزیر و عقوبت اخروی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گرامی‌تر از آن است که بنده‌اش را تحت فشار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عبارت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معنای در مضیقه و فشار قرار دادن به‌گونه‌ای که اختیار از او سلب شود،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تناسب ندارد از یک طرف آدمی گرفتار غضبی گردد که هیچ کنترل و اراده‌ای نداشته باشد، در همین حال نیز به او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نداری مرتدّ شوی، فحش بدهی، قذف کنی، فلان عمل حرام را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 هم تناسبی ندارد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معنای قُلُق و اضطراب و تزلزل می‌آید؛ یعنی خداوند بزرگ‌تر از آن است که بنده‌اش را در اضطراب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معنا را نیز به معنای اول ارجاع داده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انسان مضطرب باشد؛ مبادا غضبی پیش آید که مالک نفس خودش نباشد و عمل حرامی از او سرزند و مستحقّ حدّ شود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اگر در مسائل غیراختیاری احکامی مترتّب گردد، انسان همیشه در حال اضطراب خواهد بود و می‌ترسد چنین امری حادث گردد؛ و به دنبالش، اثری مترتّب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برتر از آن است که موجبات اضطراب بنده‌اش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غضبش غیراختیاری شد، او را در تنگنای تکلیف قرار نمی‌دهد و بر آن احکام و حدود مترتّب نمی‌کند</w:t>
      </w:r>
      <w:r>
        <w:rPr>
          <w:rFonts w:eastAsia="IRNazanin" w:cs="IRNazanin"/>
          <w:color w:val="111111"/>
          <w:sz w:val="28"/>
          <w:szCs w:val="28"/>
          <w:rtl w:val="true"/>
          <w:lang w:bidi="fa-IR"/>
        </w:rPr>
        <w:t>.</w:t>
      </w:r>
      <w:bookmarkStart w:id="987" w:name="pg16923_220519"/>
    </w:p>
    <w:p>
      <w:pPr>
        <w:pStyle w:val="BookText"/>
        <w:rPr/>
      </w:pPr>
      <w:bookmarkEnd w:id="9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ما لو ادّعی أمراً یعارض الارتداد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ظهر منه ما یوجب الارتداد فادّعی الإکراه مع احتماله، أو عدم القصد وسبق اللسان مع احتماله 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قامت البیّنة علی صدور کلام منه موجب للارتداد فادّعی ما ذکر قبل منه</w:t>
      </w:r>
      <w:r>
        <w:rPr>
          <w:rFonts w:eastAsia="IRNazanin" w:cs="IRNazanin"/>
          <w:color w:val="111111"/>
          <w:sz w:val="28"/>
          <w:szCs w:val="28"/>
          <w:rtl w:val="true"/>
          <w:lang w:bidi="fa-IR"/>
        </w:rPr>
        <w:t>.]</w:t>
      </w:r>
    </w:p>
    <w:p>
      <w:pPr>
        <w:pStyle w:val="Heading4"/>
        <w:numPr>
          <w:ilvl w:val="3"/>
          <w:numId w:val="1"/>
        </w:numPr>
        <w:rPr/>
      </w:pPr>
      <w:bookmarkStart w:id="988" w:name="__RefHeading___Toc162837_3244359995"/>
      <w:bookmarkStart w:id="989" w:name="_Toc385"/>
      <w:bookmarkEnd w:id="988"/>
      <w:r>
        <w:rPr>
          <w:rtl w:val="true"/>
        </w:rPr>
        <w:t>ادعای امری معارض با ارتداد</w:t>
      </w:r>
      <w:bookmarkEnd w:id="989"/>
    </w:p>
    <w:p>
      <w:pPr>
        <w:pStyle w:val="Heading5"/>
        <w:numPr>
          <w:ilvl w:val="4"/>
          <w:numId w:val="1"/>
        </w:numPr>
        <w:rPr/>
      </w:pPr>
      <w:bookmarkStart w:id="990" w:name="__RefHeading___Toc162839_3244359995"/>
      <w:bookmarkStart w:id="991" w:name="_Toc386"/>
      <w:bookmarkEnd w:id="990"/>
      <w:r>
        <w:rPr>
          <w:rtl w:val="true"/>
        </w:rPr>
        <w:t>اشاره</w:t>
      </w:r>
      <w:bookmarkEnd w:id="991"/>
    </w:p>
    <w:p>
      <w:pPr>
        <w:pStyle w:val="BookText"/>
        <w:rPr/>
      </w:pPr>
      <w:r>
        <w:rPr>
          <w:rFonts w:ascii="IRNazanin" w:hAnsi="IRNazanin" w:eastAsia="IRNazanin"/>
          <w:color w:val="111111"/>
          <w:sz w:val="28"/>
          <w:sz w:val="28"/>
          <w:szCs w:val="28"/>
          <w:rtl w:val="true"/>
          <w:lang w:bidi="fa-IR"/>
        </w:rPr>
        <w:t>اگر شخصی مرتدّ شد و حاکم شرع نمی‌داند که اکراهی بوده است یا از روی اختیار، امّا فاعل ادّعا می‌کند ناچار به ارتداد شده است، در صورتی که احتمال اکراه بدهیم، ادّعایش پذیرفته می‌شود؛ و همین‌طور اگر ادّعا کند قصد ارتداد نداشته، سبق لسان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بیّنه بر صدور کلام موجب ارتداد قائم شد و او ادّعای اکراه یا سبق لسان کرد، می‌پذیریم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تحقّق ارتداد و ترتّب احکام آن اختیار معتبر است؛ لذا، اگر کسی را بر ارتداد اکراه کنند، نه تنها احکام ارتداد مترتّب نمی‌شود که اصل ارتداد نیز محقّق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وجود ارتداد اکراهی کالعدم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جایی است که اکراه را احراز کنیم؛ ولی اگر در جایی ارتدادی واقع شده و حاکم شرع نمی‌داند اکراهی است یا اختیاری، در صورتی که مرتدّ بگوید من را بر ارتداد اکراه کردند، آیا ادّعایش پذیرفته می‌شود؟ دو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یا قرینه‌ای بر اکراه وجود داشته باشد، این صورت، داخل در احراز اکراه است و ارتدادش اثری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یا قرینه‌ای بر اکراه جز ادّعای مرتدّ وجود ندارد؛ امام رحمه الله در حالی که از بسیاری فقها متابعت کرده‌اند،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او را می‌پذیریم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مطلب روایت زیر است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ادرأوا الحدود بالشّبهات </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را با شبهه ساقط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مرسلاتی است که صدوق رحمه الله به نحو جزم و یقین آن را به معصوم علیه السلام اسناد داده است؛ با آن که فاصله‌ی بین مرحوم صدوق و رسول خدا صلی الله علیه و آله زیاد است، در عین حال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لذا، این‌گونه مرسلات همان‌طور که در بحث‌های گذشته نیز اشاره کردیم، از صدوق رحمه الله معتبر است؛ امّا مرسلاتی 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أنّ النبیّ صلی الله علیه و آله قال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مرویّ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روایت که فقها در همه‌ی ابواب حدود به آن استناد کرده و حدود را با عروض شبهه ساقط می‌دانند، اگر روایت فی نفسه هم اعتبار نداشته باشد، با عمل مشهور معتبر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حقّ نداریم روایت را به علّت ضعف سند کنار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در دلالت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ادرأوا الحدود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شبهه‌ی واقعی است، یعنی در واقع امر مردّد باشیم که عمل واقع شده یا نه، در بیشتر موارد این شبهه هست؛ حتّی در جایی که چهار شاهد عادل بر وقوع زنا شهادت دهند، انسان علم به وقوع زنا پیدا نکرده و نمی‌داند آیا زنا واقع شده است یا نه؟ در نتیجه، باید اکثر حدود جاری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مقصود از شبهه، شبهه چه از نظر واقع و چه از نظر ظاهر باشد، موارد قیام بیّنه خارج می‌شود؛ زیرا، در این موارد به علّت معتبر کردن شارع بیّنه را، از نظر ظاهر شبهه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فرع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 بر ارتداد فرد قائم شده است، شکّ داریم آیا ارتداد اکراهی بوده یا اختیاری؟ استصحاب عدم اکراه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عدم الإکراه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شبهه‌ی ظاهری را رفع می‌کند؛ و در حقیقت، اثبات می‌شود که ارتداد با اکراه توأم نبوده است؛ و جایی برای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ادرأوا الحدود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نمی‌ماند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قیام بیّنه بر وقوع زنا، با شهادت چهار شاهد، شبهه‌ای باقی نمی‌ماند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ادرأوا الحدود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شود؛ ولی در باب استصحاب، آن‌چه حالت سابقه دارد و استصحاب نسبت به آن جاری است، عدم اکراه است؛ لیکن در بحث ما مفید فایده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مثمر ثمر است، استصحاب وقوع ارتداد بدون اکراه است که حالت سابقه</w:t>
      </w:r>
      <w:bookmarkStart w:id="992" w:name="pg16923_220521"/>
    </w:p>
    <w:p>
      <w:pPr>
        <w:pStyle w:val="BookText"/>
        <w:rPr/>
      </w:pPr>
      <w:bookmarkEnd w:id="992"/>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زمانی ارتداد غیر اکراهی بود، الآن شکّ می‌کنیم که آیا زائل شد یا نه؟ بقای آن را استصحاب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در روایت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المرتدّ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واسطه‌ی ادلّه‌ی رفع اکراه آن را مقیّد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المرتدّ لا عن إکراه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ترتّب حکم قتل، باید این موضوع احراز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استصحاب عدم اکراه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إرتداد لا عن إکراه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ثابت می‌کنید؟ مگر بنا بر اصل 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دیگر سخن،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عن إکراه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وصف و شرط در موضوع حکم دخالت دارد نه این که موضوع مرکّب از دو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عن إکراه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یکی را با وجدان احراز کنیم و دیگر را با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موضوع وحدت داشت و یک چیز بود، با جریان اصالة عدم اکراه اگر بخواهیم اثبات کنیم ارتداد غیراکراهی بوده است، اصل مثبت می‌شود؛ زیرا، لازمه‌ی عقلی عدم اکراه، تحقّق ارتداد غیراکراهی است و ترتّب آثار شرعی بر ارتداد به کمک این لازم عقلی، اصل مثبت غیرحجّت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جاری نشدن استصحاب، در شکّ و تحیّر باقی می‌مانیم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ادرأوا الحدود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است؛ پس حکم آن یعنی سقوط حدّ، مترتّب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اگر کسی ادّعای اکراه بر ارتداد کند و هیچ شاهد و اشاره‌ای بر صدق ادّعایش نداشته باشد، ادّعایش را می‌پذیریم و حدّ را از او برمی‌داریم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مطلب توسعه داده، و موارد ادّعای هزل، شوخی، سبق لسان و یا حکایت قول دیگری را نیز شامل این بحث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اگر جوانی، پیامبر صلی الله علیه و آله را تکذیب کرده او را نزد حاکم آوردند؛ به این مطلب اقرار کرد لیکن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می‌کردم، یا سبق لسانی شده متوجّه نبودم و یا به عنوان حکایت از زید مطرح کردم نه این که اعتقاد خودم باشد، در تمام این موارد ادّعایش پذیرفته می‌شود؛ هرچند شاهد و قرینه‌ای بر اثبات دعوایش نداشته باشد</w:t>
      </w:r>
      <w:r>
        <w:rPr>
          <w:rFonts w:eastAsia="IRNazanin" w:cs="IRNazanin"/>
          <w:color w:val="111111"/>
          <w:sz w:val="28"/>
          <w:szCs w:val="28"/>
          <w:rtl w:val="true"/>
          <w:lang w:bidi="fa-IR"/>
        </w:rPr>
        <w:t>.</w:t>
      </w:r>
    </w:p>
    <w:p>
      <w:pPr>
        <w:pStyle w:val="Heading5"/>
        <w:numPr>
          <w:ilvl w:val="4"/>
          <w:numId w:val="1"/>
        </w:numPr>
        <w:rPr/>
      </w:pPr>
      <w:bookmarkStart w:id="993" w:name="__RefHeading___Toc162841_3244359995"/>
      <w:bookmarkStart w:id="994" w:name="_Toc387"/>
      <w:bookmarkEnd w:id="993"/>
      <w:r>
        <w:rPr>
          <w:rtl w:val="true"/>
        </w:rPr>
        <w:t>قیام بیّنه بر موجب ارتداد</w:t>
      </w:r>
      <w:bookmarkEnd w:id="994"/>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راحل رحمه الله در تحریرالوسیله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بیّنه‌ای بر صدور کلام موجب ارتداد از زید اقامه شد، دو صورت دارد</w:t>
      </w:r>
      <w:r>
        <w:rPr>
          <w:rFonts w:eastAsia="IRNazanin" w:cs="IRNazanin"/>
          <w:color w:val="111111"/>
          <w:sz w:val="28"/>
          <w:szCs w:val="28"/>
          <w:rtl w:val="true"/>
          <w:lang w:bidi="fa-IR"/>
        </w:rPr>
        <w:t>:</w:t>
      </w:r>
      <w:bookmarkStart w:id="995" w:name="pg16923_220522"/>
    </w:p>
    <w:p>
      <w:pPr>
        <w:pStyle w:val="BookText"/>
        <w:rPr/>
      </w:pPr>
      <w:bookmarkEnd w:id="995"/>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ارتدادی از زید سرزده؛ مثلًا تکذیب نبیّ صلی الله علیه و آله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زید مطلب را می‌پرسند، بیّنه را تصدیق می‌کند، لیکن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مقام شوخی بودم و یا سبق لسان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بحث گذشته جاری و ساری است؛ یعنی ادّعای او را می‌پذیرم و حدّ را ساقط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بیّنه را تکذیب نکرده، بلکه کار خودش را توجیه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مرحوم امام در تحریرالوسیله ناظر به همین فرع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بیّنه بر ارتداد زید شهادت داد، نه بر صدور کلامی که دالّ بر ارتداد است، وقتی به زید مراجعه شود،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ادّعایش پذیرفته و حدّ از او ساقط می‌گردد، یا این ادّعا، تکذیب بیّنه است؟ زیرا، بیّنه بر ارتدادش شهادت داد نه بر صدور کلامی که دالّ بر ارتداد است تا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اگر در باب زنا، چهار شاهد عادل بر زنای زید شهادت می‌دادند لازم نبود که از شهود بپرسیم آیا زید بالغ بود یا نه، وطی به شبهه بود یا 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به مجرّد شهادتشان بر زنا، عنوان زنا ثابت می‌شد و حدّ مترتّب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نیز بیّنه بر ارتداد زید شهادت می‌دهد؛ اگر بخواهیم ادّعای زید را مبنی بر شوخی بودن بپذیریم، لازمه‌اش تکذیب بیّنه در شهادتشان به ارتداد است؛ و ادّعای مجرم را در تکذیب مشهود نمی‌پذیریم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باب زنا، به تکذیب زانی گوش نمی‌دادیم، در این‌جا نیز به ادّعای شخص ترتیب اثر نمی‌دهیم</w:t>
      </w:r>
      <w:r>
        <w:rPr>
          <w:rFonts w:eastAsia="IRNazanin" w:cs="IRNazanin"/>
          <w:color w:val="111111"/>
          <w:sz w:val="28"/>
          <w:szCs w:val="28"/>
          <w:rtl w:val="true"/>
          <w:lang w:bidi="fa-IR"/>
        </w:rPr>
        <w:t>.</w:t>
      </w:r>
    </w:p>
    <w:p>
      <w:pPr>
        <w:pStyle w:val="Heading5"/>
        <w:numPr>
          <w:ilvl w:val="4"/>
          <w:numId w:val="1"/>
        </w:numPr>
        <w:rPr/>
      </w:pPr>
      <w:bookmarkStart w:id="996" w:name="__RefHeading___Toc162843_3244359995"/>
      <w:bookmarkStart w:id="997" w:name="_Toc388"/>
      <w:bookmarkEnd w:id="996"/>
      <w:r>
        <w:rPr>
          <w:rtl w:val="true"/>
        </w:rPr>
        <w:t>نقدی بر عبارت تحریرالوسیله</w:t>
      </w:r>
      <w:bookmarkEnd w:id="997"/>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راحل رحمه الله در تحریرالوسیله بیان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قامت البیّنه علی صدور کلام منه موجب للارتداد فادّعی ما ذکر قبل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نظر، باید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مرتدّ بر هزل و شوخی بر دو نوع است؛ اگر به صورتی باشد که به تکذیب بیّنه منتهی نشود، مقبول است؛ وگرنه ردّ می‌شود</w:t>
      </w:r>
      <w:r>
        <w:rPr>
          <w:rFonts w:eastAsia="IRNazanin" w:cs="IRNazanin"/>
          <w:color w:val="111111"/>
          <w:sz w:val="28"/>
          <w:szCs w:val="28"/>
          <w:rtl w:val="true"/>
          <w:lang w:bidi="fa-IR"/>
        </w:rPr>
        <w:t>.</w:t>
      </w:r>
      <w:bookmarkStart w:id="998" w:name="pg16923_220523"/>
    </w:p>
    <w:p>
      <w:pPr>
        <w:pStyle w:val="BookText"/>
        <w:rPr/>
      </w:pPr>
      <w:bookmarkEnd w:id="9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ولد المرتدّ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المرتدّ الملّی قبل ارتداده بحکم المسلم، فلو بلغ واختار الکفر استتیب، فإن تاب وإلّا قتل، وکذا ولد المرتدّ الفطری قبل ارتداده بحکم المسلم، فإذا بلغ واختار الکفر، وکذا ولد المسلم إذا بلغ واختار الکفر قبل إظهار الإسلام فالظاهر عدم إجراء حکم المرتدّ فطریّاً علیهما بل یستتابان، وإلّا فیقتلان</w:t>
      </w:r>
      <w:r>
        <w:rPr>
          <w:rFonts w:eastAsia="IRNazanin" w:cs="IRNazanin"/>
          <w:color w:val="111111"/>
          <w:sz w:val="28"/>
          <w:szCs w:val="28"/>
          <w:rtl w:val="true"/>
          <w:lang w:bidi="fa-IR"/>
        </w:rPr>
        <w:t>.]</w:t>
      </w:r>
    </w:p>
    <w:p>
      <w:pPr>
        <w:pStyle w:val="Heading4"/>
        <w:numPr>
          <w:ilvl w:val="3"/>
          <w:numId w:val="1"/>
        </w:numPr>
        <w:rPr/>
      </w:pPr>
      <w:bookmarkStart w:id="999" w:name="__RefHeading___Toc162845_3244359995"/>
      <w:bookmarkStart w:id="1000" w:name="_Toc389"/>
      <w:bookmarkEnd w:id="999"/>
      <w:r>
        <w:rPr>
          <w:rtl w:val="true"/>
        </w:rPr>
        <w:t>حکم فرزندان مرتدّ</w:t>
      </w:r>
      <w:bookmarkEnd w:id="1000"/>
    </w:p>
    <w:p>
      <w:pPr>
        <w:pStyle w:val="Heading5"/>
        <w:numPr>
          <w:ilvl w:val="4"/>
          <w:numId w:val="1"/>
        </w:numPr>
        <w:rPr/>
      </w:pPr>
      <w:bookmarkStart w:id="1001" w:name="__RefHeading___Toc162847_3244359995"/>
      <w:bookmarkStart w:id="1002" w:name="_Toc390"/>
      <w:bookmarkEnd w:id="1001"/>
      <w:r>
        <w:rPr>
          <w:rtl w:val="true"/>
        </w:rPr>
        <w:t>اشاره</w:t>
      </w:r>
      <w:bookmarkEnd w:id="1002"/>
    </w:p>
    <w:p>
      <w:pPr>
        <w:pStyle w:val="BookText"/>
        <w:rPr/>
      </w:pPr>
      <w:r>
        <w:rPr>
          <w:rFonts w:ascii="IRNazanin" w:hAnsi="IRNazanin" w:eastAsia="IRNazanin"/>
          <w:color w:val="111111"/>
          <w:sz w:val="28"/>
          <w:sz w:val="28"/>
          <w:szCs w:val="28"/>
          <w:rtl w:val="true"/>
          <w:lang w:bidi="fa-IR"/>
        </w:rPr>
        <w:t>فرزند مرتدّ ملّی قبل از ارتدادش به حکم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بالغ شد و کفر را برگزید، او را توبه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کرد، کاری با او ندارند؛ وگرنه او را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مرتدّ فطری نیز قبل از ارتداد پدر یا مادرش به حکم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بلوغ کافر شد و همین‌طور فرزند والدین مسلمان نیز اگر پس از بلوغ مرتدّ شد، ظاهراً احکام مرتدّ فطری بر آنان جاری نیست؛ بلکه ایشان را توبه می‌دهند؛ اگر نپذیرفتند، آنان را می‌کشند</w:t>
      </w:r>
      <w:r>
        <w:rPr>
          <w:rFonts w:eastAsia="IRNazanin" w:cs="IRNazanin"/>
          <w:color w:val="111111"/>
          <w:sz w:val="28"/>
          <w:szCs w:val="28"/>
          <w:rtl w:val="true"/>
          <w:lang w:bidi="fa-IR"/>
        </w:rPr>
        <w:t>.</w:t>
      </w:r>
    </w:p>
    <w:p>
      <w:pPr>
        <w:pStyle w:val="Heading5"/>
        <w:numPr>
          <w:ilvl w:val="4"/>
          <w:numId w:val="1"/>
        </w:numPr>
        <w:rPr/>
      </w:pPr>
      <w:bookmarkStart w:id="1003" w:name="__RefHeading___Toc162849_3244359995"/>
      <w:bookmarkStart w:id="1004" w:name="_Toc391"/>
      <w:bookmarkEnd w:id="1003"/>
      <w:r>
        <w:rPr>
          <w:rtl w:val="true"/>
        </w:rPr>
        <w:t>حکم اختیار کفر به مجرّد بلوغ</w:t>
      </w:r>
      <w:bookmarkEnd w:id="1004"/>
    </w:p>
    <w:p>
      <w:pPr>
        <w:pStyle w:val="BookText"/>
        <w:rPr/>
      </w:pPr>
      <w:r>
        <w:rPr>
          <w:rFonts w:ascii="IRNazanin" w:hAnsi="IRNazanin" w:eastAsia="IRNazanin"/>
          <w:color w:val="111111"/>
          <w:sz w:val="28"/>
          <w:sz w:val="28"/>
          <w:szCs w:val="28"/>
          <w:rtl w:val="true"/>
          <w:lang w:bidi="fa-IR"/>
        </w:rPr>
        <w:t>در تعریف مرتدّ فطری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بر فردی اطلاق می‌شود که در حال انعقاد نطفه‌اش پدر و مادر یا یکی از آن‌ها مسلمان باشد، و پس از بلوغ با اختیار خودش اسلام را به عنوان دین انتخاب کند، سپس کفر ورزد و مرتدّ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مرتدّ ملّی نیز به فردی گفته می‌شود که نطفه‌اش در حال کفر والدینش منعقد شده باشد و پس از بلوغ، کفر را به عنوان دین اختیار کند، سپس اسلام آورد، و پس از آن، از اسلام روی برگرداند و به کفر برگردد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بچّه‌ی مسلمانی که تا زمان بلوغ محکوم به اسلام است، به مجرّد بلوغ، کفر اختیار کرد، یعنی اسلام حقیقی برایش محقّق نشد، بر چنین فردی نه تعریف مرتدّ ملّی صادق است و نه تعریف مرتدّ فطری؛ زیرا، شرط ارتداد فطری تحقّق اسلام حقیقی بود که از این فرد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قبل از بلوغ، اسلام حکمی داشته و به مجرّد بلوغ، کفر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نطفه‌ی بچّه‌ای در حال اسلام والدین منعقد شد، سپس پدر و مادرش مرتدّ ملّی یا فطری شدند، این بچّه تا هنگام بلوغ، محکوم به اسلام است؛ بنابراین، اگر مادرش پس از انعقاد نطفه مرتدّ شد و در حالی که به این بچّه آبستن است از دنیا رفت، به اعتبار این بچّه مادرش را در مقابر مسلمانان دفن می‌کنند نه در قبرستان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چنین بچّه‌ای اگر بلافاصله پس از بلوغ کافر شد، تعریف مرتدّ فطری و ملّی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فرض، ارتداد افراد چه حکمی دارد؟</w:t>
      </w:r>
    </w:p>
    <w:p>
      <w:pPr>
        <w:pStyle w:val="BookText"/>
        <w:rPr/>
      </w:pPr>
      <w:r>
        <w:rPr>
          <w:rFonts w:ascii="IRNazanin" w:hAnsi="IRNazanin" w:eastAsia="IRNazanin"/>
          <w:color w:val="111111"/>
          <w:sz w:val="28"/>
          <w:sz w:val="28"/>
          <w:szCs w:val="28"/>
          <w:rtl w:val="true"/>
          <w:lang w:bidi="fa-IR"/>
        </w:rPr>
        <w:t>از ملاحظه‌ی فتاوا استفاده می‌شود امر دائر بین دو احتمال است، و احتمال سوّمی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احکام مرتدّ فطری جاری شود و بلافاصله او را کشت، یا احکام مرتدّ ملّی را مترتّب کنیم و او را توبه دهیم؛ و اگر توبه نکرد، او را به قتل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مختار شهید ثانی رحمه الله در مسالک،</w:t>
      </w:r>
      <w:r>
        <w:rPr>
          <w:rStyle w:val="FootnoteAnchor"/>
          <w:rtl w:val="true"/>
        </w:rPr>
        <w:footnoteReference w:id="710"/>
      </w:r>
      <w:r>
        <w:rPr>
          <w:rFonts w:ascii="IRNazanin" w:hAnsi="IRNazanin" w:eastAsia="IRNazanin"/>
          <w:color w:val="111111"/>
          <w:sz w:val="28"/>
          <w:sz w:val="28"/>
          <w:szCs w:val="28"/>
          <w:rtl w:val="true"/>
          <w:lang w:bidi="fa-IR"/>
        </w:rPr>
        <w:t>چنین مرتدّی حکم مرتدّ فطری را دارد؛ زیرا، ایشان شرط ارتداد فطری را گذشتن زمانی پس از بلوغ و اختیار اسلام حقیقی و سپس مرتدّ شدن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که در کودکی محکوم به اسلام باشد، کافی است تا ارتداد پس از بلوغش ارتداد فطری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 محقّق رحمه الله در شرایع</w:t>
      </w:r>
      <w:r>
        <w:rPr>
          <w:rStyle w:val="FootnoteAnchor"/>
          <w:rtl w:val="true"/>
        </w:rPr>
        <w:footnoteReference w:id="711"/>
      </w:r>
      <w:r>
        <w:rPr>
          <w:rFonts w:ascii="IRNazanin" w:hAnsi="IRNazanin" w:eastAsia="IRNazanin"/>
          <w:color w:val="111111"/>
          <w:sz w:val="28"/>
          <w:sz w:val="28"/>
          <w:szCs w:val="28"/>
          <w:rtl w:val="true"/>
          <w:lang w:bidi="fa-IR"/>
        </w:rPr>
        <w:t>اشکال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مرتدّ فطری، محقّق رحمه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بدون توبه دادن می‌کشند، امّا وقتی به این بحث می‌رسد،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واختار الکفر استتیب وإلّا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 این دو مطلب چگونه جمع می‌شود؟ این فرد نیز مرتدّ فطری است، باید بدون توبه او را کشت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نقد سخن شهید ثانی رحمه الله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فتوا قرینه است بر این که مرحوم محقّق در تحقّق ارتداد فطری سبقت اسلام حقیقی را پس از بلوغ لازم می‌داند؛ و به گفته‌ی صاحب جواهر رحمه الله</w:t>
      </w:r>
      <w:r>
        <w:rPr>
          <w:rStyle w:val="FootnoteAnchor"/>
          <w:rtl w:val="true"/>
        </w:rPr>
        <w:footnoteReference w:id="712"/>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این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یعنی رجوع از اسلام حقیقی، نه رجوع از اسلام 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بچّه‌ای که بلافاصله پس از بلوغ، کافر شده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رجوع کرده است؛ او اسلام را اختیار نکرده بود تا از آن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در بحث مرتدّ فطری شواهدی از روایات برای اثبات این مطلب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گفتیم، احکام مرتدّ فطری بر چنین شخصی بار نمی‌شود؛ و به ناچار، باید احکام مرتدّ ملّی را در موردش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توبه بدهند؛ اگر نپذیرفت،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بنا بر مختار شهید ثانی رحمه الله و علّامه‌ی حلّی رحمه الله در تذکره</w:t>
      </w:r>
      <w:r>
        <w:rPr>
          <w:rStyle w:val="FootnoteAnchor"/>
          <w:rtl w:val="true"/>
        </w:rPr>
        <w:footnoteReference w:id="713"/>
      </w:r>
      <w:r>
        <w:rPr>
          <w:rFonts w:ascii="IRNazanin" w:hAnsi="IRNazanin" w:eastAsia="IRNazanin"/>
          <w:color w:val="111111"/>
          <w:sz w:val="28"/>
          <w:sz w:val="28"/>
          <w:szCs w:val="28"/>
          <w:rtl w:val="true"/>
          <w:lang w:bidi="fa-IR"/>
        </w:rPr>
        <w:t>احکام مرتدّ فطری مترتّب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جامع،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فرضی که بچّه تا زمان بلوغ محکوم به اسلام است، اگر بالغ شد و کفر اختیار کرد، مصداق مرتدّ ملّی و فطری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و دلیلی نیز در مورد حکمش نرسیده است؛ لیکن از نظر فتوا این مطلب مسلّم است که یا باید یکی از دو حکم مرتدّ فطری یا حکم مرتدّ ملّی در حقّش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اجرای احکام مرتدّ فطری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ناچار احکام مرتدّ ملّی مترتّب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رحمه الله</w:t>
      </w:r>
      <w:r>
        <w:rPr>
          <w:rStyle w:val="FootnoteAnchor"/>
          <w:rtl w:val="true"/>
        </w:rPr>
        <w:footnoteReference w:id="714"/>
      </w:r>
      <w:r>
        <w:rPr>
          <w:rFonts w:ascii="IRNazanin" w:hAnsi="IRNazanin" w:eastAsia="IRNazanin"/>
          <w:color w:val="111111"/>
          <w:sz w:val="28"/>
          <w:sz w:val="28"/>
          <w:szCs w:val="28"/>
          <w:rtl w:val="true"/>
          <w:lang w:bidi="fa-IR"/>
        </w:rPr>
        <w:t>دو روایت در این‌جا مطرح می‌کند که هیچ ارتباطی با این بحث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نیز بر آن اشکال کرده است؛ لیکن روایت مرسلی از مرسلات معتبر صدوق مطرح است که باید دید آیا بر این بحث دلالتی دارد یا نه؟</w:t>
      </w:r>
    </w:p>
    <w:p>
      <w:pPr>
        <w:pStyle w:val="BookText"/>
        <w:rPr/>
      </w:pPr>
      <w:r>
        <w:rPr>
          <w:rFonts w:ascii="IRNazanin" w:hAnsi="IRNazanin" w:eastAsia="IRNazanin"/>
          <w:color w:val="111111"/>
          <w:sz w:val="28"/>
          <w:sz w:val="28"/>
          <w:szCs w:val="28"/>
          <w:rtl w:val="true"/>
          <w:lang w:bidi="fa-IR"/>
        </w:rPr>
        <w:t>محمّد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أسلم الأب جرّ الولد إلی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أدرک من ولده دعی إلی الإسلام، فإن أبی قتل، وإن أسلم الولد لم یجرّ أبویه ولم یکن بینهما میراث</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پدری مسلمان شد، فرزندش را به جانب اسلام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پدر روی فرزند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کدام از بچّه‌هایش که بالغ شدند، به اسلام دعوت می‌شوند؛ اگر امتناع کرد، او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اسلام فرزند، سبب اسلام پدر و مادر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فرزند اسلام آورد ولی پدر و مادر بر کفر بودند، بین آنان توارث برقرار نمی‌شود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أسلم الأب جرّ الولد إلی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p>
    <w:p>
      <w:pPr>
        <w:pStyle w:val="BookText"/>
        <w:rPr/>
      </w:pPr>
      <w:r>
        <w:rPr>
          <w:rFonts w:ascii="IRNazanin" w:hAnsi="IRNazanin" w:eastAsia="IRNazanin"/>
          <w:color w:val="111111"/>
          <w:sz w:val="28"/>
          <w:sz w:val="28"/>
          <w:szCs w:val="28"/>
          <w:rtl w:val="true"/>
          <w:lang w:bidi="fa-IR"/>
        </w:rPr>
        <w:t>حکمی که در روایت آمده، مربوط به ولدی است که نطفه‌اش در حال کفر پدر منعقد شده؛ ولی ولادت بچّه پس از اسلام پدر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 برای روایت اطلاقی درست کرد که حکمش مختصّ به مورد بالا نباشد، بلکه این مورد یکی از مصادیق آن باشد و مصداق دیگرش، فرزندی باشد که پدرش کافر بوده، مسلمان شده و در حال اسلام پدر، نطفه‌اش بسته شده است؟</w:t>
      </w:r>
    </w:p>
    <w:p>
      <w:pPr>
        <w:pStyle w:val="BookText"/>
        <w:rPr/>
      </w:pPr>
      <w:r>
        <w:rPr>
          <w:rFonts w:ascii="IRNazanin" w:hAnsi="IRNazanin" w:eastAsia="IRNazanin"/>
          <w:color w:val="111111"/>
          <w:sz w:val="28"/>
          <w:sz w:val="28"/>
          <w:szCs w:val="28"/>
          <w:rtl w:val="true"/>
          <w:lang w:bidi="fa-IR"/>
        </w:rPr>
        <w:t>ظاهراً روایت چنین اطلاقی دارد و به فرزندی که نطفه‌اش در حال کفر والدین منعقد شده است، اختصاص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أدرک من ولده دعی إلی الإسلام فإن أبی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فرزند پس از بلوغش کفر را اختیار کرده است، دعوت به اسلام همان استتابه است؛ یعنی او را توبه بدهید، اگر از پذیرش اسلام امتناع کرد، او را به قتل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برای روایت اطلاقی درست شود که حال انعقاد نطفه را نیز شامل گردد، مسأله‌ی ما یکی از مصادیق آن، و روایت دلیلی بر ضرر صاحب مسالک رحمه الله خواهد بود؛ زیرا، اگر این فرد مرتدّ فطری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 إلی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موردش معنا ندارد؛ باید به مجرّد ارتداد کشته شود؛ نه این که اسلام را بر او عرضه بدارند، اگر نپذیرفت به قتل برسد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نکته‌ای که در پایان روایت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بینهما 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مقصود ارث نبردن پدر و مادر کافر از فرزند مسلمانشان است؛ زیرا، کفر و ارث مانع ارث بردن او می‌شود؛ ولی کفر مورّث مانع ارث وارث مسلم نیست</w:t>
      </w:r>
      <w:r>
        <w:rPr>
          <w:rFonts w:eastAsia="IRNazanin" w:cs="IRNazanin"/>
          <w:color w:val="111111"/>
          <w:sz w:val="28"/>
          <w:szCs w:val="28"/>
          <w:rtl w:val="true"/>
          <w:lang w:bidi="fa-IR"/>
        </w:rPr>
        <w:t>.</w:t>
      </w:r>
      <w:bookmarkStart w:id="1005" w:name="pg16923_220527"/>
    </w:p>
    <w:p>
      <w:pPr>
        <w:pStyle w:val="BookText"/>
        <w:rPr/>
      </w:pPr>
      <w:bookmarkEnd w:id="10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تکرار الارتداد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تکرّر الارتداد من الملّی،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فی الثالثة،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فی الرابعة وهو أحوط</w:t>
      </w:r>
      <w:r>
        <w:rPr>
          <w:rFonts w:eastAsia="IRNazanin" w:cs="IRNazanin"/>
          <w:color w:val="111111"/>
          <w:sz w:val="28"/>
          <w:szCs w:val="28"/>
          <w:rtl w:val="true"/>
          <w:lang w:bidi="fa-IR"/>
        </w:rPr>
        <w:t>.]</w:t>
      </w:r>
    </w:p>
    <w:p>
      <w:pPr>
        <w:pStyle w:val="Heading4"/>
        <w:numPr>
          <w:ilvl w:val="3"/>
          <w:numId w:val="1"/>
        </w:numPr>
        <w:rPr/>
      </w:pPr>
      <w:bookmarkStart w:id="1006" w:name="__RefHeading___Toc162851_3244359995"/>
      <w:bookmarkStart w:id="1007" w:name="_Toc392"/>
      <w:bookmarkEnd w:id="1006"/>
      <w:r>
        <w:rPr>
          <w:rtl w:val="true"/>
        </w:rPr>
        <w:t>حکم تکرار ارتداد</w:t>
      </w:r>
      <w:bookmarkEnd w:id="1007"/>
    </w:p>
    <w:p>
      <w:pPr>
        <w:pStyle w:val="Heading5"/>
        <w:numPr>
          <w:ilvl w:val="4"/>
          <w:numId w:val="1"/>
        </w:numPr>
        <w:rPr/>
      </w:pPr>
      <w:bookmarkStart w:id="1008" w:name="__RefHeading___Toc162853_3244359995"/>
      <w:bookmarkStart w:id="1009" w:name="_Toc393"/>
      <w:bookmarkEnd w:id="1008"/>
      <w:r>
        <w:rPr>
          <w:rtl w:val="true"/>
        </w:rPr>
        <w:t>اشاره</w:t>
      </w:r>
      <w:bookmarkEnd w:id="1009"/>
    </w:p>
    <w:p>
      <w:pPr>
        <w:pStyle w:val="BookText"/>
        <w:rPr/>
      </w:pPr>
      <w:r>
        <w:rPr>
          <w:rFonts w:ascii="IRNazanin" w:hAnsi="IRNazanin" w:eastAsia="IRNazanin"/>
          <w:color w:val="111111"/>
          <w:sz w:val="28"/>
          <w:sz w:val="28"/>
          <w:szCs w:val="28"/>
          <w:rtl w:val="true"/>
          <w:lang w:bidi="fa-IR"/>
        </w:rPr>
        <w:t>اگر ارتداد مرتدّ ملّی مکرّر گردد، یعنی او را توبه دهند، پس از توبه مرتدّ گردد باز استتابه کنند و او قبول کند، و برای بار سوّم مرتدّ گردد،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ارتداد سوّم کشته می‌شود و بعضی قائل‌اند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ارتداد چهارم او را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فرع در مورد مرتدّ فطری امکان ندارد؛ زیرا، او را با ارتداد اوّلش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استتابه‌ای ندارد تا پس از آن مرتدّ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در شرایع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تکرر الإرتداد قال الشیخ رحمه الله یقتل فی الرابعة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أصحابنا یقتل فی الثالثة أیضاً</w:t>
      </w:r>
      <w:r>
        <w:rPr>
          <w:rFonts w:eastAsia="IRNazanin" w:cs="IRNazanin"/>
          <w:color w:val="111111"/>
          <w:sz w:val="28"/>
          <w:szCs w:val="28"/>
          <w:rtl w:val="true"/>
          <w:lang w:bidi="fa-IR"/>
        </w:rPr>
        <w:t>»</w:t>
      </w:r>
      <w:r>
        <w:rPr>
          <w:rStyle w:val="FootnoteAnchor"/>
          <w:rtl w:val="true"/>
        </w:rPr>
        <w:footnoteReference w:id="716"/>
      </w:r>
      <w:r>
        <w:rPr>
          <w:rFonts w:ascii="IRNazanin" w:hAnsi="IRNazanin" w:eastAsia="IRNazanin"/>
          <w:color w:val="111111"/>
          <w:sz w:val="28"/>
          <w:sz w:val="28"/>
          <w:szCs w:val="28"/>
          <w:rtl w:val="true"/>
          <w:lang w:bidi="fa-IR"/>
        </w:rPr>
        <w:t>در صورت تکرار ارتداد، شیخ طوسی رحمه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مرتبه‌ی چهارم کشته می‌شود و بر این مطلب در کتاب مبسوط ادّعای اجماع کرده است؛ و آن را به روایتی که اصحاب کبائر در مرتبه‌ی چهارم باید کشته شوند اسناد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روایت کرده‌اند در مرتبه‌ی سوّم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بیانش این است که در خصوص مرتدّ روایتی رسیده است که بر قتلش در مرتبه‌ی سوّم دلالت دارد؛ ولی صاحب جواهر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خاصّی که بر این معنا دلالت کند، نداریم</w:t>
      </w:r>
      <w:r>
        <w:rPr>
          <w:rFonts w:eastAsia="IRNazanin" w:cs="IRNazanin"/>
          <w:color w:val="111111"/>
          <w:sz w:val="28"/>
          <w:szCs w:val="28"/>
          <w:rtl w:val="true"/>
          <w:lang w:bidi="fa-IR"/>
        </w:rPr>
        <w:t>.</w:t>
      </w:r>
      <w:r>
        <w:rPr>
          <w:rStyle w:val="FootnoteAnchor"/>
          <w:rtl w:val="true"/>
        </w:rPr>
        <w:footnoteReference w:id="717"/>
      </w:r>
    </w:p>
    <w:p>
      <w:pPr>
        <w:pStyle w:val="Heading5"/>
        <w:numPr>
          <w:ilvl w:val="4"/>
          <w:numId w:val="1"/>
        </w:numPr>
        <w:rPr/>
      </w:pPr>
      <w:bookmarkStart w:id="1010" w:name="__RefHeading___Toc162855_3244359995"/>
      <w:bookmarkStart w:id="1011" w:name="_Toc394"/>
      <w:bookmarkEnd w:id="1010"/>
      <w:r>
        <w:rPr>
          <w:rtl w:val="true"/>
        </w:rPr>
        <w:t>دلیل قتل مرتدّ در مرتبه‌ی سوّم</w:t>
      </w:r>
      <w:bookmarkEnd w:id="1011"/>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قتل روایت صحیحه‌ی یونس بن عبدالرّحمان است که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مرتکب گناه کبیره می‌شوند، پس از اجرای دو حدّ بر آنان، در مرتبه‌ی سوّم کشته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عن محمّد بن یحیی، عن أحمد بن محمّد، عن صفوان، عن یونس، عن أبی الحسن الماضی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الکبائر کلّها إذا أقیم علیهم الحدّ مرّتین قتلوا فی الثالثة</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نقد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مسلمانی را شامل می‌شود که بر اسلام باقی هستند؛ لیکن مرتکب گناه کبیره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ارتداد، فرد مرتدّ از صف مسلمانان خارج می‌گردد و از دایره‌ی اسلام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در ردیف گناهان کبیره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مرتدّ در موضوع روایت داخل نیست تا حکم آن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روایت حکم به قتل پس از اجرای دو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فطری را در مرتبه‌ی اوّل و دوّم استتابه می‌دهند، و به او حدّی نمی‌زنند، آیا از قول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المرتدّ یستتاب وإلّا قتل</w:t>
      </w:r>
      <w:r>
        <w:rPr>
          <w:rFonts w:eastAsia="IRNazanin" w:cs="IRNazanin"/>
          <w:color w:val="111111"/>
          <w:sz w:val="28"/>
          <w:szCs w:val="28"/>
          <w:rtl w:val="true"/>
          <w:lang w:bidi="fa-IR"/>
        </w:rPr>
        <w:t>»</w:t>
      </w:r>
      <w:r>
        <w:rPr>
          <w:rStyle w:val="FootnoteAnchor"/>
          <w:rtl w:val="true"/>
        </w:rPr>
        <w:footnoteReference w:id="719"/>
      </w:r>
      <w:r>
        <w:rPr>
          <w:rFonts w:ascii="IRNazanin" w:hAnsi="IRNazanin" w:eastAsia="IRNazanin"/>
          <w:color w:val="111111"/>
          <w:sz w:val="28"/>
          <w:sz w:val="28"/>
          <w:szCs w:val="28"/>
          <w:rtl w:val="true"/>
          <w:lang w:bidi="fa-IR"/>
        </w:rPr>
        <w:t>استفاده می‌شود دو نوع 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مرتدّ جعل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نیست؛ بلکه حدّ مرتد،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مرتدّ ملّی اجرای این حدّ مشروط به استتابه‌ی مرتدّ و عدم پذیرش اوست؛ و در مرتدّ فطری شرطی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شرطی که در روایت یونس هست، یعنی دوبار اقامه‌ی حدّ، در مرتدّ ملّی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مفاد روایت در حقّش قابل اجرا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نقدی بر اولویّت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وقتی در اصحاب کبائر در مرتبه‌ی سوّم قتل اجرا می‌شود، به طریق اولی در مرتدّ ملّی نیز در مرتبه‌ی سوّم قتل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به دو دلیل، اولویت در این‌جا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روایت یونس تخصیص خورده است؛ لذا، عمومش باقی و پابرجا نیست که بتوان به آن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اصحاب کبائر پس از آن که دوبار حدّ را اجرا کردند و او تحت تأثیر قرار نگرفت، او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معلوم می‌شود دو حدّ گذشته برای تنبیهش مؤثّر نبوده است</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مرتدّ، تازیانه و زندانی مطرح نبوده، او را توبه داده‌اند؛ توبه، حدّ و عقوبت</w:t>
      </w:r>
    </w:p>
    <w:p>
      <w:pPr>
        <w:pStyle w:val="BookText"/>
        <w:rPr/>
      </w:pPr>
      <w:r>
        <w:rPr>
          <w:rFonts w:ascii="IRNazanin" w:hAnsi="IRNazanin" w:eastAsia="IRNazanin"/>
          <w:color w:val="111111"/>
          <w:sz w:val="28"/>
          <w:sz w:val="28"/>
          <w:szCs w:val="28"/>
          <w:rtl w:val="true"/>
          <w:lang w:bidi="fa-IR"/>
        </w:rPr>
        <w:t>نیست تا بگوییم پس از دوبار اجرای این حدّ معلوم می‌شود تأثیری در تنبیه مرتدّ نداشته است پس باید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به صحیحه‌ی یونس استدلال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محمّد بن یحیی، عن أحمد بن محمّد بن عیسی، عن علیّ بن حدید، عن جمیل بن درّاج وغیره، عن أحدهما علیهما السلام فی رجل رجع عن الإسلام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یستتاب، فإن تاب وإلّا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إن تاب ثمّ رجع عن الإسلام؟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یستتاب،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إن تاب ثمّ رجع؟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أسمع فی هذا شیئاً، لکنّه عندی بمنزلة الزانی الّذی یقام علیه الحدّ مرّتین ثمّ یقتل بعد ذلک،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أصحابنا أنّ الزانی یقتل فی المرّة الثالثة</w:t>
      </w:r>
      <w:r>
        <w:rPr>
          <w:rFonts w:eastAsia="IRNazanin" w:cs="IRNazanin"/>
          <w:color w:val="111111"/>
          <w:sz w:val="28"/>
          <w:szCs w:val="28"/>
          <w:rtl w:val="true"/>
          <w:lang w:bidi="fa-IR"/>
        </w:rPr>
        <w:t>.</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حدید از راویانی است که توثیق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یا امام صادق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مردی که مرتدّ شد، او را توبه می‌دهند؛ اگر نپذیرفت، او را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جمیل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کرد و باز مرتدّ شد، حکمش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به او توبه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توبه مرتدّ شد، حکمش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روایتی نشنیده‌ایم؛ لیکن به نظرم این فرد حکم زناکاری را دارد که دو بار به او حدّ زده‌اند که در مرتبه‌ی سوّم او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قتل زانی در مرتبه‌ی سوّم را نیز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حدیثی نیست که مستند به امام علیه السلام باشد؛ بلکه اجتهاد یکی از راویان را نقل می‌کند؛ به خصوص با توجّه به این که در باب زنا، قتل در مرتبه‌ی سوّم را نپذیرفتیم</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شاهدی است بر جریان داشتن اجتهاد در زمان امامان علیهم السلام، ائمّه اصول را القا می‌کرده‌اند و اصحاب و شاگردان، فروع را از آن‌ها استخراج و استنباط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علینا إلقاء الاصول وعلیکم التفریع</w:t>
      </w:r>
      <w:r>
        <w:rPr>
          <w:rFonts w:eastAsia="IRNazanin" w:cs="IRNazanin"/>
          <w:color w:val="111111"/>
          <w:sz w:val="28"/>
          <w:szCs w:val="28"/>
          <w:rtl w:val="true"/>
          <w:lang w:bidi="fa-IR"/>
        </w:rPr>
        <w:t>».</w:t>
      </w:r>
      <w:r>
        <w:rPr>
          <w:rStyle w:val="FootnoteAnchor"/>
          <w:rtl w:val="true"/>
        </w:rPr>
        <w:footnoteReference w:id="721"/>
      </w:r>
      <w:bookmarkStart w:id="1012" w:name="pg16923_220530"/>
    </w:p>
    <w:p>
      <w:pPr>
        <w:pStyle w:val="Heading5"/>
        <w:numPr>
          <w:ilvl w:val="4"/>
          <w:numId w:val="1"/>
        </w:numPr>
        <w:rPr/>
      </w:pPr>
      <w:bookmarkStart w:id="1013" w:name="__RefHeading___Toc162857_3244359995"/>
      <w:bookmarkStart w:id="1014" w:name="_Toc395"/>
      <w:bookmarkEnd w:id="1012"/>
      <w:bookmarkEnd w:id="1013"/>
      <w:r>
        <w:rPr>
          <w:rtl w:val="true"/>
        </w:rPr>
        <w:t>دلیل قتل مرتدّ در مرتبه‌ی چهارم</w:t>
      </w:r>
      <w:bookmarkEnd w:id="1014"/>
    </w:p>
    <w:p>
      <w:pPr>
        <w:pStyle w:val="BookText"/>
        <w:rPr/>
      </w:pPr>
      <w:r>
        <w:rPr>
          <w:rFonts w:ascii="IRNazanin" w:hAnsi="IRNazanin" w:eastAsia="IRNazanin"/>
          <w:color w:val="111111"/>
          <w:sz w:val="28"/>
          <w:sz w:val="28"/>
          <w:szCs w:val="28"/>
          <w:rtl w:val="true"/>
          <w:lang w:bidi="fa-IR"/>
        </w:rPr>
        <w:t>پس از سقوط ادلّه‌ای که بر قتل در مرتبه‌ی سوّم آورده بودند، به ناچار باید به حکم اجماعی که شیخ طوسی رحمه الله ادّعا کرده، و به مقتضای استصحاب و احتیاط و روایتی که مرحوم شیخ به اصحاب اسناد داده است، به قتل مرتدّ در مرتبه چهارم فتوا دهیم</w:t>
      </w:r>
      <w:r>
        <w:rPr>
          <w:rFonts w:eastAsia="IRNazanin" w:cs="IRNazanin"/>
          <w:color w:val="111111"/>
          <w:sz w:val="28"/>
          <w:szCs w:val="28"/>
          <w:rtl w:val="true"/>
          <w:lang w:bidi="fa-IR"/>
        </w:rPr>
        <w:t>.</w:t>
      </w:r>
    </w:p>
    <w:p>
      <w:pPr>
        <w:pStyle w:val="Heading5"/>
        <w:numPr>
          <w:ilvl w:val="4"/>
          <w:numId w:val="1"/>
        </w:numPr>
        <w:rPr/>
      </w:pPr>
      <w:bookmarkStart w:id="1015" w:name="__RefHeading___Toc162859_3244359995"/>
      <w:bookmarkStart w:id="1016" w:name="_Toc396"/>
      <w:bookmarkEnd w:id="1015"/>
      <w:r>
        <w:rPr>
          <w:rtl w:val="true"/>
        </w:rPr>
        <w:t>روایت معارض با هر دو قول</w:t>
      </w:r>
      <w:bookmarkEnd w:id="1016"/>
    </w:p>
    <w:p>
      <w:pPr>
        <w:pStyle w:val="BookText"/>
        <w:rPr/>
      </w:pPr>
      <w:r>
        <w:rPr>
          <w:rFonts w:ascii="IRNazanin" w:hAnsi="IRNazanin" w:eastAsia="IRNazanin"/>
          <w:color w:val="111111"/>
          <w:sz w:val="28"/>
          <w:sz w:val="28"/>
          <w:szCs w:val="28"/>
          <w:rtl w:val="true"/>
          <w:lang w:bidi="fa-IR"/>
        </w:rPr>
        <w:t>وعن أبی علیّ الأشعری، عن محمّد بن سالم، عن أحمد بن النّضر، عن عمرو بن شمر، عن جابر،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أمیر المؤمنین علیه السلام برجل من بنی ثعلبة، قد تنصّر بعد إسلامه فشهدوا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الشهود؟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صدقوا وأنا أرجع إلی الإسلام،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إنّک لو کذّبت الشهود لضربت عنقک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قبلت منک فلا تعد، فإنّک إن رجعت لم أقبل منک رجوعاً بعده</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آن نیز با آن‌چه صاحب جواهر رحمه الله نقل می‌کند، تفاوت دارد؛ ولی مطلب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بنی‌ثعلبه را نزد امیرمؤمنان علیه السلام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پس از اسلام آوردن، به دین مسیحیّت گرویده بود و شهود بر ضدّش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چه می‌گویند؟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می‌گویند، و من توبه می‌کنم و به اسلام بر 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شهود را تکذیب کرده بودی، گردنت را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توبه‌ات را پذیرفتم</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ارتداد را تکرار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اسلام برگشتی، توبه‌ات را نخواهم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این روایت متوقّف است بر این که در آن تصرّف کنیم و آن را بر مرتدّ ملّی حمل کنیم؛ امّا این تصرّف شاهدی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که این مرد، مرتدّ فطری نبوده است؛ زیرا، در عصر خلافت امیرمؤمنان علیه السلام ده‌ها سال بر اسلام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 که به قرینه‌ی روایات دیگر بر مرتدّ ملّی حمل شود، مفادش این است که در ارتداد دوّم باید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هیچ فقیهی فتوا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شهود سبب زدن گردن نمی‌گردد؛ زیرا، تکذیب شهود خللی در شهادت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مؤثّر است و باید حکمش هرچه هست اجرا شود؛ نه این که مکذّب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امام حسن و امام حسین علیهما السلام بوده‌اند که تکذیبشان به مسائل دیگر منتهی می‌شود؛ لیکن در روایت، اشعاری به این مطلب نیست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توجّه به ضعف روایت و عدم عمل اصحاب به مضمون آن و نقایص دیگری که در آن بود، نمی‌توان به آن تمسّک کرد؛ و قتل مرتدّ ملّی به مرتبه‌ی چهارم ارتداد موکول می‌شود</w:t>
      </w:r>
      <w:r>
        <w:rPr>
          <w:rFonts w:eastAsia="IRNazanin" w:cs="IRNazanin"/>
          <w:color w:val="111111"/>
          <w:sz w:val="28"/>
          <w:szCs w:val="28"/>
          <w:rtl w:val="true"/>
          <w:lang w:bidi="fa-IR"/>
        </w:rPr>
        <w:t>.</w:t>
      </w:r>
      <w:bookmarkStart w:id="1017" w:name="pg16923_220532"/>
    </w:p>
    <w:p>
      <w:pPr>
        <w:pStyle w:val="BookText"/>
        <w:rPr/>
      </w:pPr>
      <w:bookmarkEnd w:id="10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عروض الجنون بعد الارتداد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جنّ المرتدّ الملّی بعد ردّته وقبل استتابته لم یقتل، ولو طرء الجنون بعد استتابته وامتناعه المبیح لقتله یقتل، کما یقتل الفطری إذا عرضه الجنون بعد ردّته</w:t>
      </w:r>
      <w:r>
        <w:rPr>
          <w:rFonts w:eastAsia="IRNazanin" w:cs="IRNazanin"/>
          <w:color w:val="111111"/>
          <w:sz w:val="28"/>
          <w:szCs w:val="28"/>
          <w:rtl w:val="true"/>
          <w:lang w:bidi="fa-IR"/>
        </w:rPr>
        <w:t>.]</w:t>
      </w:r>
    </w:p>
    <w:p>
      <w:pPr>
        <w:pStyle w:val="Heading4"/>
        <w:numPr>
          <w:ilvl w:val="3"/>
          <w:numId w:val="1"/>
        </w:numPr>
        <w:rPr/>
      </w:pPr>
      <w:bookmarkStart w:id="1018" w:name="__RefHeading___Toc162861_3244359995"/>
      <w:bookmarkStart w:id="1019" w:name="_Toc397"/>
      <w:bookmarkEnd w:id="1018"/>
      <w:r>
        <w:rPr>
          <w:rtl w:val="true"/>
        </w:rPr>
        <w:t>عروض جنون پس از ارتداد</w:t>
      </w:r>
      <w:bookmarkEnd w:id="1019"/>
    </w:p>
    <w:p>
      <w:pPr>
        <w:pStyle w:val="BookText"/>
        <w:rPr/>
      </w:pPr>
      <w:r>
        <w:rPr>
          <w:rFonts w:ascii="IRNazanin" w:hAnsi="IRNazanin" w:eastAsia="IRNazanin"/>
          <w:color w:val="111111"/>
          <w:sz w:val="28"/>
          <w:sz w:val="28"/>
          <w:szCs w:val="28"/>
          <w:rtl w:val="true"/>
          <w:lang w:bidi="fa-IR"/>
        </w:rPr>
        <w:t>اگر مرتدّ ملّی پس از ارتداد و قبل از استتابه مجنون گردد، او را نمی‌کشند؛ و اگر عروض جنون پس از استتابه و امتناعش باشد، او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اگر مرتدّ فطری پس از ارتداد دیوانه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ارتداد مرتدّ فطری در حال عقل و عدم جنون بوده، و پس از آن مرتدّ شده است، جنون پس از ارتداد سبب سقوط حدّ از او نمی‌گردد؛ زیرا، روایاتی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حدّ علی المجنون</w:t>
      </w:r>
      <w:r>
        <w:rPr>
          <w:rFonts w:eastAsia="IRNazanin" w:cs="IRNazanin"/>
          <w:color w:val="111111"/>
          <w:sz w:val="28"/>
          <w:szCs w:val="28"/>
          <w:rtl w:val="true"/>
          <w:lang w:bidi="fa-IR"/>
        </w:rPr>
        <w:t>»</w:t>
      </w:r>
      <w:r>
        <w:rPr>
          <w:rStyle w:val="FootnoteAnchor"/>
          <w:rtl w:val="true"/>
        </w:rPr>
        <w:footnoteReference w:id="723"/>
      </w:r>
      <w:r>
        <w:rPr>
          <w:rFonts w:ascii="IRNazanin" w:hAnsi="IRNazanin" w:eastAsia="IRNazanin"/>
          <w:color w:val="111111"/>
          <w:sz w:val="28"/>
          <w:sz w:val="28"/>
          <w:szCs w:val="28"/>
          <w:rtl w:val="true"/>
          <w:lang w:bidi="fa-IR"/>
        </w:rPr>
        <w:t>مخصوص به گناهی است که در حال دیوانگی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سلامت عقل، مرتدّ شده، اگر حدّش قتل است، معنای حدّش زائل شدن فرد از صفحه‌ی وجود است؛ بنابراین، در همان حال جنون او را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مرتدّ ملّی اگر در حال عقل مرتدّ شده است، امّا پس از استتابه، زیر بار توبه نرفت و جنون عارض شد، مانند مرتدّ فطری، باید از صفحه‌ی وجود پاک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قتلش مشروط به استتابه بود و شرط هم حاصل شده است؛ لذا، جنونش مانع اجرای حدّ نمی‌گردد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پس از ارتداد و قبل از استتابه دیوانه شد، شرط اجرای حدّ قتل وجود ندارد؛ زیرا، همان‌طور که در اصل ارتداد، عقل شرط است، استتابه نیز مشروط به عقل می‌باشد؛ بنابراین، باید دست نگاه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جنون زائل شد، او را توبه بدهند؛ و اگر نپذیرفت، او را بکشند</w:t>
      </w:r>
      <w:r>
        <w:rPr>
          <w:rFonts w:eastAsia="IRNazanin" w:cs="IRNazanin"/>
          <w:color w:val="111111"/>
          <w:sz w:val="28"/>
          <w:szCs w:val="28"/>
          <w:rtl w:val="true"/>
          <w:lang w:bidi="fa-IR"/>
        </w:rPr>
        <w:t>.</w:t>
      </w:r>
      <w:bookmarkStart w:id="1020" w:name="pg16923_220533"/>
    </w:p>
    <w:p>
      <w:pPr>
        <w:pStyle w:val="BookText"/>
        <w:rPr/>
      </w:pPr>
      <w:bookmarkEnd w:id="10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ما لو قتل المرتدّ الملّی بعد التوبة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تاب المرتدّ عن ملّة فقتله من یعتقد بقاءه علی الردّة،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القود، والأقوی عدمه، نعم علیه الدیة فی ماله</w:t>
      </w:r>
      <w:r>
        <w:rPr>
          <w:rFonts w:eastAsia="IRNazanin" w:cs="IRNazanin"/>
          <w:color w:val="111111"/>
          <w:sz w:val="28"/>
          <w:szCs w:val="28"/>
          <w:rtl w:val="true"/>
          <w:lang w:bidi="fa-IR"/>
        </w:rPr>
        <w:t>.]</w:t>
      </w:r>
    </w:p>
    <w:p>
      <w:pPr>
        <w:pStyle w:val="Heading4"/>
        <w:numPr>
          <w:ilvl w:val="3"/>
          <w:numId w:val="1"/>
        </w:numPr>
        <w:rPr/>
      </w:pPr>
      <w:bookmarkStart w:id="1021" w:name="__RefHeading___Toc162863_3244359995"/>
      <w:bookmarkStart w:id="1022" w:name="_Toc398"/>
      <w:bookmarkEnd w:id="1021"/>
      <w:r>
        <w:rPr>
          <w:rtl w:val="true"/>
        </w:rPr>
        <w:t>حکم قتل مرتدّ ملّی پس از توبه</w:t>
      </w:r>
      <w:bookmarkEnd w:id="1022"/>
    </w:p>
    <w:p>
      <w:pPr>
        <w:pStyle w:val="Heading5"/>
        <w:numPr>
          <w:ilvl w:val="4"/>
          <w:numId w:val="1"/>
        </w:numPr>
        <w:rPr/>
      </w:pPr>
      <w:bookmarkStart w:id="1023" w:name="__RefHeading___Toc162865_3244359995"/>
      <w:bookmarkStart w:id="1024" w:name="_Toc399"/>
      <w:bookmarkEnd w:id="1023"/>
      <w:r>
        <w:rPr>
          <w:rtl w:val="true"/>
        </w:rPr>
        <w:t>اشاره</w:t>
      </w:r>
      <w:bookmarkEnd w:id="1024"/>
    </w:p>
    <w:p>
      <w:pPr>
        <w:pStyle w:val="BookText"/>
        <w:rPr/>
      </w:pPr>
      <w:r>
        <w:rPr>
          <w:rFonts w:ascii="IRNazanin" w:hAnsi="IRNazanin" w:eastAsia="IRNazanin"/>
          <w:color w:val="111111"/>
          <w:sz w:val="28"/>
          <w:sz w:val="28"/>
          <w:szCs w:val="28"/>
          <w:rtl w:val="true"/>
          <w:lang w:bidi="fa-IR"/>
        </w:rPr>
        <w:t>اگر مرتدّ ملّی توبه کرد، کسی به خیال این که توبه نکرده و بر ارتداد باقی است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باید قصاص شود؛ ولی قول قوی‌تر عدم جریان قصاص، و وجوب دیه بر قاتل در مال او است</w:t>
      </w:r>
      <w:r>
        <w:rPr>
          <w:rFonts w:eastAsia="IRNazanin" w:cs="IRNazanin"/>
          <w:color w:val="111111"/>
          <w:sz w:val="28"/>
          <w:szCs w:val="28"/>
          <w:rtl w:val="true"/>
          <w:lang w:bidi="fa-IR"/>
        </w:rPr>
        <w:t>.</w:t>
      </w:r>
    </w:p>
    <w:p>
      <w:pPr>
        <w:pStyle w:val="Heading5"/>
        <w:numPr>
          <w:ilvl w:val="4"/>
          <w:numId w:val="1"/>
        </w:numPr>
        <w:rPr/>
      </w:pPr>
      <w:bookmarkStart w:id="1025" w:name="__RefHeading___Toc162867_3244359995"/>
      <w:bookmarkStart w:id="1026" w:name="_Toc400"/>
      <w:bookmarkEnd w:id="1025"/>
      <w:r>
        <w:rPr>
          <w:rtl w:val="true"/>
        </w:rPr>
        <w:t>دلیل قائل به قصاص</w:t>
      </w:r>
      <w:bookmarkEnd w:id="1026"/>
    </w:p>
    <w:p>
      <w:pPr>
        <w:pStyle w:val="BookText"/>
        <w:rPr/>
      </w:pPr>
      <w:r>
        <w:rPr>
          <w:rFonts w:ascii="IRNazanin" w:hAnsi="IRNazanin" w:eastAsia="IRNazanin"/>
          <w:color w:val="111111"/>
          <w:sz w:val="28"/>
          <w:sz w:val="28"/>
          <w:szCs w:val="28"/>
          <w:rtl w:val="true"/>
          <w:lang w:bidi="fa-IR"/>
        </w:rPr>
        <w:t>اگر مرتدّ ملّی را توبه دادند و او توبه کرد، معنای توبه‌اش رجوع به اسلام است؛ پس، این فرد، مسلمان واقعی شده است و کسی حقّ کشتنش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حال، کسی به اعتقاد این که توبه نکرده و مستحقّ قتل است او را کشت، شیخ طوسی رحمه الله در کتاب خلاف</w:t>
      </w:r>
      <w:r>
        <w:rPr>
          <w:rStyle w:val="FootnoteAnchor"/>
          <w:rtl w:val="true"/>
        </w:rPr>
        <w:footnoteReference w:id="724"/>
      </w:r>
      <w:r>
        <w:rPr>
          <w:rFonts w:ascii="IRNazanin" w:hAnsi="IRNazanin" w:eastAsia="IRNazanin"/>
          <w:color w:val="111111"/>
          <w:sz w:val="28"/>
          <w:sz w:val="28"/>
          <w:szCs w:val="28"/>
          <w:rtl w:val="true"/>
          <w:lang w:bidi="fa-IR"/>
        </w:rPr>
        <w:t>و مبسوط</w:t>
      </w:r>
      <w:r>
        <w:rPr>
          <w:rStyle w:val="FootnoteAnchor"/>
          <w:rtl w:val="true"/>
        </w:rPr>
        <w:footnoteReference w:id="725"/>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باید قصاص شود؛ زیرا، موضوع قصاص، وقوع قتل عمدی است؛ در این‌جا نیز قاتل با عمد و قصد مقتول را کشته است و هیچ شبهه‌ای در نظر قاتل وجود نداشته است؛ چرا که وی معتقد بوده این فرد واجب القتل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اشتباه و برخلاف واقع است، لیکن سبب نمی‌شود موضوع قتل عمد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آیه‌ی شریفه‌ی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 بِالنَّفْسِ </w:t>
      </w:r>
      <w:r>
        <w:rPr>
          <w:rFonts w:eastAsia="IRNazanin" w:cs="IRNazanin"/>
          <w:color w:val="111111"/>
          <w:sz w:val="28"/>
          <w:szCs w:val="28"/>
          <w:rtl w:val="true"/>
          <w:lang w:bidi="fa-IR"/>
        </w:rPr>
        <w:t>...</w:t>
      </w:r>
      <w:r>
        <w:rPr>
          <w:rStyle w:val="FootnoteAnchor"/>
          <w:rtl w:val="true"/>
        </w:rPr>
        <w:footnoteReference w:id="726"/>
      </w:r>
      <w:r>
        <w:rPr>
          <w:rFonts w:ascii="IRNazanin" w:hAnsi="IRNazanin" w:eastAsia="IRNazanin"/>
          <w:color w:val="111111"/>
          <w:sz w:val="28"/>
          <w:sz w:val="28"/>
          <w:szCs w:val="28"/>
          <w:rtl w:val="true"/>
          <w:lang w:bidi="fa-IR"/>
        </w:rPr>
        <w:t>شامل این مورد می‌گردد</w:t>
      </w:r>
      <w:r>
        <w:rPr>
          <w:rFonts w:eastAsia="IRNazanin" w:cs="IRNazanin"/>
          <w:color w:val="111111"/>
          <w:sz w:val="28"/>
          <w:szCs w:val="28"/>
          <w:rtl w:val="true"/>
          <w:lang w:bidi="fa-IR"/>
        </w:rPr>
        <w:t>.</w:t>
      </w:r>
    </w:p>
    <w:p>
      <w:pPr>
        <w:pStyle w:val="Heading5"/>
        <w:numPr>
          <w:ilvl w:val="4"/>
          <w:numId w:val="1"/>
        </w:numPr>
        <w:rPr/>
      </w:pPr>
      <w:bookmarkStart w:id="1027" w:name="__RefHeading___Toc162869_3244359995"/>
      <w:bookmarkStart w:id="1028" w:name="_Toc401"/>
      <w:bookmarkEnd w:id="1027"/>
      <w:r>
        <w:rPr>
          <w:rtl w:val="true"/>
        </w:rPr>
        <w:t>دلیل قائل به عدم قصاص</w:t>
      </w:r>
      <w:bookmarkEnd w:id="1028"/>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تحقّق قتل عمد، موضوع قصاص نیست؛ زیرا، باید عنوان برای قاتل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بداند فردی را که می‌کشد،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ما قاتل به اعتقاد این که مقتول مرتدّ و</w:t>
      </w:r>
    </w:p>
    <w:p>
      <w:pPr>
        <w:pStyle w:val="BookText"/>
        <w:rPr/>
      </w:pPr>
      <w:r>
        <w:rPr>
          <w:rFonts w:ascii="IRNazanin" w:hAnsi="IRNazanin" w:eastAsia="IRNazanin"/>
          <w:color w:val="111111"/>
          <w:sz w:val="28"/>
          <w:sz w:val="28"/>
          <w:szCs w:val="28"/>
          <w:rtl w:val="true"/>
          <w:lang w:bidi="fa-IR"/>
        </w:rPr>
        <w:t>کافر است، او را کشته و آیه‌ی شریفه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یَقْتُلْ مُؤْمِنًا مُّتَعَمّدًا فَجَزَآؤُهُ‌و جَهَنَّمُ خلِدًا فِیهَا</w:t>
      </w:r>
      <w:r>
        <w:rPr>
          <w:rStyle w:val="FootnoteAnchor"/>
          <w:rtl w:val="true"/>
        </w:rPr>
        <w:footnoteReference w:id="7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مؤمنی را از روی عمد به قتل برساند، جزایش جهنم جاودانی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می‌توان آیه را شامل کسی دانست که شخصی را به خیال این که کافر است، می‌کشد؟ در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نهفته است که باید عنوان مؤمن بودن برای قاتل روشن باشد، تا وقتی می‌خواهد اراده کند، قتل مؤمن را اراده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هرچند در این بحث، قاتل از آلت قتّاله استفاده کرده و قصد کشتن مقتول را نیز داشته است، پس قتلش خطا و شبه عمد نیست؛ ولی از آن‌جا که عنوان این شخص برایش روشن نبوده و او را به عنوان فردی کافر به قتل رسانیده و قتلش را وظیفه‌ی شرعی خود می‌دانسته است، پس قصاص جا ندارد؛ همان‌طور که صاحب جواهر رحمه الله فرموده و امام راحل رحمه الله نیز در تحریرالوسیله اختیار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رحمه الله برای این ادّعا مؤیّدی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صدوق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ادرأوا الحدود بالشّبهات</w:t>
      </w:r>
      <w:r>
        <w:rPr>
          <w:rFonts w:eastAsia="IRNazanin" w:cs="IRNazanin"/>
          <w:color w:val="111111"/>
          <w:sz w:val="28"/>
          <w:szCs w:val="28"/>
          <w:rtl w:val="true"/>
          <w:lang w:bidi="fa-IR"/>
        </w:rPr>
        <w:t>»</w:t>
      </w:r>
      <w:r>
        <w:rPr>
          <w:rStyle w:val="FootnoteAnchor"/>
          <w:rtl w:val="true"/>
        </w:rPr>
        <w:footnoteReference w:id="728"/>
      </w:r>
      <w:r>
        <w:rPr>
          <w:rFonts w:ascii="IRNazanin" w:hAnsi="IRNazanin" w:eastAsia="IRNazanin"/>
          <w:color w:val="111111"/>
          <w:sz w:val="28"/>
          <w:sz w:val="28"/>
          <w:szCs w:val="28"/>
          <w:rtl w:val="true"/>
          <w:lang w:bidi="fa-IR"/>
        </w:rPr>
        <w:t>به باب حدود اختصاص ندارد؛ و در باب قصاص نیز همین مطلب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هرجا شکّ کنیم آیا موضوع قصاص محقّق هست یا نه؟ مانند همین بحث، به روایت، تمسّک کرده و قصاص را ساقط کنیم</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ما نمی‌توانیم این مطلب را از مرحوم صاحب جواهر بپذیریم و روایت مذکور را شامل باب قصاص هم بدانیم؛ نیازی به آن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سقوط قصاص، نوبت به دیه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قتل خطایی محض دیه بر عهده‌ی عاقله‌ی قاتل است؛ و در غیر آن، به عهده‌ی قاتل می‌باشد، از اموال شخصی‌اش باید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 تحریرالوسیله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فقتله من یعتقد بقاؤه علی الردّة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هر کسی می‌تواند مرتدّ را به قتل برساند؛ روایتی در مرتدّ فطری داشتیم که امام علیه السلام فرمود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مسلم بین مسلمین ارتدّ عن الإسلام وجحد محمداً صلی الله علیه و آله نبوّته وکذّبه فإنّ دمه</w:t>
      </w:r>
    </w:p>
    <w:p>
      <w:pPr>
        <w:pStyle w:val="BookText"/>
        <w:rPr/>
      </w:pPr>
      <w:r>
        <w:rPr>
          <w:rFonts w:ascii="IRNazanin" w:hAnsi="IRNazanin" w:eastAsia="IRNazanin"/>
          <w:color w:val="111111"/>
          <w:sz w:val="28"/>
          <w:sz w:val="28"/>
          <w:szCs w:val="28"/>
          <w:rtl w:val="true"/>
          <w:lang w:bidi="fa-IR"/>
        </w:rPr>
        <w:t>مباح لمن سمع ذلک منه</w:t>
      </w:r>
      <w:r>
        <w:rPr>
          <w:rFonts w:eastAsia="IRNazanin" w:cs="IRNazanin"/>
          <w:color w:val="111111"/>
          <w:sz w:val="28"/>
          <w:szCs w:val="28"/>
          <w:rtl w:val="true"/>
          <w:lang w:bidi="fa-IR"/>
        </w:rPr>
        <w:t>»</w:t>
      </w:r>
      <w:r>
        <w:rPr>
          <w:rStyle w:val="FootnoteAnchor"/>
          <w:rtl w:val="true"/>
        </w:rPr>
        <w:footnoteReference w:id="730"/>
      </w:r>
      <w:r>
        <w:rPr>
          <w:rFonts w:ascii="IRNazanin" w:hAnsi="IRNazanin" w:eastAsia="IRNazanin"/>
          <w:color w:val="111111"/>
          <w:sz w:val="28"/>
          <w:sz w:val="28"/>
          <w:szCs w:val="28"/>
          <w:rtl w:val="true"/>
          <w:lang w:bidi="fa-IR"/>
        </w:rPr>
        <w:t>هر مسلمانی که از اسلام برگردد و نبوّت پیامبر صلی الله علیه و آله را انکار و آن حضرت را تکذیب کند، ریختن خونش برای هر شخصی که این مطلب را از او شنیده، مباح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مستفاد از روایت این است که لازم نیست مسأله را نزد حاکم ببرند و او حکم قتل را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انسان بچّه مسلمانی را دید که پیامبر خدا صلی الله علیه و آله را تکذیب می‌کند و می‌تواند او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حدّ مرتدّ فطری با بقیّه‌ی حدود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مجوّز شرعی درست می‌کند، لیکن در مقام اجرا باید به مصالح دیگر نیز توجّه داشت؛ اگر فردی مرتدّ فطری را کشت، هرچند این قتل جایز است، لیکن باید نزد حاکم شرع ارتداد مرتدّ را اثبات کند؛ و اگر نتوانست، برای این قتل مؤاخذه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سرقت و دفاع از مال و جان نیز همین مطلب 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دزدی وارد خانه‌ای شد و قصد جان و مال و صاحب خانه را داشت، برای او جایز است تا سرحدّ کشتن سارق دفاع کند؛ ولی باید قدرت بر اثبات این مطلب را نزد حاکم شرع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حاکم علم غیب ندارد؛ از کجا بفهمد قاتل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قاتل مقتول را فریب داده، به خانه‌اش برده و عمداً او را کشته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دافع این احتمال چیست؟</w:t>
      </w:r>
    </w:p>
    <w:p>
      <w:pPr>
        <w:pStyle w:val="BookText"/>
        <w:rPr/>
      </w:pPr>
      <w:r>
        <w:rPr>
          <w:rFonts w:ascii="IRNazanin" w:hAnsi="IRNazanin" w:eastAsia="IRNazanin"/>
          <w:color w:val="111111"/>
          <w:sz w:val="28"/>
          <w:sz w:val="28"/>
          <w:szCs w:val="28"/>
          <w:rtl w:val="true"/>
          <w:lang w:bidi="fa-IR"/>
        </w:rPr>
        <w:t>همین‌طور در موردی که فردی وارد خانه‌اش شد، دید مردی اجنبی با زوجه‌اش همبستر است، می‌تواند او را بکشد؛ لیکن باید قدرت اثبات این مطلب را نزد حاکم شرع داشته باشد و صرف ادّعا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شرع در تمام مواردی که شرع مقدّس مجوّز به قاتل داده است، دو احتمال 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قاتل مطابق با واقع است؛ قتل بر حقّ بوده، پس قصاص در کار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برای فرار از قصاص و دیه، این مطالب را می‌بافد؛ در حالی که مقتول به ظلم و عدوان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قاتل باید قصاص شود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صرف مجوّز شرعی داشتن برای قتل، باعث نمی‌شود انسان را رها کرده، به بازجویی و مؤاخذه‌اش نپردازند</w:t>
      </w:r>
      <w:r>
        <w:rPr>
          <w:rFonts w:eastAsia="IRNazanin" w:cs="IRNazanin"/>
          <w:color w:val="111111"/>
          <w:sz w:val="28"/>
          <w:szCs w:val="28"/>
          <w:rtl w:val="true"/>
          <w:lang w:bidi="fa-IR"/>
        </w:rPr>
        <w:t>.</w:t>
      </w:r>
      <w:bookmarkStart w:id="1029" w:name="pg16923_220536"/>
    </w:p>
    <w:p>
      <w:pPr>
        <w:pStyle w:val="BookText"/>
        <w:rPr/>
      </w:pPr>
      <w:bookmarkEnd w:id="10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المرتدّ لو قتل مسلماً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قتل المرتدّ مسلماً عمداً فللولیّ قتله قوداً وهو مقدّم علی قتله بالردّة، ولو عفی الولیّ أو صالحه علی مال قتل بالردّة</w:t>
      </w:r>
      <w:r>
        <w:rPr>
          <w:rFonts w:eastAsia="IRNazanin" w:cs="IRNazanin"/>
          <w:color w:val="111111"/>
          <w:sz w:val="28"/>
          <w:szCs w:val="28"/>
          <w:rtl w:val="true"/>
          <w:lang w:bidi="fa-IR"/>
        </w:rPr>
        <w:t>.]</w:t>
      </w:r>
    </w:p>
    <w:p>
      <w:pPr>
        <w:pStyle w:val="Heading4"/>
        <w:numPr>
          <w:ilvl w:val="3"/>
          <w:numId w:val="1"/>
        </w:numPr>
        <w:rPr/>
      </w:pPr>
      <w:bookmarkStart w:id="1030" w:name="__RefHeading___Toc162871_3244359995"/>
      <w:bookmarkStart w:id="1031" w:name="_Toc402"/>
      <w:bookmarkEnd w:id="1030"/>
      <w:r>
        <w:rPr>
          <w:rtl w:val="true"/>
        </w:rPr>
        <w:t>حکم مرتدّ قاتل</w:t>
      </w:r>
      <w:bookmarkEnd w:id="1031"/>
    </w:p>
    <w:p>
      <w:pPr>
        <w:pStyle w:val="Heading5"/>
        <w:numPr>
          <w:ilvl w:val="4"/>
          <w:numId w:val="1"/>
        </w:numPr>
        <w:rPr/>
      </w:pPr>
      <w:bookmarkStart w:id="1032" w:name="__RefHeading___Toc162873_3244359995"/>
      <w:bookmarkStart w:id="1033" w:name="_Toc403"/>
      <w:bookmarkEnd w:id="1032"/>
      <w:r>
        <w:rPr>
          <w:rtl w:val="true"/>
        </w:rPr>
        <w:t>اشاره</w:t>
      </w:r>
      <w:bookmarkEnd w:id="1033"/>
    </w:p>
    <w:p>
      <w:pPr>
        <w:pStyle w:val="BookText"/>
        <w:rPr/>
      </w:pPr>
      <w:r>
        <w:rPr>
          <w:rFonts w:ascii="IRNazanin" w:hAnsi="IRNazanin" w:eastAsia="IRNazanin"/>
          <w:color w:val="111111"/>
          <w:sz w:val="28"/>
          <w:sz w:val="28"/>
          <w:szCs w:val="28"/>
          <w:rtl w:val="true"/>
          <w:lang w:bidi="fa-IR"/>
        </w:rPr>
        <w:t>اگر مرتدّ، مسلمانی را عمداً به قتل رسانید، ولیّ مقتول حقّ دارد او را به عنوان قصاص بکُشد و این حقّ مقدّم بر قتل به ارتداد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ولیّ او را عفو کرد، یا قتلش را با مالی مصالحه کردند، به سبب ارتداد کشته می‌شود</w:t>
      </w:r>
      <w:r>
        <w:rPr>
          <w:rFonts w:eastAsia="IRNazanin" w:cs="IRNazanin"/>
          <w:color w:val="111111"/>
          <w:sz w:val="28"/>
          <w:szCs w:val="28"/>
          <w:rtl w:val="true"/>
          <w:lang w:bidi="fa-IR"/>
        </w:rPr>
        <w:t>.</w:t>
      </w:r>
    </w:p>
    <w:p>
      <w:pPr>
        <w:pStyle w:val="Heading5"/>
        <w:numPr>
          <w:ilvl w:val="4"/>
          <w:numId w:val="1"/>
        </w:numPr>
        <w:rPr/>
      </w:pPr>
      <w:bookmarkStart w:id="1034" w:name="__RefHeading___Toc162875_3244359995"/>
      <w:bookmarkStart w:id="1035" w:name="_Toc404"/>
      <w:bookmarkEnd w:id="1034"/>
      <w:r>
        <w:rPr>
          <w:rtl w:val="true"/>
        </w:rPr>
        <w:t>حکم قتل عمدی</w:t>
      </w:r>
      <w:bookmarkEnd w:id="1035"/>
    </w:p>
    <w:p>
      <w:pPr>
        <w:pStyle w:val="BookText"/>
        <w:rPr/>
      </w:pPr>
      <w:r>
        <w:rPr>
          <w:rFonts w:ascii="IRNazanin" w:hAnsi="IRNazanin" w:eastAsia="IRNazanin"/>
          <w:color w:val="111111"/>
          <w:sz w:val="28"/>
          <w:sz w:val="28"/>
          <w:szCs w:val="28"/>
          <w:rtl w:val="true"/>
          <w:lang w:bidi="fa-IR"/>
        </w:rPr>
        <w:t>موضوع بحث فردی است که از وی دو موجب قتل سر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حقّ‌الناس است و دیگری حقّ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دو حقّ در مقام اجرا مقدّم است؟</w:t>
      </w:r>
    </w:p>
    <w:p>
      <w:pPr>
        <w:pStyle w:val="BookText"/>
        <w:rPr/>
      </w:pPr>
      <w:r>
        <w:rPr>
          <w:rFonts w:ascii="IRNazanin" w:hAnsi="IRNazanin" w:eastAsia="IRNazanin"/>
          <w:color w:val="111111"/>
          <w:sz w:val="28"/>
          <w:sz w:val="28"/>
          <w:szCs w:val="28"/>
          <w:rtl w:val="true"/>
          <w:lang w:bidi="fa-IR"/>
        </w:rPr>
        <w:t>فقها بر تقدیم حقّ‌الناس اتفاق دارند؛ بنابراین، باید مرتدّ قاتل را در اختیار ورثه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قصاص را انتخاب کردند، مرتدّ به عنوان قصاص کشته می‌شود و موضوعی برای قتل ارتدادی باقی نمی‌ماند؛ امّا اگر ورثه‌ی مقتول، قاتل را بخشیدند، یا حاضر شدند قتلش را با گرفتن مالی مصالحه کنند، و در نتیجه مرتدّ قصاص نشد، نوبت به حقّ اللَّه می‌رسد و به سبب ارتداد او را می‌کشند</w:t>
      </w:r>
      <w:r>
        <w:rPr>
          <w:rFonts w:eastAsia="IRNazanin" w:cs="IRNazanin"/>
          <w:color w:val="111111"/>
          <w:sz w:val="28"/>
          <w:szCs w:val="28"/>
          <w:rtl w:val="true"/>
          <w:lang w:bidi="fa-IR"/>
        </w:rPr>
        <w:t>.</w:t>
      </w:r>
    </w:p>
    <w:p>
      <w:pPr>
        <w:pStyle w:val="Heading5"/>
        <w:numPr>
          <w:ilvl w:val="4"/>
          <w:numId w:val="1"/>
        </w:numPr>
        <w:rPr/>
      </w:pPr>
      <w:bookmarkStart w:id="1036" w:name="__RefHeading___Toc162877_3244359995"/>
      <w:bookmarkStart w:id="1037" w:name="_Toc405"/>
      <w:bookmarkEnd w:id="1036"/>
      <w:r>
        <w:rPr>
          <w:rtl w:val="true"/>
        </w:rPr>
        <w:t>حکم قتل خطایی</w:t>
      </w:r>
      <w:bookmarkEnd w:id="1037"/>
    </w:p>
    <w:p>
      <w:pPr>
        <w:pStyle w:val="BookText"/>
        <w:rPr/>
      </w:pPr>
      <w:r>
        <w:rPr>
          <w:rFonts w:ascii="IRNazanin" w:hAnsi="IRNazanin" w:eastAsia="IRNazanin"/>
          <w:color w:val="111111"/>
          <w:sz w:val="28"/>
          <w:sz w:val="28"/>
          <w:szCs w:val="28"/>
          <w:rtl w:val="true"/>
          <w:lang w:bidi="fa-IR"/>
        </w:rPr>
        <w:t>مطالب فوق در صورتی است که مرتدّ مرتکب قتل عمد باشد؛ ولی اگر قتل خطایی از شخص سر زده است، مثل این که تیری به طرف حیوانی پرتاب کرد، از قضا آن تیر به انسانی خورد و او را کشت، آیا در این مورد، دیه بر عهده‌ی عاقله‌ی قاتل است؟</w:t>
      </w:r>
    </w:p>
    <w:p>
      <w:pPr>
        <w:pStyle w:val="BookText"/>
        <w:rPr/>
      </w:pPr>
      <w:r>
        <w:rPr>
          <w:rFonts w:ascii="IRNazanin" w:hAnsi="IRNazanin" w:eastAsia="IRNazanin"/>
          <w:color w:val="111111"/>
          <w:sz w:val="28"/>
          <w:sz w:val="28"/>
          <w:szCs w:val="28"/>
          <w:rtl w:val="true"/>
          <w:lang w:bidi="fa-IR"/>
        </w:rPr>
        <w:t>تفصیل این بحث در کتاب دیات است؛ در این‌جا به احتمالات مسأله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مرتدّ ملّی دو احتمال داده‌اند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قتل‌های خطایی دیگر که دیه‌اش بر عهده‌ی عاقله‌ی قاتل است، این‌جا نیز بر</w:t>
      </w:r>
    </w:p>
    <w:p>
      <w:pPr>
        <w:pStyle w:val="BookText"/>
        <w:rPr/>
      </w:pPr>
      <w:r>
        <w:rPr>
          <w:rFonts w:ascii="IRNazanin" w:hAnsi="IRNazanin" w:eastAsia="IRNazanin"/>
          <w:color w:val="111111"/>
          <w:sz w:val="28"/>
          <w:sz w:val="28"/>
          <w:szCs w:val="28"/>
          <w:rtl w:val="true"/>
          <w:lang w:bidi="fa-IR"/>
        </w:rPr>
        <w:t xml:space="preserve">عهده‌ی عاقله باشد؛ فرقی بین عاقله‌ی فرد مسلمان و عاقله‌ی فرد مرتدّ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 الغنم فعلیه الغرم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غنیمت را می‌برد، غرامت را باید تحمّل کند؛ همان طور که عاقله از قاتل ارث می‌برد، باید دیه‌ی جنایتش را نیز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دیه بر عاقله مربوط به جایی است که قاتل، مسلمان باشد؛ امّا مرتدّ عاقله‌ای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از اموال شخصی‌اش دیه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صورت مغلّظ نه مخفّف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دیه‌ی مخفّف دیه‌ی اقساطی است که ظرف سه سال می‌پردازند؛ و دیه‌ی مغلّظ دیه‌ای است که باید یکجا بپردازد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در مرتدّ فطری است که به مجرّد ارتدادش، اموالش ملک ورثه می‌گردد؛ او مالک چیزی نیست تا دیه را از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بنا بر آن‌چه ما اختیار کردیم، اموالی که مرتدّ فطری پس از ارتداد به حیازت، یا عقد، هبه و مانند آن تحصیل می‌کند، متعلّق به خودش هست و ربطی به ورثه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دیه در مال مرتدّ فطری خواهد بود</w:t>
      </w:r>
      <w:r>
        <w:rPr>
          <w:rFonts w:eastAsia="IRNazanin" w:cs="IRNazanin"/>
          <w:color w:val="111111"/>
          <w:sz w:val="28"/>
          <w:szCs w:val="28"/>
          <w:rtl w:val="true"/>
          <w:lang w:bidi="fa-IR"/>
        </w:rPr>
        <w:t>.</w:t>
      </w:r>
      <w:bookmarkStart w:id="1038" w:name="pg16923_220538"/>
    </w:p>
    <w:p>
      <w:pPr>
        <w:pStyle w:val="BookText"/>
        <w:rPr/>
      </w:pPr>
      <w:bookmarkEnd w:id="10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 إثبات الارتداد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الارتداد بشهادة عدلین وبالإقرار، والأحواط إقراره مرّتین ولا یثبت بشهادة النساء منفردات ولا منضمّات</w:t>
      </w:r>
      <w:r>
        <w:rPr>
          <w:rFonts w:eastAsia="IRNazanin" w:cs="IRNazanin"/>
          <w:color w:val="111111"/>
          <w:sz w:val="28"/>
          <w:szCs w:val="28"/>
          <w:rtl w:val="true"/>
          <w:lang w:bidi="fa-IR"/>
        </w:rPr>
        <w:t>.]</w:t>
      </w:r>
    </w:p>
    <w:p>
      <w:pPr>
        <w:pStyle w:val="Heading4"/>
        <w:numPr>
          <w:ilvl w:val="3"/>
          <w:numId w:val="1"/>
        </w:numPr>
        <w:rPr/>
      </w:pPr>
      <w:bookmarkStart w:id="1039" w:name="__RefHeading___Toc162879_3244359995"/>
      <w:bookmarkStart w:id="1040" w:name="_Toc406"/>
      <w:bookmarkEnd w:id="1039"/>
      <w:r>
        <w:rPr>
          <w:rtl w:val="true"/>
        </w:rPr>
        <w:t>راه اثبات ارتداد</w:t>
      </w:r>
      <w:bookmarkEnd w:id="1040"/>
    </w:p>
    <w:p>
      <w:pPr>
        <w:pStyle w:val="BookText"/>
        <w:rPr/>
      </w:pPr>
      <w:r>
        <w:rPr>
          <w:rFonts w:ascii="IRNazanin" w:hAnsi="IRNazanin" w:eastAsia="IRNazanin"/>
          <w:color w:val="111111"/>
          <w:sz w:val="28"/>
          <w:sz w:val="28"/>
          <w:szCs w:val="28"/>
          <w:rtl w:val="true"/>
          <w:lang w:bidi="fa-IR"/>
        </w:rPr>
        <w:t>ارتداد به شهادت دو عادل و به اقرار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دو مرتبه اقرار است؛ و با شهادت زنان به تنهایی یا به انضمام مردان ثابت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ارتداد با شهادت دو مرد عادل بدون تردید ثابت می‌شود؛ و دلیلش، عموم دلیل حجّیت بیّنه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دلیلی برخلاف این عموم نداشتیم به آن اخذ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زنا و لواط، دلیل خاصّ بر چهار شاهد دلالت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این عموم برداشتیم؛ ولی در باب ارتداد چنین دلیل خاصّی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یکی از موضوع‌های خارجی است و با بیّنه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ارتداد با اقرار نیز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باشیم و عموم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 جایز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31"/>
      </w:r>
      <w:r>
        <w:rPr>
          <w:rFonts w:ascii="IRNazanin" w:hAnsi="IRNazanin" w:eastAsia="IRNazanin"/>
          <w:color w:val="111111"/>
          <w:sz w:val="28"/>
          <w:sz w:val="28"/>
          <w:szCs w:val="28"/>
          <w:rtl w:val="true"/>
          <w:lang w:bidi="fa-IR"/>
        </w:rPr>
        <w:t>یک اقرار کافی است؛ همان طور که در حقوق مالی به اقرار واحد ترتیب اثر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ورود قسمتی از روایات در باب حدود که مکرّراً به آن‌ها اشاره کرده‌ایم مبنی بر این که اقرار به منزله‌ی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روایت اقرار زن آبستن نزد امیرمؤمنان علیه السلام امام پس از هر اقراری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أللّهم إنّها 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إنّهما شهادتان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هذه ثلاث شهادات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إنّه قد ثبت علیها أربع شهادات </w:t>
      </w:r>
      <w:r>
        <w:rPr>
          <w:rFonts w:eastAsia="IRNazanin" w:cs="IRNazanin"/>
          <w:color w:val="111111"/>
          <w:sz w:val="28"/>
          <w:szCs w:val="28"/>
          <w:rtl w:val="true"/>
          <w:lang w:bidi="fa-IR"/>
        </w:rPr>
        <w:t>...»-</w:t>
      </w:r>
      <w:r>
        <w:rPr>
          <w:rStyle w:val="FootnoteAnchor"/>
          <w:rtl w:val="true"/>
        </w:rPr>
        <w:footnoteReference w:id="732"/>
      </w:r>
      <w:r>
        <w:rPr>
          <w:rFonts w:ascii="IRNazanin" w:hAnsi="IRNazanin" w:eastAsia="IRNazanin"/>
          <w:color w:val="111111"/>
          <w:sz w:val="28"/>
          <w:sz w:val="28"/>
          <w:szCs w:val="28"/>
          <w:rtl w:val="true"/>
          <w:lang w:bidi="fa-IR"/>
        </w:rPr>
        <w:t>سبب حدوث شبهه‌ی زیر شده است</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اقرار به منزله‌ی شهادت است، هرجا که دو شاهد نیاز بود، پس دو اقرار 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رحمه الله به سبب این شبهه احتیاط واجب کرده‌اند؛ زیرا، حدّ در این‌جا یا قتل است و یا منتهی به قتل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خیلی جرئت می‌خواهد با یک اقرار کار را تمام</w:t>
      </w:r>
    </w:p>
    <w:p>
      <w:pPr>
        <w:pStyle w:val="BookText"/>
        <w:rPr/>
      </w:pPr>
      <w:r>
        <w:rPr>
          <w:rFonts w:ascii="IRNazanin" w:hAnsi="IRNazanin" w:eastAsia="IRNazanin"/>
          <w:color w:val="111111"/>
          <w:sz w:val="28"/>
          <w:sz w:val="28"/>
          <w:szCs w:val="28"/>
          <w:rtl w:val="true"/>
          <w:lang w:bidi="fa-IR"/>
        </w:rPr>
        <w:t>کنیم؛ احتیاط اقتضا می‌کند اقرار دو مرتبه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زنان به‌طور استقلال در باب حدود پذیرفته نمی‌شود؛ و این مطلب بارها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در صورت انضمام است؛ یعنی اگر یک مرد عادل و دو زن عادل بر ارتداد شهادت دادند، نظر امام راحل بر عدم پذیرش چنین شهادتی بود؛ ولی با بحث مفصّلی که در سابق داشتیم،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بیانگر کفایت شهادت انضمامی است؛ یعنی با حدّاقل انضمام که جانشین شدنِ دو زن به جای یک مرد است، البتّه در بحث ما، حدّاقل معنا ندارد؛ زیرا فقط یک صورت جایگزینی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یک مرد همراه با شهادت دو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لیکن در بحث زنا انضمام سه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مرد و دو زن، دو مرد و چهار زن، یک مرد و شش زن که حداقلّ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مرد و دو زن است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ارتداد با شهادت دو مرد عادل، یا شهادت یک مرد عادل و دو زن عادل و بنا بر احتیاط واجب، به دو اقرار ثابت می‌شود</w:t>
      </w:r>
      <w:r>
        <w:rPr>
          <w:rFonts w:eastAsia="IRNazanin" w:cs="IRNazanin"/>
          <w:color w:val="111111"/>
          <w:sz w:val="28"/>
          <w:szCs w:val="28"/>
          <w:rtl w:val="true"/>
          <w:lang w:bidi="fa-IR"/>
        </w:rPr>
        <w:t>.</w:t>
      </w:r>
      <w:bookmarkStart w:id="1041" w:name="pg16923_220540"/>
    </w:p>
    <w:p>
      <w:pPr>
        <w:pStyle w:val="Heading3"/>
        <w:numPr>
          <w:ilvl w:val="2"/>
          <w:numId w:val="1"/>
        </w:numPr>
        <w:rPr/>
      </w:pPr>
      <w:bookmarkStart w:id="1042" w:name="__RefHeading___Toc162881_3244359995"/>
      <w:bookmarkStart w:id="1043" w:name="_Toc407"/>
      <w:bookmarkEnd w:id="1041"/>
      <w:bookmarkEnd w:id="1042"/>
      <w:r>
        <w:rPr>
          <w:rtl w:val="true"/>
        </w:rPr>
        <w:t>فصل دوم</w:t>
      </w:r>
      <w:r>
        <w:rPr>
          <w:rtl w:val="true"/>
        </w:rPr>
        <w:t xml:space="preserve">: </w:t>
      </w:r>
      <w:r>
        <w:rPr>
          <w:rtl w:val="true"/>
        </w:rPr>
        <w:t>نزدیکی با چهارپایان‌و نزدیکی با مُرده</w:t>
      </w:r>
      <w:bookmarkEnd w:id="1043"/>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44" w:name="__RefHeading___Toc162883_3244359995"/>
      <w:bookmarkStart w:id="1045" w:name="_Toc408"/>
      <w:bookmarkEnd w:id="1044"/>
      <w:r>
        <w:rPr>
          <w:rtl w:val="true"/>
        </w:rPr>
        <w:t>اشاره</w:t>
      </w:r>
      <w:bookmarkStart w:id="1046" w:name="pg16923_220542"/>
      <w:bookmarkEnd w:id="1045"/>
    </w:p>
    <w:p>
      <w:pPr>
        <w:pStyle w:val="BookText"/>
        <w:rPr/>
      </w:pPr>
      <w:bookmarkEnd w:id="10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من وطء البهیمة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وطء البهیمة تعزیر، وهو منوط بنظر الحاکم، ویشترط فیه البلوغ والعقل والاختیار وعدم الشبهة مع إمکانها، فلا تعزیر علی الصبیّ، وإن کان ممیّزاً یؤثّر فیه التأدیب أدّبه الحاکم بما یراه، ولا علی المجنون ولو أدواراً إذا فعل فی دور جنونه، ولا علی المکره ولا علی المشتبه مع إمکان الشبهة فی حقّه حکماً أو موضوعاً</w:t>
      </w:r>
      <w:r>
        <w:rPr>
          <w:rFonts w:eastAsia="IRNazanin" w:cs="IRNazanin"/>
          <w:color w:val="111111"/>
          <w:sz w:val="28"/>
          <w:szCs w:val="28"/>
          <w:rtl w:val="true"/>
          <w:lang w:bidi="fa-IR"/>
        </w:rPr>
        <w:t>.]</w:t>
      </w:r>
    </w:p>
    <w:p>
      <w:pPr>
        <w:pStyle w:val="Heading4"/>
        <w:numPr>
          <w:ilvl w:val="3"/>
          <w:numId w:val="1"/>
        </w:numPr>
        <w:rPr/>
      </w:pPr>
      <w:bookmarkStart w:id="1047" w:name="__RefHeading___Toc162885_3244359995"/>
      <w:bookmarkStart w:id="1048" w:name="_Toc409"/>
      <w:bookmarkEnd w:id="1047"/>
      <w:r>
        <w:rPr>
          <w:rtl w:val="true"/>
        </w:rPr>
        <w:t>عقوبت وطی بهیمه</w:t>
      </w:r>
      <w:bookmarkEnd w:id="1048"/>
    </w:p>
    <w:p>
      <w:pPr>
        <w:pStyle w:val="Heading5"/>
        <w:numPr>
          <w:ilvl w:val="4"/>
          <w:numId w:val="1"/>
        </w:numPr>
        <w:rPr/>
      </w:pPr>
      <w:bookmarkStart w:id="1049" w:name="__RefHeading___Toc162887_3244359995"/>
      <w:bookmarkStart w:id="1050" w:name="_Toc410"/>
      <w:bookmarkEnd w:id="1049"/>
      <w:r>
        <w:rPr>
          <w:rtl w:val="true"/>
        </w:rPr>
        <w:t>اشاره</w:t>
      </w:r>
      <w:bookmarkEnd w:id="1050"/>
    </w:p>
    <w:p>
      <w:pPr>
        <w:pStyle w:val="BookText"/>
        <w:rPr/>
      </w:pPr>
      <w:r>
        <w:rPr>
          <w:rFonts w:ascii="IRNazanin" w:hAnsi="IRNazanin" w:eastAsia="IRNazanin"/>
          <w:color w:val="111111"/>
          <w:sz w:val="28"/>
          <w:sz w:val="28"/>
          <w:szCs w:val="28"/>
          <w:rtl w:val="true"/>
          <w:lang w:bidi="fa-IR"/>
        </w:rPr>
        <w:t>عقوبت وطی بهیمه تعزیری است که حاکم شرع معیّن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این کیفر مشروط به بلوغ، عقل، اختیار و عدم شبهه برای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صبیّ را تعزیر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 ممیّزی است که تأدیب در او مؤثّر است، حاکم شرع او را ادب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تعزیری بر مجنون نیست؛ حتّی مجنون ادواری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زمان جنون مرتکب وطی شده باشد، و همین‌طور بر فرد مکره و بر شخصی که شبهه در حقّش موضوعاً یا حکماً امکان داشته باشد</w:t>
      </w:r>
      <w:r>
        <w:rPr>
          <w:rFonts w:eastAsia="IRNazanin" w:cs="IRNazanin"/>
          <w:color w:val="111111"/>
          <w:sz w:val="28"/>
          <w:szCs w:val="28"/>
          <w:rtl w:val="true"/>
          <w:lang w:bidi="fa-IR"/>
        </w:rPr>
        <w:t>.</w:t>
      </w:r>
    </w:p>
    <w:p>
      <w:pPr>
        <w:pStyle w:val="Heading5"/>
        <w:numPr>
          <w:ilvl w:val="4"/>
          <w:numId w:val="1"/>
        </w:numPr>
        <w:rPr/>
      </w:pPr>
      <w:bookmarkStart w:id="1051" w:name="__RefHeading___Toc162889_3244359995"/>
      <w:bookmarkStart w:id="1052" w:name="_Toc411"/>
      <w:bookmarkEnd w:id="1051"/>
      <w:r>
        <w:rPr>
          <w:rtl w:val="true"/>
        </w:rPr>
        <w:t>ثبوت تعزیر و نفی حدّ</w:t>
      </w:r>
      <w:bookmarkEnd w:id="1052"/>
    </w:p>
    <w:p>
      <w:pPr>
        <w:pStyle w:val="Heading6"/>
        <w:numPr>
          <w:ilvl w:val="5"/>
          <w:numId w:val="1"/>
        </w:numPr>
        <w:rPr/>
      </w:pPr>
      <w:bookmarkStart w:id="1053" w:name="__RefHeading___Toc162891_3244359995"/>
      <w:bookmarkStart w:id="1054" w:name="_Toc412"/>
      <w:bookmarkEnd w:id="1053"/>
      <w:r>
        <w:rPr>
          <w:rtl w:val="true"/>
        </w:rPr>
        <w:t>اشاره</w:t>
      </w:r>
      <w:bookmarkEnd w:id="1054"/>
    </w:p>
    <w:p>
      <w:pPr>
        <w:pStyle w:val="BookText"/>
        <w:rPr/>
      </w:pPr>
      <w:r>
        <w:rPr>
          <w:rFonts w:ascii="IRNazanin" w:hAnsi="IRNazanin" w:eastAsia="IRNazanin"/>
          <w:color w:val="111111"/>
          <w:sz w:val="28"/>
          <w:sz w:val="28"/>
          <w:szCs w:val="28"/>
          <w:rtl w:val="true"/>
          <w:lang w:bidi="fa-IR"/>
        </w:rPr>
        <w:t>اگر انسانی با شرایط بلوغ، عقل، اختیار و عدم اشتباه با حیوانی وطی کند، مشهور، بلکه بالاتر از شهرت، صاحب جواهر 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نعرف فیه خلافاً</w:t>
      </w:r>
      <w:r>
        <w:rPr>
          <w:rFonts w:eastAsia="IRNazanin" w:cs="IRNazanin"/>
          <w:color w:val="111111"/>
          <w:sz w:val="28"/>
          <w:szCs w:val="28"/>
          <w:rtl w:val="true"/>
          <w:lang w:bidi="fa-IR"/>
        </w:rPr>
        <w:t>»</w:t>
      </w:r>
      <w:r>
        <w:rPr>
          <w:rStyle w:val="FootnoteAnchor"/>
          <w:rtl w:val="true"/>
        </w:rPr>
        <w:footnoteReference w:id="733"/>
      </w:r>
      <w:r>
        <w:rPr>
          <w:rFonts w:ascii="IRNazanin" w:hAnsi="IRNazanin" w:eastAsia="IRNazanin"/>
          <w:color w:val="111111"/>
          <w:sz w:val="28"/>
          <w:sz w:val="28"/>
          <w:szCs w:val="28"/>
          <w:rtl w:val="true"/>
          <w:lang w:bidi="fa-IR"/>
        </w:rPr>
        <w:t>معتقدند عقوبت فاعل تعزیری است که حاکم شرع تشخیص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مراعات این نکته که تعزیر باید کمتر از 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قوم دو جنبه‌ی اثبات و نفی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تعزیر، نفی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هم روایاتی است که در این باب رسیده و دارای مضامین و احکام مختلفی است که باید به بررسی آن‌ها بپردازیم</w:t>
      </w:r>
      <w:r>
        <w:rPr>
          <w:rFonts w:eastAsia="IRNazanin" w:cs="IRNazanin"/>
          <w:color w:val="111111"/>
          <w:sz w:val="28"/>
          <w:szCs w:val="28"/>
          <w:rtl w:val="true"/>
          <w:lang w:bidi="fa-IR"/>
        </w:rPr>
        <w:t>.</w:t>
      </w:r>
    </w:p>
    <w:p>
      <w:pPr>
        <w:pStyle w:val="Heading6"/>
        <w:numPr>
          <w:ilvl w:val="5"/>
          <w:numId w:val="1"/>
        </w:numPr>
        <w:rPr/>
      </w:pPr>
      <w:bookmarkStart w:id="1055" w:name="__RefHeading___Toc162893_3244359995"/>
      <w:bookmarkStart w:id="1056" w:name="_Toc413"/>
      <w:bookmarkEnd w:id="1055"/>
      <w:r>
        <w:rPr>
          <w:rtl w:val="true"/>
        </w:rPr>
        <w:t>طایفه‌ی اوّل</w:t>
      </w:r>
      <w:r>
        <w:rPr>
          <w:rtl w:val="true"/>
        </w:rPr>
        <w:t xml:space="preserve">: </w:t>
      </w:r>
      <w:r>
        <w:rPr>
          <w:rtl w:val="true"/>
        </w:rPr>
        <w:t>روایات تعزیر</w:t>
      </w:r>
      <w:bookmarkEnd w:id="1056"/>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عن محمّد بن سنان، عن حمّاد بن عثمان، وخلف بن حمّاد جمیعاً،</w:t>
      </w:r>
    </w:p>
    <w:p>
      <w:pPr>
        <w:pStyle w:val="BookText"/>
        <w:rPr/>
      </w:pPr>
      <w:r>
        <w:rPr>
          <w:rFonts w:ascii="IRNazanin" w:hAnsi="IRNazanin" w:eastAsia="IRNazanin"/>
          <w:color w:val="111111"/>
          <w:sz w:val="28"/>
          <w:sz w:val="28"/>
          <w:szCs w:val="28"/>
          <w:rtl w:val="true"/>
          <w:lang w:bidi="fa-IR"/>
        </w:rPr>
        <w:t>عن الفضیل بن یسار وربعی بن عبد اللَّه، عن أبی عبد اللَّه علیه السلام فی رجل یقع علی البهیمة،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حدّ ولکن یضرب تعزیراً</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حکم مردی پرسید که با بهیمه‌ای وطی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 ندارد؛ او را تعزیر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وطی بهیمه موضوع احکامی است مثلًا گوشت حیوان حرام می‌شود؛ حرمت به نسلش سرایت می‌کند؛ اگر مال مردم است واطی ضامن است؛ و مانند این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این‌جا به مناسبت کتاب حدود، در عقوبت و کیفر واطی است؛ و به احکام دیگرش کاری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یضرب تعزیراً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مفادش این است که تعزیر باید در ضمن ضرب محقّق گردد؛ ولی در بحث‌های سابق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 اختصاص به ضرب ندارد؛ بلکه به هر چیزی که حاکم شرع مصلحت بداند،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هم در آینده مطرح می‌کنیم که عقوبت واطی را نفی بلد گفته است؛ لذا، با توجّه به مجموع روایات،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 تعزیراً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واطی را تعزیر کنند؛ و نحوه‌ی تعزیر به دست حاکم است، از ضرب، حبس، جریمه‌ی مالی و مانند آن؛ حتّی به صورت مرکّب مثل ضرب و حبس، به هرچه صلاح دید، حکم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روایت نوع غالب تعزیر را که به صورت ضرب تازیانه است مطرح کرده، ولی دلالتی بر تعیّن آن ندارد؛ به خصوص با توجّه به 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حدود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اگر روایت ظهور در تعیّن ضرب هم داشته باشد، به قرینه‌ی روایات دیگر دست از این ظهور برمی‌داریم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عن محمّد بن سنان، عن العلاء بن الفضیل، عن أبی عبد اللَّه علیه السلام فی رجل یقع علی بهیمة،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حدّ ولکن تعزیر</w:t>
      </w:r>
      <w:r>
        <w:rPr>
          <w:rFonts w:eastAsia="IRNazanin" w:cs="IRNazanin"/>
          <w:color w:val="111111"/>
          <w:sz w:val="28"/>
          <w:szCs w:val="28"/>
          <w:rtl w:val="true"/>
          <w:lang w:bidi="fa-IR"/>
        </w:rPr>
        <w:t>.</w:t>
      </w:r>
      <w:r>
        <w:rPr>
          <w:rStyle w:val="FootnoteAnchor"/>
          <w:rtl w:val="true"/>
        </w:rPr>
        <w:footnoteReference w:id="735"/>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واطی یا بهیمه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 بر او نیست؛ لیکن</w:t>
      </w:r>
      <w:bookmarkStart w:id="1057" w:name="pg16923_220544"/>
    </w:p>
    <w:p>
      <w:pPr>
        <w:pStyle w:val="BookText"/>
        <w:rPr/>
      </w:pPr>
      <w:bookmarkEnd w:id="1057"/>
      <w:r>
        <w:rPr>
          <w:rFonts w:ascii="IRNazanin" w:hAnsi="IRNazanin" w:eastAsia="IRNazanin"/>
          <w:color w:val="111111"/>
          <w:sz w:val="28"/>
          <w:sz w:val="28"/>
          <w:szCs w:val="28"/>
          <w:rtl w:val="true"/>
          <w:lang w:bidi="fa-IR"/>
        </w:rPr>
        <w:t>تعزیرش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جعفر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ظریف، عن الحسین بن علوان، عن جعفر، عن أبیه، عن علی علیهم السلام، أنّه سئل عن راکب البهیمة،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رجم علیه ولا حدّ، ولکن یعاقب عقوبة موجعة</w:t>
      </w:r>
      <w:r>
        <w:rPr>
          <w:rFonts w:eastAsia="IRNazanin" w:cs="IRNazanin"/>
          <w:color w:val="111111"/>
          <w:sz w:val="28"/>
          <w:szCs w:val="28"/>
          <w:rtl w:val="true"/>
          <w:lang w:bidi="fa-IR"/>
        </w:rPr>
        <w:t>.</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امیرمؤمنان علیه السلام راجع به عقوبت کسی که با بهیمه‌ای جمع شود،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رجمی در کار نیست؛ لیکن او را کیفری دردناک می‌دهند</w:t>
      </w:r>
      <w:r>
        <w:rPr>
          <w:rFonts w:eastAsia="IRNazanin" w:cs="IRNazanin"/>
          <w:color w:val="111111"/>
          <w:sz w:val="28"/>
          <w:szCs w:val="28"/>
          <w:rtl w:val="true"/>
          <w:lang w:bidi="fa-IR"/>
        </w:rPr>
        <w:t>.</w:t>
      </w:r>
    </w:p>
    <w:p>
      <w:pPr>
        <w:pStyle w:val="Heading6"/>
        <w:numPr>
          <w:ilvl w:val="5"/>
          <w:numId w:val="1"/>
        </w:numPr>
        <w:rPr/>
      </w:pPr>
      <w:bookmarkStart w:id="1058" w:name="__RefHeading___Toc162895_3244359995"/>
      <w:bookmarkStart w:id="1059" w:name="_Toc414"/>
      <w:bookmarkEnd w:id="1058"/>
      <w:r>
        <w:rPr>
          <w:rtl w:val="true"/>
        </w:rPr>
        <w:t>طایفه‌ی دوّم</w:t>
      </w:r>
      <w:r>
        <w:rPr>
          <w:rtl w:val="true"/>
        </w:rPr>
        <w:t xml:space="preserve">: </w:t>
      </w:r>
      <w:r>
        <w:rPr>
          <w:rtl w:val="true"/>
        </w:rPr>
        <w:t>دون الحدّ</w:t>
      </w:r>
      <w:bookmarkEnd w:id="10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یأتی بهیمة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شاة أو ناقة، أو بقرة،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أن یجلد حدّاً غیر الحدّ، ثمّ ینفی من بلاده إلی غیرها، وذکروا أنّ لحم تلک البهیمة محرّم ولبنها</w:t>
      </w:r>
      <w:r>
        <w:rPr>
          <w:rFonts w:eastAsia="IRNazanin" w:cs="IRNazanin"/>
          <w:color w:val="111111"/>
          <w:sz w:val="28"/>
          <w:szCs w:val="28"/>
          <w:rtl w:val="true"/>
          <w:lang w:bidi="fa-IR"/>
        </w:rPr>
        <w:t>.</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در این موثّقه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گوسفند، یا ناقه و یا گاوی جمع می‌شود، حکمش چیست؟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تازیانه می‌زنند؛ البتّه به مقدار حدّ نرسد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یجلد حدّاً غیر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تازیانه می‌زنند به اندازه‌ای که به حدّ نرسد؛ سپس از وطنش او را تبعید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امام علیه السلام قرینه‌ای بر عدم تعیّن ضرب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جمع هر دو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و شیر این بهیمه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وبإسناده عن أحمد بن محمّد بن عیسی، عن ابن محبوب، عن إسحاق، عن حریز، عن سدیر، عن أبی جعفر علیه السلام فی الرجل یأتی البهیمة</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 دون الحدّ ویغرم قیمة البهیمة لصاحبها لأنّه أفسدها علیه وتذبح وتحرق إن کانت ممّا یؤکل لحمه، وإن کانت ممّا یرکب ظهره غرم قیمتها</w:t>
      </w:r>
      <w:bookmarkStart w:id="1060" w:name="pg16923_220545"/>
    </w:p>
    <w:p>
      <w:pPr>
        <w:pStyle w:val="BookText"/>
        <w:rPr/>
      </w:pPr>
      <w:bookmarkEnd w:id="1060"/>
      <w:r>
        <w:rPr>
          <w:rFonts w:ascii="IRNazanin" w:hAnsi="IRNazanin" w:eastAsia="IRNazanin"/>
          <w:color w:val="111111"/>
          <w:sz w:val="28"/>
          <w:sz w:val="28"/>
          <w:szCs w:val="28"/>
          <w:rtl w:val="true"/>
          <w:lang w:bidi="fa-IR"/>
        </w:rPr>
        <w:t>وجلد دون الحدّ وأخرجها من المدینة الّتی فعل بها فیها إلی بلاد اخری حیث لا تعرف فیبیعها فیها کیلًا یعیر بها صاحبها</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موثّقه، سدیر از امام باقر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مردی که با حیوانی جمع شود، چیست؟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کمتر از حدّ تازیانه می‌زنند؛ سپس از وطنش او را تبعید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قیمت حیوان را به عنوان غرامت به صاحبش بپردازد؛ زیرا، آن را بر صاحبش فاسد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 مأکول اللحم است آن را کشته و می‌سوزانند؛ و اگر حیوانی است که در سواری و حمل و نقل از آن استفاده می‌شود، پس از پرداخت قیمت و تازیانه خوردن، حیوان را از آن شهر به جایی که او را نشناسند می‌برد و می‌فروشد تا صاحبش مورد ملامت و سرزنش واقع نشود</w:t>
      </w:r>
      <w:r>
        <w:rPr>
          <w:rFonts w:eastAsia="IRNazanin" w:cs="IRNazanin"/>
          <w:color w:val="111111"/>
          <w:sz w:val="28"/>
          <w:szCs w:val="28"/>
          <w:rtl w:val="true"/>
          <w:lang w:bidi="fa-IR"/>
        </w:rPr>
        <w:t>.</w:t>
      </w:r>
    </w:p>
    <w:p>
      <w:pPr>
        <w:pStyle w:val="Heading6"/>
        <w:numPr>
          <w:ilvl w:val="5"/>
          <w:numId w:val="1"/>
        </w:numPr>
        <w:rPr/>
      </w:pPr>
      <w:bookmarkStart w:id="1061" w:name="__RefHeading___Toc162897_3244359995"/>
      <w:bookmarkStart w:id="1062" w:name="_Toc415"/>
      <w:bookmarkEnd w:id="1061"/>
      <w:r>
        <w:rPr>
          <w:rtl w:val="true"/>
        </w:rPr>
        <w:t>طایفه‌ی سوّم</w:t>
      </w:r>
      <w:r>
        <w:rPr>
          <w:rtl w:val="true"/>
        </w:rPr>
        <w:t xml:space="preserve">: </w:t>
      </w:r>
      <w:r>
        <w:rPr>
          <w:rtl w:val="true"/>
        </w:rPr>
        <w:t>ربع حدّ زانی</w:t>
      </w:r>
      <w:bookmarkEnd w:id="1062"/>
    </w:p>
    <w:p>
      <w:pPr>
        <w:pStyle w:val="BookText"/>
        <w:rPr/>
      </w:pPr>
      <w:r>
        <w:rPr>
          <w:rFonts w:ascii="IRNazanin" w:hAnsi="IRNazanin" w:eastAsia="IRNazanin"/>
          <w:color w:val="111111"/>
          <w:sz w:val="28"/>
          <w:sz w:val="28"/>
          <w:szCs w:val="28"/>
          <w:rtl w:val="true"/>
          <w:lang w:bidi="fa-IR"/>
        </w:rPr>
        <w:t>محمّد بن الحسن بإسناده عن یونس بن عبد الرحمن، عن عبد اللَّه بن سنان، عن أبی عبد اللَّه علیه السلام وعن الحسین بن خالد، عن أبی الحسن الرّضا علیه السلام وعن صباح الحذّاء، عن إسحاق بن عمّار، عن أبی إبراهیم موسی علیه السلام فی الرّجل یأتی البهیمة، فقالوا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البهیمة للفاعل ذبحت فإذا ماتت احرقت بالنّار ولم ینتفع بها وضرب هو خمسة وعشرین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سوطاً ربع حدّ الزانی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لم تکن البهیمة له قوّمت واخذ ثمنها ودفع إلی صاحبها وذبحت واحرقت بالنّار ولم ینتفع بها وضرب خمسة وعشرین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سوطاً</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ذنب البهیمة؟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ذنب لها ولکن رسول اللَّه صلی الله علیه و آله فعل هذا وأمر به لکیلا یجتری النّاس بالبهائم وینقطع النّسل</w:t>
      </w:r>
      <w:r>
        <w:rPr>
          <w:rFonts w:eastAsia="IRNazanin" w:cs="IRNazanin"/>
          <w:color w:val="111111"/>
          <w:sz w:val="28"/>
          <w:szCs w:val="28"/>
          <w:rtl w:val="true"/>
          <w:lang w:bidi="fa-IR"/>
        </w:rPr>
        <w:t>.</w:t>
      </w:r>
      <w:r>
        <w:rPr>
          <w:rStyle w:val="FootnoteAnchor"/>
          <w:rtl w:val="true"/>
        </w:rPr>
        <w:footnoteReference w:id="739"/>
      </w:r>
      <w:bookmarkStart w:id="1063" w:name="pg16923_220546"/>
    </w:p>
    <w:p>
      <w:pPr>
        <w:pStyle w:val="BookText"/>
        <w:rPr/>
      </w:pPr>
      <w:bookmarkEnd w:id="1063"/>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مشتمل بر سه 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از امام صادق علیه السلام، حسین بن خالد از امام رضا علیه السلام و اسحاق بن عمّار از امام هفتم علیه السلام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سه امام بزرگوار در مورد مردی که با حیوانی وطی 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متعلّق به فاعل است، آن را می‌کشد و می‌سوزاند؛ و هیچ انتفاعی از آن نمی‌برد؛ و بیست و پنج ضربه‌ی شلّاق، ربع حدّ زانی به او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حیوان متعلّق به دیگران است، باید قیمتش را به صاحبش بپردازد؛ سپس آن را ذبح کرده، بسوزاند و از آن استفاده نکند؛ و بیست و پنج ضربه‌ی تازیانه به او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حیوان چیست؟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ندارد؛ لیکن رسول خدا صلی الله علیه و آله این کار را کرد و به آن فرمان داد تا مردم با حیوانات جمع نشوند و نسل بنی‌آدم منقطع گردد</w:t>
      </w:r>
      <w:r>
        <w:rPr>
          <w:rFonts w:eastAsia="IRNazanin" w:cs="IRNazanin"/>
          <w:color w:val="111111"/>
          <w:sz w:val="28"/>
          <w:szCs w:val="28"/>
          <w:rtl w:val="true"/>
          <w:lang w:bidi="fa-IR"/>
        </w:rPr>
        <w:t>.</w:t>
      </w:r>
    </w:p>
    <w:p>
      <w:pPr>
        <w:pStyle w:val="Heading6"/>
        <w:numPr>
          <w:ilvl w:val="5"/>
          <w:numId w:val="1"/>
        </w:numPr>
        <w:rPr/>
      </w:pPr>
      <w:bookmarkStart w:id="1064" w:name="__RefHeading___Toc162899_3244359995"/>
      <w:bookmarkStart w:id="1065" w:name="_Toc416"/>
      <w:bookmarkEnd w:id="1064"/>
      <w:r>
        <w:rPr>
          <w:rtl w:val="true"/>
        </w:rPr>
        <w:t>طایفه‌ی چهارم</w:t>
      </w:r>
      <w:r>
        <w:rPr>
          <w:rtl w:val="true"/>
        </w:rPr>
        <w:t xml:space="preserve">: </w:t>
      </w:r>
      <w:r>
        <w:rPr>
          <w:rtl w:val="true"/>
        </w:rPr>
        <w:t>حدّ</w:t>
      </w:r>
      <w:bookmarkEnd w:id="10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عن یونس، عن ابن مسکان، عن أبی بصیر، عن أبی عبد اللَّه علیه السلام فی رجل أتی بهیمة فأولج،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الحدّ</w:t>
      </w:r>
      <w:r>
        <w:rPr>
          <w:rFonts w:eastAsia="IRNazanin" w:cs="IRNazanin"/>
          <w:color w:val="111111"/>
          <w:sz w:val="28"/>
          <w:szCs w:val="28"/>
          <w:rtl w:val="true"/>
          <w:lang w:bidi="fa-IR"/>
        </w:rPr>
        <w:t>.</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صحیحه، امام صادق علیه السلام در موردی که فردی با بهیمه‌ای جمع شود و ایلاج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حدّ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گذشته همراه با اتیان بهیمه، ایلاج مطرح نشده بود؛ آیا دو نوع اتیان داریم با ایلاج و بدون آن یا اتیان بدون ایلاج محقّق نمی‌شود؟</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رحمه الله در مقام جمع بین روایات، احادیث گذشته را بر اتیان بدون ایلاج حمل کرده است؛ و این روایت را بر اتیان با ایلاج، این جمع عرفی نیست؛</w:t>
      </w:r>
      <w:r>
        <w:rPr>
          <w:rStyle w:val="FootnoteAnchor"/>
          <w:rtl w:val="true"/>
        </w:rPr>
        <w:footnoteReference w:id="741"/>
      </w:r>
      <w:r>
        <w:rPr>
          <w:rFonts w:ascii="IRNazanin" w:hAnsi="IRNazanin" w:eastAsia="IRNazanin"/>
          <w:color w:val="111111"/>
          <w:sz w:val="28"/>
          <w:sz w:val="28"/>
          <w:szCs w:val="28"/>
          <w:rtl w:val="true"/>
          <w:lang w:bidi="fa-IR"/>
        </w:rPr>
        <w:t>از نظر عرف و عقلا،</w:t>
      </w:r>
    </w:p>
    <w:p>
      <w:pPr>
        <w:pStyle w:val="BookText"/>
        <w:rPr/>
      </w:pPr>
      <w:r>
        <w:rPr>
          <w:rFonts w:ascii="IRNazanin" w:hAnsi="IRNazanin" w:eastAsia="IRNazanin"/>
          <w:color w:val="111111"/>
          <w:sz w:val="28"/>
          <w:sz w:val="28"/>
          <w:szCs w:val="28"/>
          <w:rtl w:val="true"/>
          <w:lang w:bidi="fa-IR"/>
        </w:rPr>
        <w:t>اتیان بهیمه همیشه همراه با ایلاج است؛ اگر ایلاجی نباشد، اتیان صدق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اتیان بهیمه تعبیری کنایه‌ای از تحقّق وطی و ایلاج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دلالت روایت ابهامی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جا که اتیان بهیمه مشابه با زنا است، پس حدّش نیز حدّ زناست؛ و به عبارت دیگر، حدّ به حدّ زنا انصراف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الکلینی رحمه الله عن عدّة من أصحابنا، عن سهل بن زیاد، عن محمّد بن عیسی، عن یونس مثله إلّاأنّه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الزانی</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سند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روایت گذشته است؛ لیکن کلینی رحمه الله از عدّه‌ای از اصحاب از سهل بن زیاد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این‌گونه موارد 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واحد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نمی‌توان حکم به ارسال روایت داد؛ به خلاف موردی که بگویند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اشکالی در روایت نیست؛ بلکه به خاطر وجود سهل بن زیاد در سند، نمی‌توانیم به صحّت روایت حکم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امام علیه السلام به نوع حدّ تصریح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وبإسناده عن محمّد بن علیّ بن محبوب، عن الحسن بن علیّ الکوفی، عن الحسین بن سیف، عن أخیه، عن أبیه، عن زید بن أبی اسامة، عن أبی فروة،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یأتی بالفاحشة والّذی یأتی البهیمة حدّه حدّ الزّانی</w:t>
      </w:r>
      <w:r>
        <w:rPr>
          <w:rFonts w:eastAsia="IRNazanin" w:cs="IRNazanin"/>
          <w:color w:val="111111"/>
          <w:sz w:val="28"/>
          <w:szCs w:val="28"/>
          <w:rtl w:val="true"/>
          <w:lang w:bidi="fa-IR"/>
        </w:rPr>
        <w:t>.</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کسی که مرتکب فحشا و اتیان بهیمه گردد، حدّ زانی است</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یأتی البهیمة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یأتی بالفاحشة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اگر عطف بر جمله‌ی اوّل بود،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حدّهما حدّ الزانی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علیه السلام با جمله‌ی دوّم، فاحشه را معنا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معنای ظاهری جمله‌ی اوّل را بگیریم،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یأتی</w:t>
      </w:r>
      <w:bookmarkStart w:id="1066" w:name="pg16923_220548"/>
    </w:p>
    <w:p>
      <w:pPr>
        <w:pStyle w:val="BookText"/>
        <w:rPr/>
      </w:pPr>
      <w:bookmarkEnd w:id="1066"/>
      <w:r>
        <w:rPr>
          <w:rFonts w:ascii="IRNazanin" w:hAnsi="IRNazanin" w:eastAsia="IRNazanin"/>
          <w:color w:val="111111"/>
          <w:sz w:val="28"/>
          <w:sz w:val="28"/>
          <w:szCs w:val="28"/>
          <w:rtl w:val="true"/>
          <w:lang w:bidi="fa-IR"/>
        </w:rPr>
        <w:t>بالفاحشة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زنا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معنای جالبی نخواهد داشت؛ زیرا،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کسی که زنا می‌کند، حدّ زانی است</w:t>
      </w:r>
      <w:r>
        <w:rPr>
          <w:rFonts w:eastAsia="IRNazanin" w:cs="IRNazanin"/>
          <w:color w:val="111111"/>
          <w:sz w:val="28"/>
          <w:szCs w:val="28"/>
          <w:rtl w:val="true"/>
          <w:lang w:bidi="fa-IR"/>
        </w:rPr>
        <w:t>.</w:t>
      </w:r>
    </w:p>
    <w:p>
      <w:pPr>
        <w:pStyle w:val="Heading6"/>
        <w:numPr>
          <w:ilvl w:val="5"/>
          <w:numId w:val="1"/>
        </w:numPr>
        <w:rPr/>
      </w:pPr>
      <w:bookmarkStart w:id="1067" w:name="__RefHeading___Toc162901_3244359995"/>
      <w:bookmarkStart w:id="1068" w:name="_Toc417"/>
      <w:bookmarkEnd w:id="1067"/>
      <w:r>
        <w:rPr>
          <w:rtl w:val="true"/>
        </w:rPr>
        <w:t>طایفه‌ی پنجم</w:t>
      </w:r>
      <w:r>
        <w:rPr>
          <w:rtl w:val="true"/>
        </w:rPr>
        <w:t xml:space="preserve">: </w:t>
      </w:r>
      <w:r>
        <w:rPr>
          <w:rtl w:val="true"/>
        </w:rPr>
        <w:t>قتل</w:t>
      </w:r>
      <w:bookmarkEnd w:id="10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وبإسناده عن الحسین بن سعید، عن ابن أبی عمیر، عن جمیل بن درّاج، عن أبی عبد اللَّه علیه السلام فی رجل أتی بهیمة،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صحیحه،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با بهیمه‌ای جمع شود، حدّش قتل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مؤیّدی است بر این که مراد از اتیان، همان ایلاج است؛ وگرنه اگر اتیان همراه با ایلاج نباشد، جای توهّم قتل نیست تا چه رسد به اجرای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وسائل رحمه الله روایت را بر ضرب شدید حمل می‌کند؛ لیکن این حمل برخلاف ظاهر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عن القاسم، عن عبد الصّمد بن بشیر، عن سلیمان بن هلال،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 بعض أصحابنا أبا عبد اللَّه علیه السلام عن الرّجل یأتی البهیمة،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یقام قائماً ثمّ یضرب ضربة بالسیف أخذ السیف منه ما 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القتل؟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ذاک</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حیوانی جمع شد؛ حکمش چیست؟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ایستاده نگه می‌دارند، سپس ضربتی با شمشیر بر او می‌زنند تا هرچه می‌خواهد از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متوجّه تعبیر کنایی امام علیه السلام نشد؛ از این‌رو،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او را می‌کشند؟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bookmarkStart w:id="1069" w:name="pg16923_220549"/>
    </w:p>
    <w:p>
      <w:pPr>
        <w:pStyle w:val="Heading5"/>
        <w:numPr>
          <w:ilvl w:val="4"/>
          <w:numId w:val="1"/>
        </w:numPr>
        <w:rPr/>
      </w:pPr>
      <w:bookmarkStart w:id="1070" w:name="__RefHeading___Toc162903_3244359995"/>
      <w:bookmarkStart w:id="1071" w:name="_Toc418"/>
      <w:bookmarkEnd w:id="1069"/>
      <w:bookmarkEnd w:id="1070"/>
      <w:r>
        <w:rPr>
          <w:rtl w:val="true"/>
        </w:rPr>
        <w:t>کیفیّت جمع بین این روایات</w:t>
      </w:r>
      <w:bookmarkEnd w:id="10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که از شیخ طوسی رحمه الله گذشت، روایات حدّ را بر صورت ایلاج و روایات دیگر را بر صورت غیر ایلاج حمل کرده و متعرّض روایات قتل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قتل را بر صورت تکرار و پس از دو یا سه‌بار تعزیر یا حدّ خوردن حمل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قتل را بر تقیّه حمل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وجوه گذشته نداریم؛ چند طایفه از این روایات با هم متعارض‌اند؛ پس باید به مرجّحات باب تعارض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مرجّح، شهرت فتوایی است که با روایات تعزیر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بدون این که مرتکب جمع دلالی بشویم، روایات تعزیر را بر روایات دیگر مقدّم می‌کنیم؛ اصلًا جای جمع دلالی شیخ رحمه الله نیست، به بیانی که گذشت؛ زیرا، در روایت قتل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أتی بهیمة، قال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حدیث را بر اتیان بدون ایلاج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حمل روایات قتل بر مرتبه‌ی سوّم و چهارم شاهد می‌خواهد، دلیلش چیست؟</w:t>
      </w:r>
    </w:p>
    <w:p>
      <w:pPr>
        <w:pStyle w:val="BookText"/>
        <w:rPr/>
      </w:pPr>
      <w:r>
        <w:rPr>
          <w:rFonts w:ascii="IRNazanin" w:hAnsi="IRNazanin" w:eastAsia="IRNazanin"/>
          <w:color w:val="111111"/>
          <w:sz w:val="28"/>
          <w:sz w:val="28"/>
          <w:szCs w:val="28"/>
          <w:rtl w:val="true"/>
          <w:lang w:bidi="fa-IR"/>
        </w:rPr>
        <w:t>امّا روایات تعزیر با روایات مادون حدّ تعارضی ندارد؛ صاحب جواهر رحمه الله روایات بیست و پنج تازیانه را بر مصداقی از مصادیق تعزیر حمل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سه دسته از روایات با هم تعارض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تعزیر، روایات حدّ زانی، روایات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دسته‌ی اخیر را به سبب اعراض مشهور کنار می‌گذاریم و مسأله تمام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بعضی از بزرگان</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بزرگان برای شهرت فتوایی هیچ ارزشی قائل نیست و عمل مشهور به خبر ضعیف را جابر ضعف سند نمی‌داند؛ و در مقام معارضه، شهرت فتوایی را به عنوان مرجّح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چنین مبنایی، روایات تعزیر را مقدّم داشته است؛ در حالی که راوی دو روایت از سه حدیث تعزیر، محمّد بن سنان است</w:t>
      </w:r>
      <w:r>
        <w:rPr>
          <w:rStyle w:val="FootnoteAnchor"/>
          <w:rtl w:val="true"/>
        </w:rPr>
        <w:footnoteReference w:id="746"/>
      </w:r>
      <w:r>
        <w:rPr>
          <w:rFonts w:ascii="IRNazanin" w:hAnsi="IRNazanin" w:eastAsia="IRNazanin"/>
          <w:color w:val="111111"/>
          <w:sz w:val="28"/>
          <w:sz w:val="28"/>
          <w:szCs w:val="28"/>
          <w:rtl w:val="true"/>
          <w:lang w:bidi="fa-IR"/>
        </w:rPr>
        <w:t>که ایشان او را تضعیف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روایاتش فاقد حجّیت و اعتبار است؛ و از سوی دیگر، جمع دلالی بین روایات را نیز</w:t>
      </w:r>
    </w:p>
    <w:p>
      <w:pPr>
        <w:pStyle w:val="BookText"/>
        <w:rPr/>
      </w:pPr>
      <w:r>
        <w:rPr>
          <w:rFonts w:ascii="IRNazanin" w:hAnsi="IRNazanin" w:eastAsia="IRNazanin"/>
          <w:color w:val="111111"/>
          <w:sz w:val="28"/>
          <w:sz w:val="28"/>
          <w:szCs w:val="28"/>
          <w:rtl w:val="true"/>
          <w:lang w:bidi="fa-IR"/>
        </w:rPr>
        <w:t>نمی‌پذیرند</w:t>
      </w:r>
      <w:r>
        <w:rPr>
          <w:rFonts w:eastAsia="IRNazanin" w:cs="IRNazanin"/>
          <w:color w:val="111111"/>
          <w:sz w:val="28"/>
          <w:szCs w:val="28"/>
          <w:rtl w:val="true"/>
          <w:lang w:bidi="fa-IR"/>
        </w:rPr>
        <w:t>.</w:t>
      </w:r>
      <w:r>
        <w:rPr>
          <w:rStyle w:val="FootnoteAnchor"/>
          <w:rtl w:val="true"/>
        </w:rPr>
        <w:footnoteReference w:id="747"/>
      </w:r>
      <w:r>
        <w:rPr>
          <w:rFonts w:ascii="IRNazanin" w:hAnsi="IRNazanin" w:eastAsia="IRNazanin"/>
          <w:color w:val="111111"/>
          <w:sz w:val="28"/>
          <w:sz w:val="28"/>
          <w:szCs w:val="28"/>
          <w:rtl w:val="true"/>
          <w:lang w:bidi="fa-IR"/>
        </w:rPr>
        <w:t>با وجود چنین مبانی، شگفت‌آور است که ایشان فتوا به تعزیر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روایت قرب الإسناد را معتبر می‌داند؛ و از این جهت، قائل به تعزیر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مقابل این روایت، روایت صحیحه‌ی جمیل بر قتل و صحیحه‌ی ابی بصیر بر حدّ زنا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روایت قرب الاسناد را که در سند و ارزش کتاب بحث است، بر روایات صحاح مقدّم کرد؟ در حالی که روایات دیگر در کتب اربعه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بین این روایات تعارض برقرار کنیم و حکم به سقوط آن‌ها کرده، و در نتیجه، به عموم فوق مراجعه کنیم؛ یعنی به روایاتی که بر تعزیر در هر گناه کبیره و صغیره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با توجّه به مبانی ایشان، این وجه تقدیم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بر مبنای ما، مطلب تمام است؛ و نتیجه، همان فتوای مشهور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نمی‌کند بهیمه از حیواناتی باشد که گوشتش مطلوب است یا برای سواری و بارکشی از آن‌ها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نقطه‌ی فرق، در احکام دیگر متعلّق به بهیمه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که گوشتش مطلوب است، باید کشته شود و آن را سوزاند؛ ولی اسب و الاغ را به شهر دوردست برده، می‌فروشند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اجرای تعزیر نسبت به فاعل باید شرایطی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و عقل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کودکی نابالغ مرتکب این عمل شد، او را تأدیب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تأدیب، تعداد تازیانه‌ها باید کمتر از ده ضربه باشد؛ بعضی پنج تا شش تازیانه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بالغ و نابالغ در حرمت و عدم حرمت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نابالغ تکلیف ندارد؛ لیکن از جهت حرمت خوردن گوشت و شیر فرقی بین فاعل بالغ و نابالغ نیست؛ ولیّ کودک از مال او قیمت حیوان را به صاحبش می‌پردازد؛ زیرا، با عمل کودک، حیوان حرام گوشت شده و از قابلیّت استفاده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کودک را بر چنین عمل ناشایستی تنبیه کنند؛ همان‌گونه که در باب زنا و لواط نیز کودک نابالغ را تأدیب می‌کردیم</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صبیّ، کودکی است که به حدّی از تمیز رسیده به‌گونه‌ای که تأدیب در او اثر</w:t>
      </w:r>
    </w:p>
    <w:p>
      <w:pPr>
        <w:pStyle w:val="BookText"/>
        <w:rPr/>
      </w:pPr>
      <w:r>
        <w:rPr>
          <w:rFonts w:ascii="IRNazanin" w:hAnsi="IRNazanin" w:eastAsia="IRNazanin"/>
          <w:color w:val="111111"/>
          <w:sz w:val="28"/>
          <w:sz w:val="28"/>
          <w:szCs w:val="28"/>
          <w:rtl w:val="true"/>
          <w:lang w:bidi="fa-IR"/>
        </w:rPr>
        <w:t>بگذارد؛ وگرنه اگر به این حدّ از شعور نرسیده باشد، تأدیب لغو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 چنین حیوانی فقط حرمت شرب مطرح است، نه این که نجس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مجنون نیز همین تفصیل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 وطی بهیمه اکراه شده باشد، او نیز تعزیر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وطی به شبهه دو نوع تصوّر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از حکم وطی بهیمه اطّلاع ندارد؛ خیال می‌کند حرمتی برای آن جعل نشده است؛ احتمال حرمت هم نمی‌دهد تا برود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چنین فاعلی تعزیر نیست</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شبهه‌ی موضوعی نیز داشته باشد، مانند این که خیال می‌کند آن حیوان انسانی است که وطی او برای این فرد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نیز تعزیری در کار نیست؛ زیرا، حدّ و تعزیر مخصوص فعلی است که فاعلش با قصد و توجّه مرتکب آن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باب زنا، موارد وطی به شبهه را ملحق به وطی حلال می‌دانند و آثار وطی حلال بر آن می‌کند؛ و فرزندی که از آن وطی به وجود آید، حلال‌زاده می‌دانند</w:t>
      </w:r>
      <w:r>
        <w:rPr>
          <w:rFonts w:eastAsia="IRNazanin" w:cs="IRNazanin"/>
          <w:color w:val="111111"/>
          <w:sz w:val="28"/>
          <w:szCs w:val="28"/>
          <w:rtl w:val="true"/>
          <w:lang w:bidi="fa-IR"/>
        </w:rPr>
        <w:t>.</w:t>
      </w:r>
      <w:bookmarkStart w:id="1072" w:name="pg16923_220552"/>
    </w:p>
    <w:p>
      <w:pPr>
        <w:pStyle w:val="BookText"/>
        <w:rPr/>
      </w:pPr>
      <w:bookmarkEnd w:id="10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 اثبات وطء البهیمة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ذلک بشهادة عدلین، ولا یثبت بشهادة النساء لا منفردات ولا منضمّات، وبالإقرار إن کانت البهیمة له، وإلّا یثبت التعزیر بإقرار، ولا یجری علی البهیمة سائر الأحکام إلّا أن یصدّقه المالک</w:t>
      </w:r>
      <w:r>
        <w:rPr>
          <w:rFonts w:eastAsia="IRNazanin" w:cs="IRNazanin"/>
          <w:color w:val="111111"/>
          <w:sz w:val="28"/>
          <w:szCs w:val="28"/>
          <w:rtl w:val="true"/>
          <w:lang w:bidi="fa-IR"/>
        </w:rPr>
        <w:t>.]</w:t>
      </w:r>
    </w:p>
    <w:p>
      <w:pPr>
        <w:pStyle w:val="Heading4"/>
        <w:numPr>
          <w:ilvl w:val="3"/>
          <w:numId w:val="1"/>
        </w:numPr>
        <w:rPr/>
      </w:pPr>
      <w:bookmarkStart w:id="1073" w:name="__RefHeading___Toc162905_3244359995"/>
      <w:bookmarkStart w:id="1074" w:name="_Toc419"/>
      <w:bookmarkEnd w:id="1073"/>
      <w:r>
        <w:rPr>
          <w:rtl w:val="true"/>
        </w:rPr>
        <w:t>راه اثبات وطی بهیمه</w:t>
      </w:r>
      <w:bookmarkEnd w:id="1074"/>
    </w:p>
    <w:p>
      <w:pPr>
        <w:pStyle w:val="Heading5"/>
        <w:numPr>
          <w:ilvl w:val="4"/>
          <w:numId w:val="1"/>
        </w:numPr>
        <w:rPr/>
      </w:pPr>
      <w:bookmarkStart w:id="1075" w:name="__RefHeading___Toc162907_3244359995"/>
      <w:bookmarkStart w:id="1076" w:name="_Toc420"/>
      <w:bookmarkEnd w:id="1075"/>
      <w:r>
        <w:rPr>
          <w:rtl w:val="true"/>
        </w:rPr>
        <w:t>اشاره</w:t>
      </w:r>
      <w:bookmarkEnd w:id="1076"/>
    </w:p>
    <w:p>
      <w:pPr>
        <w:pStyle w:val="BookText"/>
        <w:rPr/>
      </w:pPr>
      <w:r>
        <w:rPr>
          <w:rFonts w:ascii="IRNazanin" w:hAnsi="IRNazanin" w:eastAsia="IRNazanin"/>
          <w:color w:val="111111"/>
          <w:sz w:val="28"/>
          <w:sz w:val="28"/>
          <w:szCs w:val="28"/>
          <w:rtl w:val="true"/>
          <w:lang w:bidi="fa-IR"/>
        </w:rPr>
        <w:t>راه ثبوت وطی حیوان نزد حاکم، شهادت دو عادل است؛ ولی این عمل با شهادت زنان به تنهایی یا با انضمام به شهادت مردان ثابت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دیگر، اقرار فاعل است؛ در صورتی که حیوان در ملکش باشد؛ وگرنه با اقرارش تعزیر ثابت می‌شود؛ ولی احکام دیگر بر حیوان جاری نمی‌گردد؛ مگر آن که مالکش فاعل را تصدیق کند</w:t>
      </w:r>
      <w:r>
        <w:rPr>
          <w:rFonts w:eastAsia="IRNazanin" w:cs="IRNazanin"/>
          <w:color w:val="111111"/>
          <w:sz w:val="28"/>
          <w:szCs w:val="28"/>
          <w:rtl w:val="true"/>
          <w:lang w:bidi="fa-IR"/>
        </w:rPr>
        <w:t>.</w:t>
      </w:r>
    </w:p>
    <w:p>
      <w:pPr>
        <w:pStyle w:val="Heading5"/>
        <w:numPr>
          <w:ilvl w:val="4"/>
          <w:numId w:val="1"/>
        </w:numPr>
        <w:rPr/>
      </w:pPr>
      <w:bookmarkStart w:id="1077" w:name="__RefHeading___Toc162909_3244359995"/>
      <w:bookmarkStart w:id="1078" w:name="_Toc421"/>
      <w:bookmarkEnd w:id="1077"/>
      <w:r>
        <w:rPr>
          <w:rtl w:val="true"/>
        </w:rPr>
        <w:t>بیّنه</w:t>
      </w:r>
      <w:bookmarkEnd w:id="1078"/>
    </w:p>
    <w:p>
      <w:pPr>
        <w:pStyle w:val="BookText"/>
        <w:rPr/>
      </w:pPr>
      <w:r>
        <w:rPr>
          <w:rFonts w:ascii="IRNazanin" w:hAnsi="IRNazanin" w:eastAsia="IRNazanin"/>
          <w:color w:val="111111"/>
          <w:sz w:val="28"/>
          <w:sz w:val="28"/>
          <w:szCs w:val="28"/>
          <w:rtl w:val="true"/>
          <w:lang w:bidi="fa-IR"/>
        </w:rPr>
        <w:t>به مقتضای عموم دلیل حجّیت بیّنه، اگر دو شاهد عادل بر وطی با بهیمه شهادت دادند، آن عمل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عموم در همه جا حجّت است، مگر در موردی که دلیل بر خلافش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فاضل هندی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 شیخ رحمه الله در مبسوط</w:t>
      </w:r>
      <w:r>
        <w:rPr>
          <w:rStyle w:val="FootnoteAnchor"/>
          <w:rtl w:val="true"/>
        </w:rPr>
        <w:footnoteReference w:id="748"/>
      </w:r>
      <w:r>
        <w:rPr>
          <w:rFonts w:ascii="IRNazanin" w:hAnsi="IRNazanin" w:eastAsia="IRNazanin"/>
          <w:color w:val="111111"/>
          <w:sz w:val="28"/>
          <w:sz w:val="28"/>
          <w:szCs w:val="28"/>
          <w:rtl w:val="true"/>
          <w:lang w:bidi="fa-IR"/>
        </w:rPr>
        <w:t>استفاده می‌شود در این مقام به چهار شاهد عادل، یا سه مرد و دو زن نیاز داریم؛ و با شهادت عدلین ثابت نمی‌گردد</w:t>
      </w:r>
      <w:r>
        <w:rPr>
          <w:rFonts w:eastAsia="IRNazanin" w:cs="IRNazanin"/>
          <w:color w:val="111111"/>
          <w:sz w:val="28"/>
          <w:szCs w:val="28"/>
          <w:rtl w:val="true"/>
          <w:lang w:bidi="fa-IR"/>
        </w:rPr>
        <w:t>.</w:t>
      </w:r>
      <w:r>
        <w:rPr>
          <w:rStyle w:val="FootnoteAnchor"/>
          <w:rtl w:val="true"/>
        </w:rPr>
        <w:footnoteReference w:id="749"/>
      </w:r>
      <w:r>
        <w:rPr>
          <w:rFonts w:ascii="IRNazanin" w:hAnsi="IRNazanin" w:eastAsia="IRNazanin"/>
          <w:color w:val="111111"/>
          <w:sz w:val="28"/>
          <w:sz w:val="28"/>
          <w:szCs w:val="28"/>
          <w:rtl w:val="true"/>
          <w:lang w:bidi="fa-IR"/>
        </w:rPr>
        <w:t>دو احتمال در دلیل این مطلب ارائه داده‌اند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مبنای قیاس این فتوا را داده است؛ زیرا، در باب زنا به چهار شاهد نیاز داریم؛ وطی با بهیمه نیز با زنا مشابهت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چهار شاهد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مبنا، قیاس است و امامیّه به حجّیت آن اعتقاد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ریاض رحمه الله احتمال داده است که این فتوا مبتنی بر استقرا است نه قیاس؛ یعنی شیخ طوسی رحمه الله موارد مشابه آن را استقرا کرده و دیده است که در آن موارد به چهار شاهد نیاز است؛ در این مورد نیز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القاعده باید چهار شاهد شهادت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یک حکم کلّی به دست آورده که هرجا وطی محرّمی محقّق گردد، همین حکم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ریاض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استقرا مفید ظنّ قابل توجهی باشد، باید آن را پذیرفت؛ بلکه اگر مفید ظنّ هم نباشد، باز حرف شیخ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 شهادت دو مرد عادل نمی‌دانیم آیا تعزیر ثابت می‌شود یا نه،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 تدرأ بالشبهات</w:t>
      </w:r>
      <w:r>
        <w:rPr>
          <w:rFonts w:eastAsia="IRNazanin" w:cs="IRNazanin"/>
          <w:color w:val="111111"/>
          <w:sz w:val="28"/>
          <w:szCs w:val="28"/>
          <w:rtl w:val="true"/>
          <w:lang w:bidi="fa-IR"/>
        </w:rPr>
        <w:t>»</w:t>
      </w:r>
      <w:r>
        <w:rPr>
          <w:rStyle w:val="FootnoteAnchor"/>
          <w:rtl w:val="true"/>
        </w:rPr>
        <w:footnoteReference w:id="750"/>
      </w:r>
      <w:r>
        <w:rPr>
          <w:rFonts w:ascii="IRNazanin" w:hAnsi="IRNazanin" w:eastAsia="IRNazanin"/>
          <w:color w:val="111111"/>
          <w:sz w:val="28"/>
          <w:sz w:val="28"/>
          <w:szCs w:val="28"/>
          <w:rtl w:val="true"/>
          <w:lang w:bidi="fa-IR"/>
        </w:rPr>
        <w:t>تعزیر را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در این قاعده اصطلاح خاص در مقابل تعزیر نیست؛ بلکه اعمّ از حدّ اصطلاحی و تعزیر است</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 xml:space="preserve">این مطلب تمام نیست؛ زیرا، با وجود عموم دلیل حجّیت بیّنه، شبهه‌ای مطرح نیست؛ اگر زنا و لواط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عموم این دلیل خارج شد، چه ملازمه‌ای با خروج وطی بهیمه دارد؟</w:t>
      </w:r>
    </w:p>
    <w:p>
      <w:pPr>
        <w:pStyle w:val="BookText"/>
        <w:rPr/>
      </w:pPr>
      <w:r>
        <w:rPr>
          <w:rFonts w:ascii="IRNazanin" w:hAnsi="IRNazanin" w:eastAsia="IRNazanin"/>
          <w:color w:val="111111"/>
          <w:sz w:val="28"/>
          <w:sz w:val="28"/>
          <w:szCs w:val="28"/>
          <w:rtl w:val="true"/>
          <w:lang w:bidi="fa-IR"/>
        </w:rPr>
        <w:t>اگر این استقرا مفید ظنّ هم باشد، به درد نمی‌خورد؛ زیرا، ظنّ غیرمعتبر در مقابل ظنّ معتبر و عموم دلیل حجّیت اماره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 تدرأ بالشبهات</w:t>
      </w:r>
      <w:r>
        <w:rPr>
          <w:rFonts w:eastAsia="IRNazanin" w:cs="IRNazanin"/>
          <w:color w:val="111111"/>
          <w:sz w:val="28"/>
          <w:szCs w:val="28"/>
          <w:rtl w:val="true"/>
          <w:lang w:bidi="fa-IR"/>
        </w:rPr>
        <w:t>»</w:t>
      </w:r>
      <w:r>
        <w:rPr>
          <w:rStyle w:val="FootnoteAnchor"/>
          <w:rtl w:val="true"/>
        </w:rPr>
        <w:footnoteReference w:id="752"/>
      </w:r>
      <w:r>
        <w:rPr>
          <w:rFonts w:ascii="IRNazanin" w:hAnsi="IRNazanin" w:eastAsia="IRNazanin"/>
          <w:color w:val="111111"/>
          <w:sz w:val="28"/>
          <w:sz w:val="28"/>
          <w:szCs w:val="28"/>
          <w:rtl w:val="true"/>
          <w:lang w:bidi="fa-IR"/>
        </w:rPr>
        <w:t>نیز نمی‌تواند عموم دلیل حجّیت بینه را از بین ببرد؛ وگرنه لازمه‌اش این است که ما در یک مورد به شهادت عدلین اکتفا نکنیم؛ زیرا، احتمال می‌دهیم در باب حدود خصوصیّتی باشد که شهادت عدلین کفایت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عدلین در مورد ملکیّت زید، نجاست لباس و مانند آن اعتبار داشته باشد؛ آیا چنین کلامی صحیح است؟</w:t>
      </w:r>
    </w:p>
    <w:p>
      <w:pPr>
        <w:pStyle w:val="BookText"/>
        <w:rPr/>
      </w:pPr>
      <w:r>
        <w:rPr>
          <w:rFonts w:ascii="IRNazanin" w:hAnsi="IRNazanin" w:eastAsia="IRNazanin"/>
          <w:color w:val="111111"/>
          <w:sz w:val="28"/>
          <w:sz w:val="28"/>
          <w:szCs w:val="28"/>
          <w:rtl w:val="true"/>
          <w:lang w:bidi="fa-IR"/>
        </w:rPr>
        <w:t xml:space="preserve">بنابراین، عموم دلیل حجّیت بیّنه بر اعتبار شهادت دو عادل در تمام موارد دلالت دارد؛ مگر در باب زنا، لواط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دلیل بر خروجشان از این عموم داریم</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زنان به تنهایی مقبول نیست؛ ولی شهادت دو زن عادل همراه با شهادت یک مرد بر مبنای مختار ما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دلیلش در مسائل گذشته به‌طور مفصّل گذشت</w:t>
      </w:r>
      <w:r>
        <w:rPr>
          <w:rFonts w:eastAsia="IRNazanin" w:cs="IRNazanin"/>
          <w:color w:val="111111"/>
          <w:sz w:val="28"/>
          <w:szCs w:val="28"/>
          <w:rtl w:val="true"/>
          <w:lang w:bidi="fa-IR"/>
        </w:rPr>
        <w:t>.</w:t>
      </w:r>
      <w:bookmarkStart w:id="1079" w:name="pg16923_220554"/>
    </w:p>
    <w:p>
      <w:pPr>
        <w:pStyle w:val="Heading5"/>
        <w:numPr>
          <w:ilvl w:val="4"/>
          <w:numId w:val="1"/>
        </w:numPr>
        <w:rPr/>
      </w:pPr>
      <w:bookmarkStart w:id="1080" w:name="__RefHeading___Toc162911_3244359995"/>
      <w:bookmarkStart w:id="1081" w:name="_Toc422"/>
      <w:bookmarkEnd w:id="1079"/>
      <w:bookmarkEnd w:id="1080"/>
      <w:r>
        <w:rPr>
          <w:rtl w:val="true"/>
        </w:rPr>
        <w:t>اقرار</w:t>
      </w:r>
      <w:bookmarkEnd w:id="1081"/>
    </w:p>
    <w:p>
      <w:pPr>
        <w:pStyle w:val="BookText"/>
        <w:rPr/>
      </w:pPr>
      <w:r>
        <w:rPr>
          <w:rFonts w:ascii="IRNazanin" w:hAnsi="IRNazanin" w:eastAsia="IRNazanin"/>
          <w:color w:val="111111"/>
          <w:sz w:val="28"/>
          <w:sz w:val="28"/>
          <w:szCs w:val="28"/>
          <w:rtl w:val="true"/>
          <w:lang w:bidi="fa-IR"/>
        </w:rPr>
        <w:t>وطی با بهیمه به یک اقرار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ارتداد،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دوبار اقرار است؛ زیرا، اقرار را به منزله‌ی شهادت دانستن در باب حدود روایت داشت؛ ولی این‌جا تعزیر است نه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مقتضای عموم دلیل نفوذ اقرار،</w:t>
      </w:r>
      <w:r>
        <w:rPr>
          <w:rStyle w:val="FootnoteAnchor"/>
          <w:rtl w:val="true"/>
        </w:rPr>
        <w:footnoteReference w:id="753"/>
      </w:r>
      <w:r>
        <w:rPr>
          <w:rFonts w:ascii="IRNazanin" w:hAnsi="IRNazanin" w:eastAsia="IRNazanin"/>
          <w:color w:val="111111"/>
          <w:sz w:val="28"/>
          <w:sz w:val="28"/>
          <w:szCs w:val="28"/>
          <w:rtl w:val="true"/>
          <w:lang w:bidi="fa-IR"/>
        </w:rPr>
        <w:t>کفایت یک اقرار است و به دو بار اقرار نیازی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یک‌بار اقرار، وطی بهیمه ثابت و به دنبال آن تعزیر مترتّب می‌گردد؛ خواه مالک، فاعل حیوان باشد یا دیگری،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نقطه‌ی فرق در جریان احکام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خودش مالک است، به مقتضای اقرار باید بهیمه را کشته، گوشتش را بسوزاند؛ خوردن گوشت و شیر آن حرام است و نسلی که از آن محقّق گردد نیز حرام گوشت خواهد بود؛ و اگر بهیمه‌ای است که در عرف و عادت گوشتش مطلوب نیست،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و الاغ، باید به شهر دیگری برده شود و آن را بفروشند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حیوان متعلّق به دیگران است، با اقرار فاعل، موطوء بودن حیوان ثابت نمی‌گردد؛ زیرا، اقرار در حقّ دیگران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احکام دیگر غیر از تعزیر مترتّب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آمده است حیوان را به شهرهای دوردست ببرند و بفروشند؛ با این که هر دو شهر از سرزمین‌های اسلام است، چرا چنین حکمی در روایات مطرح است؟</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تعبّدی است و ما علّت آن را نمی‌دانیم؛</w:t>
      </w:r>
      <w:r>
        <w:rPr>
          <w:rStyle w:val="FootnoteAnchor"/>
          <w:rtl w:val="true"/>
        </w:rPr>
        <w:footnoteReference w:id="754"/>
      </w:r>
      <w:r>
        <w:rPr>
          <w:rFonts w:ascii="IRNazanin" w:hAnsi="IRNazanin" w:eastAsia="IRNazanin"/>
          <w:color w:val="111111"/>
          <w:sz w:val="28"/>
          <w:sz w:val="28"/>
          <w:szCs w:val="28"/>
          <w:rtl w:val="true"/>
          <w:lang w:bidi="fa-IR"/>
        </w:rPr>
        <w:t>لیکن در ذیل روایت به علّتش اشاره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وأخرجها من المدینة الّتی فعل بها فیها إلی بلاد اخری حیث لا تعرف، فیبیعها فیها کیلا یعیر بها صاحبها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55"/>
      </w:r>
      <w:r>
        <w:rPr>
          <w:rFonts w:ascii="IRNazanin" w:hAnsi="IRNazanin" w:eastAsia="IRNazanin"/>
          <w:color w:val="111111"/>
          <w:sz w:val="28"/>
          <w:sz w:val="28"/>
          <w:szCs w:val="28"/>
          <w:rtl w:val="true"/>
          <w:lang w:bidi="fa-IR"/>
        </w:rPr>
        <w:t>یعنی این حیوان را از شهری که با او وطی شده خارج کنند و به سرزمین دیگری که از این عمل اطّلاع ندارند، ببرند و بفروشند تا صاحبش مورد سرزنش مردم واقع نشود</w:t>
      </w:r>
      <w:r>
        <w:rPr>
          <w:rFonts w:eastAsia="IRNazanin" w:cs="IRNazanin"/>
          <w:color w:val="111111"/>
          <w:sz w:val="28"/>
          <w:szCs w:val="28"/>
          <w:rtl w:val="true"/>
          <w:lang w:bidi="fa-IR"/>
        </w:rPr>
        <w:t>.</w:t>
      </w:r>
      <w:bookmarkStart w:id="1082" w:name="pg16923_220555"/>
    </w:p>
    <w:p>
      <w:pPr>
        <w:pStyle w:val="BookText"/>
        <w:rPr/>
      </w:pPr>
      <w:bookmarkEnd w:id="10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تکرّر وطء البهیمة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تکرّر منه الفعل فإن لم یتخلّله التعزیر فلیس علیه إلّاالتعزیر، ولو تخلّله فالأحوط قتله فی الرابعة</w:t>
      </w:r>
      <w:r>
        <w:rPr>
          <w:rFonts w:eastAsia="IRNazanin" w:cs="IRNazanin"/>
          <w:color w:val="111111"/>
          <w:sz w:val="28"/>
          <w:szCs w:val="28"/>
          <w:rtl w:val="true"/>
          <w:lang w:bidi="fa-IR"/>
        </w:rPr>
        <w:t>.]</w:t>
      </w:r>
    </w:p>
    <w:p>
      <w:pPr>
        <w:pStyle w:val="Heading4"/>
        <w:numPr>
          <w:ilvl w:val="3"/>
          <w:numId w:val="1"/>
        </w:numPr>
        <w:rPr/>
      </w:pPr>
      <w:bookmarkStart w:id="1083" w:name="__RefHeading___Toc162913_3244359995"/>
      <w:bookmarkStart w:id="1084" w:name="_Toc423"/>
      <w:bookmarkEnd w:id="1083"/>
      <w:r>
        <w:rPr>
          <w:rtl w:val="true"/>
        </w:rPr>
        <w:t>حکم تکرار وطی بهیمه</w:t>
      </w:r>
      <w:bookmarkEnd w:id="1084"/>
    </w:p>
    <w:p>
      <w:pPr>
        <w:pStyle w:val="Heading5"/>
        <w:numPr>
          <w:ilvl w:val="4"/>
          <w:numId w:val="1"/>
        </w:numPr>
        <w:rPr/>
      </w:pPr>
      <w:bookmarkStart w:id="1085" w:name="__RefHeading___Toc162915_3244359995"/>
      <w:bookmarkStart w:id="1086" w:name="_Toc424"/>
      <w:bookmarkEnd w:id="1085"/>
      <w:r>
        <w:rPr>
          <w:rtl w:val="true"/>
        </w:rPr>
        <w:t>اشاره</w:t>
      </w:r>
      <w:bookmarkEnd w:id="1086"/>
    </w:p>
    <w:p>
      <w:pPr>
        <w:pStyle w:val="BookText"/>
        <w:rPr/>
      </w:pPr>
      <w:r>
        <w:rPr>
          <w:rFonts w:ascii="IRNazanin" w:hAnsi="IRNazanin" w:eastAsia="IRNazanin"/>
          <w:color w:val="111111"/>
          <w:sz w:val="28"/>
          <w:sz w:val="28"/>
          <w:szCs w:val="28"/>
          <w:rtl w:val="true"/>
          <w:lang w:bidi="fa-IR"/>
        </w:rPr>
        <w:t>اگر وطی بهیمه مکرّر شد، در صورتی که به دنبال هر وطی، تعزیری نباشد، فقط او را تعزیر می‌کنند؛ امّا اگر پس از هر فعلی تعزیر شده است، بنا بر احتیاط در مرتبه‌ی چهارم او را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فرع را در موارد مشابه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چندین بار مرتکب وطی بهیمه شد ولی بین آن‌ها تعزیر نشد، در این صورت هیچ کس قائل به قتل فاعل نشده است و دلیلی هم بر قتل نداریم؛ فقط باید او را تعزیر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بیّنه بر چهاربار وطی شهادت می‌دهد، امّا یک تعزیر واجب می‌شود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باب زنا، اگر بیّنه بر چند مرتبه زنا شهادت می‌داد، حدّ واحد به او می‌زدند؛ امّا اگر دو مرتبه او را تعزیر کردند، و بار سوّم مرتکب وطی با بهیمه شد، بر مبنای کسانی که قتل را در مرتبه‌ی سوّم می‌دانند، او را می‌کشند؛ امّا پس از سه‌بار تعزیر، برای ارتکاب بعدی، او را به قتل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معلوم شد، توهّم اجرای قتل پس از یک‌بار تعزیر در چهارمین وطی، توهّمی نادرست است؛ زیرا، قتل باید مسبوق به دو یا سه تعزیر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بیّنه‌ای بر ثبوت وطی قائم شد و او را تعزیر کردند، بار دیگر بیّنه بر سه‌بار وطی اقامه شد، باید او را تعزیر کنند، حدّش قتل نیست</w:t>
      </w:r>
      <w:r>
        <w:rPr>
          <w:rFonts w:eastAsia="IRNazanin" w:cs="IRNazanin"/>
          <w:color w:val="111111"/>
          <w:sz w:val="28"/>
          <w:szCs w:val="28"/>
          <w:rtl w:val="true"/>
          <w:lang w:bidi="fa-IR"/>
        </w:rPr>
        <w:t>.</w:t>
      </w:r>
    </w:p>
    <w:p>
      <w:pPr>
        <w:pStyle w:val="Heading5"/>
        <w:numPr>
          <w:ilvl w:val="4"/>
          <w:numId w:val="1"/>
        </w:numPr>
        <w:rPr/>
      </w:pPr>
      <w:bookmarkStart w:id="1087" w:name="__RefHeading___Toc162917_3244359995"/>
      <w:bookmarkStart w:id="1088" w:name="_Toc425"/>
      <w:bookmarkEnd w:id="1087"/>
      <w:r>
        <w:rPr>
          <w:rtl w:val="true"/>
        </w:rPr>
        <w:t>دلیل وجوب قتل در مرتبه‌ی سوّم یا چهارم</w:t>
      </w:r>
      <w:bookmarkEnd w:id="1088"/>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محمّد بن یحیی، عن أحمد بن محمّد، عن صفوان، عن یونس، عن أبی الحسن الماضی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الکبائر کلّها إذا اقیم علیهم الحدّ مرّتین قتلوا فی الثّالثة</w:t>
      </w:r>
      <w:r>
        <w:rPr>
          <w:rFonts w:eastAsia="IRNazanin" w:cs="IRNazanin"/>
          <w:color w:val="111111"/>
          <w:sz w:val="28"/>
          <w:szCs w:val="28"/>
          <w:rtl w:val="true"/>
          <w:lang w:bidi="fa-IR"/>
        </w:rPr>
        <w:t>.</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صحیحه، امام هفتم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مرتکب گناه کبیره می‌شوند، اگر دوبار حدّ درباره‌ی آنان اجرا شد، در بار سوّم کشته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شبهه‌ی اختصاص حکمی که امام علیه السلام در این روایت فرموده به باب حدود و نه تعزیرات، قابل دفع است؛ زیرا، حدّ در روایت به معنای اصطلاحی استعمال نشده، بلکه اعمّ از حدّ و تعزیر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 مطلب نکته‌ای در روایت است؛ زیرا، از یک طرف اصحاب الکبائر جمع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طرف دیگر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شده است؛ و از سوی دیگر، برای تمام گناهان کبیره حدّ جعل نشده است؛ گناهانی که حدّ دارند در مقابل کبائری که حدّ ندارند، بسیار کم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جهت، بهترین قرینه و شاهد بر استعمال کلمه‌ی حدّ در اعمّ از حدّ و تعزیر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صحیحه بر قتل مرتکب کبیره در مرتبه‌ی سوّم دلالت دارد؛ لیکن در مقابل این روایت، شیخ طوسی رحمه الله در مبسوط ادّعا می‌کند اصحاب ما به‌طور کلّی اجماع دارند بر این که در گناهان کبیره قتل در مرتبه‌ی چهارم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علاوه بر ادّعای اجماع اصحاب، ادّعا می‌کند اصحاب ما قتل را در مرتبه‌ی چهارم روایت کرده‌اند</w:t>
      </w:r>
      <w:r>
        <w:rPr>
          <w:rFonts w:eastAsia="IRNazanin" w:cs="IRNazanin"/>
          <w:color w:val="111111"/>
          <w:sz w:val="28"/>
          <w:szCs w:val="28"/>
          <w:rtl w:val="true"/>
          <w:lang w:bidi="fa-IR"/>
        </w:rPr>
        <w:t>.</w:t>
      </w:r>
      <w:r>
        <w:rPr>
          <w:rStyle w:val="FootnoteAnchor"/>
          <w:rtl w:val="true"/>
        </w:rPr>
        <w:footnoteReference w:id="757"/>
      </w:r>
      <w:r>
        <w:rPr>
          <w:rFonts w:ascii="IRNazanin" w:hAnsi="IRNazanin" w:eastAsia="IRNazanin"/>
          <w:color w:val="111111"/>
          <w:sz w:val="28"/>
          <w:sz w:val="28"/>
          <w:szCs w:val="28"/>
          <w:rtl w:val="true"/>
          <w:lang w:bidi="fa-IR"/>
        </w:rPr>
        <w:t>این دو ادّعا، زمینه‌ی احتیاط را فراهم می‌کند؛ لذا،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واطی بهیمه را در مرتبه‌ی سوّم نکشند؛ احتیاط اقتضا می‌کند که برای حفظ خون مسلمان، او را در مرتبه‌ی چهارم به قتل برسانند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برای قتل در مرتبه‌ی سوّم مؤیّدی نیز وجود دارد؛ و آن، روایاتی است که بر قتل واطی در مرتبه‌ی اوّل دلالت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ما آن روایات را در مقام تعارض به سبب اعراض مشهور کنار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نمی‌توانیم به این مؤیّد نیز اعتماد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احتیاط کرده و قتل را در مرتبه‌ی چهارم اجرا کنیم</w:t>
      </w:r>
      <w:r>
        <w:rPr>
          <w:rFonts w:eastAsia="IRNazanin" w:cs="IRNazanin"/>
          <w:color w:val="111111"/>
          <w:sz w:val="28"/>
          <w:szCs w:val="28"/>
          <w:rtl w:val="true"/>
          <w:lang w:bidi="fa-IR"/>
        </w:rPr>
        <w:t>.</w:t>
      </w:r>
      <w:bookmarkStart w:id="1089" w:name="pg16923_220557"/>
    </w:p>
    <w:p>
      <w:pPr>
        <w:pStyle w:val="BookText"/>
        <w:rPr/>
      </w:pPr>
      <w:bookmarkEnd w:id="10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الوطء مع المیتة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 فی وطء المرأة المیتة کالحدّ فی الحیّة رجماً مع الإحصان وحدّاً مع عدمه بتفصیل مرّ فی حدّ الزنا، والإثم والجنایة هنا أفحش وأعظم، وعلیه تعزیر زائداً علی الحدّ بحسب نظر الحاکم علی تأمّل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وطأ امرأته المیتة فعلیه التعزیر دون الحدّ، وفی اللواط بالمیت حدّ اللواط بالحیّ ویعزّر تغلیظاً علی تأمّل</w:t>
      </w:r>
      <w:r>
        <w:rPr>
          <w:rFonts w:eastAsia="IRNazanin" w:cs="IRNazanin"/>
          <w:color w:val="111111"/>
          <w:sz w:val="28"/>
          <w:szCs w:val="28"/>
          <w:rtl w:val="true"/>
          <w:lang w:bidi="fa-IR"/>
        </w:rPr>
        <w:t>.]</w:t>
      </w:r>
    </w:p>
    <w:p>
      <w:pPr>
        <w:pStyle w:val="Heading4"/>
        <w:numPr>
          <w:ilvl w:val="3"/>
          <w:numId w:val="1"/>
        </w:numPr>
        <w:rPr/>
      </w:pPr>
      <w:bookmarkStart w:id="1090" w:name="__RefHeading___Toc162919_3244359995"/>
      <w:bookmarkStart w:id="1091" w:name="_Toc426"/>
      <w:bookmarkEnd w:id="1090"/>
      <w:r>
        <w:rPr>
          <w:rtl w:val="true"/>
        </w:rPr>
        <w:t>حدّ زنای با میّت</w:t>
      </w:r>
      <w:bookmarkEnd w:id="1091"/>
    </w:p>
    <w:p>
      <w:pPr>
        <w:pStyle w:val="Heading5"/>
        <w:numPr>
          <w:ilvl w:val="4"/>
          <w:numId w:val="1"/>
        </w:numPr>
        <w:rPr/>
      </w:pPr>
      <w:bookmarkStart w:id="1092" w:name="__RefHeading___Toc162921_3244359995"/>
      <w:bookmarkStart w:id="1093" w:name="_Toc427"/>
      <w:bookmarkEnd w:id="1092"/>
      <w:r>
        <w:rPr>
          <w:rtl w:val="true"/>
        </w:rPr>
        <w:t>اشاره</w:t>
      </w:r>
      <w:bookmarkEnd w:id="1093"/>
    </w:p>
    <w:p>
      <w:pPr>
        <w:pStyle w:val="BookText"/>
        <w:rPr/>
      </w:pPr>
      <w:r>
        <w:rPr>
          <w:rFonts w:ascii="IRNazanin" w:hAnsi="IRNazanin" w:eastAsia="IRNazanin"/>
          <w:color w:val="111111"/>
          <w:sz w:val="28"/>
          <w:sz w:val="28"/>
          <w:szCs w:val="28"/>
          <w:rtl w:val="true"/>
          <w:lang w:bidi="fa-IR"/>
        </w:rPr>
        <w:t>این مسأله سه فرع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زنای با زن مرده همانند حدّ زنای با زن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زنای او احصانی باشد، حدّش رجم؛ وگرنه تازیانه است؛ به همان تفصیلی که در باب زنا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جنایت در این‌جا بزرگ‌تر و فاحش‌تر است؛ علاوه بر حدّ مذکور، او را به آن‌چه حاکم مصلحت می‌بیند نیز تعزیر می‌کنند؛ البتّه در این مطلب تأمّل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با همسر میّت خود جمع شد، او را تعزیر می‌کنند؛ و حدّی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میّتی لواط کرد، همان حدّ لواط به اضافه تعزیر در حدّش اجرا می‌شود؛ البته در ثبوت تعزیر تأمّل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رحمه الله در این مسأله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کالحدّ فی الحیّة رجماً مع الإحصان وحدّاً مع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نسخه غلط نباشد، سزاوار بود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می‌فرمود؛ زیرا، رجم نیز نوعی حدّ است و حدّ به تازیانه اختصاص ندارد؛ بلکه قتل، رجم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انواعی از حدّ است</w:t>
      </w:r>
      <w:r>
        <w:rPr>
          <w:rFonts w:eastAsia="IRNazanin" w:cs="IRNazanin"/>
          <w:color w:val="111111"/>
          <w:sz w:val="28"/>
          <w:szCs w:val="28"/>
          <w:rtl w:val="true"/>
          <w:lang w:bidi="fa-IR"/>
        </w:rPr>
        <w:t>.</w:t>
      </w:r>
    </w:p>
    <w:p>
      <w:pPr>
        <w:pStyle w:val="Heading5"/>
        <w:numPr>
          <w:ilvl w:val="4"/>
          <w:numId w:val="1"/>
        </w:numPr>
        <w:rPr/>
      </w:pPr>
      <w:bookmarkStart w:id="1094" w:name="__RefHeading___Toc162923_3244359995"/>
      <w:bookmarkStart w:id="1095" w:name="_Toc428"/>
      <w:bookmarkEnd w:id="1094"/>
      <w:r>
        <w:rPr>
          <w:rtl w:val="true"/>
        </w:rPr>
        <w:t>فرع اوّل</w:t>
      </w:r>
      <w:r>
        <w:rPr>
          <w:rtl w:val="true"/>
        </w:rPr>
        <w:t xml:space="preserve">: </w:t>
      </w:r>
      <w:r>
        <w:rPr>
          <w:rtl w:val="true"/>
        </w:rPr>
        <w:t>وطی با زن مرده</w:t>
      </w:r>
      <w:bookmarkEnd w:id="1095"/>
    </w:p>
    <w:p>
      <w:pPr>
        <w:pStyle w:val="Heading6"/>
        <w:numPr>
          <w:ilvl w:val="5"/>
          <w:numId w:val="1"/>
        </w:numPr>
        <w:rPr/>
      </w:pPr>
      <w:bookmarkStart w:id="1096" w:name="__RefHeading___Toc162925_3244359995"/>
      <w:bookmarkStart w:id="1097" w:name="_Toc429"/>
      <w:bookmarkEnd w:id="1096"/>
      <w:r>
        <w:rPr>
          <w:rtl w:val="true"/>
        </w:rPr>
        <w:t>اشاره</w:t>
      </w:r>
      <w:bookmarkEnd w:id="1097"/>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مردی با زن مرده‌ی اجنبی زنا کرد، مانند کفن دزدهای سابق که پس از نبش قبر و کفن دزدی با میّت زنا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نبش قبر و سرقت کفن در مسائل گذشته به‌طور مفصّل گذشت، اکنون سخن در حکم عمل شنیع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فاعل همسر دارد و واجد</w:t>
      </w:r>
      <w:bookmarkStart w:id="1098" w:name="pg16923_220558"/>
    </w:p>
    <w:p>
      <w:pPr>
        <w:pStyle w:val="BookText"/>
        <w:rPr/>
      </w:pPr>
      <w:bookmarkEnd w:id="1098"/>
      <w:r>
        <w:rPr>
          <w:rFonts w:ascii="IRNazanin" w:hAnsi="IRNazanin" w:eastAsia="IRNazanin"/>
          <w:color w:val="111111"/>
          <w:sz w:val="28"/>
          <w:sz w:val="28"/>
          <w:szCs w:val="28"/>
          <w:rtl w:val="true"/>
          <w:lang w:bidi="fa-IR"/>
        </w:rPr>
        <w:t>شرایط احصان است، باید رجم گردد؛ امّا اگر زنای او زنای معمولی بود، فقط صد تازیانه به او می‌زنند؛ یعنی فرقی بین حدّ زنای با مردگان و زنای با زندگان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و فتاوا در این حکم متّفق‌اند؛ بلکه زنای با میّت شنیع‌تر از زنای با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جنایت غلیظتر و فجیع‌تر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حدّ، باید او را تعزیر کنند؛ زیرا، گناهش سنگین‌تر و عقوبت اخرویش شدیدتر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پیرامون دو مطلب سخن بگوییم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زنا بر وطی با میّت مترتّب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تعزیر اضافی چیست؟</w:t>
      </w:r>
    </w:p>
    <w:p>
      <w:pPr>
        <w:pStyle w:val="Heading6"/>
        <w:numPr>
          <w:ilvl w:val="5"/>
          <w:numId w:val="1"/>
        </w:numPr>
        <w:rPr/>
      </w:pPr>
      <w:bookmarkStart w:id="1099" w:name="__RefHeading___Toc162927_3244359995"/>
      <w:bookmarkStart w:id="1100" w:name="_Toc430"/>
      <w:bookmarkEnd w:id="1099"/>
      <w:r>
        <w:rPr>
          <w:rtl w:val="true"/>
        </w:rPr>
        <w:t>مطلب اوّل</w:t>
      </w:r>
      <w:r>
        <w:rPr>
          <w:rtl w:val="true"/>
        </w:rPr>
        <w:t xml:space="preserve">: </w:t>
      </w:r>
      <w:r>
        <w:rPr>
          <w:rtl w:val="true"/>
        </w:rPr>
        <w:t>ثبوت حدّ زنا بر وطی با میّت</w:t>
      </w:r>
      <w:bookmarkEnd w:id="1100"/>
    </w:p>
    <w:p>
      <w:pPr>
        <w:pStyle w:val="Heading6"/>
        <w:numPr>
          <w:ilvl w:val="5"/>
          <w:numId w:val="1"/>
        </w:numPr>
        <w:rPr/>
      </w:pPr>
      <w:bookmarkStart w:id="1101" w:name="__RefHeading___Toc162929_3244359995"/>
      <w:bookmarkStart w:id="1102" w:name="_Toc431"/>
      <w:bookmarkEnd w:id="1101"/>
      <w:r>
        <w:rPr>
          <w:rtl w:val="true"/>
        </w:rPr>
        <w:t>اشاره</w:t>
      </w:r>
      <w:bookmarkEnd w:id="11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عن أبیه، عن آدم بن اسحاق، عن عبداللَّه بن محمّد الجعفی،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أبی جعفر علیه السلام وجاءه کتاب هشام بن عبدالملک فی رجل نبش امرأة فسلبها ثیابها ثمّ نکحها، فإنّ الناس قد اختلفوا علینا؛ طائفة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اقتلوه، وطائفة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فکتب إلیه أبو جعفر علیه السلام إنّ حرمة المیّت کحرمة الحیّ، تقطع یده لنبشه وسلبه الثیاب ویقام علیه الحدّ فی الزنا إن احصن رجم وإن لم یکن احصن جلد مائة</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روایت، عبداللَّه بن محمّد جعفی وجود دارد که نجاشی رحمه الله او را تضعیف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جعفی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باقر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نامه‌ی هشام بن عبدالملک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قبر زنی را شکافت، کفنش را برداشت و با او وطی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عقوبتش بین علما اختلاف افتاده، گروهی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بکشید، و گروهی به سوزاندنش فتوا می‌دهند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مرده همانند احترام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این فرد را</w:t>
      </w:r>
    </w:p>
    <w:p>
      <w:pPr>
        <w:pStyle w:val="BookText"/>
        <w:rPr/>
      </w:pPr>
      <w:r>
        <w:rPr>
          <w:rFonts w:ascii="IRNazanin" w:hAnsi="IRNazanin" w:eastAsia="IRNazanin"/>
          <w:color w:val="111111"/>
          <w:sz w:val="28"/>
          <w:sz w:val="28"/>
          <w:szCs w:val="28"/>
          <w:rtl w:val="true"/>
          <w:lang w:bidi="fa-IR"/>
        </w:rPr>
        <w:t>به خاطر نبش قبر و دزدیدن کفن ببرید و بر او حدّ زنا بزنید؛ اگر محصن است، او را سنگسار کنید؛ و اگر زنای معمولی است، به او صد تازیانه بزنید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النعمان المفید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علیّ بن إبراهیم بن هاشم،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الرّضا علیه السلام حججنا فدخلنا علی أبی جعفر علیه السلام وقد حضر خلق من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أبی عن رجل نبش قبر امرأة فنحکها، 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یقطع یمینه للنبش ویضرب حدّ الزنا، فإنّ حرمة المیتة کحرمة الحیّة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سیّدنا تأذن لنا أن نسألک؟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فسألوه فی مجلس عن ثلاثین ألف مسألة، فأجابهم فیها وله تسع سنین</w:t>
      </w:r>
      <w:r>
        <w:rPr>
          <w:rFonts w:eastAsia="IRNazanin" w:cs="IRNazanin"/>
          <w:color w:val="111111"/>
          <w:sz w:val="28"/>
          <w:szCs w:val="28"/>
          <w:rtl w:val="true"/>
          <w:lang w:bidi="fa-IR"/>
        </w:rPr>
        <w:t>.</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هاشم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رضا علیه السلام به حجّ مشرّف شدیم و به حضور امام جواد علیه السلام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شیعه آن‌جا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پدرم امام رضا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قبر زنی را شکافت و با او مجامعت کرد؟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راستش را برای نبش قبر می‌برند و به او حدّ زنا می‌زنند؛ زیرا، احترام میّت همانند احترام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شیعه‌ی حاضر در مجلس برای پرسیدن مشکلات از آن حضرت اجازه گرفتند و در یک مجلس سی هزار مسأله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به آن‌ها پاسخ داد در حالی که از سن مبارکش بیش از نه سال نگذشته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درباره‌ی قسمت اخیر روایت و پاسخ به سی هزار سؤال در یک مجلس، بزرگان توضیحاتی داده‌اند که به بحث ما مربوط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بر مطلوب ما به خوبی دلالت دارد؛ لیکن در مقام ما روایتی است که صاحب جواهر رحمه الله آن را ذکر نکرده و با آن‌چه گفتیم منافات دارد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عن علیّ بن محمّد القاسانی، عن القاسم بن محمّد، عن سلیمان بن</w:t>
      </w:r>
      <w:bookmarkStart w:id="1103" w:name="pg16923_220560"/>
    </w:p>
    <w:p>
      <w:pPr>
        <w:pStyle w:val="BookText"/>
        <w:rPr/>
      </w:pPr>
      <w:bookmarkEnd w:id="1103"/>
      <w:r>
        <w:rPr>
          <w:rFonts w:ascii="IRNazanin" w:hAnsi="IRNazanin" w:eastAsia="IRNazanin"/>
          <w:color w:val="111111"/>
          <w:sz w:val="28"/>
          <w:sz w:val="28"/>
          <w:szCs w:val="28"/>
          <w:rtl w:val="true"/>
          <w:lang w:bidi="fa-IR"/>
        </w:rPr>
        <w:t>داود، عن النعمان بن عبد السلام، عن أبی حنیفة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زنی بمیتة،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حدّ علیه</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سند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رحمه الله از محمّد بن علیّ بن محبوب نقل می‌کند؛ و اسناد ایشان به کتاب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ابوحنیفه کنیه‌ی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ثقه می‌باشد؛ نعمان بن عبدالسّلام توثیق ندارد؛ و نجاشی رحمه الله سلیمان بن داود منقری را توثیق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سند روایت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درباره‌ی مردی پرسیدم که با میّت زنا کرده است،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 ندارد</w:t>
      </w:r>
      <w:r>
        <w:rPr>
          <w:rFonts w:eastAsia="IRNazanin" w:cs="IRNazanin"/>
          <w:color w:val="111111"/>
          <w:sz w:val="28"/>
          <w:szCs w:val="28"/>
          <w:rtl w:val="true"/>
          <w:lang w:bidi="fa-IR"/>
        </w:rPr>
        <w:t>.</w:t>
      </w:r>
    </w:p>
    <w:p>
      <w:pPr>
        <w:pStyle w:val="Heading6"/>
        <w:numPr>
          <w:ilvl w:val="5"/>
          <w:numId w:val="1"/>
        </w:numPr>
        <w:rPr/>
      </w:pPr>
      <w:bookmarkStart w:id="1104" w:name="__RefHeading___Toc162931_3244359995"/>
      <w:bookmarkStart w:id="1105" w:name="_Toc432"/>
      <w:bookmarkEnd w:id="1104"/>
      <w:r>
        <w:rPr>
          <w:rtl w:val="true"/>
        </w:rPr>
        <w:t>حلّ تنافی دو دسته از روایات</w:t>
      </w:r>
      <w:bookmarkEnd w:id="11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 ابوحنیفه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مقابل آن دو روایت که یکی صحیحه بود، نمی‌تواند مقاومت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 که سند روایتِ ابوحنیفه معتبر باشد،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گذشته را بر زنای با میّت اجنبی و این روایت را بر وطی با همسرش حمل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فرع بعد خواهیم گفت که مَرد بر وطی با زوجه‌ی مُرده‌اش تعزیر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عقوبتی را نفی می‌نماید؛ زیرا، حدّ در معنای اعمّ از حدّ اصطلاحی و تعزیر استعمال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 این‌جا راه ندارد؛ زیرا، در روایت، قرینه‌ی برخلاف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 از زنای با میّت می‌پرسد، جواب امام علیه السلام نیز مربوط به همین سؤال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 زنا ندارد؛ لذا حدّ به معنای اصطلاحی به کار رفته است</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حمل به‌طور کلّی صحیح نیست؛ زیرا، وطی با زوجه حتّی پس از مرگش معنون به عنوان زنا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وطی حرامی زنا صادق نیست؛ اگر کسی در حال حیض با همسرش مجامعت کند، عملش حرام است ولی زنا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زنا متقوّم است به این که</w:t>
      </w:r>
      <w:bookmarkStart w:id="1106" w:name="pg16923_220561"/>
    </w:p>
    <w:p>
      <w:pPr>
        <w:pStyle w:val="BookText"/>
        <w:rPr/>
      </w:pPr>
      <w:bookmarkEnd w:id="1106"/>
      <w:r>
        <w:rPr>
          <w:rFonts w:ascii="IRNazanin" w:hAnsi="IRNazanin" w:eastAsia="IRNazanin"/>
          <w:color w:val="111111"/>
          <w:sz w:val="28"/>
          <w:sz w:val="28"/>
          <w:szCs w:val="28"/>
          <w:rtl w:val="true"/>
          <w:lang w:bidi="fa-IR"/>
        </w:rPr>
        <w:t>با طرف مقابل علقه‌ی زوجیّت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ربطی به وطی با زوجه‌ی میّت ندارد؛ و نمی‌توان آن را بر این معنا حلّ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ابوحنیفه را بر مقدّمات وطی یعنی تفخیذ و مانند آن و روایات دیگر را بر ایلاج و دخول حمل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جواب امام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استفهام انکاری بخوانیم؛ در این صورت، روایت بر ثبوت حدّ زنا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یکی از وجوه گذشته توانستیم بین روایات جمع کنیم، چه بهتر؛ امّا اگر بین آن‌ها تعارض برقرار شد و نتوانستیم جمع دلالی برقرار کنیم، روایات اوّل موافق با شهرت فتوایی است و حتّی یک مخالف هم ندارد؛ بنابراین، مقدّم می‌گردد</w:t>
      </w:r>
      <w:r>
        <w:rPr>
          <w:rFonts w:eastAsia="IRNazanin" w:cs="IRNazanin"/>
          <w:color w:val="111111"/>
          <w:sz w:val="28"/>
          <w:szCs w:val="28"/>
          <w:rtl w:val="true"/>
          <w:lang w:bidi="fa-IR"/>
        </w:rPr>
        <w:t>.</w:t>
      </w:r>
    </w:p>
    <w:p>
      <w:pPr>
        <w:pStyle w:val="Heading6"/>
        <w:numPr>
          <w:ilvl w:val="5"/>
          <w:numId w:val="1"/>
        </w:numPr>
        <w:rPr/>
      </w:pPr>
      <w:bookmarkStart w:id="1107" w:name="__RefHeading___Toc162933_3244359995"/>
      <w:bookmarkStart w:id="1108" w:name="_Toc433"/>
      <w:bookmarkEnd w:id="1107"/>
      <w:r>
        <w:rPr>
          <w:rtl w:val="true"/>
        </w:rPr>
        <w:t>مطلب دوّم</w:t>
      </w:r>
      <w:r>
        <w:rPr>
          <w:rtl w:val="true"/>
        </w:rPr>
        <w:t xml:space="preserve">: </w:t>
      </w:r>
      <w:r>
        <w:rPr>
          <w:rtl w:val="true"/>
        </w:rPr>
        <w:t>دلیل تعزیر اضافی</w:t>
      </w:r>
      <w:bookmarkEnd w:id="1108"/>
    </w:p>
    <w:p>
      <w:pPr>
        <w:pStyle w:val="BookText"/>
        <w:rPr/>
      </w:pPr>
      <w:r>
        <w:rPr>
          <w:rFonts w:ascii="IRNazanin" w:hAnsi="IRNazanin" w:eastAsia="IRNazanin"/>
          <w:color w:val="111111"/>
          <w:sz w:val="28"/>
          <w:sz w:val="28"/>
          <w:szCs w:val="28"/>
          <w:rtl w:val="true"/>
          <w:lang w:bidi="fa-IR"/>
        </w:rPr>
        <w:t>مرحوم محقّق 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ووطءُ المیتة من بنات آدم کوطء الحیّة فی تعلّق الإثم والحدّ، واعتبار الإحصان وعدمه، وهنا الجنایة أفحش فتغلّظ العقوبة زیادة عن الحدّ بما یراه الإمام</w:t>
      </w:r>
      <w:r>
        <w:rPr>
          <w:rFonts w:eastAsia="IRNazanin" w:cs="IRNazanin"/>
          <w:color w:val="111111"/>
          <w:sz w:val="28"/>
          <w:szCs w:val="28"/>
          <w:rtl w:val="true"/>
          <w:lang w:bidi="fa-IR"/>
        </w:rPr>
        <w:t>».</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نزدیکی با زن میّت مانند زنای با زن زنده در گناه و حدّ و احصان و عدم احصان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جنایت فاحش‌تر است؛ بنابراین، باید عقوبتی زیادتر از حدّ به آن‌چه امام مصلحت می‌بیند در حقّش اجرا گردد؛ حتّی در جایی که باید زانی را سنگسار کنند، قبل از رجم او را تعزیر کرده، سپس رجم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افحش بودن جنایت، مرسله‌ی ابن ابی عمیر است که می‌گوید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وبإسناده عن محمّد بن علیّ بن محبوب، عن أیّوب بن نوح، عن الحسن بن علیّ بن فضّال، عن ابن أبی عمیر، عن بعض أصحابنا، عن أبی عبد اللَّه علیه السلام فی الّذی یأتی المرأة وهی میّتة،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وزره أعظم من ذلک الّذی یأتیها وهی حیّة</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سند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مرسلات ابن ابی‌عمیر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عصیر عنبی بحث مفصّلی در این رابطه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أبی‌عمیر لا یرسل إلَّا عن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آن‌جا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ابن ابی عمیر و اصحاب اجماع امتیازی نیست؛ بلکه مانند رجال موثّق دیگرند و مرسلاتشان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درباره‌ی زنای با میّت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گناهش بزرگ‌تر از زنای با زن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دلالت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سنگین‌تر بودن وزر چه دلالتی بر عقوبت اضافی دارد؟ یک عمل با یک عنوان داریم، گناهش بیشتر از زنای با زنده است، ولی این سبب عقوبت اضافی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علما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گناه کبیره و صغیره نداریم؛ بلکه تمام گناهان کبیره است؛ لیکن وقتی گناهی را با گناه دیگر می‌سنجیم، نسبت به آن صغیره و نسبت به مادونش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در جای خودش باید مطرح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گناهان در یک سطح نیستند؛ برخی سنگین‌تر و برخی سبک‌ترند؛ امّا این مطلب دلیل عقوبت بیشتر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امام راحل رحمه الله در این مطلب تأمّل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رحمه الله در این‌جا حرف مرحوم محقّق را می‌پذیرد؛ و هیچ ردّ یا اشکالی بر او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لواط با میّت نیز آن را پذیرفته است؛ لیکن در آخر بحث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ویحتمل عدم التعزیر لعدم الدلیل علیه</w:t>
      </w:r>
      <w:r>
        <w:rPr>
          <w:rFonts w:eastAsia="IRNazanin" w:cs="IRNazanin"/>
          <w:color w:val="111111"/>
          <w:sz w:val="28"/>
          <w:szCs w:val="28"/>
          <w:rtl w:val="true"/>
          <w:lang w:bidi="fa-IR"/>
        </w:rPr>
        <w:t>».</w:t>
      </w:r>
      <w:r>
        <w:rPr>
          <w:rStyle w:val="FootnoteAnchor"/>
          <w:rtl w:val="true"/>
        </w:rPr>
        <w:footnoteReference w:id="763"/>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کلام محقّق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 اضافی در جایی مطرح است که عمل معنون به دو عنوان و دو حیثیّت گردد؛ مانند زنای در ماه رمضان یا در مشاهد مشرّفه، که زانی با یک عمل مرتکب دو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و هتک زمان یا مکان محترم شده است؛ امّا در این بحث، یک عمل با یک عنوان است؛ پس، یک عقوبت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تعزیر اضافی نیاز به دلیل است</w:t>
      </w:r>
      <w:r>
        <w:rPr>
          <w:rFonts w:eastAsia="IRNazanin" w:cs="IRNazanin"/>
          <w:color w:val="111111"/>
          <w:sz w:val="28"/>
          <w:szCs w:val="28"/>
          <w:rtl w:val="true"/>
          <w:lang w:bidi="fa-IR"/>
        </w:rPr>
        <w:t>.</w:t>
      </w:r>
      <w:bookmarkStart w:id="1109" w:name="pg16923_220563"/>
    </w:p>
    <w:p>
      <w:pPr>
        <w:pStyle w:val="BookText"/>
        <w:rPr/>
      </w:pPr>
      <w:bookmarkEnd w:id="1109"/>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وطی با میّت به زنای اکراهی شباهت دارد، همان‌طور که اگر در زنای غیراحصانی، مردی زنی را به زنا اکراه کند، عقوبتش سنگین می‌شود و باید او را کشت، در این بحث نیز عقوبت وطی با میّت سنگین‌تر از وطی با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شباهت، سبب اتّحاد در حکم نمی‌گردد؛ باید بر تعزیر اضافی دلیل اقامه گردد</w:t>
      </w:r>
      <w:r>
        <w:rPr>
          <w:rFonts w:eastAsia="IRNazanin" w:cs="IRNazanin"/>
          <w:color w:val="111111"/>
          <w:sz w:val="28"/>
          <w:szCs w:val="28"/>
          <w:rtl w:val="true"/>
          <w:lang w:bidi="fa-IR"/>
        </w:rPr>
        <w:t>.</w:t>
      </w:r>
    </w:p>
    <w:p>
      <w:pPr>
        <w:pStyle w:val="Heading5"/>
        <w:numPr>
          <w:ilvl w:val="4"/>
          <w:numId w:val="1"/>
        </w:numPr>
        <w:rPr/>
      </w:pPr>
      <w:bookmarkStart w:id="1110" w:name="__RefHeading___Toc162935_3244359995"/>
      <w:bookmarkStart w:id="1111" w:name="_Toc434"/>
      <w:bookmarkEnd w:id="1110"/>
      <w:r>
        <w:rPr>
          <w:rtl w:val="true"/>
        </w:rPr>
        <w:t>فرع دوّم</w:t>
      </w:r>
      <w:r>
        <w:rPr>
          <w:rtl w:val="true"/>
        </w:rPr>
        <w:t xml:space="preserve">: </w:t>
      </w:r>
      <w:r>
        <w:rPr>
          <w:rtl w:val="true"/>
        </w:rPr>
        <w:t>حکم وطی با زوجه‌ی فوت‌شده</w:t>
      </w:r>
      <w:bookmarkEnd w:id="1111"/>
    </w:p>
    <w:p>
      <w:pPr>
        <w:pStyle w:val="BookText"/>
        <w:rPr/>
      </w:pPr>
      <w:r>
        <w:rPr>
          <w:rFonts w:ascii="IRNazanin" w:hAnsi="IRNazanin" w:eastAsia="IRNazanin"/>
          <w:color w:val="111111"/>
          <w:sz w:val="28"/>
          <w:sz w:val="28"/>
          <w:szCs w:val="28"/>
          <w:rtl w:val="true"/>
          <w:lang w:bidi="fa-IR"/>
        </w:rPr>
        <w:t>اگر مردی پس از فوت همسرش با او همبستر شد، بنا بر قاعده نباید او را حدّ زد؛ زیرا، تعبیراتی که در روایات گذشته مطرح بود، موضوعش غیر از زوجه است؛ مثلًا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 أبی عن رجل نبش قبر امرأة فنکحها </w:t>
      </w:r>
      <w:r>
        <w:rPr>
          <w:rFonts w:eastAsia="IRNazanin" w:cs="IRNazanin"/>
          <w:color w:val="111111"/>
          <w:sz w:val="28"/>
          <w:szCs w:val="28"/>
          <w:rtl w:val="true"/>
          <w:lang w:bidi="fa-IR"/>
        </w:rPr>
        <w:t>...»</w:t>
      </w:r>
      <w:r>
        <w:rPr>
          <w:rStyle w:val="FootnoteAnchor"/>
          <w:rtl w:val="true"/>
        </w:rPr>
        <w:footnoteReference w:id="764"/>
      </w:r>
      <w:r>
        <w:rPr>
          <w:rFonts w:ascii="IRNazanin" w:hAnsi="IRNazanin" w:eastAsia="IRNazanin"/>
          <w:color w:val="111111"/>
          <w:sz w:val="28"/>
          <w:sz w:val="28"/>
          <w:szCs w:val="28"/>
          <w:rtl w:val="true"/>
          <w:lang w:bidi="fa-IR"/>
        </w:rPr>
        <w:t>معلوم است شوهر قبر همسرش را نمی‌شکافد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نبش امرأة فسلبها ثیابها ثمّ نکحها</w:t>
      </w:r>
      <w:r>
        <w:rPr>
          <w:rFonts w:eastAsia="IRNazanin" w:cs="IRNazanin"/>
          <w:color w:val="111111"/>
          <w:sz w:val="28"/>
          <w:szCs w:val="28"/>
          <w:rtl w:val="true"/>
          <w:lang w:bidi="fa-IR"/>
        </w:rPr>
        <w:t>»</w:t>
      </w:r>
      <w:r>
        <w:rPr>
          <w:rStyle w:val="FootnoteAnchor"/>
          <w:rtl w:val="true"/>
        </w:rPr>
        <w:footnoteReference w:id="765"/>
      </w:r>
      <w:r>
        <w:rPr>
          <w:rFonts w:ascii="IRNazanin" w:hAnsi="IRNazanin" w:eastAsia="IRNazanin"/>
          <w:color w:val="111111"/>
          <w:sz w:val="28"/>
          <w:sz w:val="28"/>
          <w:szCs w:val="28"/>
          <w:rtl w:val="true"/>
          <w:lang w:bidi="fa-IR"/>
        </w:rPr>
        <w:t>زوج برای سرقت کفن زوجه‌اش دست به نبش قبر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عنوان زنا در روایات بر اتیان زوجه صادق نیست؛ زیرا، زنا یک عنوان شرعی و عرفی است؛ و معنای آن به عدم علقه‌ی زوجیّت بین دو طرف متقوّم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مرگ زوجه، علقه‌ی زوجیّت به‌طور کلّ از بین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شوهر می‌تواند بدن همسرش را عریان کرده، غسل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عدم صدق عنوان زنا، اطلاقات ادلّه‌ی زنا و روایات وطی با میّت شامل این بحث نمی‌گردد؛ هرچند این وطی حرام است و دلیلی بر جوازش نداریم؛ بلکه بر حرمتش اجماع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اگر اجماع نبود، ممکن بود آن را حرام ندانیم؛ امّا بر هر وطی حرامی حدّ جاری نمی‌شود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فرض تحقّق شکّ، استصحاب به بقای زوجیّت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مقدار که دلیل داشتیم، دست از آثار و احکام زوجیّت برمی‌داریم و نسبت به مابقی، آثار زوجیّت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این وطی، عنوان زنا صادق نیست؛ پس حدّ آن هم اقامه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زوج مرتکب کار حرامی شده است، باید تعزیر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امام رحمه الله و</w:t>
      </w:r>
      <w:bookmarkStart w:id="1112" w:name="pg16923_220564"/>
    </w:p>
    <w:p>
      <w:pPr>
        <w:pStyle w:val="BookText"/>
        <w:rPr/>
      </w:pPr>
      <w:bookmarkEnd w:id="1112"/>
      <w:r>
        <w:rPr>
          <w:rFonts w:ascii="IRNazanin" w:hAnsi="IRNazanin" w:eastAsia="IRNazanin"/>
          <w:color w:val="111111"/>
          <w:sz w:val="28"/>
          <w:sz w:val="28"/>
          <w:szCs w:val="28"/>
          <w:rtl w:val="true"/>
          <w:lang w:bidi="fa-IR"/>
        </w:rPr>
        <w:t>دیگران به تعزیر فتوا داده‌اند؛ و بر مسأله ادّعای لاخلاف شده است</w:t>
      </w:r>
      <w:r>
        <w:rPr>
          <w:rFonts w:eastAsia="IRNazanin" w:cs="IRNazanin"/>
          <w:color w:val="111111"/>
          <w:sz w:val="28"/>
          <w:szCs w:val="28"/>
          <w:rtl w:val="true"/>
          <w:lang w:bidi="fa-IR"/>
        </w:rPr>
        <w:t>.</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اگر روایت ابوحنیفه 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حدّ علیه</w:t>
      </w:r>
      <w:r>
        <w:rPr>
          <w:rFonts w:eastAsia="IRNazanin" w:cs="IRNazanin"/>
          <w:color w:val="111111"/>
          <w:sz w:val="28"/>
          <w:szCs w:val="28"/>
          <w:rtl w:val="true"/>
          <w:lang w:bidi="fa-IR"/>
        </w:rPr>
        <w:t>»</w:t>
      </w:r>
      <w:r>
        <w:rPr>
          <w:rStyle w:val="FootnoteAnchor"/>
          <w:rtl w:val="true"/>
        </w:rPr>
        <w:footnoteReference w:id="767"/>
      </w:r>
      <w:r>
        <w:rPr>
          <w:rFonts w:ascii="IRNazanin" w:hAnsi="IRNazanin" w:eastAsia="IRNazanin"/>
          <w:color w:val="111111"/>
          <w:sz w:val="28"/>
          <w:sz w:val="28"/>
          <w:szCs w:val="28"/>
          <w:rtl w:val="true"/>
          <w:lang w:bidi="fa-IR"/>
        </w:rPr>
        <w:t>بتوانیم بر زوجه حمل کنیم و از اشکال گذشته صرف نظر کنیم، این روایت دلیل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این حمل صحیح باشد یا نه، برای ثبوت حدّ نیازمند دلیل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دلیل، کافی است تا به تعزیر حکم کنیم</w:t>
      </w:r>
      <w:r>
        <w:rPr>
          <w:rFonts w:eastAsia="IRNazanin" w:cs="IRNazanin"/>
          <w:color w:val="111111"/>
          <w:sz w:val="28"/>
          <w:szCs w:val="28"/>
          <w:rtl w:val="true"/>
          <w:lang w:bidi="fa-IR"/>
        </w:rPr>
        <w:t>.</w:t>
      </w:r>
    </w:p>
    <w:p>
      <w:pPr>
        <w:pStyle w:val="Heading5"/>
        <w:numPr>
          <w:ilvl w:val="4"/>
          <w:numId w:val="1"/>
        </w:numPr>
        <w:rPr/>
      </w:pPr>
      <w:bookmarkStart w:id="1113" w:name="__RefHeading___Toc162937_3244359995"/>
      <w:bookmarkStart w:id="1114" w:name="_Toc435"/>
      <w:bookmarkEnd w:id="1113"/>
      <w:r>
        <w:rPr>
          <w:rtl w:val="true"/>
        </w:rPr>
        <w:t>فرع سوّم</w:t>
      </w:r>
      <w:r>
        <w:rPr>
          <w:rtl w:val="true"/>
        </w:rPr>
        <w:t xml:space="preserve">: </w:t>
      </w:r>
      <w:r>
        <w:rPr>
          <w:rtl w:val="true"/>
        </w:rPr>
        <w:t>لواط با میّت</w:t>
      </w:r>
      <w:bookmarkEnd w:id="1114"/>
    </w:p>
    <w:p>
      <w:pPr>
        <w:pStyle w:val="BookText"/>
        <w:rPr/>
      </w:pPr>
      <w:r>
        <w:rPr>
          <w:rFonts w:ascii="IRNazanin" w:hAnsi="IRNazanin" w:eastAsia="IRNazanin"/>
          <w:color w:val="111111"/>
          <w:sz w:val="28"/>
          <w:sz w:val="28"/>
          <w:szCs w:val="28"/>
          <w:rtl w:val="true"/>
          <w:lang w:bidi="fa-IR"/>
        </w:rPr>
        <w:t>اگر کسی با مرده‌ای لواط کند، حدّ لواط بر او اقامه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لواط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لواط به ایقاب و دخول باشد، حدش قتل به کیفیّت مخصوصی است که گذشت؛ و اگر به دخول منجر نشود، حدّش صد تازیانه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 ادلّه‌ی لواط در این مورد نیز پیاده می‌شود؛ زیرا، در تحقّق لواط فرقی بین مفعول زنده با مرده نیست؛ همان‌طور که تحقّق زنا به زنده بودن و مرده بودن زانیه متقوم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جعفی،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حرمة المیّت کحرمة الحیّ</w:t>
      </w:r>
      <w:r>
        <w:rPr>
          <w:rFonts w:eastAsia="IRNazanin" w:cs="IRNazanin"/>
          <w:color w:val="111111"/>
          <w:sz w:val="28"/>
          <w:szCs w:val="28"/>
          <w:rtl w:val="true"/>
          <w:lang w:bidi="fa-IR"/>
        </w:rPr>
        <w:t>»</w:t>
      </w:r>
      <w:r>
        <w:rPr>
          <w:rStyle w:val="FootnoteAnchor"/>
          <w:rtl w:val="true"/>
        </w:rPr>
        <w:footnoteReference w:id="768"/>
      </w:r>
      <w:r>
        <w:rPr>
          <w:rFonts w:ascii="IRNazanin" w:hAnsi="IRNazanin" w:eastAsia="IRNazanin"/>
          <w:color w:val="111111"/>
          <w:sz w:val="28"/>
          <w:sz w:val="28"/>
          <w:szCs w:val="28"/>
          <w:rtl w:val="true"/>
          <w:lang w:bidi="fa-IR"/>
        </w:rPr>
        <w:t>، یعنی آن حضرت، یک قاعده‌ی کلّی فرمود؛ و سپس آن را بر مورد نبش قبر و سرقت کفن و زنای با میّت تطبیق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ابراهیم بن هاشم در تعلیل حدّ زنا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حرمة المیتة کحرمة الحیّة</w:t>
      </w:r>
      <w:r>
        <w:rPr>
          <w:rFonts w:eastAsia="IRNazanin" w:cs="IRNazanin"/>
          <w:color w:val="111111"/>
          <w:sz w:val="28"/>
          <w:szCs w:val="28"/>
          <w:rtl w:val="true"/>
          <w:lang w:bidi="fa-IR"/>
        </w:rPr>
        <w:t>».</w:t>
      </w:r>
      <w:r>
        <w:rPr>
          <w:rStyle w:val="FootnoteAnchor"/>
          <w:rtl w:val="true"/>
        </w:rPr>
        <w:footnoteReference w:id="769"/>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دو روایت استفاده می‌شود احترام زنده و مرده یکسان است؛ و از طرفی این مطلب مربوط به زنان نیست؛ بلکه مرد و زن در این حکم متّحدند؛ و روایت در مقام بیان عدم تفاوت بین زنده 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می‌توان به آن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مورد زنا رسیده است؛ زیرا، یکی ضابطه را بیان و دیگری حکم را معلّل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هر دو</w:t>
      </w:r>
    </w:p>
    <w:p>
      <w:pPr>
        <w:pStyle w:val="BookText"/>
        <w:rPr/>
      </w:pPr>
      <w:r>
        <w:rPr>
          <w:rFonts w:ascii="IRNazanin" w:hAnsi="IRNazanin" w:eastAsia="IRNazanin"/>
          <w:color w:val="111111"/>
          <w:sz w:val="28"/>
          <w:sz w:val="28"/>
          <w:szCs w:val="28"/>
          <w:rtl w:val="true"/>
          <w:lang w:bidi="fa-IR"/>
        </w:rPr>
        <w:t>ضابطه به دست می‌دهند؛ یعنی احکامی که در مورد زندگان وجود دارد، نسبت به مردگان نیز جریان دارد؛ لذا، حدّ لواط بر کسی که با میّت لواط کرده، اقامه می‌شود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تعزیر اضافی را مطرح کرده و به سبب عدم دلیل بر آن، امام راحل رحمه الله تأمّل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گناهش سنگین‌تر است، ولی این مطلب دلیل تعزیر اضافی نمی‌شود</w:t>
      </w:r>
      <w:r>
        <w:rPr>
          <w:rFonts w:eastAsia="IRNazanin" w:cs="IRNazanin"/>
          <w:color w:val="111111"/>
          <w:sz w:val="28"/>
          <w:szCs w:val="28"/>
          <w:rtl w:val="true"/>
          <w:lang w:bidi="fa-IR"/>
        </w:rPr>
        <w:t>.</w:t>
      </w:r>
      <w:bookmarkStart w:id="1115" w:name="pg16923_220566"/>
    </w:p>
    <w:p>
      <w:pPr>
        <w:pStyle w:val="BookText"/>
        <w:rPr/>
      </w:pPr>
      <w:bookmarkEnd w:id="11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ثبوت حدّ الوطء بالمیّت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ثبوت الحدّ فی الوطء بالمیّت ما یعتبر فی الحیّ من البلوغ والعقل والاختیار وعدم الشبهة</w:t>
      </w:r>
      <w:r>
        <w:rPr>
          <w:rFonts w:eastAsia="IRNazanin" w:cs="IRNazanin"/>
          <w:color w:val="111111"/>
          <w:sz w:val="28"/>
          <w:szCs w:val="28"/>
          <w:rtl w:val="true"/>
          <w:lang w:bidi="fa-IR"/>
        </w:rPr>
        <w:t>.]</w:t>
      </w:r>
    </w:p>
    <w:p>
      <w:pPr>
        <w:pStyle w:val="Heading4"/>
        <w:numPr>
          <w:ilvl w:val="3"/>
          <w:numId w:val="1"/>
        </w:numPr>
        <w:rPr/>
      </w:pPr>
      <w:bookmarkStart w:id="1116" w:name="__RefHeading___Toc162939_3244359995"/>
      <w:bookmarkStart w:id="1117" w:name="_Toc436"/>
      <w:bookmarkEnd w:id="1116"/>
      <w:r>
        <w:rPr>
          <w:rtl w:val="true"/>
        </w:rPr>
        <w:t>شرایط ثبوت حدّ وطی با اموات</w:t>
      </w:r>
      <w:bookmarkEnd w:id="1117"/>
    </w:p>
    <w:p>
      <w:pPr>
        <w:pStyle w:val="BookText"/>
        <w:rPr/>
      </w:pPr>
      <w:r>
        <w:rPr>
          <w:rFonts w:ascii="IRNazanin" w:hAnsi="IRNazanin" w:eastAsia="IRNazanin"/>
          <w:color w:val="111111"/>
          <w:sz w:val="28"/>
          <w:sz w:val="28"/>
          <w:szCs w:val="28"/>
          <w:rtl w:val="true"/>
          <w:lang w:bidi="fa-IR"/>
        </w:rPr>
        <w:t>در ثبوت حدّ در وطی با مرده، تمام شرایط وطی با زنده، از بلوغ و عقل و اختیار و عدم شبهه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فرع به‌طور مکرّر در ابواب مختلف به‌طور مفصّل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بحث مجدّد نیاز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چهارم سه فرع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وطی با زن میّت، وطی با زوجه‌ی میّت، و لواط با میّت؛ در این‌جا امام راحل رحمه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وطی با مرده امور چهارگانه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مفهومش این است که این امور در تعزیر لازم نیست؟</w:t>
      </w:r>
    </w:p>
    <w:p>
      <w:pPr>
        <w:pStyle w:val="BookText"/>
        <w:rPr/>
      </w:pPr>
      <w:r>
        <w:rPr>
          <w:rFonts w:ascii="IRNazanin" w:hAnsi="IRNazanin" w:eastAsia="IRNazanin"/>
          <w:color w:val="111111"/>
          <w:sz w:val="28"/>
          <w:sz w:val="28"/>
          <w:szCs w:val="28"/>
          <w:rtl w:val="true"/>
          <w:lang w:bidi="fa-IR"/>
        </w:rPr>
        <w:t>حقّ این است که فرقی بین حدّ و تعزیر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امور مذکور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به معنایی اعمّ از تعزیر و حدّ اصطلاحی به کار رفته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استعمال در روایات، زیاد است؛ ولی در متن‌نویسی و رساله متعارف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 بود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یعتبر فی ثبوت الحدّ والتعزیر </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وطی کودک با مرده نیز، او را تأدیب می‌کنند؛ به شرحی که در باب وطی با حیوان گذشت</w:t>
      </w:r>
      <w:r>
        <w:rPr>
          <w:rFonts w:eastAsia="IRNazanin" w:cs="IRNazanin"/>
          <w:color w:val="111111"/>
          <w:sz w:val="28"/>
          <w:szCs w:val="28"/>
          <w:rtl w:val="true"/>
          <w:lang w:bidi="fa-IR"/>
        </w:rPr>
        <w:t>.</w:t>
      </w:r>
      <w:bookmarkStart w:id="1118" w:name="pg16923_220567"/>
    </w:p>
    <w:p>
      <w:pPr>
        <w:pStyle w:val="BookText"/>
        <w:rPr/>
      </w:pPr>
      <w:bookmarkEnd w:id="11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 اثبات الوطء بالمیّت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الزنا بالمیّتة واللواط بالمیّت بشهادة أربعة رجال،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بشهادة عدلین، والأوّل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ولایثبت بشهادة النساء منفردات ولا منضمّات حتّی ثلاثة رجال مع امرأتین علی الأحوط فی وطء المیّتة، وعلی الأقوی فی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وبالإقرار أربع مرّات</w:t>
      </w:r>
      <w:r>
        <w:rPr>
          <w:rFonts w:eastAsia="IRNazanin" w:cs="IRNazanin"/>
          <w:color w:val="111111"/>
          <w:sz w:val="28"/>
          <w:szCs w:val="28"/>
          <w:rtl w:val="true"/>
          <w:lang w:bidi="fa-IR"/>
        </w:rPr>
        <w:t>.]</w:t>
      </w:r>
    </w:p>
    <w:p>
      <w:pPr>
        <w:pStyle w:val="Heading4"/>
        <w:numPr>
          <w:ilvl w:val="3"/>
          <w:numId w:val="1"/>
        </w:numPr>
        <w:rPr/>
      </w:pPr>
      <w:bookmarkStart w:id="1119" w:name="__RefHeading___Toc162941_3244359995"/>
      <w:bookmarkStart w:id="1120" w:name="_Toc437"/>
      <w:bookmarkEnd w:id="1119"/>
      <w:r>
        <w:rPr>
          <w:rtl w:val="true"/>
        </w:rPr>
        <w:t>طرق اثبات وطی با اموات</w:t>
      </w:r>
      <w:bookmarkEnd w:id="1120"/>
    </w:p>
    <w:p>
      <w:pPr>
        <w:pStyle w:val="Heading5"/>
        <w:numPr>
          <w:ilvl w:val="4"/>
          <w:numId w:val="1"/>
        </w:numPr>
        <w:rPr/>
      </w:pPr>
      <w:bookmarkStart w:id="1121" w:name="__RefHeading___Toc162943_3244359995"/>
      <w:bookmarkStart w:id="1122" w:name="_Toc438"/>
      <w:bookmarkEnd w:id="1121"/>
      <w:r>
        <w:rPr>
          <w:rtl w:val="true"/>
        </w:rPr>
        <w:t>اشاره</w:t>
      </w:r>
      <w:bookmarkEnd w:id="1122"/>
    </w:p>
    <w:p>
      <w:pPr>
        <w:pStyle w:val="BookText"/>
        <w:rPr/>
      </w:pPr>
      <w:r>
        <w:rPr>
          <w:rFonts w:ascii="IRNazanin" w:hAnsi="IRNazanin" w:eastAsia="IRNazanin"/>
          <w:color w:val="111111"/>
          <w:sz w:val="28"/>
          <w:sz w:val="28"/>
          <w:szCs w:val="28"/>
          <w:rtl w:val="true"/>
          <w:lang w:bidi="fa-IR"/>
        </w:rPr>
        <w:t>این مسأله سه فرع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زنای با زن مرده و لواط با مذکّر مُرده با شهادت چهار مرد اثبات می‌گردد 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شهادت دو مرد عادل ثابت می‌شود؛ ولی قول اوّل به قواعد شبیه‌تر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 شهادت زنان به‌طور استقلال و به صورت انضمامی ثابت نمی‌گردد؛ و حتّی شهادت سه مرد و دو زن بنا بر احتیاط در زنای با مرده، و بنا بر اقوا در لواط با میّت، نیز مفید فایده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زنای با مرده یا لواط با او با چهاربار اقرار فاعل نیز ثابت می‌شود</w:t>
      </w:r>
      <w:r>
        <w:rPr>
          <w:rFonts w:eastAsia="IRNazanin" w:cs="IRNazanin"/>
          <w:color w:val="111111"/>
          <w:sz w:val="28"/>
          <w:szCs w:val="28"/>
          <w:rtl w:val="true"/>
          <w:lang w:bidi="fa-IR"/>
        </w:rPr>
        <w:t>.</w:t>
      </w:r>
    </w:p>
    <w:p>
      <w:pPr>
        <w:pStyle w:val="Heading5"/>
        <w:numPr>
          <w:ilvl w:val="4"/>
          <w:numId w:val="1"/>
        </w:numPr>
        <w:rPr/>
      </w:pPr>
      <w:bookmarkStart w:id="1123" w:name="__RefHeading___Toc162945_3244359995"/>
      <w:bookmarkStart w:id="1124" w:name="_Toc439"/>
      <w:bookmarkEnd w:id="1123"/>
      <w:r>
        <w:rPr>
          <w:rtl w:val="true"/>
        </w:rPr>
        <w:t>فرع اوّل</w:t>
      </w:r>
      <w:r>
        <w:rPr>
          <w:rtl w:val="true"/>
        </w:rPr>
        <w:t xml:space="preserve">: </w:t>
      </w:r>
      <w:r>
        <w:rPr>
          <w:rtl w:val="true"/>
        </w:rPr>
        <w:t>ثبوت وطی به میّت با شهادت چهار مرد عادل</w:t>
      </w:r>
      <w:bookmarkEnd w:id="1124"/>
    </w:p>
    <w:p>
      <w:pPr>
        <w:pStyle w:val="Heading6"/>
        <w:numPr>
          <w:ilvl w:val="5"/>
          <w:numId w:val="1"/>
        </w:numPr>
        <w:rPr/>
      </w:pPr>
      <w:bookmarkStart w:id="1125" w:name="__RefHeading___Toc162947_3244359995"/>
      <w:bookmarkStart w:id="1126" w:name="_Toc440"/>
      <w:bookmarkEnd w:id="1125"/>
      <w:r>
        <w:rPr>
          <w:rtl w:val="true"/>
        </w:rPr>
        <w:t>اشاره</w:t>
      </w:r>
      <w:bookmarkEnd w:id="1126"/>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عدّه‌ی زیادی از قدما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رحمه الله،</w:t>
      </w:r>
      <w:r>
        <w:rPr>
          <w:rStyle w:val="FootnoteAnchor"/>
          <w:rtl w:val="true"/>
        </w:rPr>
        <w:footnoteReference w:id="770"/>
      </w:r>
      <w:r>
        <w:rPr>
          <w:rFonts w:ascii="IRNazanin" w:hAnsi="IRNazanin" w:eastAsia="IRNazanin"/>
          <w:color w:val="111111"/>
          <w:sz w:val="28"/>
          <w:sz w:val="28"/>
          <w:szCs w:val="28"/>
          <w:rtl w:val="true"/>
          <w:lang w:bidi="fa-IR"/>
        </w:rPr>
        <w:t>شیخ طوسی رحمه الله،</w:t>
      </w:r>
      <w:r>
        <w:rPr>
          <w:rStyle w:val="FootnoteAnchor"/>
          <w:rtl w:val="true"/>
        </w:rPr>
        <w:footnoteReference w:id="771"/>
      </w:r>
      <w:r>
        <w:rPr>
          <w:rFonts w:ascii="IRNazanin" w:hAnsi="IRNazanin" w:eastAsia="IRNazanin"/>
          <w:color w:val="111111"/>
          <w:sz w:val="28"/>
          <w:sz w:val="28"/>
          <w:szCs w:val="28"/>
          <w:rtl w:val="true"/>
          <w:lang w:bidi="fa-IR"/>
        </w:rPr>
        <w:t>ابن‌حمزه رحمه الله،</w:t>
      </w:r>
      <w:r>
        <w:rPr>
          <w:rStyle w:val="FootnoteAnchor"/>
          <w:rtl w:val="true"/>
        </w:rPr>
        <w:footnoteReference w:id="772"/>
      </w:r>
      <w:r>
        <w:rPr>
          <w:rFonts w:ascii="IRNazanin" w:hAnsi="IRNazanin" w:eastAsia="IRNazanin"/>
          <w:color w:val="111111"/>
          <w:sz w:val="28"/>
          <w:sz w:val="28"/>
          <w:szCs w:val="28"/>
          <w:rtl w:val="true"/>
          <w:lang w:bidi="fa-IR"/>
        </w:rPr>
        <w:t>علّامه در کتاب مختلف</w:t>
      </w:r>
      <w:r>
        <w:rPr>
          <w:rStyle w:val="FootnoteAnchor"/>
          <w:rtl w:val="true"/>
        </w:rPr>
        <w:footnoteReference w:id="773"/>
      </w:r>
      <w:r>
        <w:rPr>
          <w:rFonts w:ascii="IRNazanin" w:hAnsi="IRNazanin" w:eastAsia="IRNazanin"/>
          <w:color w:val="111111"/>
          <w:sz w:val="28"/>
          <w:sz w:val="28"/>
          <w:szCs w:val="28"/>
          <w:rtl w:val="true"/>
          <w:lang w:bidi="fa-IR"/>
        </w:rPr>
        <w:t>و ابن‌سعید رحمه الله در کتاب جامع</w:t>
      </w:r>
      <w:r>
        <w:rPr>
          <w:rStyle w:val="FootnoteAnchor"/>
          <w:rtl w:val="true"/>
        </w:rPr>
        <w:footnoteReference w:id="774"/>
      </w:r>
      <w:r>
        <w:rPr>
          <w:rFonts w:ascii="IRNazanin" w:hAnsi="IRNazanin" w:eastAsia="IRNazanin"/>
          <w:color w:val="111111"/>
          <w:sz w:val="28"/>
          <w:sz w:val="28"/>
          <w:szCs w:val="28"/>
          <w:rtl w:val="true"/>
          <w:lang w:bidi="fa-IR"/>
        </w:rPr>
        <w:t>معتقدند برای ثبوت زنای با میّت دو شاهد عادل کافی است؛ در حالی‌که عدم کفایت دو شاهد عادل از امور مسلّم نزد متأخّرین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 دو شاهد عادل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حجّیت بیّنه عمومیّت دارد؛ و شهادت دو مرد عادل را در تمام موارد حجّت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 که دلیل خاصّی برخلاف داشتیم، دست از این عموم برمی‌داریم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زنای با مرده، نمی‌دانیم آیا عموم تخصیص خورده است یا نه؟ به مقتضای حجیّت أصالة العموم به کفایت شهادت عدلین حکم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علیّ بن إبراهیم، عن أبیه، عن أحمد بن محمّد بن أبی نصر، عن إسماعیل بن أبی حنیفة، عن أبی حنیفة،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کیف صار القتل یجوز فیه شاهدان، والزّنا لایجوز فیه إلّا أربعة شهود، والقتل أشدّ من الزّنا؟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القتل فعل واحد، والزنا فعلان، فمن ثمّ لا یجوز إلّاأربعة 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الرّجل شاهدان، وعلی المرأة شاهدان</w:t>
      </w:r>
      <w:r>
        <w:rPr>
          <w:rFonts w:eastAsia="IRNazanin" w:cs="IRNazanin"/>
          <w:color w:val="111111"/>
          <w:sz w:val="28"/>
          <w:szCs w:val="28"/>
          <w:rtl w:val="true"/>
          <w:lang w:bidi="fa-IR"/>
        </w:rPr>
        <w:t>.</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ابی‌حنیفه سعید بن بیان است که ثقه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باب قتل دو شاهد عادل کفایت می‌کند و در باب زنا به چهار شاهد نیاز داریم، با آن که اهمیّت قتل به مراتب بیشتر از زنا است؟</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قتل فعل واحد است؛ فقط به قاتل ارتباط دارد، و از مفعول کاری سر نمی‌زند، محل صدور و جنبه‌ی فاعلی‌اش مربوط به قاتل است، ولی زنا دو فعل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آیه‌ی شریفه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الزَّانِیَةُ وَ الزَّانِی</w:t>
      </w:r>
      <w:r>
        <w:rPr>
          <w:rStyle w:val="FootnoteAnchor"/>
          <w:rtl w:val="true"/>
        </w:rPr>
        <w:footnoteReference w:id="776"/>
      </w:r>
      <w:r>
        <w:rPr>
          <w:rFonts w:ascii="IRNazanin" w:hAnsi="IRNazanin" w:eastAsia="IRNazanin"/>
          <w:color w:val="111111"/>
          <w:sz w:val="28"/>
          <w:sz w:val="28"/>
          <w:szCs w:val="28"/>
          <w:rtl w:val="true"/>
          <w:lang w:bidi="fa-IR"/>
        </w:rPr>
        <w:t>یعنی هر دو طرف فاعل‌اند؛ فعل مربوط به مرد، به او عنوان زانی می‌دهد و فعل مربوط به زن، او را به زانیه معنون می‌کند؛ ولی در باب قتل، یک طرف جنبه‌ی فاعلی، و طرف دیگر جنبه‌ی مفعولی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چهار شاهد لازم است؛ دو شاهد بر مرد و دو شاهد بر زن</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زنای با زنده، در دو طرف جنبه‌ی فاعلی تصوّر دارد؛ یعنی دو فعل از دو فاعل صادر می‌شود؛ ولی در زنای با مرده یک فعل بیشتر نیست و به قتل</w:t>
      </w:r>
    </w:p>
    <w:p>
      <w:pPr>
        <w:pStyle w:val="BookText"/>
        <w:rPr/>
      </w:pPr>
      <w:r>
        <w:rPr>
          <w:rFonts w:ascii="IRNazanin" w:hAnsi="IRNazanin" w:eastAsia="IRNazanin"/>
          <w:color w:val="111111"/>
          <w:sz w:val="28"/>
          <w:sz w:val="28"/>
          <w:szCs w:val="28"/>
          <w:rtl w:val="true"/>
          <w:lang w:bidi="fa-IR"/>
        </w:rPr>
        <w:t>شباهت دارد؛ لذا، دو شاهد نیز برای اثباتش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استدلال به روایت</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اسماعیل بن ابی حنیفه واقع شده است؛ که این فرد توثیق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تعلیل را نمی‌توانیم بپذیریم؛ زیرا، لازمه‌اش این است که در غیرزنای با مرده، اگر در زنایی فقط جنبه‌ی فاعلی از یک طرف بود و یک فعل صدق داشت، مانند زنا با زنی که خواب است و هیچ التفاتی ندارد، شهادت دو عادل کفایت کند؛ در حالی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در مواردی که زنا از یک طرف صادق است مانند این که مردی با زنی به خیال این که زوجه‌اش هست وطی کرد، ولی زن می‌داند که این مرد شوهر او نیست، زنا فقط از طرف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رحمه الله زنای مکره را نیز به عنوان اشکال ذکر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زنا لازم نیست دست و پای طرف را ببندند و از او سلب اختیار کنند تا اکراهی باشد؛ بلکه اگر او را تهدید کنند به چیزی که سبب هتک حیثیّت او گردد، اکراه محقّق است</w:t>
      </w:r>
      <w:r>
        <w:rPr>
          <w:rFonts w:eastAsia="IRNazanin" w:cs="IRNazanin"/>
          <w:color w:val="111111"/>
          <w:sz w:val="28"/>
          <w:szCs w:val="28"/>
          <w:rtl w:val="true"/>
          <w:lang w:bidi="fa-IR"/>
        </w:rPr>
        <w:t>.</w:t>
      </w:r>
      <w:r>
        <w:rPr>
          <w:rStyle w:val="FootnoteAnchor"/>
          <w:rtl w:val="true"/>
        </w:rPr>
        <w:footnoteReference w:id="777"/>
      </w:r>
      <w:r>
        <w:rPr>
          <w:rFonts w:ascii="IRNazanin" w:hAnsi="IRNazanin" w:eastAsia="IRNazanin"/>
          <w:color w:val="111111"/>
          <w:sz w:val="28"/>
          <w:sz w:val="28"/>
          <w:szCs w:val="28"/>
          <w:rtl w:val="true"/>
          <w:lang w:bidi="fa-IR"/>
        </w:rPr>
        <w:t>بنابراین، در صورت اکراه نیز دو فعل صادر می‌شود ولی بر یک فاعل، حدّی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اگر کسی را بر سیلی زدن به دیگری اکراه کنند،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فعلی صادر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که از مکره سر زده، منشأ اثر نیست؛ یعنی حرمت ندارد و بر آن عقوبتی مترتّب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زنای اکراهی دو فعل واقع شده است و فقط بر فرد مختار حدّ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نقض دیگر، اگر فردی با زن دیوانه‌ای زنا کرد، از زن دیوانه نیز فعلی صادر شده است، لیکن فعلش منشأ اثر و موجب حدّ نیست</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بر سرقت زید و عمرو و بکر و خالد شهادت دادند، با این شهادت سرقت همه‌ی آنان ثابت می‌شود؛ در حالی که شهادت بر چهار فعل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مطلب، نتیجه می‌گیریم کاربرد بیّنه در مورد فعل واحد نیست، بلکه اگر شهادت به افعال متعدّد از افراد متعدّد باشد، مانند مثال گذشته، یا شهادت به چند فعل از یک نفر مانند سرقت زید و</w:t>
      </w:r>
    </w:p>
    <w:p>
      <w:pPr>
        <w:pStyle w:val="BookText"/>
        <w:rPr/>
      </w:pPr>
      <w:r>
        <w:rPr>
          <w:rFonts w:ascii="IRNazanin" w:hAnsi="IRNazanin" w:eastAsia="IRNazanin"/>
          <w:color w:val="111111"/>
          <w:sz w:val="28"/>
          <w:sz w:val="28"/>
          <w:szCs w:val="28"/>
          <w:rtl w:val="true"/>
          <w:lang w:bidi="fa-IR"/>
        </w:rPr>
        <w:t>شرب خمرش نیز باشد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لازمه‌ی صحیح بودن تعلیل روایت، کفایت شهادت دو نفر عادل است؛ در صورتی که هر دو بر زنای زانی و زانیه شهادت دهند؛ در حالی که چنین چیزی مقبول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روایات برای بطلان قیاس،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قتل به دو شاهد نیاز است؛ در حالی که شدیدتر از زنا است؛ و در زنا که سبک‌تر از قتل است، چهار شاهد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أحمد بن الحسن القطّان، عن عبدالرّحمن بن أبی حاتم، عن أبی زرعة، عن هشام بن عمّار، عن محمّد بن عبداللَّه القرشی، عن ابن شبرمة،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أنا وأبو حنیفه علی جعفر بن محمّد علیهما السلام، فقال لأبی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ولا تقس فی الدّین برأیک، فإنّ أوّل من قاس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أیّهما أعظم؟ قتل النفس أو الزنا؟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عزّ وجلّ قد قبل فی قتل النّفس شاهدین ولم یقبل فی الزّنا إلّا أربعة </w:t>
      </w:r>
      <w:r>
        <w:rPr>
          <w:rFonts w:eastAsia="Amiri" w:cs="Amiri" w:ascii="Amiri" w:hAnsi="Amiri"/>
          <w:color w:val="111111"/>
          <w:sz w:val="28"/>
          <w:szCs w:val="28"/>
          <w:rtl w:val="true"/>
          <w:lang w:bidi="ar-SA"/>
        </w:rPr>
        <w:t>....</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بنابراین، معلوم می‌شود لزوم چهار شاهد در زنا و دو شاهد در قتل، یک امر تعبّدی است نه امری مطابق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مطابق با قاعده بود، نمی‌توانست به عنوان دلیل بطلان قیاس مطرح گردد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گفته شد، معلوم می‌شود استدلال به این تعلیل ناتمام است؛ زیرا، اگر تعلیلی یک موردِ نقض داشت، نمی‌تواند به عنوان تعلیل مطرح باشد؛ بلکه بیان حکمت خواهد بود و این خلاف ظاهر است؛ مثلًا اگر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 لأنّه مسکر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است یک کبرای کلّی افاده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مورد نقض داشته باشد، 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روایت را توجیه کنیم و بگوییم در مقام بیان حکمت است نه تعلیل؛ و این توجیه نیز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روایتی در مقام بیان حکمت باشد، امکان موارد تخلّف نفیاً و اثباتاً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چگونه می‌توان به آن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کجا بفهمیم دو شاهد عادل برای اثبات وطی به میّت کافی است؟</w:t>
      </w:r>
    </w:p>
    <w:p>
      <w:pPr>
        <w:pStyle w:val="BookText"/>
        <w:rPr/>
      </w:pPr>
      <w:r>
        <w:rPr>
          <w:rFonts w:ascii="IRNazanin" w:hAnsi="IRNazanin" w:eastAsia="IRNazanin"/>
          <w:color w:val="111111"/>
          <w:sz w:val="28"/>
          <w:sz w:val="28"/>
          <w:szCs w:val="28"/>
          <w:rtl w:val="true"/>
          <w:lang w:bidi="fa-IR"/>
        </w:rPr>
        <w:t>نقد 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بیان دلیل دوّم را نقد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عموم دلیل حجّیت بیّنه نیز صحیح نیست؛ زیرا، روایاتی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زنای با مرده مانند حدّ زنای با زنده است، در مقام رفع ابهام یک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آیه شریفه الزَّانِیَةُ وَ الزَّانِی فَاجْلِدُواْ کُلَّ وَ حِدٍ مّنْهُمَا مِاْئَةَ جَلْدَةٍ،</w:t>
      </w:r>
      <w:r>
        <w:rPr>
          <w:rStyle w:val="FootnoteAnchor"/>
          <w:rtl w:val="true"/>
        </w:rPr>
        <w:footnoteReference w:id="779"/>
      </w:r>
      <w:r>
        <w:rPr>
          <w:rFonts w:ascii="IRNazanin" w:hAnsi="IRNazanin" w:eastAsia="IRNazanin"/>
          <w:color w:val="111111"/>
          <w:sz w:val="28"/>
          <w:sz w:val="28"/>
          <w:szCs w:val="28"/>
          <w:rtl w:val="true"/>
          <w:lang w:bidi="fa-IR"/>
        </w:rPr>
        <w:t>اختصاصی به زنای با زنده ندارد، بلکه معنای آن وسیع‌تر است، شامل زنده و 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تعلیلی که در دو روایت وارد شده بود،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حرمة المیّت کحرمة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تعلیل بیانگر عدم فرق بین مرده و زنده است؛ بنابراین، همان‌طور که فرقی بین زنای در حال خواب با زنای در حال بیداری نیست، بین زنای با مرده و زنای با زنده نیز تفاوتی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توضیحی در رابطه با معنای زنا می‌دهد و اتّفاقاً عرف نیز با این مطلب مساعدت دارد؛ زیرا، اگر مردی با زن مرده‌ای جمع شود، در عرف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مرده زنا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بالا، وقتی بر این عمل شنیع زنا صادق بود، برای اثبات زنا به چهار شاهد نیاز داریم؛ ادلّه‌ای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با چهار شاهد ثابت می‌شود، در شمولش نسبت به این مورد قصور و کمبودی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روایات خاصّه‌ای هم در این مقام نداشتیم، از همان ادلّه‌ی اوّلیه مطلب استفاده می‌شد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حقّ در مطلب همان است که مشهور بین فقها، بلکه به عنوان فتوای مسلّم بین متأخّرین مطرح است؛ یعنی برای اثبات وطی به میّت به چهار شاهد نیاز داریم</w:t>
      </w:r>
      <w:r>
        <w:rPr>
          <w:rFonts w:eastAsia="IRNazanin" w:cs="IRNazanin"/>
          <w:color w:val="111111"/>
          <w:sz w:val="28"/>
          <w:szCs w:val="28"/>
          <w:rtl w:val="true"/>
          <w:lang w:bidi="fa-IR"/>
        </w:rPr>
        <w:t>.</w:t>
      </w:r>
      <w:bookmarkStart w:id="1127" w:name="pg16923_220572"/>
    </w:p>
    <w:p>
      <w:pPr>
        <w:pStyle w:val="Heading6"/>
        <w:numPr>
          <w:ilvl w:val="5"/>
          <w:numId w:val="1"/>
        </w:numPr>
        <w:rPr/>
      </w:pPr>
      <w:bookmarkStart w:id="1128" w:name="__RefHeading___Toc162949_3244359995"/>
      <w:bookmarkStart w:id="1129" w:name="_Toc441"/>
      <w:bookmarkEnd w:id="1127"/>
      <w:bookmarkEnd w:id="1128"/>
      <w:r>
        <w:rPr>
          <w:rtl w:val="true"/>
        </w:rPr>
        <w:t>راه ثبوت وطی به زوجه‌ی میّت</w:t>
      </w:r>
      <w:bookmarkEnd w:id="1129"/>
    </w:p>
    <w:p>
      <w:pPr>
        <w:pStyle w:val="BookText"/>
        <w:rPr/>
      </w:pPr>
      <w:r>
        <w:rPr>
          <w:rFonts w:ascii="IRNazanin" w:hAnsi="IRNazanin" w:eastAsia="IRNazanin"/>
          <w:color w:val="111111"/>
          <w:sz w:val="28"/>
          <w:sz w:val="28"/>
          <w:szCs w:val="28"/>
          <w:rtl w:val="true"/>
          <w:lang w:bidi="fa-IR"/>
        </w:rPr>
        <w:t>مباحث گذشته در موردی بود که با میّتی زنا کند؛ امّا اگر با همسر مرده خودش وطی کرد، آیا چهار شاهد لازم است؟</w:t>
      </w:r>
    </w:p>
    <w:p>
      <w:pPr>
        <w:pStyle w:val="BookText"/>
        <w:rPr/>
      </w:pPr>
      <w:r>
        <w:rPr>
          <w:rFonts w:ascii="IRNazanin" w:hAnsi="IRNazanin" w:eastAsia="IRNazanin"/>
          <w:color w:val="111111"/>
          <w:sz w:val="28"/>
          <w:sz w:val="28"/>
          <w:szCs w:val="28"/>
          <w:rtl w:val="true"/>
          <w:lang w:bidi="fa-IR"/>
        </w:rPr>
        <w:t>صاحب جواهر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اطلاق عناوین، لزوم چهار شاهد عادل است؛ هرچند کیفرش تعزیر است</w:t>
      </w:r>
      <w:r>
        <w:rPr>
          <w:rFonts w:eastAsia="IRNazanin" w:cs="IRNazanin"/>
          <w:color w:val="111111"/>
          <w:sz w:val="28"/>
          <w:szCs w:val="28"/>
          <w:rtl w:val="true"/>
          <w:lang w:bidi="fa-IR"/>
        </w:rPr>
        <w:t>.</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نقد نظر صاحب جواهر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کلمات فقها مطرح نشده است؛ دلیل ما در ثبوت زنای با مرده، اطلاقات ادلّه‌ی زنا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ادلّه در مورد وطی با همسر مرده جریان ندارد؛ زیرا، به حسب عرف و شرع به وطی با زوجه زنا اطلاق نمی‌شود، و حدّی بر آن مترتّب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عدم صدق زنا، دلیلی بر لزوم چهار شاهد عادل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مقتضای قاعده کفایت دو شاهد عادل است</w:t>
      </w:r>
      <w:r>
        <w:rPr>
          <w:rFonts w:eastAsia="IRNazanin" w:cs="IRNazanin"/>
          <w:color w:val="111111"/>
          <w:sz w:val="28"/>
          <w:szCs w:val="28"/>
          <w:rtl w:val="true"/>
          <w:lang w:bidi="fa-IR"/>
        </w:rPr>
        <w:t>.</w:t>
      </w:r>
    </w:p>
    <w:p>
      <w:pPr>
        <w:pStyle w:val="Heading5"/>
        <w:numPr>
          <w:ilvl w:val="4"/>
          <w:numId w:val="1"/>
        </w:numPr>
        <w:rPr/>
      </w:pPr>
      <w:bookmarkStart w:id="1130" w:name="__RefHeading___Toc162951_3244359995"/>
      <w:bookmarkStart w:id="1131" w:name="_Toc442"/>
      <w:bookmarkEnd w:id="1130"/>
      <w:r>
        <w:rPr>
          <w:rtl w:val="true"/>
        </w:rPr>
        <w:t>فرع دوّم</w:t>
      </w:r>
      <w:r>
        <w:rPr>
          <w:rtl w:val="true"/>
        </w:rPr>
        <w:t xml:space="preserve">: </w:t>
      </w:r>
      <w:r>
        <w:rPr>
          <w:rtl w:val="true"/>
        </w:rPr>
        <w:t>حکم شهادت زنان</w:t>
      </w:r>
      <w:bookmarkEnd w:id="1131"/>
    </w:p>
    <w:p>
      <w:pPr>
        <w:pStyle w:val="Heading6"/>
        <w:numPr>
          <w:ilvl w:val="5"/>
          <w:numId w:val="1"/>
        </w:numPr>
        <w:rPr/>
      </w:pPr>
      <w:bookmarkStart w:id="1132" w:name="__RefHeading___Toc162953_3244359995"/>
      <w:bookmarkStart w:id="1133" w:name="_Toc443"/>
      <w:bookmarkEnd w:id="1132"/>
      <w:r>
        <w:rPr>
          <w:rtl w:val="true"/>
        </w:rPr>
        <w:t>اشاره</w:t>
      </w:r>
      <w:bookmarkEnd w:id="1133"/>
    </w:p>
    <w:p>
      <w:pPr>
        <w:pStyle w:val="BookText"/>
        <w:rPr/>
      </w:pPr>
      <w:r>
        <w:rPr>
          <w:rFonts w:ascii="IRNazanin" w:hAnsi="IRNazanin" w:eastAsia="IRNazanin"/>
          <w:color w:val="111111"/>
          <w:sz w:val="28"/>
          <w:sz w:val="28"/>
          <w:szCs w:val="28"/>
          <w:rtl w:val="true"/>
          <w:lang w:bidi="fa-IR"/>
        </w:rPr>
        <w:t>در باب زنا این مطلب تقریباً مسلّم بود که با شهادت سه مرد و دو زن، زنا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این‌جا نیز شهادتشان مفید فایده است؟ در این‌جا دو مبنا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امام راحل رحمه الله که به‌طور مکرّر در ابحاث گذشته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زنان به صورت مستقل و منضمّ در باب حدود پذیرفته نمی‌شود؛ و نسبت به زنا فقط تخصیص خورده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مختار ما، کفایت حداقل انضمام در تمام ابواب 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از روایات استفاده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مبنا مطلب روشن است؛ همان‌طور که در باب زنا شهادت سه مرد و دو زن کفایت می‌کرد، در این‌جا نیز با چنین شهادتی، وطی با میّت ثابت می‌گردد؛ و ما دلیلی بر مقبول نبودن شهادت زنان به‌طور کلّی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روایات چنین مطلبی را اقتضا می‌کرد و در مقام ما نیز مانعی از شمول ادلّه وجود ندارد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 مبنای اوّل، امام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شهادت انضمامی کفایت نمی‌کند؛</w:t>
      </w:r>
      <w:bookmarkStart w:id="1134" w:name="pg16923_220573"/>
    </w:p>
    <w:p>
      <w:pPr>
        <w:pStyle w:val="BookText"/>
        <w:rPr/>
      </w:pPr>
      <w:bookmarkEnd w:id="1134"/>
      <w:r>
        <w:rPr>
          <w:rFonts w:ascii="IRNazanin" w:hAnsi="IRNazanin" w:eastAsia="IRNazanin"/>
          <w:color w:val="111111"/>
          <w:sz w:val="28"/>
          <w:sz w:val="28"/>
          <w:szCs w:val="28"/>
          <w:rtl w:val="true"/>
          <w:lang w:bidi="fa-IR"/>
        </w:rPr>
        <w:t>در حالی که در زنای با شخص زنده چنین شهادتی را کافی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علّت این احتیاط،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اصل اوّلی را عدم کفایت شهادت زنان به صورت مستقل و منضمّ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زنا، دلیل خاص بر کفایت شهادت سه مرد و دو زن قائم شده است؛ قدر متیقّن از این دلیل موردی است که با زنده زنا کرده باشد، ولی چنین دلیلی درصورت زنای با مرده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احتیاط اقتضا می‌کند شهادت انضمامی را نپذیریم</w:t>
      </w:r>
      <w:r>
        <w:rPr>
          <w:rFonts w:eastAsia="IRNazanin" w:cs="IRNazanin"/>
          <w:color w:val="111111"/>
          <w:sz w:val="28"/>
          <w:szCs w:val="28"/>
          <w:rtl w:val="true"/>
          <w:lang w:bidi="fa-IR"/>
        </w:rPr>
        <w:t>.</w:t>
      </w:r>
    </w:p>
    <w:p>
      <w:pPr>
        <w:pStyle w:val="Heading6"/>
        <w:numPr>
          <w:ilvl w:val="5"/>
          <w:numId w:val="1"/>
        </w:numPr>
        <w:rPr/>
      </w:pPr>
      <w:bookmarkStart w:id="1135" w:name="__RefHeading___Toc162955_3244359995"/>
      <w:bookmarkStart w:id="1136" w:name="_Toc444"/>
      <w:bookmarkEnd w:id="1135"/>
      <w:r>
        <w:rPr>
          <w:rtl w:val="true"/>
        </w:rPr>
        <w:t>اشکالی بر عبارت تحریرالوسیله</w:t>
      </w:r>
      <w:bookmarkEnd w:id="1136"/>
    </w:p>
    <w:p>
      <w:pPr>
        <w:pStyle w:val="BookText"/>
        <w:rPr/>
      </w:pPr>
      <w:r>
        <w:rPr>
          <w:rFonts w:ascii="IRNazanin" w:hAnsi="IRNazanin" w:eastAsia="IRNazanin"/>
          <w:color w:val="111111"/>
          <w:sz w:val="28"/>
          <w:sz w:val="28"/>
          <w:szCs w:val="28"/>
          <w:rtl w:val="true"/>
          <w:lang w:bidi="fa-IR"/>
        </w:rPr>
        <w:t>امام راحل رحمه الله در مسأله چهارم حدّ لواط و زنای با میّت و تعزیر وطی به همسر مرده را فرمودند، ولی در این مسأله فقط به بیان راه اثبات لواط و زنای با میّت اکتفا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یکی از دو اشکال برایشان وارد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مسامحه‌ی در کلمه زنا،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الزنا بالمیّتة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وطی به اجنبی و زوجه می‌شود؛ در نتیجه، چهار شاهد برای اثبات وطی به زوجه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صحیح نیست؛ زیرا، وطی به زوجه از مصادیق زنا در شرع و عرف نیست؛ و عموم دلیل حجیّت بیّنه آن را شامل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این مطلب نشده‌ایم؛ وجهی برای عدم تعرّض نیست به خصوص با توجّه به اختلاف حکم وطی به اجنبی و وطی به زوجه، باید راه اثباتش را مطرح می‌کردند</w:t>
      </w:r>
      <w:r>
        <w:rPr>
          <w:rFonts w:eastAsia="IRNazanin" w:cs="IRNazanin"/>
          <w:color w:val="111111"/>
          <w:sz w:val="28"/>
          <w:szCs w:val="28"/>
          <w:rtl w:val="true"/>
          <w:lang w:bidi="fa-IR"/>
        </w:rPr>
        <w:t>.</w:t>
      </w:r>
    </w:p>
    <w:p>
      <w:pPr>
        <w:pStyle w:val="Heading5"/>
        <w:numPr>
          <w:ilvl w:val="4"/>
          <w:numId w:val="1"/>
        </w:numPr>
        <w:rPr/>
      </w:pPr>
      <w:bookmarkStart w:id="1137" w:name="__RefHeading___Toc162957_3244359995"/>
      <w:bookmarkStart w:id="1138" w:name="_Toc445"/>
      <w:bookmarkEnd w:id="1137"/>
      <w:r>
        <w:rPr>
          <w:rtl w:val="true"/>
        </w:rPr>
        <w:t>راه اثبات لواط با میّت</w:t>
      </w:r>
      <w:bookmarkEnd w:id="1138"/>
    </w:p>
    <w:p>
      <w:pPr>
        <w:pStyle w:val="BookText"/>
        <w:rPr/>
      </w:pPr>
      <w:r>
        <w:rPr>
          <w:rFonts w:ascii="IRNazanin" w:hAnsi="IRNazanin" w:eastAsia="IRNazanin"/>
          <w:color w:val="111111"/>
          <w:sz w:val="28"/>
          <w:sz w:val="28"/>
          <w:szCs w:val="28"/>
          <w:rtl w:val="true"/>
          <w:lang w:bidi="fa-IR"/>
        </w:rPr>
        <w:t>در مباحث گذشته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لواط با میّت از مصادیق لواط واقعی است؛ یعنی ادلّه‌ای که در حرمت تکلیفی و سایر احکام و آثار لواط وارد شده، اختصاص به لواط با زنده ندارد، بلکه شامل لواط با مرده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اثبات چنین لواطی همانند لواط با زنده به چهار شاهد نیاز دارد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راحل رحمه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لواط به شهادت سه مرد و دو زن بنا بر اقوا ثابت نمی‌شود؛ علّت اقوائیّت این است که بر مبنای ایشان، لواط با زنده فقط به شهادت چهار مرد ثابت می‌گردد</w:t>
      </w:r>
      <w:r>
        <w:rPr>
          <w:rFonts w:eastAsia="IRNazanin" w:cs="IRNazanin"/>
          <w:color w:val="111111"/>
          <w:sz w:val="28"/>
          <w:szCs w:val="28"/>
          <w:rtl w:val="true"/>
          <w:lang w:bidi="fa-IR"/>
        </w:rPr>
        <w:t>.</w:t>
      </w:r>
      <w:bookmarkStart w:id="1139" w:name="pg16923_220574"/>
    </w:p>
    <w:p>
      <w:pPr>
        <w:pStyle w:val="BookText"/>
        <w:rPr/>
      </w:pPr>
      <w:bookmarkEnd w:id="1139"/>
      <w:r>
        <w:rPr>
          <w:rFonts w:ascii="IRNazanin" w:hAnsi="IRNazanin" w:eastAsia="IRNazanin"/>
          <w:color w:val="111111"/>
          <w:sz w:val="28"/>
          <w:sz w:val="28"/>
          <w:szCs w:val="28"/>
          <w:rtl w:val="true"/>
          <w:lang w:bidi="fa-IR"/>
        </w:rPr>
        <w:t>بنابراین، لواط با مرده بنا بر اقوا با شهادت انضمامی مردان و زنان ثابت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بحث، اشکال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استفاده می‌شود شهادت سه مرد و دو زن برای اثبات لواط با زنده کفایت می‌کند؛ و فرقی بین لواط با زنده و لواط با مرده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این‌مورد نیز به کفایت شهادت سه مرد و دو زن فتوا می‌دهیم</w:t>
      </w:r>
      <w:r>
        <w:rPr>
          <w:rFonts w:eastAsia="IRNazanin" w:cs="IRNazanin"/>
          <w:color w:val="111111"/>
          <w:sz w:val="28"/>
          <w:szCs w:val="28"/>
          <w:rtl w:val="true"/>
          <w:lang w:bidi="fa-IR"/>
        </w:rPr>
        <w:t>.</w:t>
      </w:r>
    </w:p>
    <w:p>
      <w:pPr>
        <w:pStyle w:val="Heading5"/>
        <w:numPr>
          <w:ilvl w:val="4"/>
          <w:numId w:val="1"/>
        </w:numPr>
        <w:rPr/>
      </w:pPr>
      <w:bookmarkStart w:id="1140" w:name="__RefHeading___Toc162959_3244359995"/>
      <w:bookmarkStart w:id="1141" w:name="_Toc446"/>
      <w:bookmarkEnd w:id="1140"/>
      <w:r>
        <w:rPr>
          <w:rtl w:val="true"/>
        </w:rPr>
        <w:t>فرع سوّم</w:t>
      </w:r>
      <w:r>
        <w:rPr>
          <w:rtl w:val="true"/>
        </w:rPr>
        <w:t xml:space="preserve">: </w:t>
      </w:r>
      <w:r>
        <w:rPr>
          <w:rtl w:val="true"/>
        </w:rPr>
        <w:t>ثبوت وطی میّت به‌وسیله‌ی اقرار</w:t>
      </w:r>
      <w:bookmarkEnd w:id="1141"/>
    </w:p>
    <w:p>
      <w:pPr>
        <w:pStyle w:val="BookText"/>
        <w:rPr/>
      </w:pPr>
      <w:r>
        <w:rPr>
          <w:rFonts w:ascii="IRNazanin" w:hAnsi="IRNazanin" w:eastAsia="IRNazanin"/>
          <w:color w:val="111111"/>
          <w:sz w:val="28"/>
          <w:sz w:val="28"/>
          <w:szCs w:val="28"/>
          <w:rtl w:val="true"/>
          <w:lang w:bidi="fa-IR"/>
        </w:rPr>
        <w:t>مسأله اقرار تابع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شهادت دو عادل را برای ثبوت وطی با میّت کافی می‌دانستند، باید به دو مرتبه اقرار اکتفا کرده، حکم زنا را در این‌جا مترتّب نکنند؛ ولی بر مبنای ما که شهادت چهار عادل معتبر است، برای ثبوت لواط به وسیله اقرار نیز چهار مرتبه اقرار لازم است</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الإقرار فتابع للشهادة، فمن اعتبر فی الشهود أربعة اعتبر فی الإقرار مثله، ومن اقتصر علی شاهدین قال فی الإقرار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Style w:val="FootnoteAnchor"/>
          <w:rtl w:val="true"/>
        </w:rPr>
        <w:footnoteReference w:id="781"/>
      </w:r>
      <w:bookmarkStart w:id="1142" w:name="pg16923_220575"/>
    </w:p>
    <w:p>
      <w:pPr>
        <w:pStyle w:val="BookText"/>
        <w:rPr/>
      </w:pPr>
      <w:bookmarkEnd w:id="11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تعزیر الاستمناء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استمنی بیده أو بغیرها من أعضائه عزّر، ویقدّر بنظر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ویثبت ذلک بشهادة عدلین والإقرار، ولا یثبت بشهادة النساء منضمّات ولا منفردات</w:t>
      </w:r>
      <w:r>
        <w:rPr>
          <w:rFonts w:eastAsia="IRNazanin" w:cs="IRNazanin"/>
          <w:color w:val="111111"/>
          <w:sz w:val="28"/>
          <w:szCs w:val="28"/>
          <w:rtl w:val="true"/>
          <w:lang w:bidi="fa-IR"/>
        </w:rPr>
        <w:t>.]</w:t>
      </w:r>
    </w:p>
    <w:p>
      <w:pPr>
        <w:pStyle w:val="Heading4"/>
        <w:numPr>
          <w:ilvl w:val="3"/>
          <w:numId w:val="1"/>
        </w:numPr>
        <w:rPr/>
      </w:pPr>
      <w:bookmarkStart w:id="1143" w:name="__RefHeading___Toc162961_3244359995"/>
      <w:bookmarkStart w:id="1144" w:name="_Toc447"/>
      <w:bookmarkEnd w:id="1143"/>
      <w:r>
        <w:rPr>
          <w:rtl w:val="true"/>
        </w:rPr>
        <w:t>عقوبت استمنا</w:t>
      </w:r>
      <w:bookmarkEnd w:id="1144"/>
    </w:p>
    <w:p>
      <w:pPr>
        <w:pStyle w:val="Heading5"/>
        <w:numPr>
          <w:ilvl w:val="4"/>
          <w:numId w:val="1"/>
        </w:numPr>
        <w:rPr/>
      </w:pPr>
      <w:bookmarkStart w:id="1145" w:name="__RefHeading___Toc162963_3244359995"/>
      <w:bookmarkStart w:id="1146" w:name="_Toc448"/>
      <w:bookmarkEnd w:id="1145"/>
      <w:r>
        <w:rPr>
          <w:rtl w:val="true"/>
        </w:rPr>
        <w:t>اشاره</w:t>
      </w:r>
      <w:bookmarkEnd w:id="1146"/>
    </w:p>
    <w:p>
      <w:pPr>
        <w:pStyle w:val="BookText"/>
        <w:rPr/>
      </w:pPr>
      <w:r>
        <w:rPr>
          <w:rFonts w:ascii="IRNazanin" w:hAnsi="IRNazanin" w:eastAsia="IRNazanin"/>
          <w:color w:val="111111"/>
          <w:sz w:val="28"/>
          <w:sz w:val="28"/>
          <w:szCs w:val="28"/>
          <w:rtl w:val="true"/>
          <w:lang w:bidi="fa-IR"/>
        </w:rPr>
        <w:t>هر کسی با دست یا اعضای دیگرش استمنا کند، باید تعزیر گردد؛ مقدار تعزیر به رأی و نظر حاکم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استمنا به شهادت دو عادل و اقرار ثابت می‌شود؛ ولی شهادت زنان به صورت مستقل و یا منضمّ با مردان معتبر نیست</w:t>
      </w:r>
      <w:r>
        <w:rPr>
          <w:rFonts w:eastAsia="IRNazanin" w:cs="IRNazanin"/>
          <w:color w:val="111111"/>
          <w:sz w:val="28"/>
          <w:szCs w:val="28"/>
          <w:rtl w:val="true"/>
          <w:lang w:bidi="fa-IR"/>
        </w:rPr>
        <w:t>.</w:t>
      </w:r>
    </w:p>
    <w:p>
      <w:pPr>
        <w:pStyle w:val="Heading5"/>
        <w:numPr>
          <w:ilvl w:val="4"/>
          <w:numId w:val="1"/>
        </w:numPr>
        <w:rPr/>
      </w:pPr>
      <w:bookmarkStart w:id="1147" w:name="__RefHeading___Toc162965_3244359995"/>
      <w:bookmarkStart w:id="1148" w:name="_Toc449"/>
      <w:bookmarkEnd w:id="1147"/>
      <w:r>
        <w:rPr>
          <w:rtl w:val="true"/>
        </w:rPr>
        <w:t>دلیل حرمت استمنا</w:t>
      </w:r>
      <w:bookmarkEnd w:id="1148"/>
    </w:p>
    <w:p>
      <w:pPr>
        <w:pStyle w:val="BookText"/>
        <w:rPr/>
      </w:pPr>
      <w:r>
        <w:rPr>
          <w:rFonts w:ascii="Amiri" w:hAnsi="Amiri" w:eastAsia="Amiri" w:cs="Amiri"/>
          <w:color w:val="111111"/>
          <w:sz w:val="28"/>
          <w:sz w:val="28"/>
          <w:szCs w:val="28"/>
          <w:rtl w:val="true"/>
          <w:lang w:bidi="ar-SA"/>
        </w:rPr>
        <w:t>در قسمتی از روایات بر حرمت استمنا به آیه‌ی شریفه سوره‌ی مؤمنون استدلال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لِفُرُوجِهِمْ حفِظُونَ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عَلَی أَزْوَ جِهِمْ أَوْ مَا مَلَکَتْ أَیْمنُهُمْ فَإِنَّهُمْ غَیْرُ مَلُومِینَ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ابْتَغَی وَرَآءَ ذَ لِکَ فَأُوْللِکَ هُمُ الْعَادُونَ؛</w:t>
      </w:r>
      <w:r>
        <w:rPr>
          <w:rStyle w:val="FootnoteAnchor"/>
          <w:rtl w:val="true"/>
        </w:rPr>
        <w:footnoteReference w:id="7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کسانی هستند که عورت‌های خود را حافظاند، مگر برای همسران و کنیزانشان؛ کسانی که از این موارد تعدّی کنند و به دنبال مورد دیگری بروند، افراد متجاوزی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ابْتَغَی وَرَآءَ ذَ لِکَ عنوان عامّی است که شامل لواط، زنا، استمنا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آلت ذکوریّت و انوثیّت است؛ که اگر در غیر رابطه‌ی ازدواج و کنیزان به کار رود، بر فاعل عنوان تجاوزگر، معصیت‌کار و متخلّف از قانون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آیه‌ی شریفه، بر حرمت این عمل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نیز برای اثبات حرمت به همین آیه تمسّک شده است</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بن محمّد بن عیسی فی نوادره،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الصادق علیه السلام عن الخضخضة،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إثم عظیم قد نهی اللَّه عنه فی کتابه وفاعله کناکح نفسه،</w:t>
      </w:r>
    </w:p>
    <w:p>
      <w:pPr>
        <w:pStyle w:val="BookText"/>
        <w:rPr/>
      </w:pPr>
      <w:r>
        <w:rPr>
          <w:rFonts w:ascii="IRNazanin" w:hAnsi="IRNazanin" w:eastAsia="IRNazanin"/>
          <w:color w:val="111111"/>
          <w:sz w:val="28"/>
          <w:sz w:val="28"/>
          <w:szCs w:val="28"/>
          <w:rtl w:val="true"/>
          <w:lang w:bidi="fa-IR"/>
        </w:rPr>
        <w:t>ولو علمت بما یفعله ما أکلت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 لی یابن رسول اللَّه من کتاب اللَّه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ابْتَغَی وَرَآءَ ذَ لِکَ فَأُوْللِکَ هُمُ الْعَادُونَ وهو ممّا وراء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أکبر؟ الزّنا أو هی؟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ذنب عظیم، قد قال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 الذنب أهون من بعض، والذّنوب کلّها عظیم عند اللَّه لأنّها معاصی، وأنّ اللَّه لا یحبّ من العباد العصیان، وقد نهانا اللَّه عن ذلک لأنّها من عمل الشّیطان، وقد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تَعْبُدُواْ الشَّیْطنَ، إِنَّ الشَّیْطنَ لَکُمْ عَدُوٌّ فَاتَّخِذُوهُ عَدُوًّا إِنَّمَا یَدْعُواْ حِزْبَهُ‌و لِیَکُونُواْ مِنْ أَصْحبِ السَّعِیرِ</w:t>
      </w:r>
      <w:r>
        <w:rPr>
          <w:rFonts w:eastAsia="Amiri" w:cs="Amiri" w:ascii="Amiri" w:hAnsi="Amiri"/>
          <w:color w:val="111111"/>
          <w:sz w:val="28"/>
          <w:szCs w:val="28"/>
          <w:rtl w:val="true"/>
          <w:lang w:bidi="ar-SA"/>
        </w:rPr>
        <w:t>.</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صاحب وسائل رحمه الله به‌طور مستقیم از نوادر احمد بن محمّد بن عیسی که از اصول اربعمأة است،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عیسی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صادق علیه السلام از حکم استمنا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گناه کبیره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کتابش از آن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فاعلش مانند کسی است که با خودش وطی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علمت بمن یفعله ما أکلت 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صیغه‌ی متکلّم وحده و مخاطب می‌توان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خبردار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استمنا می‌کند، هیچ وقت حاضر نمی‌شوم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هم غذا گردم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غالباً با دست استمنا می‌کنند؛ و از طرفی دست، وسیله‌ی غذا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کجای قرآن، از این عمل نهی شده است؟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خداوند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غیر از آن موارد را بجوید متجاوز است؛ و استمنا از مصادیق وَراءَ ذلِکَ می‌باشد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سائل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زنا بزرگ‌تر است یا گناه استمنا؟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سؤال بیانگر آن است که</w:t>
      </w:r>
    </w:p>
    <w:p>
      <w:pPr>
        <w:pStyle w:val="BookText"/>
        <w:rPr/>
      </w:pPr>
      <w:r>
        <w:rPr>
          <w:rFonts w:ascii="IRNazanin" w:hAnsi="IRNazanin" w:eastAsia="IRNazanin"/>
          <w:color w:val="111111"/>
          <w:sz w:val="28"/>
          <w:sz w:val="28"/>
          <w:szCs w:val="28"/>
          <w:rtl w:val="true"/>
          <w:lang w:bidi="fa-IR"/>
        </w:rPr>
        <w:t>سائل فهمید استمنا از گناهان کبیره است؛ و الّا اگر از گناهان صغیره بود، این سؤال معنا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استمنا گناهی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امام علیه السلام به یک معنا از پاسخ دادن فرار کردند؛ زیرا،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گناهش سنگین‌تر از زنا است مردم به سوی زنا می‌روند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گناهش کمتر از استمنا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زنا را از استمنا مهم‌تر بداند، مسأله‌ی استمنا یک عمل بی‌اهمیّت برای مردم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بین زنا و استمنا مقایسه کنی، استمنا یکی از گناهان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روایت محمّد بن عیسی بر حرمت و کبیره بودن گناه استمنا دلالت دارد؛ بر ارتکاب گناه کبیره نیز تعزیر ثابت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عدّة من أصحابنا عن أحمد بن محمّد بن خالد، عن العلاء بن رزین، عن رجل،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الخضخضة،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من الفواحش، ونکاح الأمة خیر منه</w:t>
      </w:r>
      <w:r>
        <w:rPr>
          <w:rFonts w:eastAsia="IRNazanin" w:cs="IRNazanin"/>
          <w:color w:val="111111"/>
          <w:sz w:val="28"/>
          <w:szCs w:val="28"/>
          <w:rtl w:val="true"/>
          <w:lang w:bidi="fa-IR"/>
        </w:rPr>
        <w:t>.</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مرسله، مردی از امام صادق علیه السلام از حکم استمنا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از فواحش است؛ و نکاح کنیز بهتر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مطلق معاصی فاحشه گفته نمی‌شود تا در گناه کبیره بودنش تردید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بر گناهانی همانند لواط، زنا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فاحشه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أَتَأْتُونَ الْفحِشَةَ مَا سَبَقَکُم بِهَا مِنْ أَحَدٍ مّنَ الْعلَمِینَ</w:t>
      </w:r>
      <w:r>
        <w:rPr>
          <w:rStyle w:val="FootnoteAnchor"/>
          <w:rtl w:val="true"/>
        </w:rPr>
        <w:footnoteReference w:id="785"/>
      </w:r>
      <w:r>
        <w:rPr>
          <w:rFonts w:ascii="Amiri" w:hAnsi="Amiri" w:eastAsia="Amiri" w:cs="Amiri"/>
          <w:color w:val="111111"/>
          <w:sz w:val="28"/>
          <w:sz w:val="28"/>
          <w:szCs w:val="28"/>
          <w:rtl w:val="true"/>
          <w:lang w:bidi="ar-SA"/>
        </w:rPr>
        <w:t>، وَ لَاتَقْرَبُواْ الزّنَی إِنَّهُ‌و کَانَ فحِشَةً وَسَآءَ سَبِیلًا</w:t>
      </w:r>
      <w:r>
        <w:rPr>
          <w:rStyle w:val="FootnoteAnchor"/>
          <w:rtl w:val="true"/>
        </w:rPr>
        <w:footnoteReference w:id="786"/>
      </w:r>
      <w:r>
        <w:rPr>
          <w:rFonts w:ascii="IRNazanin" w:hAnsi="IRNazanin" w:eastAsia="IRNazanin"/>
          <w:color w:val="111111"/>
          <w:sz w:val="28"/>
          <w:sz w:val="28"/>
          <w:szCs w:val="28"/>
          <w:rtl w:val="true"/>
          <w:lang w:bidi="fa-IR"/>
        </w:rPr>
        <w:t>بنابراین، شبهه‌ای در کبیره بودن گناه استمنا نیست</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محمّد بن یحیی، عن أحمد بن محمّد، عن أحمد بن الحسن، عن عمرو بن سعید، عن مصدّق بن صدقة، عن عمّار بن موسی، عن أبی عبداللَّه علیه السلام فی الرجل ینکح بهیمة أو یدلّک؟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أنزل به ماءه الرّجل من هذا وشبهه فهو زنا</w:t>
      </w:r>
      <w:r>
        <w:rPr>
          <w:rFonts w:eastAsia="IRNazanin" w:cs="IRNazanin"/>
          <w:color w:val="111111"/>
          <w:sz w:val="28"/>
          <w:szCs w:val="28"/>
          <w:rtl w:val="true"/>
          <w:lang w:bidi="fa-IR"/>
        </w:rPr>
        <w:t>.</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موسی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مردی که با بهیمه جمع می‌شود یا استمنا می‌کند، چیست؟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که سبب انزال منی مرد گردد، خواه به وطی بهیمه باشد یا به استمنا و مانند آن حکم زنا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امام علیه السلام، در حقیقت، عبارت استعاره‌ای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حرمتی که در باب زنا ثابت است، در نکاح بهیمه و استمنا نیز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بودیم و همین روایت، این روایت حدّ زنا را نیز بر استمنا ثابت می‌کرد؛ لیکن به واسطه‌ی قرائن دیگر، به این مطلب ملتزم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از آن، تشبیه در حرمت و شدّت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أبیه، عن سعد بن عبداللَّه، عن محمّد بن خالد الطیالسی، عن عبدالرّحمن بن عون، عن أبی نجران التمیمی، عن عاصم بن حمید،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لا یکلّمهم اللَّه یوم القیامة ولا ینظر إلیهم ولا یزکّیهم ولهم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الناتف شیبه، والناکح نفسه والمنکوح فی دبره</w:t>
      </w:r>
      <w:r>
        <w:rPr>
          <w:rFonts w:eastAsia="IRNazanin" w:cs="IRNazanin"/>
          <w:color w:val="111111"/>
          <w:sz w:val="28"/>
          <w:szCs w:val="28"/>
          <w:rtl w:val="true"/>
          <w:lang w:bidi="fa-IR"/>
        </w:rPr>
        <w:t>.</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قیامت با سه گروه سخن نمی‌گوید؛ به آنان نظر لطف ندارد و آنان را تزکیه نمی‌کند؛ و برایشان عذاب دردناک ثابت است</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پیری ریشش را بتراشد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شیب، به موی سفید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ضعیف می‌دهیم مقصود کسی است که موهای سفیدی که در صورتش پیدا می‌شود را بکند</w:t>
      </w:r>
    </w:p>
    <w:p>
      <w:pPr>
        <w:pStyle w:val="BookText"/>
        <w:rPr/>
      </w:pPr>
      <w:r>
        <w:rPr>
          <w:rFonts w:ascii="IRNazanin" w:hAnsi="IRNazanin" w:eastAsia="IRNazanin"/>
          <w:color w:val="111111"/>
          <w:sz w:val="28"/>
          <w:sz w:val="28"/>
          <w:szCs w:val="28"/>
          <w:rtl w:val="true"/>
          <w:lang w:bidi="fa-IR"/>
        </w:rPr>
        <w:t>و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معنا مقصود باشد، دلیلی بر حرمتش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دست یا سایر اعضایش استمنا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ملوط و مفعول واقع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روایات که در آن‌ها صحیحه و موثّقه نیز وجود دارد، بدون شکّ و تردید،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استمنا از گناهان کبیره است؛ بنابراین، فاعل آن را باید تعزیر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منافی با روایات گذشته</w:t>
      </w:r>
    </w:p>
    <w:p>
      <w:pPr>
        <w:pStyle w:val="BookText"/>
        <w:rPr/>
      </w:pPr>
      <w:r>
        <w:rPr>
          <w:rFonts w:ascii="IRNazanin" w:hAnsi="IRNazanin" w:eastAsia="IRNazanin"/>
          <w:color w:val="111111"/>
          <w:sz w:val="28"/>
          <w:sz w:val="28"/>
          <w:szCs w:val="28"/>
          <w:rtl w:val="true"/>
          <w:lang w:bidi="fa-IR"/>
        </w:rPr>
        <w:t>وعنه، عن البرقی، عن ثعلبة بن میمون وحسین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رجل یعبث بیده حتّی ینزل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به ولم یبلغ به ذاک شیئاً</w:t>
      </w:r>
      <w:r>
        <w:rPr>
          <w:rFonts w:eastAsia="IRNazanin" w:cs="IRNazanin"/>
          <w:color w:val="111111"/>
          <w:sz w:val="28"/>
          <w:szCs w:val="28"/>
          <w:rtl w:val="true"/>
          <w:lang w:bidi="fa-IR"/>
        </w:rPr>
        <w:t>.</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معتبر است؛ هرچند حسین بن زرارة توثیق نشده است؛ امّا راوی دیگر یعنی ثعلبة بن میمون توثیق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از امام باقر علیه السلام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دستش بازی می‌کند تا منی انزال می‌شود؛ حکمش چیست؟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یبلغ به ذاک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حدّی که عنوان زنا یا لواط پیدا کند،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عناوین محرّمه‌ای که در آن‌ها بأس است،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در زنا و لواط هست، گریبان این فرد را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 تنافی روایت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یعبث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احتمال دارد مقصودش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یعبث بیده مع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نگفته است با دستش با چه چیزی بازی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عملش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استمتاع‌های مرد از زوجه یا کنیزش، عبث با دست است که اگر به دنبالش انزال شود، اشکالی ندارد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رحمه الله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 معیّن و مقرّری</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معانی حدّ، مقدار و اندازه است؛ امّا روایت، تعزیر را به حسب آن‌چه حاکم مصلحت می‌بیند، نفی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دو حمل پذیرفته شود، نوبت به اعمال قواعد باب تعارض نمی‌رسد؛ ولی اگر آن‌ها را ردّ کردیم و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یعبث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استمنا دارد، تعارض مستقر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شهرت فتوایی با روایات دسته‌ی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حرمت استمنا، بلکه شدّت حرمتش اثبات می‌گردد؛ و یکی از گناهان کبیره به شمار می‌آید و تعزیرش به حسب نظر حاکم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تمام موارد تعزیر رأی و تشخیص حاکم ملاک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روایتی در مورد کیفر استمنا رسیده که ممکن است ایجاد شبهه کند؛ مبنی بر این که شاید تعزیر در باب استمنا همین عقوبتی باشد که امیرمؤمنان علیه السلام در حقّ آن مرد اجرا کردند و ما حقّ تعدّی از آن را نداشته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وبإسناده عن أحمد بن محمّد، عن البرقی، عن ابن فضّال، عن أبی جمیلة،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اتی برجل عبث بذکره حتّی أنزل، فضرب یده حتّی احمرّت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اعلمه إلّاقال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وزوّجه من بیت مال المسلمین</w:t>
      </w:r>
      <w:r>
        <w:rPr>
          <w:rFonts w:eastAsia="IRNazanin" w:cs="IRNazanin"/>
          <w:color w:val="111111"/>
          <w:sz w:val="28"/>
          <w:szCs w:val="28"/>
          <w:rtl w:val="true"/>
          <w:lang w:bidi="fa-IR"/>
        </w:rPr>
        <w:t>.</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که استمنا کرده بود، نزد امیرمؤمنان علیه السلام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آن قدر با تازیانه به دستش زدند که دستش سرخ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برایش از بیت‌المال مسلمانان زن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به دو نکته باید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زدن دست تا این که سرخ شود، به عنوان تعزیر استمنا متعیّن است؟</w:t>
      </w:r>
    </w:p>
    <w:p>
      <w:pPr>
        <w:pStyle w:val="BookText"/>
        <w:rPr/>
      </w:pPr>
      <w:r>
        <w:rPr>
          <w:rFonts w:ascii="IRNazanin" w:hAnsi="IRNazanin" w:eastAsia="IRNazanin"/>
          <w:color w:val="111111"/>
          <w:sz w:val="28"/>
          <w:sz w:val="28"/>
          <w:szCs w:val="28"/>
          <w:rtl w:val="true"/>
          <w:lang w:bidi="fa-IR"/>
        </w:rPr>
        <w:t>یعنی اگر حاکم شرعی مصلحت را در نوع دیگری از تعزیر دانست، حقّ ندارد آن را اجرا کند؛ و باید به همین صورت مجرم را کیفر دهد؟</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از روایت استفاده نمی‌شود؛ بلکه چنین کیفری یکی از انواع تعزیر است</w:t>
      </w:r>
      <w:r>
        <w:rPr>
          <w:rFonts w:eastAsia="IRNazanin" w:cs="IRNazanin"/>
          <w:color w:val="111111"/>
          <w:sz w:val="28"/>
          <w:szCs w:val="28"/>
          <w:rtl w:val="true"/>
          <w:lang w:bidi="fa-IR"/>
        </w:rPr>
        <w:t>.</w:t>
      </w:r>
      <w:bookmarkStart w:id="1149" w:name="pg16923_220581"/>
    </w:p>
    <w:p>
      <w:pPr>
        <w:pStyle w:val="BookText"/>
        <w:rPr/>
      </w:pPr>
      <w:bookmarkEnd w:id="1149"/>
      <w:r>
        <w:rPr>
          <w:rFonts w:ascii="IRNazanin" w:hAnsi="IRNazanin" w:eastAsia="IRNazanin"/>
          <w:color w:val="111111"/>
          <w:sz w:val="28"/>
          <w:sz w:val="28"/>
          <w:szCs w:val="28"/>
          <w:rtl w:val="true"/>
          <w:lang w:bidi="fa-IR"/>
        </w:rPr>
        <w:t>نکته‌ی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کسی استمنا کرد و او را کیفر دادند، باید از بیت‌المال برایش زن بگیرند؟ به گفته‌ی مرحوم محقّق رحمه الله در شرایع، امام علیه السلام مصلحت دیده‌اند او را زن بدهند؛ این ربطی به استمنا ندارد؛ اگر آن حضرت امکانات داشت، برای هر جوان عزب فقیر از بیت‌المال زن می‌گرفت؛ خواه مرتکب استمنا شده بود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دلالتی بر تعیّن تعزیر مخصوص در باب استمنا و وجوب تزویج مستمنی از بیت‌المال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هر کیفیّتی حاکم مصلحت دید،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استمنا مانند موارد دیگر، اگر سه‌بار مجرم را تعزیر کردند و باز مرتکب این گناه شد، در مرتبه‌ی چهارم او را می‌کشند</w:t>
      </w:r>
      <w:r>
        <w:rPr>
          <w:rFonts w:eastAsia="IRNazanin" w:cs="IRNazanin"/>
          <w:color w:val="111111"/>
          <w:sz w:val="28"/>
          <w:szCs w:val="28"/>
          <w:rtl w:val="true"/>
          <w:lang w:bidi="fa-IR"/>
        </w:rPr>
        <w:t>.</w:t>
      </w:r>
    </w:p>
    <w:p>
      <w:pPr>
        <w:pStyle w:val="Heading5"/>
        <w:numPr>
          <w:ilvl w:val="4"/>
          <w:numId w:val="1"/>
        </w:numPr>
        <w:rPr/>
      </w:pPr>
      <w:bookmarkStart w:id="1150" w:name="__RefHeading___Toc162967_3244359995"/>
      <w:bookmarkStart w:id="1151" w:name="_Toc450"/>
      <w:bookmarkEnd w:id="1150"/>
      <w:r>
        <w:rPr>
          <w:rtl w:val="true"/>
        </w:rPr>
        <w:t>راه ثبوت استمنا</w:t>
      </w:r>
      <w:bookmarkEnd w:id="1151"/>
    </w:p>
    <w:p>
      <w:pPr>
        <w:pStyle w:val="BookText"/>
        <w:rPr/>
      </w:pPr>
      <w:r>
        <w:rPr>
          <w:rFonts w:ascii="IRNazanin" w:hAnsi="IRNazanin" w:eastAsia="IRNazanin"/>
          <w:color w:val="111111"/>
          <w:sz w:val="28"/>
          <w:sz w:val="28"/>
          <w:szCs w:val="28"/>
          <w:rtl w:val="true"/>
          <w:lang w:bidi="fa-IR"/>
        </w:rPr>
        <w:t>امام راحل رحمه الله پس از بیان تعزیر و مقدار آن، راه‌های اثبات استمنا را معرّفی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ویثبت ذلک بشهادة عدلین والإقرار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عموم ادلّه‌ی حجّیت بیّنه، ثبوت استمنا به دو شاهد عادل است؛ زیرا، دلیل خاصّی بر اعتبار بیش از دو شاهد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ویثبت ذلک بشهادة عدلین کاللواط</w:t>
      </w:r>
      <w:r>
        <w:rPr>
          <w:rFonts w:eastAsia="IRNazanin" w:cs="IRNazanin"/>
          <w:color w:val="111111"/>
          <w:sz w:val="28"/>
          <w:szCs w:val="28"/>
          <w:rtl w:val="true"/>
          <w:lang w:bidi="fa-IR"/>
        </w:rPr>
        <w:t>»</w:t>
      </w:r>
      <w:r>
        <w:rPr>
          <w:rStyle w:val="FootnoteAnchor"/>
          <w:rtl w:val="true"/>
        </w:rPr>
        <w:footnoteReference w:id="791"/>
      </w:r>
      <w:r>
        <w:rPr>
          <w:rFonts w:ascii="IRNazanin" w:hAnsi="IRNazanin" w:eastAsia="IRNazanin"/>
          <w:color w:val="111111"/>
          <w:sz w:val="28"/>
          <w:sz w:val="28"/>
          <w:szCs w:val="28"/>
          <w:rtl w:val="true"/>
          <w:lang w:bidi="fa-IR"/>
        </w:rPr>
        <w:t>ظاهراً در این عبارت اشتباه شده و سهو قلمی پیش آمده است؛ زیرا، لواط از زنا غلیظتر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در زنا، شهادت سه مرد عادل و دو زن را کافی می‌دانستند؛ ولی در باب لواط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چهار مرد عادل شهادت دهند، و شهادت انضمامی کفایت نمی‌کند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دیگر اثبات استمنا، اقرار واحد از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 جایز</w:t>
      </w:r>
      <w:r>
        <w:rPr>
          <w:rFonts w:eastAsia="IRNazanin" w:cs="IRNazanin"/>
          <w:color w:val="111111"/>
          <w:sz w:val="28"/>
          <w:szCs w:val="28"/>
          <w:rtl w:val="true"/>
          <w:lang w:bidi="fa-IR"/>
        </w:rPr>
        <w:t>»</w:t>
      </w:r>
      <w:r>
        <w:rPr>
          <w:rStyle w:val="FootnoteAnchor"/>
          <w:rtl w:val="true"/>
        </w:rPr>
        <w:footnoteReference w:id="792"/>
      </w:r>
      <w:r>
        <w:rPr>
          <w:rFonts w:ascii="IRNazanin" w:hAnsi="IRNazanin" w:eastAsia="IRNazanin"/>
          <w:color w:val="111111"/>
          <w:sz w:val="28"/>
          <w:sz w:val="28"/>
          <w:szCs w:val="28"/>
          <w:rtl w:val="true"/>
          <w:lang w:bidi="fa-IR"/>
        </w:rPr>
        <w:t>اقتضا می‌کند با یک مرتبه اقرار نیز استمنا ثابت شود؛ و ما دلیلی بر تخصیص این عموم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زنا، بر اعتبار چهار اقرار دلیل داشتیم؛ در باب سرقت، برای ثبوت حدّ به سبب ورود دلیل خاص دو اقرار لازم بود؛ ولی در این مورد، دلیل خاصّی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مسمّای اقرار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راحل رحمه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استمنا به شهادت زنان به صورت انضمام و استقلال ثابت نمی‌شود؛ و ما در بحث‌های گذشته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استقلال شهادت زنان مفید فایده نیست؛ ولی به صورت انضمام، یعنی با شهادت یک مرد عادل و دو زن عادل، استمنا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حدود در کلام امام راحل رحمه الله در تحریرالوسیله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مسائلی را تحت عنوان دفاع از نفس و مال و مانند آن مطرح کردند که امام راحل این مسائل را در خاتمه‌ی کتاب امر به معروف و نهی از منکر آورده‌اند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وآخر دعوانا أن الحمد للَّه‌ربّ العالمین</w:t>
      </w:r>
      <w:bookmarkStart w:id="1152" w:name="pg16923_220584"/>
    </w:p>
    <w:p>
      <w:pPr>
        <w:pStyle w:val="Heading2"/>
        <w:numPr>
          <w:ilvl w:val="1"/>
          <w:numId w:val="1"/>
        </w:numPr>
        <w:rPr/>
      </w:pPr>
      <w:bookmarkStart w:id="1153" w:name="__RefHeading___Toc162969_3244359995"/>
      <w:bookmarkStart w:id="1154" w:name="_Toc451"/>
      <w:bookmarkEnd w:id="1152"/>
      <w:bookmarkEnd w:id="1153"/>
      <w:r>
        <w:rPr>
          <w:rtl w:val="true"/>
        </w:rPr>
        <w:t>فهرست منابع</w:t>
      </w:r>
      <w:bookmarkEnd w:id="115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الإحکام فی أصول الأحکام، علی بن محمّد الآمدی، بیروت، دار الکتاب العربی، الطبعة الثالثة،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أحکام القرآن، ابوبکر احمد بن علی الرازی الجصّاص، بیروت، دار إحیاء التراث العربی،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معرفة الرجال، معروف به رجال الکشّی، محمّد بن الحسن الطوسی، دانشگاه مشهد، الطبعة الاولی،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محمّد بن محمّد بن النعمان، معروف به شیخ مفید، بیروت، دار المفید، 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الأذهان إلی أحکام الإیمان، حسن بن یوسف بن المطهّر الحلّی، قم، مؤسسة النشر الإسلامی، الطبعة 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الإستبصار فیما اختلف من الأخبار، محمّد بن الحسن الطوسی، تهران، دار الکتب الإسلامیة، الطبعة الثالثة،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أسهل المدارک، ابوبکر بن حسن الکشناوی، بیروت، دار الکتب العلمیة، الطبعة الاولی،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إصباح الشیعة، محمّد بن الحسین البیهقی الکیدری، قم، مؤسّسة الإمام الصادق علیه السلام، الطبعة الاولی،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إفاضة القدیر فی أحکام العصیر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 به همراه قاعده لا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فتح اللَّه بن محمّد جواد النمازی الشیرازی، مشهور به شیخ الشریعة الإصفهانی، قم، مؤسّسة النشر الإسلامی،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أقرب الموارد، سعید الشرتونی، بیروت، مکتبة لبنان، الطبعة الثانیة،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 محمّد بن ادریس الشافعی، بیروت، دار المعرفة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الإنتصار، سید علی بن الحسین الموسوی، معروف به شریف مرتضی علم الهدی، قم، مؤسّسة النشر الإسلامی،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إیضاح الفوائد فی شرح إشکالات القواعد، فخر المحقّقین محمّد بن الحسن بن یوسف بن المطهّر، قم، المطبعة العلمیة، الطبعة الاولی،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علّامه محمّد باقر بن محمّد تقی المجلسی، تهران، دار الکتب الإسلامیة،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بدائع الصنائع فی ترتیب الشرائع، ابوبکر بن سعود الکاسانی، بیروت، دار إحیاء التراث العربی، 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بدایة المجتهد ونهایة المقتصد، محمّد بن احمد بن رشد القرطبی، قم، منشورات الشریف الرضی،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فی تفسیر القرآن، سید هاشم البحرانی، قم، دار 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تبصرة المتعلِّمین، علّامه جمال الدین الحسن بن یوسف بن المطهّر الحلّی، تهران، وزارت فرهنگ و ارشاد اسلامی،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التبیان فی تفسیر القرآن، محمّد بن الحسن الطوسی، بیروت، مؤسّسة الأعلمی للمطبوعات،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افست از روی چاپ نجف اشرف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الأحکام، علّامه جمال الدین الحسن بن یوسف بن المطهّر الحلّی، قم، مؤسّسة آل‌البیت علیهم السلام لإحیاء التراث، چاپ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الوسیلة، امام خمینی، قم، مؤسّسة النشر الإسلامی، الطبعة السادسة،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التحصین لأسرار ما زاد من أخبار کتاب الیقین، علی بن موسی بن طاووس الحلّی، قم، مؤسّسة دار الکتاب،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 عن آل الرسول صلی الله علیه و آله، حسن بن علی بن الحسین بن شعبة الحرّانی، قم، مؤسّسة</w:t>
      </w:r>
    </w:p>
    <w:p>
      <w:pPr>
        <w:pStyle w:val="BookText"/>
        <w:rPr/>
      </w:pPr>
      <w:r>
        <w:rPr>
          <w:rFonts w:ascii="IRNazanin" w:hAnsi="IRNazanin" w:eastAsia="IRNazanin"/>
          <w:color w:val="111111"/>
          <w:sz w:val="28"/>
          <w:sz w:val="28"/>
          <w:szCs w:val="28"/>
          <w:rtl w:val="true"/>
          <w:lang w:bidi="fa-IR"/>
        </w:rPr>
        <w:t xml:space="preserve">النشر الإسلامی،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تعلیقات علی منهج المقال، علّامه محمّد باقر بن محمّد أکمل، ملقّب به وحید بهبهانی، چاپ شده در حاشیه منهج المقال، تهران،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 محمّد بن مسعود بن محمّد بن عیاش السمرقندی، تهران، المکتبة العلمیة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علی بن ابراهیم القمّی، مکتبة الهدی، مطبعة النجف،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الثقلین، عبد علی بن جمعة الحویزی، قم، مطبعة الحکمة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الشریعة فی شرح تحریر الوسیلة، کتاب الطهارة، النجاسات وأحکامها، محمّد فاضل لنکرانی، قم، المطبعة العلمیة، 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الشریعة فی شرح تحریر الوسیلة، کتاب القضاء والشهادات، محمّد فاضل لنکرانی، قم، مرکز فقهی ائمه اطهار علیهم السلام، الطبعة الاولی،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الخلاف، مفلح بن حسن الصیمری البحرانی، قم، کتاب‌خانه آیت اللَّه مرعشی نجفی،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التنقیح الرائع لمختصر الشرائع، جمال الدین مقداد بن عبداللَّه السیوری الحلّی، معروف به فاضل مقداد، قم، کتاب‌خانه آیت اللَّه مرعشی نجفی، الطبعة الاولی،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التنقیح فی شرح العروة الوثقی، میرزا علی التبریزی الغروی، نجف اشرف، مطبعة الآداب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الأحکام فی شرح المقنعة، محمّد بن الحسن الطوسی، تهران، دار الکتب الإسلامیة،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 محمّد بن علی بن الحسین بن بابویه القمّی، معروف به شیخ صدوق، تهران، مکتبة الصدوق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الرواة، محمّد بن علی الأردبیلی الغروی الحائری، قم، مکتبة المصطفوی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لأحکام القرآن، محمّد بن احمد الأنصاری القرطبی، بیروت، دار إحیاء التراث العربی،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للشرائع، سعید الحلّی، قم، مؤسّسة سیّد الشهداء العلمیة،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المسانید والسنن، اسماعیل بن عمر القرشی الدمشقی، بیروت، دار الفکر،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الجوامع الفقهیة، گروهی از دانشمندان، قم، کتاب‌خانه آیت اللَّه مرعشی نجفی،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الفقه، قاضی عبد العزیز بن البرّاج الطرابلسی، قم، مؤسّسة النشر الإسلامی، 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الکلام فی شرح شرائع الإسلام، محمّد حسن بن باقر النجفی، بیروت، دار إحیاء التراث العربی، الطبعة السابعة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ردّ المحتار علی الدرّ المختار، محمّد أمین مشهور به ابن عابدین، بیروت، دار الفکر،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الحاوی الکبیر، علی بن محمّد بن حبیب الماوردی، بیروت، دار الفکر، 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الحدائق الناضرة فی أحکام العترة الطاهرة، یوسف بن احمد البحرانی، قم، مؤسّسة النشر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الأقوال فی معرفة الرجال، علّامه جمال الدین الحسن بن یوسف بن المطهّر الحلّی، مؤسّسة نشر الفقاهة، 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 محمّد بن الحسن الطوسی، قم، مؤسّسة النشر الإسلامی، الطبعة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فی التفسیر بالمأثور، جلال الدین عبد الرحمن بن ابی بکر بن محمّد جلال‌الدین السیوطی، قم، کتاب‌خانه آیت اللَّه مرعشی نجفی،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الدرّة النجفیة، سید محمّدمهدی بحرالعلوم، بیروت، دار الزهراء، الطبعة الثانیة،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الدروس الشرعیة فی فقه الإمامیة، محمّد بن جمال الدین مکّی العاملی، معروف به شهید اوّل، قم، مؤسّسة النشر الإسلامی، الطبعة الثانیة،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نعمان بن محمّد بن منصور بن احمد بن حیون التمیمی المغربی، بیروت، دار المعارف،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ذکری الشیعة، محمّد بن جمال الدین مکّی العاملی، معروف به شهید اوّل، مؤسّسة آل البیت علیهم السلام، الطبعة الاولی،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احمد بن علی بن احمد بن العبّاس النجاشی الاسدی الکوفی، قم، مؤسّسة النشر الإسلامی، الطبعة السادسة،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محمّد بن الحسن بن علی الطوسی، نجف اشرف، مطبعة الحیدریة،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سید محمّدمهدی بحرالعلوم، تهران، مکتبة الصادق، الطبعة الاولی،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المعانی فی تفسیر القرآن العظیم والسبع المثانی، سید محمود بن عبداللَّه الحسینی الآلوسی البغدادی، بیروت، 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البهیّة فی شرح اللمعة الدمشقیّة، زین الدین بن علی العاملی، معروف به شهید ثانی، بیروت، دار إحیاء التراث العربی، الطبعة الثانیة،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المتّقین، مولی محمّد تقی مجلسی، قم، بنیاد فرهنگ اسلامی، مطبعة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المسائل فی بیان الأحکام بالدلائل، سید علی بن محمّدعلی الطباطبائی، بیروت، دار الهادی، الطبعة الاولی،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الحاوی لتحریر الفتاوی، محمّد بن منصور بن احمد بن ادریس الحلّی، قم، مؤسّسة النشر الإسلامی، الطبعة الثانیة،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ماجة، محمّد بن یزید القزوینی، دار إحیاء التراث العربی،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أبی داود، سلیمان بن الأشعث السجستانی الأزدی، بیروت، دار ابن حزم، الطبعة الاولی،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الدارمی، عبداللَّه بن بهرام الدارمی، بیروت، دار الفکر،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بن حسین بن علی البیهقی، حیدر آباد، مجلس دائرة المعارف العثمانیة،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النسائی، احمد بن شعیب بن علی بن بحر النسائی، بیروت، دار الجیل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الحلبیة فی سیرة الأمین المأمون، علی بن برهان‌الدین الحلبی، بیروت، دار المعرفة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الإسلام فی مسائل الحلال والحرام، محقّق حلّی، نجم‌الدین جعفر بن حسن بن سعید الهذلی، تهران، انتشارات استقلال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فتح القدیر، محمّد بن عبد الواحد، معروف به ابن‌الهمام الحنفی، بیروت، دار 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الشرح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المطبوع فی ذیل المغنی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عبدالرحمن بن محمّد بن احمد بن قدامة المقدسی، بیروت، دار 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اللغة وصحاح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اسماعیل بن حمّاد الجوهری، بیروت، دار الفکر، الطبعة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البخاری، محمّد بن اسماعیل بن ابراهیم بن المغیرة بن بردزبة البخاری الجعفی،</w:t>
      </w:r>
    </w:p>
    <w:p>
      <w:pPr>
        <w:pStyle w:val="BookText"/>
        <w:rPr/>
      </w:pPr>
      <w:r>
        <w:rPr>
          <w:rFonts w:ascii="IRNazanin" w:hAnsi="IRNazanin" w:eastAsia="IRNazanin"/>
          <w:color w:val="111111"/>
          <w:sz w:val="28"/>
          <w:sz w:val="28"/>
          <w:szCs w:val="28"/>
          <w:rtl w:val="true"/>
          <w:lang w:bidi="fa-IR"/>
        </w:rPr>
        <w:t xml:space="preserve">بیروت، دار الفکر،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مسلم بن الحجّاج القشیری النیشابوری، بیروت، دار ابن‌حزم، الطبعة الاولی،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شیخ مرتضی انصاری، چاپ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الطهارة، امام خمینی، نجف اشرف، مطبعة الآداب،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ونجاح الساعی، احمد بن محمّد بن فهد الحلّی، تهران، دار الکتاب الإسلامی، الطبعة 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العُدّة فی اصول الفقه، محمّد بن الحسن الطوسی، قم، مطبعة ستارة، 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محمّد بن علی بن الحسین بن بابویه القمّی، معروف به شیخ صدوق، نجف اشرف، مکتبة الحیدریة،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عوالی اللئالی، محمّد بن علی بن ابراهیم الإحسائی، معروف به ابن أبی‌جمهور، قم، مطبعة سید الشهداء علیه السلام، الطبعة الاولی،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المراد فی شرح نکت الإرشاد، محمّد بن جمال الدین مکّی العاملی، معروف به شهید اوّل، 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المرام فی شرح شرائع الإسلام، مفلح بن حسن بن رشید بن صلاح الصیمری البحرانی، بیروت، دار الهادی، الطبعة الاولی،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غنیة النزوع إلی علمی الاصول والفروع، سید حمزة بن علی بن زهرة الحلبی، قم، مؤسّسة الإمام الصادق علیه السلام، 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علی المذاهب الأربعة، عبد الرحمن الجزیری، بیروت، دار الفکر، 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القرآن، قطب الدین سعید بن هبة اللَّه الراوندی، قم، کتاب‌خانه آیت اللَّه مرعشی نجفی، الطبعة الاولی،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المنسوب للإمام الرضا علیه السلام، قم، مؤسّسة آل البیت علیهم السلام، الطبعة الاولی،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علی بن الحسین بن بابویه القمّی، معروف به شیخ صدوق، قم، مؤسّسة النشر الإسلامی، الطبعة الثانیة،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 محمّد بن الحسن بن علی الطوسی، قم، مؤسّسة نشر الفقاهة، الطبعة الاولی،</w:t>
      </w:r>
    </w:p>
    <w:p>
      <w:pPr>
        <w:pStyle w:val="BookText"/>
        <w:rPr/>
      </w:pP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الرجال، محمّد تقی التستری، قم، مؤسّسة النشر الإسلامی، الطبعة الثانیة،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 المحیط، محمّد بن یعقوب الفیروزآبادی، بیروت، دار الجیل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الأحکام فی معرفة الحلال والحرام، علّامه حسن بن یوسف بن المطهّر الحلّی، قم، منشورات الرضی،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ثقة الإسلام محمّد بن یعقوب الکلینی، تهران، دار الکتب الإسلامیة، الطبعة الثالثة،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فی الفقه، ابوالصلاح تقی الدین بن نجم الحلبی، اصفهان، مکتبة الإمام أمیرالمؤمنین علیه السلام، الطبعة الاولی،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جعفر بن محمّد بن قولویه القمّی، قم، نشر الفقاهة،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الکشّاف عن حقائق غوامض التنزیل، محمود بن عمر الزمخشری، قم، نشر أدب الحوزة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اللثام، محمّد بن الحسن بن محمّد الإصفهانی، معروف به فاضل هندی، قم، کتاب‌خانه آیت اللَّه مرعشی نجفی،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العرفان فی فقه القرآن، جمال الدین مقداد بن عبداللَّه السیوری الحلّی، معروف به فاضل مقداد، تهران، مکتبة المرتضویة لإحیاء الآثار الجعفریة،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فی سنن الأقوال والأفعال، علی المتّقی بن حسام الدین الهندی، بیروت، مؤسّسة الرسالة،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اللمعة الدمشقیة فی فقه الإمامیة، محمّد بن جمال الدین مکّی العاملی، معروف به شهید اوّل، تهران، مرکز بحوث الحجّ والعمرة، الطبعة الاولی،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لؤلؤة البحرین، یوسف بن احمد البحرانی، قم، مؤسّسة آل البیت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تکملة المنهاج، سید أبوالقاسم الموسوی الخوئی، نجف اشرف، مطبعة الآداب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المبسوط، محمّد بن أبی سهل السرخسی، بیروت، دار الکتب العلمیة، 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المبسوط فی فقه الإمامیة، محمّد بن الحسن الطوسی، تهران، مکتبة المرتضویة لإحیاء الآثار الجعفریة،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 القرآن ومختلفه، محمّد بن علی بن شهرآشوب المازندرانی، قم، انتشارات بیدار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ومطلع النیّرین، فخر الدین بن محمّد الطریحی، قم، مؤسّسة البعثة، 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فی تفسیر القرآن، فضل بن الحسن الطبرسی، بیروت، دار الفکر،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الرجال، عنایة اللَّه بن شرف الدین علی القهپائی، قم، مؤسّسة إسماعیلیان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المجموع شرح المهذّب، محیی الدین یحیی بن شرف النووی، بیروت، دار الفکر، 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احمد بن محمّد بن خالد البرقی، قم، المجمع العالمی لأهل البیت علیهم السلام، الطبعة الثانیة،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المحلّی بالآثار، محمّد علی بن احمد بن سعید بن حزم الأندلسی، بیروت، دار الکتب العلمیة،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المزنی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 به همراه الامّ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اسماعیل بن یحیی المزنی، بیروت، دار المعرفة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المختصر النافع فی فقه الإمامیّة، جعفربن الحسن‌الحلّی، بغداد، مکتبةالأهلیة،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الشیعة فی أحکام الشریعة، علّامه حسن بن یوسف بن المطهّر الحلّی، قم، مرکز الأبحاث والدراسات الإسلامیة، الطبعة الاولی،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المدوّنة الکبری، مالک بن أنس، مصر، مطبعة السعادة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العقول، مولی محمّد باقر بن محمّدتقی المجلسی، دار الکتب الإسلامیة، الطبعة الاولی،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المراسم العلویّة فی الأحکام النبویّة، حمزة بن عبد العزیز الدیلمی، معروف به سلّار، بیروت، دار الحقّ،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مسالک الأفهام إلی تنقیح شرائع الإسلام، زین الدین بن علی العاملی، معروف به شهید ثانی، قم، مؤسّسة المعارف الإسلامیة، 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ومستنبط المسائل، میرزا حسین النوری الطبرسی، قم، مؤسّسة آل‌البیت علیهم السلام لإحیاء التراث،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الشیعة، مولی احمد بن محمّد مهدی النراقی، قم، کتاب‌خانه آیت اللَّه مرعشی نجفی،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احمد بن حنبل، بیروت، دار الفکر، 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عبد الرزّاق بن همام الصنعانی، بیروت، المکتب الإسلامی، الطبعة الثانیة،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العلماء، محمّد بن علی بن شهرآشوب المازندرانی، نجف اشرف، مکتبة الحیدریة،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فی شرح المختصر، جعفر بن الحسن بن سعید، المحقّق الحلّی الهذلی، قم، منشورات مؤسّسة سید الشهداء علیه السلام،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الحدیث، سید ابوالقاسم الموسوی الخوئی، قم، مرکز آثار الشیعة، الطبعة الرابعة،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مقاییس اللغة، احمد بن فارس بن زکریا، قم، مکتب الإعلام الإسلامی،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المغنی، عبداللَّه بن احمد بن محمّد بن قدامة المقدسی الحنبلی، بیروت، دار 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مغنی المحتاج إلی معرفة معانی ألفاظ المنهاج، محمّد بن احمد الشربینی الخطیب، بیروت، 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المفردات فی غریب القرآن، حسین بن محمّد بن المفضل، معروف به راغب اصفهانی، تهران، مکتبة المرتضویة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المقتصر فی شرح المختصر، احمد بن محمّد بن فهد الحلّی، مشهد، مجمع البحوث الإسلامیة، الطبعة 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محمّد بن علی بن الحسین بن بابویه القمّی، قم، مؤسّسة الإمام الهادی علیه السلام،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محمّد بن محمّد بن النعمان العکبری البغدادی، معروف به شیخ مفید، قم، مؤسّسة النشر الإسلامی، الطبعة الثانیة،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ملاذ الأخیار فی فهم تهذیب الأخبار، مولی محمّد باقر بن محمّد تقی المجلسی، قم، کتاب‌خانه آیت اللَّه مرعشی نجفی،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المنتخب من تفسیر القرآن والنکت المستخرجة من کتاب التبیان، محمّد بن احمد بن ادریس الحلّی، قم، کتاب‌خانه آیت اللَّه مرعشی نجفی، 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المهذّب، عبد العزیز بن البرّاج الطرابلسی، قم، مؤسّسة النشر الإسلامی، الطبعة الاولی،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المهذّب البارع فی شرح المختصر النافع، احمد بن محمّد بن فهد الحلّی، قم، مؤسّسة النشر الإسلامی، الطبعة الثالثة،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الموطّأ، مالک بن انس، بیروت، دار الفکر،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الناصریات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الناصریات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علی بن الحسین بن موسی الشریف المرتضی، تهران، مرکز البحوث والدراسات العلمیة،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 النهایة، جعفر بن الحسن بن سعید الهذلی الحلّی، قم، مؤسّسة النشر الإسلامی، الطبعة الاولی،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فی غریب الحدیث والأثر، مبارک بن محمّد الجزری، معروف به ابن اثیر، بیروت، دار الفکر، الطبعة الثانیة،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فی مجرّد الفقه والفتاوی، محمّد بن الحسن الطوسی، بیروت، دار الکتاب العربی، الطبعة الاولی،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الحقّ وکشف الصدق، علّامه حسن بن یوسف المطهّر الحلّی، قم، دار الهجرة،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 الأوطار من أحادیث سید الأخیار، محمّد بن علی بن محمّد الشوکانی، بیروت، دارالکتب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محمّد بن علی بن الحسین بن بابویه القمّی، معروف به شیخ صدوق، مؤسّسة الإمام الهادی علیه السلام، الطبعة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الهدایة شرح بدایة المبتدی، علی بن ابی بکر بن عبد الجلیل الرشدانی المرغینانی، بیروت، دارالکتب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الوافی، محمّد محسن، مشهور به فیض کاشانی، اصفهان، مکتبة الإمام أمیر المؤمنین علیه السلام، الطبعة الاولی،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وسائل الشیعة إلی تحصیل مسائل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الحسن الحرّ العاملی، تهران، دار الکتب الإسلامیة،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الوسیلة إلی نیل الفضیلة، محمّد بن علی الطوسی، معروف به ابن‌حمزه، قم، کتاب‌خانه آیت اللَّه مرعشی نجفی،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مجرّد الفقه والفتوی، 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استاد در کتاب تفصیل الشریعة از روایت به صحیحه‌ی ابن‌سنان تعبیر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تعبیر به لحاظ دو سندی بودن روایت تمام است؛ زیرا سند کلینی از عده‌ای از اصحاب از محمّد بن یحیی از احمد بن محمّد از ابن محبوب از ابن سنان صحیح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ابواب حدّ سرقت،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ابواب حدّ سرقت،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نکت النهایة،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العبادات،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العبادات،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جهاد نفس،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جهاد نفس،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جهاد نفس،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مایکتسب 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قذف،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احکام اولاد،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المزار و ما یناسبه،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قاعده‌ای اصطیادی از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ادرأوا الحدود بالشبهات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الحدود،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مجرد الفقه والفتوی، 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حدود،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حدود،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حدود،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لاحکام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المغنی لابن قدامة،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نیل الاوطار،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یحضرة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لاحکام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المغنی لابن قدامة،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نیل الاوطار،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المبسوط للسرخسی،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بدایة المجتهد،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تکلمة المنهاج،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الصنایع،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المغنی لابن قدامة،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الصنایع،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المغنی لابن قدامة،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حدود،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الطواف،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مجرد الفقه والفتوی، 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طواف،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طواف،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طواف،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غنیة النزوع،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جهاد نفس،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المسبوط،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مجرد الفته و الفتوی 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مسأله‌ی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بدایع الصنایع،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المغنی لابن قدامة،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المسبوط،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صفات القاضی،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انفال،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قاعده‌ای اصطیادی از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إدرأوا الحدود بالشبهات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حدود،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المسبوط،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تکملة المنهاج،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غنیة النزوع،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از ابواب حد سرقت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غنیة النزوع،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المختلف،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مجرد الفقه و الفتوی، ص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مجرد الفقه و الفتوی، ص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مجرد الفقه والفتوی، ص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الحدود،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کیفیة الحکم واحکام الدعوی</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کتاب الاقرار،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کتاب الاقرار،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جهاد نفس،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کتاب الاقرار،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مجرد الفقه والفتوی، 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للشرایع،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مسکر،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روایت، امام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لو اعترف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موردی که متهم در اثر کتک خوردن اعتراف کرده ولی عین مسروقه‌ای را نیاورده، استدراک می‌کند؛ زیرا اقرارش در اثر کتک خوردن بوده است و به عبارت دیگر قول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اعتراف علی العذاب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سببیت است مانند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وَلِتُکَبِّرُوا اللَّهَ عَلی ما هَداکُمْ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شاهد این معنا ذکر روایت در وسائل الشیعه در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أقرّ بالسرقة بعد الضرب أو العذاب أو الخوف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ارشاد الاذهان،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الدمشقیة،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مسالک الافهام،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مجرد الفقه والفتوی، 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الاخبار،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غنیة النزوع،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مجرد الفقه والفتوی، 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الحدود،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حدود،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در متن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اعترف علی العذاب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لیکن نقل صاحب جواهر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اعتراف بالعذاب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گذشته گفتیم معنای این جمله کسی است که به جهت کتک خوردن به سرقت اقرار کند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حدود،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کتاب الاقرار،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الحدود،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حدود،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مجرد الفقه والفتوی، 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للشرایع،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غنیة النزوع،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کتاب الاقرار،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الحدود،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تکملة المنهاج،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تکملة المنهاج،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بدایة المجتهد،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المغنی لابن قدامة،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میراث الخنثی،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ابواب حدّ سرقت،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النافع،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الاذهان،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قواعد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تحریر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مجرد الفقه والفتوی، 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غنیة النزوع،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للشرایع،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للشرایع،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للشرایع،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مجرد الفقه والفتوی، 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مجرد الفقه والفتوی، 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مجرد الفقه والفتوی، 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قصاص نفس،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قصاص 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قصاص نفس،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الحدود،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مجرد الفقه والفتوی، 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غنیة النزوع،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کتاب سرقت، مسأله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کتاب سرقت، مسأله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المبسوط،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الحدود،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صفات قاضی،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حدود،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حدود،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حدود، حیث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کتاب ودیعه،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شرح فتح القدیر،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شرح فتح القدیر،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الفقه،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در عدّة الاصول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من العامّة ولکنّه عملت الطائفة بأخباره اذا لم یکن لها معارض من طریق الحق</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محارب،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محارب،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المنتخب من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محارب،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محارب،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محارب،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المسبوط،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محارب،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دفاع،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دفاع،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کتاب الاقرار،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مراسم الامامی،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الشهادات،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المقنع،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مجرد الفقه والفتوی، 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غنیة النزوع،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محارب،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محارب،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مجرّد الفقه والفتوی، 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لابن برّاج،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 الارشاد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تکملة المنهاج،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محارب،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محارب،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محارب،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مجرد الفقه والفتوی، 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محارب،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محارب،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کتاب الودیعة،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محارب،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محارب،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ص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الدمشقیة،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محارب،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محارب،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محارب،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الدفاع،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ابواب حدّ محارب،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جهاد عدو،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الدفاع،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تفصیل الشریعه کتاب حدود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مرسل است ولی صاحب جواهر آن را مثل موثق یا صحیح دانسته، ظاهراً به جهت این است که روایت از مرسلات ابن ابی عمیر می‌باشد و ما در بحث مسکر بر این مبنا اشکال کردیم</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محارب،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جهاد عدو، ذیل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محارب،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محارب،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محارب،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جهاد عدو،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باب جهاد العدو، ذیل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باب جهاد العدو، ذیل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قصاص نفس،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العاقلة،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قصاص،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960</w:t>
      </w:r>
      <w:r>
        <w:rPr>
          <w:rFonts w:ascii="IRNazanin" w:hAnsi="IRNazanin" w:eastAsia="IRNazanin"/>
          <w:b w:val="false"/>
          <w:b w:val="false"/>
          <w:bCs w:val="false"/>
          <w:i w:val="false"/>
          <w:i w:val="false"/>
          <w:iCs w:val="false"/>
          <w:color w:val="333333"/>
          <w:sz w:val="20"/>
          <w:sz w:val="20"/>
          <w:szCs w:val="20"/>
          <w:rtl w:val="true"/>
        </w:rPr>
        <w:t xml:space="preserve">؛ شرح لمعه،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960</w:t>
      </w:r>
      <w:r>
        <w:rPr>
          <w:rFonts w:ascii="IRNazanin" w:hAnsi="IRNazanin" w:eastAsia="IRNazanin"/>
          <w:b w:val="false"/>
          <w:b w:val="false"/>
          <w:bCs w:val="false"/>
          <w:i w:val="false"/>
          <w:i w:val="false"/>
          <w:iCs w:val="false"/>
          <w:color w:val="333333"/>
          <w:sz w:val="20"/>
          <w:sz w:val="20"/>
          <w:szCs w:val="20"/>
          <w:rtl w:val="true"/>
        </w:rPr>
        <w:t xml:space="preserve">؛ شرح لمعه،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محارب،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محارب،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محارب،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محارب،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محارب،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را در کتاب تفصیل الشریعه فرموده‌اند</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مجرد الفقه والفتوی، 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للشرایع،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تکملة المنهاج،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محارب،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محارب،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محارب،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للشرایع،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محارب،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محارب،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محارب،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محارب،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محارب،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محارب،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محارب،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محارب،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محارب،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محارب،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للشرایع،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النافع،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محارب،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محارب،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محارب،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محارب،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مسالک الافهام،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مرتد،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مرتد،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کاشف اللثام،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مرتد،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مرتد،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مرتد،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محارب،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مرتد،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مرتد،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مرتد،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مرتد،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کلمات مرحوم محقّق را باید با آب طلا نوشت؛ زیرا از نظر متن فقهی بین متقدّمان و متأخّران، شرایع نظیر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 ما از مرحوم آیت‌اللَّه بروجردی رحمه الله مطلبی را نقل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بروجردی تبحّر زیادی در فقه داشت بر هر مسأله از مسائل فقهی یک پرونده تشکیل داده بود، سیر تاریخی آن مسأله و اختلاف اقوال و انظار حتّی اقوال اهل سنّت را با روایات جمع‌آوری کرده بود و به صورت رمز نوشته بود با چنین تبحّر و تسلّطی روزی پدرم به ایشان فرموده بود آیا می‌توانید یک صفحه همانند شرایع با این استحکام و متانت بنویسید؟ ایشان فرموده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نمی‌توانم و قدرت این کار را ندارم</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مرتد،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مرتد،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مرتد،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مرتد،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کتاب میراث، موانع ارث، مسأله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مرتد،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مرتد،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مرتد،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مرتد،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مرتد،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مرتد،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مرتد،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مرتد،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مرتد،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مرتد،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مرتد،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مرتد،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مرتد،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مرتد،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مرتد،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مرتد،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المقنعة، ص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المراسم،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الجامع للشرایع،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جهاد نفس،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نحل،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مرتد،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مرتد،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قذف،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الحدود،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قدیم</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مرتد،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الحدود،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مرتد،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باب حدّ مرتد،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باب حدّ مرتد،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صفات القاضی،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مرتد،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حدود،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مرتد،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کتاب الاقرار،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نکاح البهائم،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نکاح البهائم،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نکاح البهائم،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نکاح البهائم،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نکاح البهائم،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نکاح البهائم،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نکاح البهائم، ذیل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نکاح البهائم، ذیل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نکاح البهائم،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نکاح البهائم،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نکاح البهائم،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تکملة المنهاج،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الحدود،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حدود،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کتاب اقرار،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نکاح البهائم،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الحدود،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نکاح البهائم،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نکاح البهائم،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نکاح البهائم،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للشرایع،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دعوی القتل،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صفات قاضی،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مؤمنون،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نکاح البهائم،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نکاح محرم،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اسراء،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نکاح محرم،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نکاح محرم،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نکاح البهائم،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نکاح البهائم،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کتاب اقرار،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image" Target="media/image2.jpeg"/><Relationship Id="rId540" Type="http://schemas.openxmlformats.org/officeDocument/2006/relationships/image" Target="media/image2.jpeg"/><Relationship Id="rId541" Type="http://schemas.openxmlformats.org/officeDocument/2006/relationships/footer" Target="footer534.xml"/><Relationship Id="rId542" Type="http://schemas.openxmlformats.org/officeDocument/2006/relationships/footnotes" Target="footnotes.xml"/><Relationship Id="rId543" Type="http://schemas.openxmlformats.org/officeDocument/2006/relationships/numbering" Target="numbering.xml"/><Relationship Id="rId544" Type="http://schemas.openxmlformats.org/officeDocument/2006/relationships/fontTable" Target="fontTable.xml"/><Relationship Id="rId545" Type="http://schemas.openxmlformats.org/officeDocument/2006/relationships/settings" Target="settings.xml"/><Relationship Id="rId5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546</Pages>
  <Words>79211</Words>
  <Characters>308340</Characters>
  <CharactersWithSpaces>385282</CharactersWithSpaces>
  <Paragraphs>2270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2026-08-24T01:03:36Z</dcterms:created>
  <dc:creator>ghaemiyeh.com</dc:creator>
  <dc:description/>
  <dc:language>en-US</dc:language>
  <cp:lastModifiedBy/>
  <dcterms:modified xsi:type="dcterms:W3CDTF">2026-08-24T04:34:05Z</dcterms:modified>
  <cp:revision>1</cp:revision>
  <dc:subject/>
  <dc:title>آئین کیفری اسلام جلد 3</dc:title>
</cp:coreProperties>
</file>

<file path=docProps/custom.xml><?xml version="1.0" encoding="utf-8"?>
<Properties xmlns="http://schemas.openxmlformats.org/officeDocument/2006/custom-properties" xmlns:vt="http://schemas.openxmlformats.org/officeDocument/2006/docPropsVTypes"/>
</file>