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طریق الوصول الی مهمات علم الاصول اصول الفقه باسلوب حدیث و آراء جدیدة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575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1577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1579_3244359995">
            <w:r>
              <w:rPr>
                <w:webHidden/>
                <w:rStyle w:val="IndexLink"/>
                <w:rtl w:val="true"/>
              </w:rPr>
              <w:t>المقصد الثالث</w:t>
            </w:r>
            <w:r>
              <w:rPr>
                <w:rStyle w:val="IndexLink"/>
                <w:rtl w:val="true"/>
              </w:rPr>
              <w:t xml:space="preserve">: </w:t>
            </w:r>
            <w:r>
              <w:rPr>
                <w:rStyle w:val="IndexLink"/>
                <w:rtl w:val="true"/>
              </w:rPr>
              <w:t>الإجماع</w:t>
            </w:r>
            <w:r>
              <w:rPr>
                <w:rStyle w:val="IndexLink"/>
                <w:rtl w:val="true"/>
              </w:rPr>
              <w:tab/>
            </w:r>
            <w:r>
              <w:rPr>
                <w:rStyle w:val="IndexLink"/>
              </w:rPr>
              <w:t>11</w:t>
            </w:r>
          </w:hyperlink>
        </w:p>
        <w:p>
          <w:pPr>
            <w:pStyle w:val="Contents3"/>
            <w:tabs>
              <w:tab w:val="clear" w:pos="8459"/>
              <w:tab w:val="right" w:pos="9026" w:leader="dot"/>
            </w:tabs>
            <w:rPr/>
          </w:pPr>
          <w:hyperlink w:anchor="__RefHeading___Toc141581_324435999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1583_3244359995">
            <w:r>
              <w:rPr>
                <w:webHidden/>
                <w:rStyle w:val="IndexLink"/>
                <w:rtl w:val="true"/>
              </w:rPr>
              <w:t>الفصل الأول</w:t>
            </w:r>
            <w:r>
              <w:rPr>
                <w:rStyle w:val="IndexLink"/>
                <w:rtl w:val="true"/>
              </w:rPr>
              <w:t xml:space="preserve">: </w:t>
            </w:r>
            <w:r>
              <w:rPr>
                <w:rStyle w:val="IndexLink"/>
                <w:rtl w:val="true"/>
              </w:rPr>
              <w:t>الإجماع المحصل</w:t>
            </w:r>
            <w:r>
              <w:rPr>
                <w:rStyle w:val="IndexLink"/>
                <w:rtl w:val="true"/>
              </w:rPr>
              <w:tab/>
            </w:r>
            <w:r>
              <w:rPr>
                <w:rStyle w:val="IndexLink"/>
              </w:rPr>
              <w:t>12</w:t>
            </w:r>
          </w:hyperlink>
        </w:p>
        <w:p>
          <w:pPr>
            <w:pStyle w:val="Contents4"/>
            <w:tabs>
              <w:tab w:val="clear" w:pos="8176"/>
              <w:tab w:val="right" w:pos="9026" w:leader="dot"/>
            </w:tabs>
            <w:rPr/>
          </w:pPr>
          <w:hyperlink w:anchor="__RefHeading___Toc141585_324435999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41587_3244359995">
            <w:r>
              <w:rPr>
                <w:webHidden/>
                <w:rStyle w:val="IndexLink"/>
              </w:rPr>
              <w:t>1</w:t>
            </w:r>
            <w:r>
              <w:rPr>
                <w:rStyle w:val="IndexLink"/>
                <w:rtl w:val="true"/>
              </w:rPr>
              <w:t xml:space="preserve">. </w:t>
            </w:r>
            <w:r>
              <w:rPr>
                <w:rStyle w:val="IndexLink"/>
                <w:rtl w:val="true"/>
              </w:rPr>
              <w:t>الإجماع عند أهل السنّة</w:t>
            </w:r>
            <w:r>
              <w:rPr>
                <w:rStyle w:val="IndexLink"/>
                <w:rtl w:val="true"/>
              </w:rPr>
              <w:tab/>
            </w:r>
            <w:r>
              <w:rPr>
                <w:rStyle w:val="IndexLink"/>
              </w:rPr>
              <w:t>13</w:t>
            </w:r>
          </w:hyperlink>
        </w:p>
        <w:p>
          <w:pPr>
            <w:pStyle w:val="Contents4"/>
            <w:tabs>
              <w:tab w:val="clear" w:pos="8176"/>
              <w:tab w:val="right" w:pos="9026" w:leader="dot"/>
            </w:tabs>
            <w:rPr/>
          </w:pPr>
          <w:hyperlink w:anchor="__RefHeading___Toc141589_3244359995">
            <w:r>
              <w:rPr>
                <w:webHidden/>
                <w:rStyle w:val="IndexLink"/>
              </w:rPr>
              <w:t>2</w:t>
            </w:r>
            <w:r>
              <w:rPr>
                <w:rStyle w:val="IndexLink"/>
                <w:rtl w:val="true"/>
              </w:rPr>
              <w:t xml:space="preserve">. </w:t>
            </w:r>
            <w:r>
              <w:rPr>
                <w:rStyle w:val="IndexLink"/>
                <w:rtl w:val="true"/>
              </w:rPr>
              <w:t>الإجماع عند الأصحاب</w:t>
            </w:r>
            <w:r>
              <w:rPr>
                <w:rStyle w:val="IndexLink"/>
                <w:rtl w:val="true"/>
              </w:rPr>
              <w:tab/>
            </w:r>
            <w:r>
              <w:rPr>
                <w:rStyle w:val="IndexLink"/>
              </w:rPr>
              <w:t>16</w:t>
            </w:r>
          </w:hyperlink>
        </w:p>
        <w:p>
          <w:pPr>
            <w:pStyle w:val="Contents5"/>
            <w:tabs>
              <w:tab w:val="clear" w:pos="7892"/>
              <w:tab w:val="right" w:pos="9026" w:leader="dot"/>
            </w:tabs>
            <w:rPr/>
          </w:pPr>
          <w:hyperlink w:anchor="__RefHeading___Toc141591_3244359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41593_3244359995">
            <w:r>
              <w:rPr>
                <w:webHidden/>
                <w:rStyle w:val="IndexLink"/>
                <w:rtl w:val="true"/>
              </w:rPr>
              <w:t>المسلک الأوّل</w:t>
            </w:r>
            <w:r>
              <w:rPr>
                <w:rStyle w:val="IndexLink"/>
                <w:rtl w:val="true"/>
              </w:rPr>
              <w:t xml:space="preserve">: </w:t>
            </w:r>
            <w:r>
              <w:rPr>
                <w:rStyle w:val="IndexLink"/>
                <w:rtl w:val="true"/>
              </w:rPr>
              <w:t>الإجماع الدخولی</w:t>
            </w:r>
            <w:r>
              <w:rPr>
                <w:rStyle w:val="IndexLink"/>
                <w:rtl w:val="true"/>
              </w:rPr>
              <w:tab/>
            </w:r>
            <w:r>
              <w:rPr>
                <w:rStyle w:val="IndexLink"/>
              </w:rPr>
              <w:t>16</w:t>
            </w:r>
          </w:hyperlink>
        </w:p>
        <w:p>
          <w:pPr>
            <w:pStyle w:val="Contents5"/>
            <w:tabs>
              <w:tab w:val="clear" w:pos="7892"/>
              <w:tab w:val="right" w:pos="9026" w:leader="dot"/>
            </w:tabs>
            <w:rPr/>
          </w:pPr>
          <w:hyperlink w:anchor="__RefHeading___Toc141595_3244359995">
            <w:r>
              <w:rPr>
                <w:webHidden/>
                <w:rStyle w:val="IndexLink"/>
                <w:rtl w:val="true"/>
              </w:rPr>
              <w:t>المسلک الثانی</w:t>
            </w:r>
            <w:r>
              <w:rPr>
                <w:rStyle w:val="IndexLink"/>
                <w:rtl w:val="true"/>
              </w:rPr>
              <w:t xml:space="preserve">: </w:t>
            </w:r>
            <w:r>
              <w:rPr>
                <w:rStyle w:val="IndexLink"/>
                <w:rtl w:val="true"/>
              </w:rPr>
              <w:t>الإجماع اللطفی</w:t>
            </w:r>
            <w:r>
              <w:rPr>
                <w:rStyle w:val="IndexLink"/>
                <w:rtl w:val="true"/>
              </w:rPr>
              <w:tab/>
            </w:r>
            <w:r>
              <w:rPr>
                <w:rStyle w:val="IndexLink"/>
              </w:rPr>
              <w:t>16</w:t>
            </w:r>
          </w:hyperlink>
        </w:p>
        <w:p>
          <w:pPr>
            <w:pStyle w:val="Contents5"/>
            <w:tabs>
              <w:tab w:val="clear" w:pos="7892"/>
              <w:tab w:val="right" w:pos="9026" w:leader="dot"/>
            </w:tabs>
            <w:rPr/>
          </w:pPr>
          <w:hyperlink w:anchor="__RefHeading___Toc141597_3244359995">
            <w:r>
              <w:rPr>
                <w:webHidden/>
                <w:rStyle w:val="IndexLink"/>
                <w:rtl w:val="true"/>
              </w:rPr>
              <w:t>المسلک الثالث</w:t>
            </w:r>
            <w:r>
              <w:rPr>
                <w:rStyle w:val="IndexLink"/>
                <w:rtl w:val="true"/>
              </w:rPr>
              <w:t xml:space="preserve">: </w:t>
            </w:r>
            <w:r>
              <w:rPr>
                <w:rStyle w:val="IndexLink"/>
                <w:rtl w:val="true"/>
              </w:rPr>
              <w:t>الإجماع التشرّفی</w:t>
            </w:r>
            <w:r>
              <w:rPr>
                <w:rStyle w:val="IndexLink"/>
                <w:rtl w:val="true"/>
              </w:rPr>
              <w:tab/>
            </w:r>
            <w:r>
              <w:rPr>
                <w:rStyle w:val="IndexLink"/>
              </w:rPr>
              <w:t>18</w:t>
            </w:r>
          </w:hyperlink>
        </w:p>
        <w:p>
          <w:pPr>
            <w:pStyle w:val="Contents5"/>
            <w:tabs>
              <w:tab w:val="clear" w:pos="7892"/>
              <w:tab w:val="right" w:pos="9026" w:leader="dot"/>
            </w:tabs>
            <w:rPr/>
          </w:pPr>
          <w:hyperlink w:anchor="__RefHeading___Toc141599_3244359995">
            <w:r>
              <w:rPr>
                <w:webHidden/>
                <w:rStyle w:val="IndexLink"/>
                <w:rtl w:val="true"/>
              </w:rPr>
              <w:t>المسلک الرابع</w:t>
            </w:r>
            <w:r>
              <w:rPr>
                <w:rStyle w:val="IndexLink"/>
                <w:rtl w:val="true"/>
              </w:rPr>
              <w:t xml:space="preserve">: </w:t>
            </w:r>
            <w:r>
              <w:rPr>
                <w:rStyle w:val="IndexLink"/>
                <w:rtl w:val="true"/>
              </w:rPr>
              <w:t>الإجماع الحدسی</w:t>
            </w:r>
            <w:r>
              <w:rPr>
                <w:rStyle w:val="IndexLink"/>
                <w:rtl w:val="true"/>
              </w:rPr>
              <w:tab/>
            </w:r>
            <w:r>
              <w:rPr>
                <w:rStyle w:val="IndexLink"/>
              </w:rPr>
              <w:t>18</w:t>
            </w:r>
          </w:hyperlink>
        </w:p>
        <w:p>
          <w:pPr>
            <w:pStyle w:val="Contents3"/>
            <w:tabs>
              <w:tab w:val="clear" w:pos="8459"/>
              <w:tab w:val="right" w:pos="9026" w:leader="dot"/>
            </w:tabs>
            <w:rPr/>
          </w:pPr>
          <w:hyperlink w:anchor="__RefHeading___Toc141601_3244359995">
            <w:r>
              <w:rPr>
                <w:webHidden/>
                <w:rStyle w:val="IndexLink"/>
                <w:rtl w:val="true"/>
              </w:rPr>
              <w:t>الفصل الثانی</w:t>
            </w:r>
            <w:r>
              <w:rPr>
                <w:rStyle w:val="IndexLink"/>
                <w:rtl w:val="true"/>
              </w:rPr>
              <w:t xml:space="preserve">: </w:t>
            </w:r>
            <w:r>
              <w:rPr>
                <w:rStyle w:val="IndexLink"/>
                <w:rtl w:val="true"/>
              </w:rPr>
              <w:t>الإجماع المنقول بخبر الواحد</w:t>
            </w:r>
            <w:r>
              <w:rPr>
                <w:rStyle w:val="IndexLink"/>
                <w:rtl w:val="true"/>
              </w:rPr>
              <w:tab/>
            </w:r>
            <w:r>
              <w:rPr>
                <w:rStyle w:val="IndexLink"/>
              </w:rPr>
              <w:t>20</w:t>
            </w:r>
          </w:hyperlink>
        </w:p>
        <w:p>
          <w:pPr>
            <w:pStyle w:val="Contents4"/>
            <w:tabs>
              <w:tab w:val="clear" w:pos="8176"/>
              <w:tab w:val="right" w:pos="9026" w:leader="dot"/>
            </w:tabs>
            <w:rPr/>
          </w:pPr>
          <w:hyperlink w:anchor="__RefHeading___Toc141603_324435999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41605_3244359995">
            <w:r>
              <w:rPr>
                <w:webHidden/>
                <w:rStyle w:val="IndexLink"/>
                <w:rtl w:val="true"/>
              </w:rPr>
              <w:t>تقویم الإجماعات المنقولة من جهة کیفیة النقل</w:t>
            </w:r>
            <w:r>
              <w:rPr>
                <w:rStyle w:val="IndexLink"/>
                <w:rtl w:val="true"/>
              </w:rPr>
              <w:tab/>
            </w:r>
            <w:r>
              <w:rPr>
                <w:rStyle w:val="IndexLink"/>
              </w:rPr>
              <w:t>22</w:t>
            </w:r>
          </w:hyperlink>
        </w:p>
        <w:p>
          <w:pPr>
            <w:pStyle w:val="Contents4"/>
            <w:tabs>
              <w:tab w:val="clear" w:pos="8176"/>
              <w:tab w:val="right" w:pos="9026" w:leader="dot"/>
            </w:tabs>
            <w:rPr/>
          </w:pPr>
          <w:hyperlink w:anchor="__RefHeading___Toc141607_3244359995">
            <w:r>
              <w:rPr>
                <w:webHidden/>
                <w:rStyle w:val="IndexLink"/>
                <w:rtl w:val="true"/>
              </w:rPr>
              <w:t>بقی هنا أمران</w:t>
            </w:r>
            <w:r>
              <w:rPr>
                <w:rStyle w:val="IndexLink"/>
                <w:rtl w:val="true"/>
              </w:rPr>
              <w:t>:</w:t>
              <w:tab/>
            </w:r>
            <w:r>
              <w:rPr>
                <w:rStyle w:val="IndexLink"/>
              </w:rPr>
              <w:t>22</w:t>
            </w:r>
          </w:hyperlink>
        </w:p>
        <w:p>
          <w:pPr>
            <w:pStyle w:val="Contents4"/>
            <w:tabs>
              <w:tab w:val="clear" w:pos="8176"/>
              <w:tab w:val="right" w:pos="9026" w:leader="dot"/>
            </w:tabs>
            <w:rPr/>
          </w:pPr>
          <w:hyperlink w:anchor="__RefHeading___Toc141609_3244359995">
            <w:r>
              <w:rPr>
                <w:webHidden/>
                <w:rStyle w:val="IndexLink"/>
                <w:rtl w:val="true"/>
              </w:rPr>
              <w:t>الأمر الأول</w:t>
            </w:r>
            <w:r>
              <w:rPr>
                <w:rStyle w:val="IndexLink"/>
                <w:rtl w:val="true"/>
              </w:rPr>
              <w:t xml:space="preserve">: </w:t>
            </w:r>
            <w:r>
              <w:rPr>
                <w:rStyle w:val="IndexLink"/>
                <w:rtl w:val="true"/>
              </w:rPr>
              <w:t>الإجماع القاعدة</w:t>
            </w:r>
            <w:r>
              <w:rPr>
                <w:rStyle w:val="IndexLink"/>
                <w:rtl w:val="true"/>
              </w:rPr>
              <w:tab/>
            </w:r>
            <w:r>
              <w:rPr>
                <w:rStyle w:val="IndexLink"/>
              </w:rPr>
              <w:t>22</w:t>
            </w:r>
          </w:hyperlink>
        </w:p>
        <w:p>
          <w:pPr>
            <w:pStyle w:val="Contents4"/>
            <w:tabs>
              <w:tab w:val="clear" w:pos="8176"/>
              <w:tab w:val="right" w:pos="9026" w:leader="dot"/>
            </w:tabs>
            <w:rPr/>
          </w:pPr>
          <w:hyperlink w:anchor="__RefHeading___Toc141611_3244359995">
            <w:r>
              <w:rPr>
                <w:webHidden/>
                <w:rStyle w:val="IndexLink"/>
                <w:rtl w:val="true"/>
              </w:rPr>
              <w:t>الأمر الثانی</w:t>
            </w:r>
            <w:r>
              <w:rPr>
                <w:rStyle w:val="IndexLink"/>
                <w:rtl w:val="true"/>
              </w:rPr>
              <w:t xml:space="preserve">: </w:t>
            </w:r>
            <w:r>
              <w:rPr>
                <w:rStyle w:val="IndexLink"/>
                <w:rtl w:val="true"/>
              </w:rPr>
              <w:t>فی لزوم ملاحظة ألفاظ نقل الإجماع</w:t>
            </w:r>
            <w:r>
              <w:rPr>
                <w:rStyle w:val="IndexLink"/>
                <w:rtl w:val="true"/>
              </w:rPr>
              <w:tab/>
            </w:r>
            <w:r>
              <w:rPr>
                <w:rStyle w:val="IndexLink"/>
              </w:rPr>
              <w:t>23</w:t>
            </w:r>
          </w:hyperlink>
        </w:p>
        <w:p>
          <w:pPr>
            <w:pStyle w:val="Contents3"/>
            <w:tabs>
              <w:tab w:val="clear" w:pos="8459"/>
              <w:tab w:val="right" w:pos="9026" w:leader="dot"/>
            </w:tabs>
            <w:rPr/>
          </w:pPr>
          <w:hyperlink w:anchor="__RefHeading___Toc141613_3244359995">
            <w:r>
              <w:rPr>
                <w:webHidden/>
                <w:rStyle w:val="IndexLink"/>
                <w:rtl w:val="true"/>
              </w:rPr>
              <w:t>الفصل الثالث</w:t>
            </w:r>
            <w:r>
              <w:rPr>
                <w:rStyle w:val="IndexLink"/>
                <w:rtl w:val="true"/>
              </w:rPr>
              <w:t xml:space="preserve">: </w:t>
            </w:r>
            <w:r>
              <w:rPr>
                <w:rStyle w:val="IndexLink"/>
                <w:rtl w:val="true"/>
              </w:rPr>
              <w:t>الشهرة الکاشفة عن قول المعصوم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41615_3244359995">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1617_3244359995">
            <w:r>
              <w:rPr>
                <w:webHidden/>
                <w:rStyle w:val="IndexLink"/>
              </w:rPr>
              <w:t>1</w:t>
            </w:r>
            <w:r>
              <w:rPr>
                <w:rStyle w:val="IndexLink"/>
                <w:rtl w:val="true"/>
              </w:rPr>
              <w:t xml:space="preserve">. </w:t>
            </w:r>
            <w:r>
              <w:rPr>
                <w:rStyle w:val="IndexLink"/>
                <w:rtl w:val="true"/>
              </w:rPr>
              <w:t>القول بحجّیة الشهرة مطلقاً</w:t>
            </w:r>
            <w:r>
              <w:rPr>
                <w:rStyle w:val="IndexLink"/>
                <w:rtl w:val="true"/>
              </w:rPr>
              <w:tab/>
            </w:r>
            <w:r>
              <w:rPr>
                <w:rStyle w:val="IndexLink"/>
              </w:rPr>
              <w:t>26</w:t>
            </w:r>
          </w:hyperlink>
        </w:p>
        <w:p>
          <w:pPr>
            <w:pStyle w:val="Contents4"/>
            <w:tabs>
              <w:tab w:val="clear" w:pos="8176"/>
              <w:tab w:val="right" w:pos="9026" w:leader="dot"/>
            </w:tabs>
            <w:rPr/>
          </w:pPr>
          <w:hyperlink w:anchor="__RefHeading___Toc141619_3244359995">
            <w:r>
              <w:rPr>
                <w:webHidden/>
                <w:rStyle w:val="IndexLink"/>
              </w:rPr>
              <w:t>2</w:t>
            </w:r>
            <w:r>
              <w:rPr>
                <w:rStyle w:val="IndexLink"/>
                <w:rtl w:val="true"/>
              </w:rPr>
              <w:t xml:space="preserve">. </w:t>
            </w:r>
            <w:r>
              <w:rPr>
                <w:rStyle w:val="IndexLink"/>
                <w:rtl w:val="true"/>
              </w:rPr>
              <w:t>القول بالتفصیل بین الشهرة عند القدماء وعند المتأخّرین</w:t>
            </w:r>
            <w:r>
              <w:rPr>
                <w:rStyle w:val="IndexLink"/>
                <w:rtl w:val="true"/>
              </w:rPr>
              <w:tab/>
            </w:r>
            <w:r>
              <w:rPr>
                <w:rStyle w:val="IndexLink"/>
              </w:rPr>
              <w:t>28</w:t>
            </w:r>
          </w:hyperlink>
        </w:p>
        <w:p>
          <w:pPr>
            <w:pStyle w:val="Contents4"/>
            <w:tabs>
              <w:tab w:val="clear" w:pos="8176"/>
              <w:tab w:val="right" w:pos="9026" w:leader="dot"/>
            </w:tabs>
            <w:rPr/>
          </w:pPr>
          <w:hyperlink w:anchor="__RefHeading___Toc141621_3244359995">
            <w:r>
              <w:rPr>
                <w:webHidden/>
                <w:rStyle w:val="IndexLink"/>
                <w:rtl w:val="true"/>
              </w:rPr>
              <w:t>تذییل حول الشهرة العملیّة</w:t>
            </w:r>
            <w:r>
              <w:rPr>
                <w:rStyle w:val="IndexLink"/>
                <w:rtl w:val="true"/>
              </w:rPr>
              <w:tab/>
            </w:r>
            <w:r>
              <w:rPr>
                <w:rStyle w:val="IndexLink"/>
              </w:rPr>
              <w:t>28</w:t>
            </w:r>
          </w:hyperlink>
        </w:p>
        <w:p>
          <w:pPr>
            <w:pStyle w:val="Contents4"/>
            <w:tabs>
              <w:tab w:val="clear" w:pos="8176"/>
              <w:tab w:val="right" w:pos="9026" w:leader="dot"/>
            </w:tabs>
            <w:rPr/>
          </w:pPr>
          <w:hyperlink w:anchor="__RefHeading___Toc141623_3244359995">
            <w:r>
              <w:rPr>
                <w:webHidden/>
                <w:rStyle w:val="IndexLink"/>
                <w:rtl w:val="true"/>
              </w:rPr>
              <w:t>وفیه مراحل</w:t>
            </w:r>
            <w:r>
              <w:rPr>
                <w:rStyle w:val="IndexLink"/>
                <w:rtl w:val="true"/>
              </w:rPr>
              <w:t>:</w:t>
              <w:tab/>
            </w:r>
            <w:r>
              <w:rPr>
                <w:rStyle w:val="IndexLink"/>
              </w:rPr>
              <w:t>31</w:t>
            </w:r>
          </w:hyperlink>
        </w:p>
        <w:p>
          <w:pPr>
            <w:pStyle w:val="Contents2"/>
            <w:tabs>
              <w:tab w:val="clear" w:pos="8743"/>
              <w:tab w:val="right" w:pos="9026" w:leader="dot"/>
            </w:tabs>
            <w:rPr/>
          </w:pPr>
          <w:hyperlink w:anchor="__RefHeading___Toc141625_3244359995">
            <w:r>
              <w:rPr>
                <w:webHidden/>
                <w:rStyle w:val="IndexLink"/>
                <w:rtl w:val="true"/>
              </w:rPr>
              <w:t>المقصد الرابع</w:t>
            </w:r>
            <w:r>
              <w:rPr>
                <w:rStyle w:val="IndexLink"/>
                <w:rtl w:val="true"/>
              </w:rPr>
              <w:t xml:space="preserve">: </w:t>
            </w:r>
            <w:r>
              <w:rPr>
                <w:rStyle w:val="IndexLink"/>
                <w:rtl w:val="true"/>
              </w:rPr>
              <w:t>دلیل العقل</w:t>
            </w:r>
            <w:r>
              <w:rPr>
                <w:rStyle w:val="IndexLink"/>
                <w:rtl w:val="true"/>
              </w:rPr>
              <w:tab/>
            </w:r>
            <w:r>
              <w:rPr>
                <w:rStyle w:val="IndexLink"/>
              </w:rPr>
              <w:t>33</w:t>
            </w:r>
          </w:hyperlink>
        </w:p>
        <w:p>
          <w:pPr>
            <w:pStyle w:val="Contents3"/>
            <w:tabs>
              <w:tab w:val="clear" w:pos="8459"/>
              <w:tab w:val="right" w:pos="9026" w:leader="dot"/>
            </w:tabs>
            <w:rPr/>
          </w:pPr>
          <w:hyperlink w:anchor="__RefHeading___Toc141627_3244359995">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1629_3244359995">
            <w:r>
              <w:rPr>
                <w:webHidden/>
                <w:rStyle w:val="IndexLink"/>
                <w:rtl w:val="true"/>
              </w:rPr>
              <w:t>المرحلة الاولی</w:t>
            </w:r>
            <w:r>
              <w:rPr>
                <w:rStyle w:val="IndexLink"/>
                <w:rtl w:val="true"/>
              </w:rPr>
              <w:t xml:space="preserve">: </w:t>
            </w:r>
            <w:r>
              <w:rPr>
                <w:rStyle w:val="IndexLink"/>
                <w:rtl w:val="true"/>
              </w:rPr>
              <w:t>علل الاحکام و مبادیها</w:t>
            </w:r>
            <w:r>
              <w:rPr>
                <w:rStyle w:val="IndexLink"/>
                <w:rtl w:val="true"/>
              </w:rPr>
              <w:tab/>
            </w:r>
            <w:r>
              <w:rPr>
                <w:rStyle w:val="IndexLink"/>
              </w:rPr>
              <w:t>35</w:t>
            </w:r>
          </w:hyperlink>
        </w:p>
        <w:p>
          <w:pPr>
            <w:pStyle w:val="Contents4"/>
            <w:tabs>
              <w:tab w:val="clear" w:pos="8176"/>
              <w:tab w:val="right" w:pos="9026" w:leader="dot"/>
            </w:tabs>
            <w:rPr/>
          </w:pPr>
          <w:hyperlink w:anchor="__RefHeading___Toc141631_3244359995">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1633_3244359995">
            <w:r>
              <w:rPr>
                <w:webHidden/>
                <w:rStyle w:val="IndexLink"/>
                <w:rtl w:val="true"/>
              </w:rPr>
              <w:t>المقام الأوّل</w:t>
            </w:r>
            <w:r>
              <w:rPr>
                <w:rStyle w:val="IndexLink"/>
                <w:rtl w:val="true"/>
              </w:rPr>
              <w:t xml:space="preserve">: </w:t>
            </w:r>
            <w:r>
              <w:rPr>
                <w:rStyle w:val="IndexLink"/>
                <w:rtl w:val="true"/>
              </w:rPr>
              <w:t>هل للأشیاء حسن وقبح ذاتاً؟</w:t>
            </w:r>
            <w:r>
              <w:rPr>
                <w:rStyle w:val="IndexLink"/>
                <w:rtl w:val="true"/>
              </w:rPr>
              <w:tab/>
            </w:r>
            <w:r>
              <w:rPr>
                <w:rStyle w:val="IndexLink"/>
              </w:rPr>
              <w:t>35</w:t>
            </w:r>
          </w:hyperlink>
        </w:p>
        <w:p>
          <w:pPr>
            <w:pStyle w:val="Contents5"/>
            <w:tabs>
              <w:tab w:val="clear" w:pos="7892"/>
              <w:tab w:val="right" w:pos="9026" w:leader="dot"/>
            </w:tabs>
            <w:rPr/>
          </w:pPr>
          <w:hyperlink w:anchor="__RefHeading___Toc141635_3244359995">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41637_3244359995">
            <w:r>
              <w:rPr>
                <w:webHidden/>
                <w:rStyle w:val="IndexLink"/>
                <w:rtl w:val="true"/>
              </w:rPr>
              <w:t>أدّلة المثبتین</w:t>
            </w:r>
            <w:r>
              <w:rPr>
                <w:rStyle w:val="IndexLink"/>
                <w:rtl w:val="true"/>
              </w:rPr>
              <w:tab/>
            </w:r>
            <w:r>
              <w:rPr>
                <w:rStyle w:val="IndexLink"/>
              </w:rPr>
              <w:t>36</w:t>
            </w:r>
          </w:hyperlink>
        </w:p>
        <w:p>
          <w:pPr>
            <w:pStyle w:val="Contents5"/>
            <w:tabs>
              <w:tab w:val="clear" w:pos="7892"/>
              <w:tab w:val="right" w:pos="9026" w:leader="dot"/>
            </w:tabs>
            <w:rPr/>
          </w:pPr>
          <w:hyperlink w:anchor="__RefHeading___Toc141639_3244359995">
            <w:r>
              <w:rPr>
                <w:webHidden/>
                <w:rStyle w:val="IndexLink"/>
                <w:rtl w:val="true"/>
              </w:rPr>
              <w:t>أدلّة المنکرین للحسن والقبح</w:t>
            </w:r>
            <w:r>
              <w:rPr>
                <w:rStyle w:val="IndexLink"/>
                <w:rtl w:val="true"/>
              </w:rPr>
              <w:t>:</w:t>
              <w:tab/>
            </w:r>
            <w:r>
              <w:rPr>
                <w:rStyle w:val="IndexLink"/>
              </w:rPr>
              <w:t>37</w:t>
            </w:r>
          </w:hyperlink>
        </w:p>
        <w:p>
          <w:pPr>
            <w:pStyle w:val="Contents5"/>
            <w:tabs>
              <w:tab w:val="clear" w:pos="7892"/>
              <w:tab w:val="right" w:pos="9026" w:leader="dot"/>
            </w:tabs>
            <w:rPr/>
          </w:pPr>
          <w:hyperlink w:anchor="__RefHeading___Toc141641_3244359995">
            <w:r>
              <w:rPr>
                <w:webHidden/>
                <w:rStyle w:val="IndexLink"/>
                <w:rtl w:val="true"/>
              </w:rPr>
              <w:t>المقام الثانی</w:t>
            </w:r>
            <w:r>
              <w:rPr>
                <w:rStyle w:val="IndexLink"/>
                <w:rtl w:val="true"/>
              </w:rPr>
              <w:t xml:space="preserve">: </w:t>
            </w:r>
            <w:r>
              <w:rPr>
                <w:rStyle w:val="IndexLink"/>
                <w:rtl w:val="true"/>
              </w:rPr>
              <w:t>فی إمکان إدراک الحسن والقبح الذاتیین</w:t>
            </w:r>
            <w:r>
              <w:rPr>
                <w:rStyle w:val="IndexLink"/>
                <w:rtl w:val="true"/>
              </w:rPr>
              <w:tab/>
            </w:r>
            <w:r>
              <w:rPr>
                <w:rStyle w:val="IndexLink"/>
              </w:rPr>
              <w:t>38</w:t>
            </w:r>
          </w:hyperlink>
        </w:p>
        <w:p>
          <w:pPr>
            <w:pStyle w:val="Contents5"/>
            <w:tabs>
              <w:tab w:val="clear" w:pos="7892"/>
              <w:tab w:val="right" w:pos="9026" w:leader="dot"/>
            </w:tabs>
            <w:rPr/>
          </w:pPr>
          <w:hyperlink w:anchor="__RefHeading___Toc141643_3244359995">
            <w:r>
              <w:rPr>
                <w:webHidden/>
                <w:rStyle w:val="IndexLink"/>
                <w:rtl w:val="true"/>
              </w:rPr>
              <w:t>المقام الثالث</w:t>
            </w:r>
            <w:r>
              <w:rPr>
                <w:rStyle w:val="IndexLink"/>
                <w:rtl w:val="true"/>
              </w:rPr>
              <w:t xml:space="preserve">: </w:t>
            </w:r>
            <w:r>
              <w:rPr>
                <w:rStyle w:val="IndexLink"/>
                <w:rtl w:val="true"/>
              </w:rPr>
              <w:t>فی الملازمة بین حکم العقل وحکم الشرع</w:t>
            </w:r>
            <w:r>
              <w:rPr>
                <w:rStyle w:val="IndexLink"/>
                <w:rtl w:val="true"/>
              </w:rPr>
              <w:tab/>
            </w:r>
            <w:r>
              <w:rPr>
                <w:rStyle w:val="IndexLink"/>
              </w:rPr>
              <w:t>38</w:t>
            </w:r>
          </w:hyperlink>
        </w:p>
        <w:p>
          <w:pPr>
            <w:pStyle w:val="Contents5"/>
            <w:tabs>
              <w:tab w:val="clear" w:pos="7892"/>
              <w:tab w:val="right" w:pos="9026" w:leader="dot"/>
            </w:tabs>
            <w:rPr/>
          </w:pPr>
          <w:hyperlink w:anchor="__RefHeading___Toc141645_3244359995">
            <w:r>
              <w:rPr>
                <w:webHidden/>
                <w:rStyle w:val="IndexLink"/>
                <w:rtl w:val="true"/>
              </w:rPr>
              <w:t>المختار فی المسألة</w:t>
            </w:r>
            <w:r>
              <w:rPr>
                <w:rStyle w:val="IndexLink"/>
                <w:rtl w:val="true"/>
              </w:rPr>
              <w:t>:</w:t>
              <w:tab/>
            </w:r>
            <w:r>
              <w:rPr>
                <w:rStyle w:val="IndexLink"/>
              </w:rPr>
              <w:t>39</w:t>
            </w:r>
          </w:hyperlink>
        </w:p>
        <w:p>
          <w:pPr>
            <w:pStyle w:val="Contents5"/>
            <w:tabs>
              <w:tab w:val="clear" w:pos="7892"/>
              <w:tab w:val="right" w:pos="9026" w:leader="dot"/>
            </w:tabs>
            <w:rPr/>
          </w:pPr>
          <w:hyperlink w:anchor="__RefHeading___Toc141647_3244359995">
            <w:r>
              <w:rPr>
                <w:webHidden/>
                <w:rStyle w:val="IndexLink"/>
                <w:rtl w:val="true"/>
              </w:rPr>
              <w:t>أدلّة منکری الملازمة</w:t>
            </w:r>
            <w:r>
              <w:rPr>
                <w:rStyle w:val="IndexLink"/>
                <w:rtl w:val="true"/>
              </w:rPr>
              <w:t>:</w:t>
              <w:tab/>
            </w:r>
            <w:r>
              <w:rPr>
                <w:rStyle w:val="IndexLink"/>
              </w:rPr>
              <w:t>40</w:t>
            </w:r>
          </w:hyperlink>
        </w:p>
        <w:p>
          <w:pPr>
            <w:pStyle w:val="Contents5"/>
            <w:tabs>
              <w:tab w:val="clear" w:pos="7892"/>
              <w:tab w:val="right" w:pos="9026" w:leader="dot"/>
            </w:tabs>
            <w:rPr/>
          </w:pPr>
          <w:hyperlink w:anchor="__RefHeading___Toc141649_3244359995">
            <w:r>
              <w:rPr>
                <w:webHidden/>
                <w:rStyle w:val="IndexLink"/>
                <w:rtl w:val="true"/>
              </w:rPr>
              <w:t>القول بالتفصیل فی ثبوت الملازمة</w:t>
            </w:r>
            <w:r>
              <w:rPr>
                <w:rStyle w:val="IndexLink"/>
                <w:rtl w:val="true"/>
              </w:rPr>
              <w:tab/>
            </w:r>
            <w:r>
              <w:rPr>
                <w:rStyle w:val="IndexLink"/>
              </w:rPr>
              <w:t>42</w:t>
            </w:r>
          </w:hyperlink>
        </w:p>
        <w:p>
          <w:pPr>
            <w:pStyle w:val="Contents3"/>
            <w:tabs>
              <w:tab w:val="clear" w:pos="8459"/>
              <w:tab w:val="right" w:pos="9026" w:leader="dot"/>
            </w:tabs>
            <w:rPr/>
          </w:pPr>
          <w:hyperlink w:anchor="__RefHeading___Toc141651_3244359995">
            <w:r>
              <w:rPr>
                <w:webHidden/>
                <w:rStyle w:val="IndexLink"/>
                <w:rtl w:val="true"/>
              </w:rPr>
              <w:t>المرحلة الثانیة</w:t>
            </w:r>
            <w:r>
              <w:rPr>
                <w:rStyle w:val="IndexLink"/>
                <w:rtl w:val="true"/>
              </w:rPr>
              <w:t xml:space="preserve">: </w:t>
            </w:r>
            <w:r>
              <w:rPr>
                <w:rStyle w:val="IndexLink"/>
                <w:rtl w:val="true"/>
              </w:rPr>
              <w:t>معلولات الاحکام</w:t>
            </w:r>
            <w:r>
              <w:rPr>
                <w:rStyle w:val="IndexLink"/>
                <w:rtl w:val="true"/>
              </w:rPr>
              <w:tab/>
            </w:r>
            <w:r>
              <w:rPr>
                <w:rStyle w:val="IndexLink"/>
              </w:rPr>
              <w:t>44</w:t>
            </w:r>
          </w:hyperlink>
        </w:p>
        <w:p>
          <w:pPr>
            <w:pStyle w:val="Contents3"/>
            <w:tabs>
              <w:tab w:val="clear" w:pos="8459"/>
              <w:tab w:val="right" w:pos="9026" w:leader="dot"/>
            </w:tabs>
            <w:rPr/>
          </w:pPr>
          <w:hyperlink w:anchor="__RefHeading___Toc141653_3244359995">
            <w:r>
              <w:rPr>
                <w:webHidden/>
                <w:rStyle w:val="IndexLink"/>
                <w:rtl w:val="true"/>
              </w:rPr>
              <w:t>المرحلة الثالثة</w:t>
            </w:r>
            <w:r>
              <w:rPr>
                <w:rStyle w:val="IndexLink"/>
                <w:rtl w:val="true"/>
              </w:rPr>
              <w:t xml:space="preserve">: </w:t>
            </w:r>
            <w:r>
              <w:rPr>
                <w:rStyle w:val="IndexLink"/>
                <w:rtl w:val="true"/>
              </w:rPr>
              <w:t>الاستلزامات الاحکام</w:t>
            </w:r>
            <w:r>
              <w:rPr>
                <w:rStyle w:val="IndexLink"/>
                <w:rtl w:val="true"/>
              </w:rPr>
              <w:tab/>
            </w:r>
            <w:r>
              <w:rPr>
                <w:rStyle w:val="IndexLink"/>
              </w:rPr>
              <w:t>45</w:t>
            </w:r>
          </w:hyperlink>
        </w:p>
        <w:p>
          <w:pPr>
            <w:pStyle w:val="Contents4"/>
            <w:tabs>
              <w:tab w:val="clear" w:pos="8176"/>
              <w:tab w:val="right" w:pos="9026" w:leader="dot"/>
            </w:tabs>
            <w:rPr/>
          </w:pPr>
          <w:hyperlink w:anchor="__RefHeading___Toc141655_3244359995">
            <w:r>
              <w:rPr>
                <w:webHidden/>
                <w:rStyle w:val="IndexLink"/>
                <w:rtl w:val="true"/>
              </w:rPr>
              <w:t>الفصل الأول</w:t>
            </w:r>
            <w:r>
              <w:rPr>
                <w:rStyle w:val="IndexLink"/>
                <w:rtl w:val="true"/>
              </w:rPr>
              <w:t xml:space="preserve">: </w:t>
            </w:r>
            <w:r>
              <w:rPr>
                <w:rStyle w:val="IndexLink"/>
                <w:rtl w:val="true"/>
              </w:rPr>
              <w:t>الإجزاء</w:t>
            </w:r>
            <w:r>
              <w:rPr>
                <w:rStyle w:val="IndexLink"/>
                <w:rtl w:val="true"/>
              </w:rPr>
              <w:tab/>
            </w:r>
            <w:r>
              <w:rPr>
                <w:rStyle w:val="IndexLink"/>
              </w:rPr>
              <w:t>45</w:t>
            </w:r>
          </w:hyperlink>
        </w:p>
        <w:p>
          <w:pPr>
            <w:pStyle w:val="Contents5"/>
            <w:tabs>
              <w:tab w:val="clear" w:pos="7892"/>
              <w:tab w:val="right" w:pos="9026" w:leader="dot"/>
            </w:tabs>
            <w:rPr/>
          </w:pPr>
          <w:hyperlink w:anchor="__RefHeading___Toc141657_324435999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41659_3244359995">
            <w:r>
              <w:rPr>
                <w:webHidden/>
                <w:rStyle w:val="IndexLink"/>
                <w:rtl w:val="true"/>
              </w:rPr>
              <w:t>المقام الأوّل</w:t>
            </w:r>
            <w:r>
              <w:rPr>
                <w:rStyle w:val="IndexLink"/>
                <w:rtl w:val="true"/>
              </w:rPr>
              <w:t xml:space="preserve">: </w:t>
            </w:r>
            <w:r>
              <w:rPr>
                <w:rStyle w:val="IndexLink"/>
                <w:rtl w:val="true"/>
              </w:rPr>
              <w:t>إجزاء المأمور به عن أمر نفسه</w:t>
            </w:r>
            <w:r>
              <w:rPr>
                <w:rStyle w:val="IndexLink"/>
                <w:rtl w:val="true"/>
              </w:rPr>
              <w:tab/>
            </w:r>
            <w:r>
              <w:rPr>
                <w:rStyle w:val="IndexLink"/>
              </w:rPr>
              <w:t>47</w:t>
            </w:r>
          </w:hyperlink>
        </w:p>
        <w:p>
          <w:pPr>
            <w:pStyle w:val="Contents6"/>
            <w:tabs>
              <w:tab w:val="clear" w:pos="7609"/>
              <w:tab w:val="right" w:pos="9026" w:leader="dot"/>
            </w:tabs>
            <w:rPr/>
          </w:pPr>
          <w:hyperlink w:anchor="__RefHeading___Toc141661_3244359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41663_3244359995">
            <w:r>
              <w:rPr>
                <w:webHidden/>
                <w:rStyle w:val="IndexLink"/>
                <w:rtl w:val="true"/>
              </w:rPr>
              <w:t>تنبیه حول جواز الإمتثال بعد الإمتثال</w:t>
            </w:r>
            <w:r>
              <w:rPr>
                <w:rStyle w:val="IndexLink"/>
                <w:rtl w:val="true"/>
              </w:rPr>
              <w:tab/>
            </w:r>
            <w:r>
              <w:rPr>
                <w:rStyle w:val="IndexLink"/>
              </w:rPr>
              <w:t>48</w:t>
            </w:r>
          </w:hyperlink>
        </w:p>
        <w:p>
          <w:pPr>
            <w:pStyle w:val="Contents5"/>
            <w:tabs>
              <w:tab w:val="clear" w:pos="7892"/>
              <w:tab w:val="right" w:pos="9026" w:leader="dot"/>
            </w:tabs>
            <w:rPr/>
          </w:pPr>
          <w:hyperlink w:anchor="__RefHeading___Toc141665_3244359995">
            <w:r>
              <w:rPr>
                <w:webHidden/>
                <w:rStyle w:val="IndexLink"/>
                <w:rtl w:val="true"/>
              </w:rPr>
              <w:t>المقام الثانی</w:t>
            </w:r>
            <w:r>
              <w:rPr>
                <w:rStyle w:val="IndexLink"/>
                <w:rtl w:val="true"/>
              </w:rPr>
              <w:t xml:space="preserve">: </w:t>
            </w:r>
            <w:r>
              <w:rPr>
                <w:rStyle w:val="IndexLink"/>
                <w:rtl w:val="true"/>
              </w:rPr>
              <w:t>إجزاء المأمور به الاضطراری عن الاختیاری</w:t>
            </w:r>
            <w:r>
              <w:rPr>
                <w:rStyle w:val="IndexLink"/>
                <w:rtl w:val="true"/>
              </w:rPr>
              <w:tab/>
            </w:r>
            <w:r>
              <w:rPr>
                <w:rStyle w:val="IndexLink"/>
              </w:rPr>
              <w:t>49</w:t>
            </w:r>
          </w:hyperlink>
        </w:p>
        <w:p>
          <w:pPr>
            <w:pStyle w:val="Contents6"/>
            <w:tabs>
              <w:tab w:val="clear" w:pos="7609"/>
              <w:tab w:val="right" w:pos="9026" w:leader="dot"/>
            </w:tabs>
            <w:rPr/>
          </w:pPr>
          <w:hyperlink w:anchor="__RefHeading___Toc141667_3244359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141669_3244359995">
            <w:r>
              <w:rPr>
                <w:webHidden/>
                <w:rStyle w:val="IndexLink"/>
                <w:rtl w:val="true"/>
              </w:rPr>
              <w:t>مقتضی الأدلّة بحسب مقام الإثبات</w:t>
            </w:r>
            <w:r>
              <w:rPr>
                <w:rStyle w:val="IndexLink"/>
                <w:rtl w:val="true"/>
              </w:rPr>
              <w:tab/>
            </w:r>
            <w:r>
              <w:rPr>
                <w:rStyle w:val="IndexLink"/>
              </w:rPr>
              <w:t>49</w:t>
            </w:r>
          </w:hyperlink>
        </w:p>
        <w:p>
          <w:pPr>
            <w:pStyle w:val="Contents5"/>
            <w:tabs>
              <w:tab w:val="clear" w:pos="7892"/>
              <w:tab w:val="right" w:pos="9026" w:leader="dot"/>
            </w:tabs>
            <w:rPr/>
          </w:pPr>
          <w:hyperlink w:anchor="__RefHeading___Toc141671_3244359995">
            <w:r>
              <w:rPr>
                <w:webHidden/>
                <w:rStyle w:val="IndexLink"/>
                <w:rtl w:val="true"/>
              </w:rPr>
              <w:t>المقام الثالث</w:t>
            </w:r>
            <w:r>
              <w:rPr>
                <w:rStyle w:val="IndexLink"/>
                <w:rtl w:val="true"/>
              </w:rPr>
              <w:t xml:space="preserve">: </w:t>
            </w:r>
            <w:r>
              <w:rPr>
                <w:rStyle w:val="IndexLink"/>
                <w:rtl w:val="true"/>
              </w:rPr>
              <w:t>إجزاء الأوامر الظاهریّة الشرعیّة</w:t>
            </w:r>
            <w:r>
              <w:rPr>
                <w:rStyle w:val="IndexLink"/>
                <w:rtl w:val="true"/>
              </w:rPr>
              <w:tab/>
            </w:r>
            <w:r>
              <w:rPr>
                <w:rStyle w:val="IndexLink"/>
              </w:rPr>
              <w:t>51</w:t>
            </w:r>
          </w:hyperlink>
        </w:p>
        <w:p>
          <w:pPr>
            <w:pStyle w:val="Contents6"/>
            <w:tabs>
              <w:tab w:val="clear" w:pos="7609"/>
              <w:tab w:val="right" w:pos="9026" w:leader="dot"/>
            </w:tabs>
            <w:rPr/>
          </w:pPr>
          <w:hyperlink w:anchor="__RefHeading___Toc141673_3244359995">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41675_3244359995">
            <w:r>
              <w:rPr>
                <w:webHidden/>
                <w:rStyle w:val="IndexLink"/>
              </w:rPr>
              <w:t>1</w:t>
            </w:r>
            <w:r>
              <w:rPr>
                <w:rStyle w:val="IndexLink"/>
                <w:rtl w:val="true"/>
              </w:rPr>
              <w:t xml:space="preserve">. </w:t>
            </w:r>
            <w:r>
              <w:rPr>
                <w:rStyle w:val="IndexLink"/>
                <w:rtl w:val="true"/>
              </w:rPr>
              <w:t>الأحکام الظاهریّة الّتی تجری لتنقیح موضوع تکلیف آخر</w:t>
            </w:r>
            <w:r>
              <w:rPr>
                <w:rStyle w:val="IndexLink"/>
                <w:rtl w:val="true"/>
              </w:rPr>
              <w:tab/>
            </w:r>
            <w:r>
              <w:rPr>
                <w:rStyle w:val="IndexLink"/>
              </w:rPr>
              <w:t>52</w:t>
            </w:r>
          </w:hyperlink>
        </w:p>
        <w:p>
          <w:pPr>
            <w:pStyle w:val="Contents6"/>
            <w:tabs>
              <w:tab w:val="clear" w:pos="7609"/>
              <w:tab w:val="right" w:pos="9026" w:leader="dot"/>
            </w:tabs>
            <w:rPr/>
          </w:pPr>
          <w:hyperlink w:anchor="__RefHeading___Toc141677_3244359995">
            <w:r>
              <w:rPr>
                <w:webHidden/>
                <w:rStyle w:val="IndexLink"/>
              </w:rPr>
              <w:t>2</w:t>
            </w:r>
            <w:r>
              <w:rPr>
                <w:rStyle w:val="IndexLink"/>
                <w:rtl w:val="true"/>
              </w:rPr>
              <w:t xml:space="preserve">. </w:t>
            </w:r>
            <w:r>
              <w:rPr>
                <w:rStyle w:val="IndexLink"/>
                <w:rtl w:val="true"/>
              </w:rPr>
              <w:t>الأحکام الظاهریّة الّتی تجری لإثبات أصل التکلیف</w:t>
            </w:r>
            <w:r>
              <w:rPr>
                <w:rStyle w:val="IndexLink"/>
                <w:rtl w:val="true"/>
              </w:rPr>
              <w:tab/>
            </w:r>
            <w:r>
              <w:rPr>
                <w:rStyle w:val="IndexLink"/>
              </w:rPr>
              <w:t>54</w:t>
            </w:r>
          </w:hyperlink>
        </w:p>
        <w:p>
          <w:pPr>
            <w:pStyle w:val="Contents5"/>
            <w:tabs>
              <w:tab w:val="clear" w:pos="7892"/>
              <w:tab w:val="right" w:pos="9026" w:leader="dot"/>
            </w:tabs>
            <w:rPr/>
          </w:pPr>
          <w:hyperlink w:anchor="__RefHeading___Toc141679_3244359995">
            <w:r>
              <w:rPr>
                <w:webHidden/>
                <w:rStyle w:val="IndexLink"/>
                <w:rtl w:val="true"/>
              </w:rPr>
              <w:t>المقام الرابع</w:t>
            </w:r>
            <w:r>
              <w:rPr>
                <w:rStyle w:val="IndexLink"/>
                <w:rtl w:val="true"/>
              </w:rPr>
              <w:t xml:space="preserve">: </w:t>
            </w:r>
            <w:r>
              <w:rPr>
                <w:rStyle w:val="IndexLink"/>
                <w:rtl w:val="true"/>
              </w:rPr>
              <w:t>فی إجزاء الأوامر الظاهریّة العقلیّة</w:t>
            </w:r>
            <w:r>
              <w:rPr>
                <w:rStyle w:val="IndexLink"/>
                <w:rtl w:val="true"/>
              </w:rPr>
              <w:tab/>
            </w:r>
            <w:r>
              <w:rPr>
                <w:rStyle w:val="IndexLink"/>
              </w:rPr>
              <w:t>56</w:t>
            </w:r>
          </w:hyperlink>
        </w:p>
        <w:p>
          <w:pPr>
            <w:pStyle w:val="Contents6"/>
            <w:tabs>
              <w:tab w:val="clear" w:pos="7609"/>
              <w:tab w:val="right" w:pos="9026" w:leader="dot"/>
            </w:tabs>
            <w:rPr/>
          </w:pPr>
          <w:hyperlink w:anchor="__RefHeading___Toc141681_3244359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41683_3244359995">
            <w:r>
              <w:rPr>
                <w:webHidden/>
                <w:rStyle w:val="IndexLink"/>
                <w:rtl w:val="true"/>
              </w:rPr>
              <w:t>تنبیه</w:t>
            </w:r>
            <w:r>
              <w:rPr>
                <w:rStyle w:val="IndexLink"/>
                <w:rtl w:val="true"/>
              </w:rPr>
              <w:t xml:space="preserve">: </w:t>
            </w:r>
            <w:r>
              <w:rPr>
                <w:rStyle w:val="IndexLink"/>
                <w:rtl w:val="true"/>
              </w:rPr>
              <w:t>الإجزاء ومسألة التصویب</w:t>
            </w:r>
            <w:r>
              <w:rPr>
                <w:rStyle w:val="IndexLink"/>
                <w:rtl w:val="true"/>
              </w:rPr>
              <w:tab/>
            </w:r>
            <w:r>
              <w:rPr>
                <w:rStyle w:val="IndexLink"/>
              </w:rPr>
              <w:t>58</w:t>
            </w:r>
          </w:hyperlink>
        </w:p>
        <w:p>
          <w:pPr>
            <w:pStyle w:val="Contents4"/>
            <w:tabs>
              <w:tab w:val="clear" w:pos="8176"/>
              <w:tab w:val="right" w:pos="9026" w:leader="dot"/>
            </w:tabs>
            <w:rPr/>
          </w:pPr>
          <w:hyperlink w:anchor="__RefHeading___Toc141685_3244359995">
            <w:r>
              <w:rPr>
                <w:webHidden/>
                <w:rStyle w:val="IndexLink"/>
                <w:rtl w:val="true"/>
              </w:rPr>
              <w:t>الفصل الثانی</w:t>
            </w:r>
            <w:r>
              <w:rPr>
                <w:rStyle w:val="IndexLink"/>
                <w:rtl w:val="true"/>
              </w:rPr>
              <w:t xml:space="preserve">: </w:t>
            </w:r>
            <w:r>
              <w:rPr>
                <w:rStyle w:val="IndexLink"/>
                <w:rtl w:val="true"/>
              </w:rPr>
              <w:t>مقدمة الواجب</w:t>
            </w:r>
            <w:r>
              <w:rPr>
                <w:rStyle w:val="IndexLink"/>
                <w:rtl w:val="true"/>
              </w:rPr>
              <w:tab/>
            </w:r>
            <w:r>
              <w:rPr>
                <w:rStyle w:val="IndexLink"/>
              </w:rPr>
              <w:t>60</w:t>
            </w:r>
          </w:hyperlink>
        </w:p>
        <w:p>
          <w:pPr>
            <w:pStyle w:val="Contents5"/>
            <w:tabs>
              <w:tab w:val="clear" w:pos="7892"/>
              <w:tab w:val="right" w:pos="9026" w:leader="dot"/>
            </w:tabs>
            <w:rPr/>
          </w:pPr>
          <w:hyperlink w:anchor="__RefHeading___Toc141687_3244359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41689_3244359995">
            <w:r>
              <w:rPr>
                <w:webHidden/>
                <w:rStyle w:val="IndexLink"/>
                <w:rtl w:val="true"/>
              </w:rPr>
              <w:t>الأمر الأوّل</w:t>
            </w:r>
            <w:r>
              <w:rPr>
                <w:rStyle w:val="IndexLink"/>
                <w:rtl w:val="true"/>
              </w:rPr>
              <w:t xml:space="preserve">: </w:t>
            </w:r>
            <w:r>
              <w:rPr>
                <w:rStyle w:val="IndexLink"/>
                <w:rtl w:val="true"/>
              </w:rPr>
              <w:t>حول مکانة البحث</w:t>
            </w:r>
            <w:r>
              <w:rPr>
                <w:rStyle w:val="IndexLink"/>
                <w:rtl w:val="true"/>
              </w:rPr>
              <w:tab/>
            </w:r>
            <w:r>
              <w:rPr>
                <w:rStyle w:val="IndexLink"/>
              </w:rPr>
              <w:t>60</w:t>
            </w:r>
          </w:hyperlink>
        </w:p>
        <w:p>
          <w:pPr>
            <w:pStyle w:val="Contents5"/>
            <w:tabs>
              <w:tab w:val="clear" w:pos="7892"/>
              <w:tab w:val="right" w:pos="9026" w:leader="dot"/>
            </w:tabs>
            <w:rPr/>
          </w:pPr>
          <w:hyperlink w:anchor="__RefHeading___Toc141691_3244359995">
            <w:r>
              <w:rPr>
                <w:webHidden/>
                <w:rStyle w:val="IndexLink"/>
                <w:rtl w:val="true"/>
              </w:rPr>
              <w:t>الأمر الثانی</w:t>
            </w:r>
            <w:r>
              <w:rPr>
                <w:rStyle w:val="IndexLink"/>
                <w:rtl w:val="true"/>
              </w:rPr>
              <w:t xml:space="preserve">: </w:t>
            </w:r>
            <w:r>
              <w:rPr>
                <w:rStyle w:val="IndexLink"/>
                <w:rtl w:val="true"/>
              </w:rPr>
              <w:t>تقسیمات المقدّمة</w:t>
            </w:r>
            <w:r>
              <w:rPr>
                <w:rStyle w:val="IndexLink"/>
                <w:rtl w:val="true"/>
              </w:rPr>
              <w:tab/>
            </w:r>
            <w:r>
              <w:rPr>
                <w:rStyle w:val="IndexLink"/>
              </w:rPr>
              <w:t>61</w:t>
            </w:r>
          </w:hyperlink>
        </w:p>
        <w:p>
          <w:pPr>
            <w:pStyle w:val="Contents6"/>
            <w:tabs>
              <w:tab w:val="clear" w:pos="7609"/>
              <w:tab w:val="right" w:pos="9026" w:leader="dot"/>
            </w:tabs>
            <w:rPr/>
          </w:pPr>
          <w:hyperlink w:anchor="__RefHeading___Toc141693_3244359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41695_3244359995">
            <w:r>
              <w:rPr>
                <w:webHidden/>
                <w:rStyle w:val="IndexLink"/>
              </w:rPr>
              <w:t>1</w:t>
            </w:r>
            <w:r>
              <w:rPr>
                <w:rStyle w:val="IndexLink"/>
                <w:rtl w:val="true"/>
              </w:rPr>
              <w:t xml:space="preserve">. </w:t>
            </w:r>
            <w:r>
              <w:rPr>
                <w:rStyle w:val="IndexLink"/>
                <w:rtl w:val="true"/>
              </w:rPr>
              <w:t>المقدّمة الداخلیة والمقدّمة الخارجیّة</w:t>
            </w:r>
            <w:r>
              <w:rPr>
                <w:rStyle w:val="IndexLink"/>
                <w:rtl w:val="true"/>
              </w:rPr>
              <w:tab/>
            </w:r>
            <w:r>
              <w:rPr>
                <w:rStyle w:val="IndexLink"/>
              </w:rPr>
              <w:t>61</w:t>
            </w:r>
          </w:hyperlink>
        </w:p>
        <w:p>
          <w:pPr>
            <w:pStyle w:val="Contents6"/>
            <w:tabs>
              <w:tab w:val="clear" w:pos="7609"/>
              <w:tab w:val="right" w:pos="9026" w:leader="dot"/>
            </w:tabs>
            <w:rPr/>
          </w:pPr>
          <w:hyperlink w:anchor="__RefHeading___Toc141697_3244359995">
            <w:r>
              <w:rPr>
                <w:webHidden/>
                <w:rStyle w:val="IndexLink"/>
              </w:rPr>
              <w:t>2</w:t>
            </w:r>
            <w:r>
              <w:rPr>
                <w:rStyle w:val="IndexLink"/>
                <w:rtl w:val="true"/>
              </w:rPr>
              <w:t xml:space="preserve">. </w:t>
            </w:r>
            <w:r>
              <w:rPr>
                <w:rStyle w:val="IndexLink"/>
                <w:rtl w:val="true"/>
              </w:rPr>
              <w:t>المقدّمة العقلیّة والشرعیّة والعادیة</w:t>
            </w:r>
            <w:r>
              <w:rPr>
                <w:rStyle w:val="IndexLink"/>
                <w:rtl w:val="true"/>
              </w:rPr>
              <w:tab/>
            </w:r>
            <w:r>
              <w:rPr>
                <w:rStyle w:val="IndexLink"/>
              </w:rPr>
              <w:t>63</w:t>
            </w:r>
          </w:hyperlink>
        </w:p>
        <w:p>
          <w:pPr>
            <w:pStyle w:val="Contents6"/>
            <w:tabs>
              <w:tab w:val="clear" w:pos="7609"/>
              <w:tab w:val="right" w:pos="9026" w:leader="dot"/>
            </w:tabs>
            <w:rPr/>
          </w:pPr>
          <w:hyperlink w:anchor="__RefHeading___Toc141699_3244359995">
            <w:r>
              <w:rPr>
                <w:webHidden/>
                <w:rStyle w:val="IndexLink"/>
              </w:rPr>
              <w:t>3</w:t>
            </w:r>
            <w:r>
              <w:rPr>
                <w:rStyle w:val="IndexLink"/>
                <w:rtl w:val="true"/>
              </w:rPr>
              <w:t xml:space="preserve">. </w:t>
            </w:r>
            <w:r>
              <w:rPr>
                <w:rStyle w:val="IndexLink"/>
                <w:rtl w:val="true"/>
              </w:rPr>
              <w:t>مقدّمة الوجود ومقدّمةالصحّة ومقدّمة الوجوب ومقدّمة العلم</w:t>
            </w:r>
            <w:r>
              <w:rPr>
                <w:rStyle w:val="IndexLink"/>
                <w:rtl w:val="true"/>
              </w:rPr>
              <w:tab/>
            </w:r>
            <w:r>
              <w:rPr>
                <w:rStyle w:val="IndexLink"/>
              </w:rPr>
              <w:t>64</w:t>
            </w:r>
          </w:hyperlink>
        </w:p>
        <w:p>
          <w:pPr>
            <w:pStyle w:val="Contents6"/>
            <w:tabs>
              <w:tab w:val="clear" w:pos="7609"/>
              <w:tab w:val="right" w:pos="9026" w:leader="dot"/>
            </w:tabs>
            <w:rPr/>
          </w:pPr>
          <w:hyperlink w:anchor="__RefHeading___Toc141701_3244359995">
            <w:r>
              <w:rPr>
                <w:webHidden/>
                <w:rStyle w:val="IndexLink"/>
              </w:rPr>
              <w:t>4</w:t>
            </w:r>
            <w:r>
              <w:rPr>
                <w:rStyle w:val="IndexLink"/>
                <w:rtl w:val="true"/>
              </w:rPr>
              <w:t xml:space="preserve">. </w:t>
            </w:r>
            <w:r>
              <w:rPr>
                <w:rStyle w:val="IndexLink"/>
                <w:rtl w:val="true"/>
              </w:rPr>
              <w:t>الشرط المتقدّم والمقارن والمتأخّر</w:t>
            </w:r>
            <w:r>
              <w:rPr>
                <w:rStyle w:val="IndexLink"/>
                <w:rtl w:val="true"/>
              </w:rPr>
              <w:tab/>
            </w:r>
            <w:r>
              <w:rPr>
                <w:rStyle w:val="IndexLink"/>
              </w:rPr>
              <w:t>65</w:t>
            </w:r>
          </w:hyperlink>
        </w:p>
        <w:p>
          <w:pPr>
            <w:pStyle w:val="Contents5"/>
            <w:tabs>
              <w:tab w:val="clear" w:pos="7892"/>
              <w:tab w:val="right" w:pos="9026" w:leader="dot"/>
            </w:tabs>
            <w:rPr/>
          </w:pPr>
          <w:hyperlink w:anchor="__RefHeading___Toc141703_3244359995">
            <w:r>
              <w:rPr>
                <w:webHidden/>
                <w:rStyle w:val="IndexLink"/>
                <w:rtl w:val="true"/>
              </w:rPr>
              <w:t>الأمر الثالث</w:t>
            </w:r>
            <w:r>
              <w:rPr>
                <w:rStyle w:val="IndexLink"/>
                <w:rtl w:val="true"/>
              </w:rPr>
              <w:t xml:space="preserve">: </w:t>
            </w:r>
            <w:r>
              <w:rPr>
                <w:rStyle w:val="IndexLink"/>
                <w:rtl w:val="true"/>
              </w:rPr>
              <w:t>ثمرة القول بوجوب المقدّمة</w:t>
            </w:r>
            <w:r>
              <w:rPr>
                <w:rStyle w:val="IndexLink"/>
                <w:rtl w:val="true"/>
              </w:rPr>
              <w:tab/>
            </w:r>
            <w:r>
              <w:rPr>
                <w:rStyle w:val="IndexLink"/>
              </w:rPr>
              <w:t>67</w:t>
            </w:r>
          </w:hyperlink>
        </w:p>
        <w:p>
          <w:pPr>
            <w:pStyle w:val="Contents5"/>
            <w:tabs>
              <w:tab w:val="clear" w:pos="7892"/>
              <w:tab w:val="right" w:pos="9026" w:leader="dot"/>
            </w:tabs>
            <w:rPr/>
          </w:pPr>
          <w:hyperlink w:anchor="__RefHeading___Toc141705_3244359995">
            <w:r>
              <w:rPr>
                <w:webHidden/>
                <w:rStyle w:val="IndexLink"/>
                <w:rtl w:val="true"/>
              </w:rPr>
              <w:t>الأمر الرابع</w:t>
            </w:r>
            <w:r>
              <w:rPr>
                <w:rStyle w:val="IndexLink"/>
                <w:rtl w:val="true"/>
              </w:rPr>
              <w:t xml:space="preserve">: </w:t>
            </w:r>
            <w:r>
              <w:rPr>
                <w:rStyle w:val="IndexLink"/>
                <w:rtl w:val="true"/>
              </w:rPr>
              <w:t>تأسیس الأصل فی المسألة</w:t>
            </w:r>
            <w:r>
              <w:rPr>
                <w:rStyle w:val="IndexLink"/>
                <w:rtl w:val="true"/>
              </w:rPr>
              <w:tab/>
            </w:r>
            <w:r>
              <w:rPr>
                <w:rStyle w:val="IndexLink"/>
              </w:rPr>
              <w:t>68</w:t>
            </w:r>
          </w:hyperlink>
        </w:p>
        <w:p>
          <w:pPr>
            <w:pStyle w:val="Contents5"/>
            <w:tabs>
              <w:tab w:val="clear" w:pos="7892"/>
              <w:tab w:val="right" w:pos="9026" w:leader="dot"/>
            </w:tabs>
            <w:rPr/>
          </w:pPr>
          <w:hyperlink w:anchor="__RefHeading___Toc141707_3244359995">
            <w:r>
              <w:rPr>
                <w:webHidden/>
                <w:rStyle w:val="IndexLink"/>
                <w:rtl w:val="true"/>
              </w:rPr>
              <w:t>الأمر الخامس</w:t>
            </w:r>
            <w:r>
              <w:rPr>
                <w:rStyle w:val="IndexLink"/>
                <w:rtl w:val="true"/>
              </w:rPr>
              <w:t xml:space="preserve">: </w:t>
            </w:r>
            <w:r>
              <w:rPr>
                <w:rStyle w:val="IndexLink"/>
                <w:rtl w:val="true"/>
              </w:rPr>
              <w:t>أدلّة القائلین بوجوب المقدّمة</w:t>
            </w:r>
            <w:r>
              <w:rPr>
                <w:rStyle w:val="IndexLink"/>
                <w:rtl w:val="true"/>
              </w:rPr>
              <w:tab/>
            </w:r>
            <w:r>
              <w:rPr>
                <w:rStyle w:val="IndexLink"/>
              </w:rPr>
              <w:t>70</w:t>
            </w:r>
          </w:hyperlink>
        </w:p>
        <w:p>
          <w:pPr>
            <w:pStyle w:val="Contents5"/>
            <w:tabs>
              <w:tab w:val="clear" w:pos="7892"/>
              <w:tab w:val="right" w:pos="9026" w:leader="dot"/>
            </w:tabs>
            <w:rPr/>
          </w:pPr>
          <w:hyperlink w:anchor="__RefHeading___Toc141709_3244359995">
            <w:r>
              <w:rPr>
                <w:webHidden/>
                <w:rStyle w:val="IndexLink"/>
                <w:rtl w:val="true"/>
              </w:rPr>
              <w:t>الأمر السادس</w:t>
            </w:r>
            <w:r>
              <w:rPr>
                <w:rStyle w:val="IndexLink"/>
                <w:rtl w:val="true"/>
              </w:rPr>
              <w:t xml:space="preserve">: </w:t>
            </w:r>
            <w:r>
              <w:rPr>
                <w:rStyle w:val="IndexLink"/>
                <w:rtl w:val="true"/>
              </w:rPr>
              <w:t>کیفیّة وجوب المقدّمة</w:t>
            </w:r>
            <w:r>
              <w:rPr>
                <w:rStyle w:val="IndexLink"/>
                <w:rtl w:val="true"/>
              </w:rPr>
              <w:tab/>
            </w:r>
            <w:r>
              <w:rPr>
                <w:rStyle w:val="IndexLink"/>
              </w:rPr>
              <w:t>74</w:t>
            </w:r>
          </w:hyperlink>
        </w:p>
        <w:p>
          <w:pPr>
            <w:pStyle w:val="Contents6"/>
            <w:tabs>
              <w:tab w:val="clear" w:pos="7609"/>
              <w:tab w:val="right" w:pos="9026" w:leader="dot"/>
            </w:tabs>
            <w:rPr/>
          </w:pPr>
          <w:hyperlink w:anchor="__RefHeading___Toc141711_3244359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41713_3244359995">
            <w:r>
              <w:rPr>
                <w:webHidden/>
                <w:rStyle w:val="IndexLink"/>
                <w:rtl w:val="true"/>
              </w:rPr>
              <w:t>المختار فی المسألة هو وجوب المقدّمة الموصلة</w:t>
            </w:r>
            <w:r>
              <w:rPr>
                <w:rStyle w:val="IndexLink"/>
                <w:rtl w:val="true"/>
              </w:rPr>
              <w:tab/>
            </w:r>
            <w:r>
              <w:rPr>
                <w:rStyle w:val="IndexLink"/>
              </w:rPr>
              <w:t>76</w:t>
            </w:r>
          </w:hyperlink>
        </w:p>
        <w:p>
          <w:pPr>
            <w:pStyle w:val="Contents6"/>
            <w:tabs>
              <w:tab w:val="clear" w:pos="7609"/>
              <w:tab w:val="right" w:pos="9026" w:leader="dot"/>
            </w:tabs>
            <w:rPr/>
          </w:pPr>
          <w:hyperlink w:anchor="__RefHeading___Toc141715_3244359995">
            <w:r>
              <w:rPr>
                <w:webHidden/>
                <w:rStyle w:val="IndexLink"/>
                <w:rtl w:val="true"/>
              </w:rPr>
              <w:t>ثمرة القول بوجوب المقدّمة الموصلة</w:t>
            </w:r>
            <w:r>
              <w:rPr>
                <w:rStyle w:val="IndexLink"/>
                <w:rtl w:val="true"/>
              </w:rPr>
              <w:tab/>
            </w:r>
            <w:r>
              <w:rPr>
                <w:rStyle w:val="IndexLink"/>
              </w:rPr>
              <w:t>78</w:t>
            </w:r>
          </w:hyperlink>
        </w:p>
        <w:p>
          <w:pPr>
            <w:pStyle w:val="Contents5"/>
            <w:tabs>
              <w:tab w:val="clear" w:pos="7892"/>
              <w:tab w:val="right" w:pos="9026" w:leader="dot"/>
            </w:tabs>
            <w:rPr/>
          </w:pPr>
          <w:hyperlink w:anchor="__RefHeading___Toc141717_3244359995">
            <w:r>
              <w:rPr>
                <w:webHidden/>
                <w:rStyle w:val="IndexLink"/>
                <w:rtl w:val="true"/>
              </w:rPr>
              <w:t>الأمر السابع</w:t>
            </w:r>
            <w:r>
              <w:rPr>
                <w:rStyle w:val="IndexLink"/>
                <w:rtl w:val="true"/>
              </w:rPr>
              <w:t xml:space="preserve">: </w:t>
            </w:r>
            <w:r>
              <w:rPr>
                <w:rStyle w:val="IndexLink"/>
                <w:rtl w:val="true"/>
              </w:rPr>
              <w:t>فی مقدّمة المستحبّ</w:t>
            </w:r>
            <w:r>
              <w:rPr>
                <w:rStyle w:val="IndexLink"/>
                <w:rtl w:val="true"/>
              </w:rPr>
              <w:tab/>
            </w:r>
            <w:r>
              <w:rPr>
                <w:rStyle w:val="IndexLink"/>
              </w:rPr>
              <w:t>79</w:t>
            </w:r>
          </w:hyperlink>
        </w:p>
        <w:p>
          <w:pPr>
            <w:pStyle w:val="Contents5"/>
            <w:tabs>
              <w:tab w:val="clear" w:pos="7892"/>
              <w:tab w:val="right" w:pos="9026" w:leader="dot"/>
            </w:tabs>
            <w:rPr/>
          </w:pPr>
          <w:hyperlink w:anchor="__RefHeading___Toc141719_3244359995">
            <w:r>
              <w:rPr>
                <w:webHidden/>
                <w:rStyle w:val="IndexLink"/>
                <w:rtl w:val="true"/>
              </w:rPr>
              <w:t>الأمر الثامن</w:t>
            </w:r>
            <w:r>
              <w:rPr>
                <w:rStyle w:val="IndexLink"/>
                <w:rtl w:val="true"/>
              </w:rPr>
              <w:t xml:space="preserve">: </w:t>
            </w:r>
            <w:r>
              <w:rPr>
                <w:rStyle w:val="IndexLink"/>
                <w:rtl w:val="true"/>
              </w:rPr>
              <w:t>فی مقدّمة الحرام</w:t>
            </w:r>
            <w:r>
              <w:rPr>
                <w:rStyle w:val="IndexLink"/>
                <w:rtl w:val="true"/>
              </w:rPr>
              <w:tab/>
            </w:r>
            <w:r>
              <w:rPr>
                <w:rStyle w:val="IndexLink"/>
              </w:rPr>
              <w:t>80</w:t>
            </w:r>
          </w:hyperlink>
        </w:p>
        <w:p>
          <w:pPr>
            <w:pStyle w:val="Contents4"/>
            <w:tabs>
              <w:tab w:val="clear" w:pos="8176"/>
              <w:tab w:val="right" w:pos="9026" w:leader="dot"/>
            </w:tabs>
            <w:rPr/>
          </w:pPr>
          <w:hyperlink w:anchor="__RefHeading___Toc141721_3244359995">
            <w:r>
              <w:rPr>
                <w:webHidden/>
                <w:rStyle w:val="IndexLink"/>
                <w:rtl w:val="true"/>
              </w:rPr>
              <w:t>الفصل الثالث</w:t>
            </w:r>
            <w:r>
              <w:rPr>
                <w:rStyle w:val="IndexLink"/>
                <w:rtl w:val="true"/>
              </w:rPr>
              <w:t xml:space="preserve">: </w:t>
            </w:r>
            <w:r>
              <w:rPr>
                <w:rStyle w:val="IndexLink"/>
                <w:rtl w:val="true"/>
              </w:rPr>
              <w:t>مسألة الضد</w:t>
            </w:r>
            <w:r>
              <w:rPr>
                <w:rStyle w:val="IndexLink"/>
                <w:rtl w:val="true"/>
              </w:rPr>
              <w:tab/>
            </w:r>
            <w:r>
              <w:rPr>
                <w:rStyle w:val="IndexLink"/>
              </w:rPr>
              <w:t>82</w:t>
            </w:r>
          </w:hyperlink>
        </w:p>
        <w:p>
          <w:pPr>
            <w:pStyle w:val="Contents5"/>
            <w:tabs>
              <w:tab w:val="clear" w:pos="7892"/>
              <w:tab w:val="right" w:pos="9026" w:leader="dot"/>
            </w:tabs>
            <w:rPr/>
          </w:pPr>
          <w:hyperlink w:anchor="__RefHeading___Toc141723_324435999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41725_3244359995">
            <w:r>
              <w:rPr>
                <w:webHidden/>
                <w:rStyle w:val="IndexLink"/>
                <w:rtl w:val="true"/>
              </w:rPr>
              <w:t>المقام الأوّل</w:t>
            </w:r>
            <w:r>
              <w:rPr>
                <w:rStyle w:val="IndexLink"/>
                <w:rtl w:val="true"/>
              </w:rPr>
              <w:t xml:space="preserve">: </w:t>
            </w:r>
            <w:r>
              <w:rPr>
                <w:rStyle w:val="IndexLink"/>
                <w:rtl w:val="true"/>
              </w:rPr>
              <w:t>فی الضدّ العامّ</w:t>
            </w:r>
            <w:r>
              <w:rPr>
                <w:rStyle w:val="IndexLink"/>
                <w:rtl w:val="true"/>
              </w:rPr>
              <w:tab/>
            </w:r>
            <w:r>
              <w:rPr>
                <w:rStyle w:val="IndexLink"/>
              </w:rPr>
              <w:t>83</w:t>
            </w:r>
          </w:hyperlink>
        </w:p>
        <w:p>
          <w:pPr>
            <w:pStyle w:val="Contents5"/>
            <w:tabs>
              <w:tab w:val="clear" w:pos="7892"/>
              <w:tab w:val="right" w:pos="9026" w:leader="dot"/>
            </w:tabs>
            <w:rPr/>
          </w:pPr>
          <w:hyperlink w:anchor="__RefHeading___Toc141727_3244359995">
            <w:r>
              <w:rPr>
                <w:webHidden/>
                <w:rStyle w:val="IndexLink"/>
                <w:rtl w:val="true"/>
              </w:rPr>
              <w:t>المقام الثانی</w:t>
            </w:r>
            <w:r>
              <w:rPr>
                <w:rStyle w:val="IndexLink"/>
                <w:rtl w:val="true"/>
              </w:rPr>
              <w:t xml:space="preserve">: </w:t>
            </w:r>
            <w:r>
              <w:rPr>
                <w:rStyle w:val="IndexLink"/>
                <w:rtl w:val="true"/>
              </w:rPr>
              <w:t>فی الضدّ الخاصّ</w:t>
            </w:r>
            <w:r>
              <w:rPr>
                <w:rStyle w:val="IndexLink"/>
                <w:rtl w:val="true"/>
              </w:rPr>
              <w:tab/>
            </w:r>
            <w:r>
              <w:rPr>
                <w:rStyle w:val="IndexLink"/>
              </w:rPr>
              <w:t>84</w:t>
            </w:r>
          </w:hyperlink>
        </w:p>
        <w:p>
          <w:pPr>
            <w:pStyle w:val="Contents6"/>
            <w:tabs>
              <w:tab w:val="clear" w:pos="7609"/>
              <w:tab w:val="right" w:pos="9026" w:leader="dot"/>
            </w:tabs>
            <w:rPr/>
          </w:pPr>
          <w:hyperlink w:anchor="__RefHeading___Toc141729_324435999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41731_3244359995">
            <w:r>
              <w:rPr>
                <w:webHidden/>
                <w:rStyle w:val="IndexLink"/>
                <w:rtl w:val="true"/>
              </w:rPr>
              <w:t>تفصیل فی المقام بین صور المسألة</w:t>
            </w:r>
            <w:r>
              <w:rPr>
                <w:rStyle w:val="IndexLink"/>
                <w:rtl w:val="true"/>
              </w:rPr>
              <w:tab/>
            </w:r>
            <w:r>
              <w:rPr>
                <w:rStyle w:val="IndexLink"/>
              </w:rPr>
              <w:t>87</w:t>
            </w:r>
          </w:hyperlink>
        </w:p>
        <w:p>
          <w:pPr>
            <w:pStyle w:val="Contents6"/>
            <w:tabs>
              <w:tab w:val="clear" w:pos="7609"/>
              <w:tab w:val="right" w:pos="9026" w:leader="dot"/>
            </w:tabs>
            <w:rPr/>
          </w:pPr>
          <w:hyperlink w:anchor="__RefHeading___Toc141733_3244359995">
            <w:r>
              <w:rPr>
                <w:webHidden/>
                <w:rStyle w:val="IndexLink"/>
                <w:rtl w:val="true"/>
              </w:rPr>
              <w:t>ثمرة البحث فی مسألة الضدّ</w:t>
            </w:r>
            <w:r>
              <w:rPr>
                <w:rStyle w:val="IndexLink"/>
                <w:rtl w:val="true"/>
              </w:rPr>
              <w:tab/>
            </w:r>
            <w:r>
              <w:rPr>
                <w:rStyle w:val="IndexLink"/>
              </w:rPr>
              <w:t>88</w:t>
            </w:r>
          </w:hyperlink>
        </w:p>
        <w:p>
          <w:pPr>
            <w:pStyle w:val="Contents6"/>
            <w:tabs>
              <w:tab w:val="clear" w:pos="7609"/>
              <w:tab w:val="right" w:pos="9026" w:leader="dot"/>
            </w:tabs>
            <w:rPr/>
          </w:pPr>
          <w:hyperlink w:anchor="__RefHeading___Toc141735_3244359995">
            <w:r>
              <w:rPr>
                <w:webHidden/>
                <w:rStyle w:val="IndexLink"/>
                <w:rtl w:val="true"/>
              </w:rPr>
              <w:t>الکلام فی الترتّب</w:t>
            </w:r>
            <w:r>
              <w:rPr>
                <w:rStyle w:val="IndexLink"/>
                <w:rtl w:val="true"/>
              </w:rPr>
              <w:tab/>
            </w:r>
            <w:r>
              <w:rPr>
                <w:rStyle w:val="IndexLink"/>
              </w:rPr>
              <w:t>90</w:t>
            </w:r>
          </w:hyperlink>
        </w:p>
        <w:p>
          <w:pPr>
            <w:pStyle w:val="Contents6"/>
            <w:tabs>
              <w:tab w:val="clear" w:pos="7609"/>
              <w:tab w:val="right" w:pos="9026" w:leader="dot"/>
            </w:tabs>
            <w:rPr/>
          </w:pPr>
          <w:hyperlink w:anchor="__RefHeading___Toc141737_3244359995">
            <w:r>
              <w:rPr>
                <w:webHidden/>
                <w:rStyle w:val="IndexLink"/>
                <w:rtl w:val="true"/>
              </w:rPr>
              <w:t>بیان المختار فی المسألة</w:t>
            </w:r>
            <w:r>
              <w:rPr>
                <w:rStyle w:val="IndexLink"/>
                <w:rtl w:val="true"/>
              </w:rPr>
              <w:tab/>
            </w:r>
            <w:r>
              <w:rPr>
                <w:rStyle w:val="IndexLink"/>
              </w:rPr>
              <w:t>91</w:t>
            </w:r>
          </w:hyperlink>
        </w:p>
        <w:p>
          <w:pPr>
            <w:pStyle w:val="Contents6"/>
            <w:tabs>
              <w:tab w:val="clear" w:pos="7609"/>
              <w:tab w:val="right" w:pos="9026" w:leader="dot"/>
            </w:tabs>
            <w:rPr/>
          </w:pPr>
          <w:hyperlink w:anchor="__RefHeading___Toc141739_3244359995">
            <w:r>
              <w:rPr>
                <w:webHidden/>
                <w:rStyle w:val="IndexLink"/>
                <w:rtl w:val="true"/>
              </w:rPr>
              <w:t>بقی هنا امور</w:t>
            </w:r>
            <w:r>
              <w:rPr>
                <w:rStyle w:val="IndexLink"/>
                <w:rtl w:val="true"/>
              </w:rPr>
              <w:t>:</w:t>
              <w:tab/>
            </w:r>
            <w:r>
              <w:rPr>
                <w:rStyle w:val="IndexLink"/>
              </w:rPr>
              <w:t>93</w:t>
            </w:r>
          </w:hyperlink>
        </w:p>
        <w:p>
          <w:pPr>
            <w:pStyle w:val="Contents6"/>
            <w:tabs>
              <w:tab w:val="clear" w:pos="7609"/>
              <w:tab w:val="right" w:pos="9026" w:leader="dot"/>
            </w:tabs>
            <w:rPr/>
          </w:pPr>
          <w:hyperlink w:anchor="__RefHeading___Toc141741_3244359995">
            <w:r>
              <w:rPr>
                <w:webHidden/>
                <w:rStyle w:val="IndexLink"/>
              </w:rPr>
              <w:t>1</w:t>
            </w:r>
            <w:r>
              <w:rPr>
                <w:rStyle w:val="IndexLink"/>
                <w:rtl w:val="true"/>
              </w:rPr>
              <w:t xml:space="preserve">. </w:t>
            </w:r>
            <w:r>
              <w:rPr>
                <w:rStyle w:val="IndexLink"/>
                <w:rtl w:val="true"/>
              </w:rPr>
              <w:t>المناقشة فی بعض الأمثلة المذکورة للأمرین المترتّبین</w:t>
            </w:r>
            <w:r>
              <w:rPr>
                <w:rStyle w:val="IndexLink"/>
                <w:rtl w:val="true"/>
              </w:rPr>
              <w:tab/>
            </w:r>
            <w:r>
              <w:rPr>
                <w:rStyle w:val="IndexLink"/>
              </w:rPr>
              <w:t>93</w:t>
            </w:r>
          </w:hyperlink>
        </w:p>
        <w:p>
          <w:pPr>
            <w:pStyle w:val="Contents6"/>
            <w:tabs>
              <w:tab w:val="clear" w:pos="7609"/>
              <w:tab w:val="right" w:pos="9026" w:leader="dot"/>
            </w:tabs>
            <w:rPr/>
          </w:pPr>
          <w:hyperlink w:anchor="__RefHeading___Toc141743_3244359995">
            <w:r>
              <w:rPr>
                <w:webHidden/>
                <w:rStyle w:val="IndexLink"/>
              </w:rPr>
              <w:t>2</w:t>
            </w:r>
            <w:r>
              <w:rPr>
                <w:rStyle w:val="IndexLink"/>
                <w:rtl w:val="true"/>
              </w:rPr>
              <w:t xml:space="preserve">. </w:t>
            </w:r>
            <w:r>
              <w:rPr>
                <w:rStyle w:val="IndexLink"/>
                <w:rtl w:val="true"/>
              </w:rPr>
              <w:t>عدم تعدّد العقاب فی صورة مخالفة الأمر الترتّبی</w:t>
            </w:r>
            <w:r>
              <w:rPr>
                <w:rStyle w:val="IndexLink"/>
                <w:rtl w:val="true"/>
              </w:rPr>
              <w:tab/>
            </w:r>
            <w:r>
              <w:rPr>
                <w:rStyle w:val="IndexLink"/>
              </w:rPr>
              <w:t>95</w:t>
            </w:r>
          </w:hyperlink>
        </w:p>
        <w:p>
          <w:pPr>
            <w:pStyle w:val="Contents6"/>
            <w:tabs>
              <w:tab w:val="clear" w:pos="7609"/>
              <w:tab w:val="right" w:pos="9026" w:leader="dot"/>
            </w:tabs>
            <w:rPr/>
          </w:pPr>
          <w:hyperlink w:anchor="__RefHeading___Toc141745_3244359995">
            <w:r>
              <w:rPr>
                <w:webHidden/>
                <w:rStyle w:val="IndexLink"/>
              </w:rPr>
              <w:t>3</w:t>
            </w:r>
            <w:r>
              <w:rPr>
                <w:rStyle w:val="IndexLink"/>
                <w:rtl w:val="true"/>
              </w:rPr>
              <w:t xml:space="preserve">. </w:t>
            </w:r>
            <w:r>
              <w:rPr>
                <w:rStyle w:val="IndexLink"/>
                <w:rtl w:val="true"/>
              </w:rPr>
              <w:t>ثمرات البحث عن الترتّب</w:t>
            </w:r>
            <w:r>
              <w:rPr>
                <w:rStyle w:val="IndexLink"/>
                <w:rtl w:val="true"/>
              </w:rPr>
              <w:tab/>
            </w:r>
            <w:r>
              <w:rPr>
                <w:rStyle w:val="IndexLink"/>
              </w:rPr>
              <w:t>95</w:t>
            </w:r>
          </w:hyperlink>
        </w:p>
        <w:p>
          <w:pPr>
            <w:pStyle w:val="Contents4"/>
            <w:tabs>
              <w:tab w:val="clear" w:pos="8176"/>
              <w:tab w:val="right" w:pos="9026" w:leader="dot"/>
            </w:tabs>
            <w:rPr/>
          </w:pPr>
          <w:hyperlink w:anchor="__RefHeading___Toc141747_3244359995">
            <w:r>
              <w:rPr>
                <w:webHidden/>
                <w:rStyle w:val="IndexLink"/>
                <w:rtl w:val="true"/>
              </w:rPr>
              <w:t>الفصل الرابع</w:t>
            </w:r>
            <w:r>
              <w:rPr>
                <w:rStyle w:val="IndexLink"/>
                <w:rtl w:val="true"/>
              </w:rPr>
              <w:t xml:space="preserve">: </w:t>
            </w:r>
            <w:r>
              <w:rPr>
                <w:rStyle w:val="IndexLink"/>
                <w:rtl w:val="true"/>
              </w:rPr>
              <w:t>اجتماع الامر والنهی</w:t>
            </w:r>
            <w:r>
              <w:rPr>
                <w:rStyle w:val="IndexLink"/>
                <w:rtl w:val="true"/>
              </w:rPr>
              <w:tab/>
            </w:r>
            <w:r>
              <w:rPr>
                <w:rStyle w:val="IndexLink"/>
              </w:rPr>
              <w:t>97</w:t>
            </w:r>
          </w:hyperlink>
        </w:p>
        <w:p>
          <w:pPr>
            <w:pStyle w:val="Contents5"/>
            <w:tabs>
              <w:tab w:val="clear" w:pos="7892"/>
              <w:tab w:val="right" w:pos="9026" w:leader="dot"/>
            </w:tabs>
            <w:rPr/>
          </w:pPr>
          <w:hyperlink w:anchor="__RefHeading___Toc141749_3244359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41751_3244359995">
            <w:r>
              <w:rPr>
                <w:webHidden/>
                <w:rStyle w:val="IndexLink"/>
              </w:rPr>
              <w:t>1</w:t>
            </w:r>
            <w:r>
              <w:rPr>
                <w:rStyle w:val="IndexLink"/>
                <w:rtl w:val="true"/>
              </w:rPr>
              <w:t xml:space="preserve">. </w:t>
            </w:r>
            <w:r>
              <w:rPr>
                <w:rStyle w:val="IndexLink"/>
                <w:rtl w:val="true"/>
              </w:rPr>
              <w:t>هذه المسألة من المسائل الاصولیّة العقلیّة</w:t>
            </w:r>
            <w:r>
              <w:rPr>
                <w:rStyle w:val="IndexLink"/>
                <w:rtl w:val="true"/>
              </w:rPr>
              <w:tab/>
            </w:r>
            <w:r>
              <w:rPr>
                <w:rStyle w:val="IndexLink"/>
              </w:rPr>
              <w:t>97</w:t>
            </w:r>
          </w:hyperlink>
        </w:p>
        <w:p>
          <w:pPr>
            <w:pStyle w:val="Contents5"/>
            <w:tabs>
              <w:tab w:val="clear" w:pos="7892"/>
              <w:tab w:val="right" w:pos="9026" w:leader="dot"/>
            </w:tabs>
            <w:rPr/>
          </w:pPr>
          <w:hyperlink w:anchor="__RefHeading___Toc141753_3244359995">
            <w:r>
              <w:rPr>
                <w:webHidden/>
                <w:rStyle w:val="IndexLink"/>
              </w:rPr>
              <w:t>2</w:t>
            </w:r>
            <w:r>
              <w:rPr>
                <w:rStyle w:val="IndexLink"/>
                <w:rtl w:val="true"/>
              </w:rPr>
              <w:t xml:space="preserve">. </w:t>
            </w:r>
            <w:r>
              <w:rPr>
                <w:rStyle w:val="IndexLink"/>
                <w:rtl w:val="true"/>
              </w:rPr>
              <w:t>اعتبار قید المندوحة ولزوم أخذه فی محلّ النزاع</w:t>
            </w:r>
            <w:r>
              <w:rPr>
                <w:rStyle w:val="IndexLink"/>
                <w:rtl w:val="true"/>
              </w:rPr>
              <w:tab/>
            </w:r>
            <w:r>
              <w:rPr>
                <w:rStyle w:val="IndexLink"/>
              </w:rPr>
              <w:t>98</w:t>
            </w:r>
          </w:hyperlink>
        </w:p>
        <w:p>
          <w:pPr>
            <w:pStyle w:val="Contents5"/>
            <w:tabs>
              <w:tab w:val="clear" w:pos="7892"/>
              <w:tab w:val="right" w:pos="9026" w:leader="dot"/>
            </w:tabs>
            <w:rPr/>
          </w:pPr>
          <w:hyperlink w:anchor="__RefHeading___Toc141755_3244359995">
            <w:r>
              <w:rPr>
                <w:webHidden/>
                <w:rStyle w:val="IndexLink"/>
              </w:rPr>
              <w:t>3</w:t>
            </w:r>
            <w:r>
              <w:rPr>
                <w:rStyle w:val="IndexLink"/>
                <w:rtl w:val="true"/>
              </w:rPr>
              <w:t xml:space="preserve">. </w:t>
            </w:r>
            <w:r>
              <w:rPr>
                <w:rStyle w:val="IndexLink"/>
                <w:rtl w:val="true"/>
              </w:rPr>
              <w:t>فی اعتبار وجود الملاکین فی المجمع</w:t>
            </w:r>
            <w:r>
              <w:rPr>
                <w:rStyle w:val="IndexLink"/>
                <w:rtl w:val="true"/>
              </w:rPr>
              <w:tab/>
            </w:r>
            <w:r>
              <w:rPr>
                <w:rStyle w:val="IndexLink"/>
              </w:rPr>
              <w:t>100</w:t>
            </w:r>
          </w:hyperlink>
        </w:p>
        <w:p>
          <w:pPr>
            <w:pStyle w:val="Contents5"/>
            <w:tabs>
              <w:tab w:val="clear" w:pos="7892"/>
              <w:tab w:val="right" w:pos="9026" w:leader="dot"/>
            </w:tabs>
            <w:rPr/>
          </w:pPr>
          <w:hyperlink w:anchor="__RefHeading___Toc141757_3244359995">
            <w:r>
              <w:rPr>
                <w:webHidden/>
                <w:rStyle w:val="IndexLink"/>
              </w:rPr>
              <w:t>4</w:t>
            </w:r>
            <w:r>
              <w:rPr>
                <w:rStyle w:val="IndexLink"/>
                <w:rtl w:val="true"/>
              </w:rPr>
              <w:t xml:space="preserve">. </w:t>
            </w:r>
            <w:r>
              <w:rPr>
                <w:rStyle w:val="IndexLink"/>
                <w:rtl w:val="true"/>
              </w:rPr>
              <w:t>فی بیان ما یحرز به الملاکان فی المجمع</w:t>
            </w:r>
            <w:r>
              <w:rPr>
                <w:rStyle w:val="IndexLink"/>
                <w:rtl w:val="true"/>
              </w:rPr>
              <w:tab/>
            </w:r>
            <w:r>
              <w:rPr>
                <w:rStyle w:val="IndexLink"/>
              </w:rPr>
              <w:t>101</w:t>
            </w:r>
          </w:hyperlink>
        </w:p>
        <w:p>
          <w:pPr>
            <w:pStyle w:val="Contents5"/>
            <w:tabs>
              <w:tab w:val="clear" w:pos="7892"/>
              <w:tab w:val="right" w:pos="9026" w:leader="dot"/>
            </w:tabs>
            <w:rPr/>
          </w:pPr>
          <w:hyperlink w:anchor="__RefHeading___Toc141759_3244359995">
            <w:r>
              <w:rPr>
                <w:webHidden/>
                <w:rStyle w:val="IndexLink"/>
              </w:rPr>
              <w:t>5</w:t>
            </w:r>
            <w:r>
              <w:rPr>
                <w:rStyle w:val="IndexLink"/>
                <w:rtl w:val="true"/>
              </w:rPr>
              <w:t xml:space="preserve">. </w:t>
            </w:r>
            <w:r>
              <w:rPr>
                <w:rStyle w:val="IndexLink"/>
                <w:rtl w:val="true"/>
              </w:rPr>
              <w:t>ثمرة بحث الاجتماع</w:t>
            </w:r>
            <w:r>
              <w:rPr>
                <w:rStyle w:val="IndexLink"/>
                <w:rtl w:val="true"/>
              </w:rPr>
              <w:tab/>
            </w:r>
            <w:r>
              <w:rPr>
                <w:rStyle w:val="IndexLink"/>
              </w:rPr>
              <w:t>101</w:t>
            </w:r>
          </w:hyperlink>
        </w:p>
        <w:p>
          <w:pPr>
            <w:pStyle w:val="Contents5"/>
            <w:tabs>
              <w:tab w:val="clear" w:pos="7892"/>
              <w:tab w:val="right" w:pos="9026" w:leader="dot"/>
            </w:tabs>
            <w:rPr/>
          </w:pPr>
          <w:hyperlink w:anchor="__RefHeading___Toc141761_3244359995">
            <w:r>
              <w:rPr>
                <w:webHidden/>
                <w:rStyle w:val="IndexLink"/>
              </w:rPr>
              <w:t>6</w:t>
            </w:r>
            <w:r>
              <w:rPr>
                <w:rStyle w:val="IndexLink"/>
                <w:rtl w:val="true"/>
              </w:rPr>
              <w:t xml:space="preserve">. </w:t>
            </w:r>
            <w:r>
              <w:rPr>
                <w:rStyle w:val="IndexLink"/>
                <w:rtl w:val="true"/>
              </w:rPr>
              <w:t>الأقوال فی المسألة</w:t>
            </w:r>
            <w:r>
              <w:rPr>
                <w:rStyle w:val="IndexLink"/>
                <w:rtl w:val="true"/>
              </w:rPr>
              <w:tab/>
            </w:r>
            <w:r>
              <w:rPr>
                <w:rStyle w:val="IndexLink"/>
              </w:rPr>
              <w:t>103</w:t>
            </w:r>
          </w:hyperlink>
        </w:p>
        <w:p>
          <w:pPr>
            <w:pStyle w:val="Contents5"/>
            <w:tabs>
              <w:tab w:val="clear" w:pos="7892"/>
              <w:tab w:val="right" w:pos="9026" w:leader="dot"/>
            </w:tabs>
            <w:rPr/>
          </w:pPr>
          <w:hyperlink w:anchor="__RefHeading___Toc141763_3244359995">
            <w:r>
              <w:rPr>
                <w:webHidden/>
                <w:rStyle w:val="IndexLink"/>
              </w:rPr>
              <w:t>7</w:t>
            </w:r>
            <w:r>
              <w:rPr>
                <w:rStyle w:val="IndexLink"/>
                <w:rtl w:val="true"/>
              </w:rPr>
              <w:t xml:space="preserve">. </w:t>
            </w:r>
            <w:r>
              <w:rPr>
                <w:rStyle w:val="IndexLink"/>
                <w:rtl w:val="true"/>
              </w:rPr>
              <w:t>المختار فی المسألة</w:t>
            </w:r>
            <w:r>
              <w:rPr>
                <w:rStyle w:val="IndexLink"/>
                <w:rtl w:val="true"/>
              </w:rPr>
              <w:tab/>
            </w:r>
            <w:r>
              <w:rPr>
                <w:rStyle w:val="IndexLink"/>
              </w:rPr>
              <w:t>106</w:t>
            </w:r>
          </w:hyperlink>
        </w:p>
        <w:p>
          <w:pPr>
            <w:pStyle w:val="Contents6"/>
            <w:tabs>
              <w:tab w:val="clear" w:pos="7609"/>
              <w:tab w:val="right" w:pos="9026" w:leader="dot"/>
            </w:tabs>
            <w:rPr/>
          </w:pPr>
          <w:hyperlink w:anchor="__RefHeading___Toc141765_3244359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41767_3244359995">
            <w:r>
              <w:rPr>
                <w:webHidden/>
                <w:rStyle w:val="IndexLink"/>
                <w:rtl w:val="true"/>
              </w:rPr>
              <w:t>بحث صغروی حول الأمثلة المذکورة لمسألة الاجتماع</w:t>
            </w:r>
            <w:r>
              <w:rPr>
                <w:rStyle w:val="IndexLink"/>
                <w:rtl w:val="true"/>
              </w:rPr>
              <w:tab/>
            </w:r>
            <w:r>
              <w:rPr>
                <w:rStyle w:val="IndexLink"/>
              </w:rPr>
              <w:t>107</w:t>
            </w:r>
          </w:hyperlink>
        </w:p>
        <w:p>
          <w:pPr>
            <w:pStyle w:val="Contents5"/>
            <w:tabs>
              <w:tab w:val="clear" w:pos="7892"/>
              <w:tab w:val="right" w:pos="9026" w:leader="dot"/>
            </w:tabs>
            <w:rPr/>
          </w:pPr>
          <w:hyperlink w:anchor="__RefHeading___Toc141769_3244359995">
            <w:r>
              <w:rPr>
                <w:webHidden/>
                <w:rStyle w:val="IndexLink"/>
              </w:rPr>
              <w:t>8</w:t>
            </w:r>
            <w:r>
              <w:rPr>
                <w:rStyle w:val="IndexLink"/>
                <w:rtl w:val="true"/>
              </w:rPr>
              <w:t xml:space="preserve">. </w:t>
            </w:r>
            <w:r>
              <w:rPr>
                <w:rStyle w:val="IndexLink"/>
                <w:rtl w:val="true"/>
              </w:rPr>
              <w:t>العبادات المکروهة</w:t>
            </w:r>
            <w:r>
              <w:rPr>
                <w:rStyle w:val="IndexLink"/>
                <w:rtl w:val="true"/>
              </w:rPr>
              <w:tab/>
            </w:r>
            <w:r>
              <w:rPr>
                <w:rStyle w:val="IndexLink"/>
              </w:rPr>
              <w:t>108</w:t>
            </w:r>
          </w:hyperlink>
        </w:p>
        <w:p>
          <w:pPr>
            <w:pStyle w:val="Contents5"/>
            <w:tabs>
              <w:tab w:val="clear" w:pos="7892"/>
              <w:tab w:val="right" w:pos="9026" w:leader="dot"/>
            </w:tabs>
            <w:rPr/>
          </w:pPr>
          <w:hyperlink w:anchor="__RefHeading___Toc141771_3244359995">
            <w:r>
              <w:rPr>
                <w:webHidden/>
                <w:rStyle w:val="IndexLink"/>
              </w:rPr>
              <w:t>9</w:t>
            </w:r>
            <w:r>
              <w:rPr>
                <w:rStyle w:val="IndexLink"/>
                <w:rtl w:val="true"/>
              </w:rPr>
              <w:t xml:space="preserve">. </w:t>
            </w:r>
            <w:r>
              <w:rPr>
                <w:rStyle w:val="IndexLink"/>
                <w:rtl w:val="true"/>
              </w:rPr>
              <w:t>تنبیهات مسألة الاجتماع</w:t>
            </w:r>
            <w:r>
              <w:rPr>
                <w:rStyle w:val="IndexLink"/>
                <w:rtl w:val="true"/>
              </w:rPr>
              <w:tab/>
            </w:r>
            <w:r>
              <w:rPr>
                <w:rStyle w:val="IndexLink"/>
              </w:rPr>
              <w:t>109</w:t>
            </w:r>
          </w:hyperlink>
        </w:p>
        <w:p>
          <w:pPr>
            <w:pStyle w:val="Contents6"/>
            <w:tabs>
              <w:tab w:val="clear" w:pos="7609"/>
              <w:tab w:val="right" w:pos="9026" w:leader="dot"/>
            </w:tabs>
            <w:rPr/>
          </w:pPr>
          <w:hyperlink w:anchor="__RefHeading___Toc141773_3244359995">
            <w:r>
              <w:rPr>
                <w:webHidden/>
                <w:rStyle w:val="IndexLink"/>
                <w:rtl w:val="true"/>
              </w:rPr>
              <w:t>التنبیه الأوّل</w:t>
            </w:r>
            <w:r>
              <w:rPr>
                <w:rStyle w:val="IndexLink"/>
                <w:rtl w:val="true"/>
              </w:rPr>
              <w:t xml:space="preserve">: </w:t>
            </w:r>
            <w:r>
              <w:rPr>
                <w:rStyle w:val="IndexLink"/>
                <w:rtl w:val="true"/>
              </w:rPr>
              <w:t>الاضطرار إلی المحرّم</w:t>
            </w:r>
            <w:r>
              <w:rPr>
                <w:rStyle w:val="IndexLink"/>
                <w:rtl w:val="true"/>
              </w:rPr>
              <w:tab/>
            </w:r>
            <w:r>
              <w:rPr>
                <w:rStyle w:val="IndexLink"/>
              </w:rPr>
              <w:t>109</w:t>
            </w:r>
          </w:hyperlink>
        </w:p>
        <w:p>
          <w:pPr>
            <w:pStyle w:val="Contents6"/>
            <w:tabs>
              <w:tab w:val="clear" w:pos="7609"/>
              <w:tab w:val="right" w:pos="9026" w:leader="dot"/>
            </w:tabs>
            <w:rPr/>
          </w:pPr>
          <w:hyperlink w:anchor="__RefHeading___Toc141775_3244359995">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41777_3244359995">
            <w:r>
              <w:rPr>
                <w:webHidden/>
                <w:rStyle w:val="IndexLink"/>
                <w:rtl w:val="true"/>
              </w:rPr>
              <w:t>الجهة الاولی</w:t>
            </w:r>
            <w:r>
              <w:rPr>
                <w:rStyle w:val="IndexLink"/>
                <w:rtl w:val="true"/>
              </w:rPr>
              <w:t xml:space="preserve">: </w:t>
            </w:r>
            <w:r>
              <w:rPr>
                <w:rStyle w:val="IndexLink"/>
                <w:rtl w:val="true"/>
              </w:rPr>
              <w:t>حکم الخروج فی نفسه</w:t>
            </w:r>
            <w:r>
              <w:rPr>
                <w:rStyle w:val="IndexLink"/>
                <w:rtl w:val="true"/>
              </w:rPr>
              <w:tab/>
            </w:r>
            <w:r>
              <w:rPr>
                <w:rStyle w:val="IndexLink"/>
              </w:rPr>
              <w:t>110</w:t>
            </w:r>
          </w:hyperlink>
        </w:p>
        <w:p>
          <w:pPr>
            <w:pStyle w:val="Contents6"/>
            <w:tabs>
              <w:tab w:val="clear" w:pos="7609"/>
              <w:tab w:val="right" w:pos="9026" w:leader="dot"/>
            </w:tabs>
            <w:rPr/>
          </w:pPr>
          <w:hyperlink w:anchor="__RefHeading___Toc141779_3244359995">
            <w:r>
              <w:rPr>
                <w:webHidden/>
                <w:rStyle w:val="IndexLink"/>
                <w:rtl w:val="true"/>
              </w:rPr>
              <w:t>الجهة الثانیة</w:t>
            </w:r>
            <w:r>
              <w:rPr>
                <w:rStyle w:val="IndexLink"/>
                <w:rtl w:val="true"/>
              </w:rPr>
              <w:t xml:space="preserve">: </w:t>
            </w:r>
            <w:r>
              <w:rPr>
                <w:rStyle w:val="IndexLink"/>
                <w:rtl w:val="true"/>
              </w:rPr>
              <w:t>حکم الصلاة حین الخروج</w:t>
            </w:r>
            <w:r>
              <w:rPr>
                <w:rStyle w:val="IndexLink"/>
                <w:rtl w:val="true"/>
              </w:rPr>
              <w:tab/>
            </w:r>
            <w:r>
              <w:rPr>
                <w:rStyle w:val="IndexLink"/>
              </w:rPr>
              <w:t>111</w:t>
            </w:r>
          </w:hyperlink>
        </w:p>
        <w:p>
          <w:pPr>
            <w:pStyle w:val="Contents6"/>
            <w:tabs>
              <w:tab w:val="clear" w:pos="7609"/>
              <w:tab w:val="right" w:pos="9026" w:leader="dot"/>
            </w:tabs>
            <w:rPr/>
          </w:pPr>
          <w:hyperlink w:anchor="__RefHeading___Toc141781_3244359995">
            <w:r>
              <w:rPr>
                <w:webHidden/>
                <w:rStyle w:val="IndexLink"/>
                <w:rtl w:val="true"/>
              </w:rPr>
              <w:t>التنبیه الثانی</w:t>
            </w:r>
            <w:r>
              <w:rPr>
                <w:rStyle w:val="IndexLink"/>
                <w:rtl w:val="true"/>
              </w:rPr>
              <w:t xml:space="preserve">: </w:t>
            </w:r>
            <w:r>
              <w:rPr>
                <w:rStyle w:val="IndexLink"/>
                <w:rtl w:val="true"/>
              </w:rPr>
              <w:t>فی آثار باب التزاحم</w:t>
            </w:r>
            <w:r>
              <w:rPr>
                <w:rStyle w:val="IndexLink"/>
                <w:rtl w:val="true"/>
              </w:rPr>
              <w:tab/>
            </w:r>
            <w:r>
              <w:rPr>
                <w:rStyle w:val="IndexLink"/>
              </w:rPr>
              <w:t>111</w:t>
            </w:r>
          </w:hyperlink>
        </w:p>
        <w:p>
          <w:pPr>
            <w:pStyle w:val="Contents6"/>
            <w:tabs>
              <w:tab w:val="clear" w:pos="7609"/>
              <w:tab w:val="right" w:pos="9026" w:leader="dot"/>
            </w:tabs>
            <w:rPr/>
          </w:pPr>
          <w:hyperlink w:anchor="__RefHeading___Toc141783_3244359995">
            <w:r>
              <w:rPr>
                <w:webHidden/>
                <w:rStyle w:val="IndexLink"/>
                <w:rtl w:val="true"/>
              </w:rPr>
              <w:t>التنبیه الثالث</w:t>
            </w:r>
            <w:r>
              <w:rPr>
                <w:rStyle w:val="IndexLink"/>
                <w:rtl w:val="true"/>
              </w:rPr>
              <w:t xml:space="preserve">: </w:t>
            </w:r>
            <w:r>
              <w:rPr>
                <w:rStyle w:val="IndexLink"/>
                <w:rtl w:val="true"/>
              </w:rPr>
              <w:t>فی مرجّحات النهی علی الأمر</w:t>
            </w:r>
            <w:r>
              <w:rPr>
                <w:rStyle w:val="IndexLink"/>
                <w:rtl w:val="true"/>
              </w:rPr>
              <w:tab/>
            </w:r>
            <w:r>
              <w:rPr>
                <w:rStyle w:val="IndexLink"/>
              </w:rPr>
              <w:t>113</w:t>
            </w:r>
          </w:hyperlink>
        </w:p>
        <w:p>
          <w:pPr>
            <w:pStyle w:val="Contents4"/>
            <w:tabs>
              <w:tab w:val="clear" w:pos="8176"/>
              <w:tab w:val="right" w:pos="9026" w:leader="dot"/>
            </w:tabs>
            <w:rPr/>
          </w:pPr>
          <w:hyperlink w:anchor="__RefHeading___Toc141785_3244359995">
            <w:r>
              <w:rPr>
                <w:webHidden/>
                <w:rStyle w:val="IndexLink"/>
                <w:rtl w:val="true"/>
              </w:rPr>
              <w:t>الفصل الخامس</w:t>
            </w:r>
            <w:r>
              <w:rPr>
                <w:rStyle w:val="IndexLink"/>
                <w:rtl w:val="true"/>
              </w:rPr>
              <w:t xml:space="preserve">: </w:t>
            </w:r>
            <w:r>
              <w:rPr>
                <w:rStyle w:val="IndexLink"/>
                <w:rtl w:val="true"/>
              </w:rPr>
              <w:t>النهی عن العبادات والمعاملات</w:t>
            </w:r>
            <w:r>
              <w:rPr>
                <w:rStyle w:val="IndexLink"/>
                <w:rtl w:val="true"/>
              </w:rPr>
              <w:tab/>
            </w:r>
            <w:r>
              <w:rPr>
                <w:rStyle w:val="IndexLink"/>
              </w:rPr>
              <w:t>115</w:t>
            </w:r>
          </w:hyperlink>
        </w:p>
        <w:p>
          <w:pPr>
            <w:pStyle w:val="Contents5"/>
            <w:tabs>
              <w:tab w:val="clear" w:pos="7892"/>
              <w:tab w:val="right" w:pos="9026" w:leader="dot"/>
            </w:tabs>
            <w:rPr/>
          </w:pPr>
          <w:hyperlink w:anchor="__RefHeading___Toc141787_3244359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41789_3244359995">
            <w:r>
              <w:rPr>
                <w:webHidden/>
                <w:rStyle w:val="IndexLink"/>
              </w:rPr>
              <w:t>1</w:t>
            </w:r>
            <w:r>
              <w:rPr>
                <w:rStyle w:val="IndexLink"/>
                <w:rtl w:val="true"/>
              </w:rPr>
              <w:t xml:space="preserve">. </w:t>
            </w:r>
            <w:r>
              <w:rPr>
                <w:rStyle w:val="IndexLink"/>
                <w:rtl w:val="true"/>
              </w:rPr>
              <w:t>عدم کون المسألة من المسائل اللفظیّة</w:t>
            </w:r>
            <w:r>
              <w:rPr>
                <w:rStyle w:val="IndexLink"/>
                <w:rtl w:val="true"/>
              </w:rPr>
              <w:tab/>
            </w:r>
            <w:r>
              <w:rPr>
                <w:rStyle w:val="IndexLink"/>
              </w:rPr>
              <w:t>115</w:t>
            </w:r>
          </w:hyperlink>
        </w:p>
        <w:p>
          <w:pPr>
            <w:pStyle w:val="Contents5"/>
            <w:tabs>
              <w:tab w:val="clear" w:pos="7892"/>
              <w:tab w:val="right" w:pos="9026" w:leader="dot"/>
            </w:tabs>
            <w:rPr/>
          </w:pPr>
          <w:hyperlink w:anchor="__RefHeading___Toc141791_3244359995">
            <w:r>
              <w:rPr>
                <w:webHidden/>
                <w:rStyle w:val="IndexLink"/>
              </w:rPr>
              <w:t>2</w:t>
            </w:r>
            <w:r>
              <w:rPr>
                <w:rStyle w:val="IndexLink"/>
                <w:rtl w:val="true"/>
              </w:rPr>
              <w:t xml:space="preserve">. </w:t>
            </w:r>
            <w:r>
              <w:rPr>
                <w:rStyle w:val="IndexLink"/>
                <w:rtl w:val="true"/>
              </w:rPr>
              <w:t>بیان المراد من النهی</w:t>
            </w:r>
            <w:r>
              <w:rPr>
                <w:rStyle w:val="IndexLink"/>
                <w:rtl w:val="true"/>
              </w:rPr>
              <w:tab/>
            </w:r>
            <w:r>
              <w:rPr>
                <w:rStyle w:val="IndexLink"/>
              </w:rPr>
              <w:t>115</w:t>
            </w:r>
          </w:hyperlink>
        </w:p>
        <w:p>
          <w:pPr>
            <w:pStyle w:val="Contents5"/>
            <w:tabs>
              <w:tab w:val="clear" w:pos="7892"/>
              <w:tab w:val="right" w:pos="9026" w:leader="dot"/>
            </w:tabs>
            <w:rPr/>
          </w:pPr>
          <w:hyperlink w:anchor="__RefHeading___Toc141793_3244359995">
            <w:r>
              <w:rPr>
                <w:webHidden/>
                <w:rStyle w:val="IndexLink"/>
              </w:rPr>
              <w:t>3</w:t>
            </w:r>
            <w:r>
              <w:rPr>
                <w:rStyle w:val="IndexLink"/>
                <w:rtl w:val="true"/>
              </w:rPr>
              <w:t xml:space="preserve">. </w:t>
            </w:r>
            <w:r>
              <w:rPr>
                <w:rStyle w:val="IndexLink"/>
                <w:rtl w:val="true"/>
              </w:rPr>
              <w:t>المراد من العبادة والمعاملة فی محلّ النزاع</w:t>
            </w:r>
            <w:r>
              <w:rPr>
                <w:rStyle w:val="IndexLink"/>
                <w:rtl w:val="true"/>
              </w:rPr>
              <w:tab/>
            </w:r>
            <w:r>
              <w:rPr>
                <w:rStyle w:val="IndexLink"/>
              </w:rPr>
              <w:t>116</w:t>
            </w:r>
          </w:hyperlink>
        </w:p>
        <w:p>
          <w:pPr>
            <w:pStyle w:val="Contents5"/>
            <w:tabs>
              <w:tab w:val="clear" w:pos="7892"/>
              <w:tab w:val="right" w:pos="9026" w:leader="dot"/>
            </w:tabs>
            <w:rPr/>
          </w:pPr>
          <w:hyperlink w:anchor="__RefHeading___Toc141795_3244359995">
            <w:r>
              <w:rPr>
                <w:webHidden/>
                <w:rStyle w:val="IndexLink"/>
              </w:rPr>
              <w:t>4</w:t>
            </w:r>
            <w:r>
              <w:rPr>
                <w:rStyle w:val="IndexLink"/>
                <w:rtl w:val="true"/>
              </w:rPr>
              <w:t xml:space="preserve">. </w:t>
            </w:r>
            <w:r>
              <w:rPr>
                <w:rStyle w:val="IndexLink"/>
                <w:rtl w:val="true"/>
              </w:rPr>
              <w:t>محلّ النزاع فی المسألة</w:t>
            </w:r>
            <w:r>
              <w:rPr>
                <w:rStyle w:val="IndexLink"/>
                <w:rtl w:val="true"/>
              </w:rPr>
              <w:tab/>
            </w:r>
            <w:r>
              <w:rPr>
                <w:rStyle w:val="IndexLink"/>
              </w:rPr>
              <w:t>118</w:t>
            </w:r>
          </w:hyperlink>
        </w:p>
        <w:p>
          <w:pPr>
            <w:pStyle w:val="Contents5"/>
            <w:tabs>
              <w:tab w:val="clear" w:pos="7892"/>
              <w:tab w:val="right" w:pos="9026" w:leader="dot"/>
            </w:tabs>
            <w:rPr/>
          </w:pPr>
          <w:hyperlink w:anchor="__RefHeading___Toc141797_3244359995">
            <w:r>
              <w:rPr>
                <w:webHidden/>
                <w:rStyle w:val="IndexLink"/>
              </w:rPr>
              <w:t>5</w:t>
            </w:r>
            <w:r>
              <w:rPr>
                <w:rStyle w:val="IndexLink"/>
                <w:rtl w:val="true"/>
              </w:rPr>
              <w:t xml:space="preserve">. </w:t>
            </w:r>
            <w:r>
              <w:rPr>
                <w:rStyle w:val="IndexLink"/>
                <w:rtl w:val="true"/>
              </w:rPr>
              <w:t>الأصل فی المسألة</w:t>
            </w:r>
            <w:r>
              <w:rPr>
                <w:rStyle w:val="IndexLink"/>
                <w:rtl w:val="true"/>
              </w:rPr>
              <w:tab/>
            </w:r>
            <w:r>
              <w:rPr>
                <w:rStyle w:val="IndexLink"/>
              </w:rPr>
              <w:t>118</w:t>
            </w:r>
          </w:hyperlink>
        </w:p>
        <w:p>
          <w:pPr>
            <w:pStyle w:val="Contents5"/>
            <w:tabs>
              <w:tab w:val="clear" w:pos="7892"/>
              <w:tab w:val="right" w:pos="9026" w:leader="dot"/>
            </w:tabs>
            <w:rPr/>
          </w:pPr>
          <w:hyperlink w:anchor="__RefHeading___Toc141799_3244359995">
            <w:r>
              <w:rPr>
                <w:webHidden/>
                <w:rStyle w:val="IndexLink"/>
              </w:rPr>
              <w:t>6</w:t>
            </w:r>
            <w:r>
              <w:rPr>
                <w:rStyle w:val="IndexLink"/>
                <w:rtl w:val="true"/>
              </w:rPr>
              <w:t xml:space="preserve">. </w:t>
            </w:r>
            <w:r>
              <w:rPr>
                <w:rStyle w:val="IndexLink"/>
                <w:rtl w:val="true"/>
              </w:rPr>
              <w:t>أقسام تعلّق النهی بالعبادة</w:t>
            </w:r>
            <w:r>
              <w:rPr>
                <w:rStyle w:val="IndexLink"/>
                <w:rtl w:val="true"/>
              </w:rPr>
              <w:tab/>
            </w:r>
            <w:r>
              <w:rPr>
                <w:rStyle w:val="IndexLink"/>
              </w:rPr>
              <w:t>119</w:t>
            </w:r>
          </w:hyperlink>
        </w:p>
        <w:p>
          <w:pPr>
            <w:pStyle w:val="Contents5"/>
            <w:tabs>
              <w:tab w:val="clear" w:pos="7892"/>
              <w:tab w:val="right" w:pos="9026" w:leader="dot"/>
            </w:tabs>
            <w:rPr/>
          </w:pPr>
          <w:hyperlink w:anchor="__RefHeading___Toc141801_3244359995">
            <w:r>
              <w:rPr>
                <w:webHidden/>
                <w:rStyle w:val="IndexLink"/>
                <w:rtl w:val="true"/>
              </w:rPr>
              <w:t>جریان الأقسام المتقدّمة فی المعاملات وعدمه</w:t>
            </w:r>
            <w:r>
              <w:rPr>
                <w:rStyle w:val="IndexLink"/>
                <w:rtl w:val="true"/>
              </w:rPr>
              <w:tab/>
            </w:r>
            <w:r>
              <w:rPr>
                <w:rStyle w:val="IndexLink"/>
              </w:rPr>
              <w:t>120</w:t>
            </w:r>
          </w:hyperlink>
        </w:p>
        <w:p>
          <w:pPr>
            <w:pStyle w:val="Contents5"/>
            <w:tabs>
              <w:tab w:val="clear" w:pos="7892"/>
              <w:tab w:val="right" w:pos="9026" w:leader="dot"/>
            </w:tabs>
            <w:rPr/>
          </w:pPr>
          <w:hyperlink w:anchor="__RefHeading___Toc141803_3244359995">
            <w:r>
              <w:rPr>
                <w:webHidden/>
                <w:rStyle w:val="IndexLink"/>
              </w:rPr>
              <w:t>7</w:t>
            </w:r>
            <w:r>
              <w:rPr>
                <w:rStyle w:val="IndexLink"/>
                <w:rtl w:val="true"/>
              </w:rPr>
              <w:t xml:space="preserve">. </w:t>
            </w:r>
            <w:r>
              <w:rPr>
                <w:rStyle w:val="IndexLink"/>
                <w:rtl w:val="true"/>
              </w:rPr>
              <w:t>الأقوال فی المسألة وبیان المختار فیها</w:t>
            </w:r>
            <w:r>
              <w:rPr>
                <w:rStyle w:val="IndexLink"/>
                <w:rtl w:val="true"/>
              </w:rPr>
              <w:tab/>
            </w:r>
            <w:r>
              <w:rPr>
                <w:rStyle w:val="IndexLink"/>
              </w:rPr>
              <w:t>121</w:t>
            </w:r>
          </w:hyperlink>
        </w:p>
        <w:p>
          <w:pPr>
            <w:pStyle w:val="Contents5"/>
            <w:tabs>
              <w:tab w:val="clear" w:pos="7892"/>
              <w:tab w:val="right" w:pos="9026" w:leader="dot"/>
            </w:tabs>
            <w:rPr/>
          </w:pPr>
          <w:hyperlink w:anchor="__RefHeading___Toc141805_3244359995">
            <w:r>
              <w:rPr>
                <w:webHidden/>
                <w:rStyle w:val="IndexLink"/>
                <w:rtl w:val="true"/>
              </w:rPr>
              <w:t>النهی فی المعاملات</w:t>
            </w:r>
            <w:r>
              <w:rPr>
                <w:rStyle w:val="IndexLink"/>
                <w:rtl w:val="true"/>
              </w:rPr>
              <w:tab/>
            </w:r>
            <w:r>
              <w:rPr>
                <w:rStyle w:val="IndexLink"/>
              </w:rPr>
              <w:t>122</w:t>
            </w:r>
          </w:hyperlink>
        </w:p>
        <w:p>
          <w:pPr>
            <w:pStyle w:val="Contents5"/>
            <w:tabs>
              <w:tab w:val="clear" w:pos="7892"/>
              <w:tab w:val="right" w:pos="9026" w:leader="dot"/>
            </w:tabs>
            <w:rPr/>
          </w:pPr>
          <w:hyperlink w:anchor="__RefHeading___Toc141807_3244359995">
            <w:r>
              <w:rPr>
                <w:webHidden/>
                <w:rStyle w:val="IndexLink"/>
                <w:rtl w:val="true"/>
              </w:rPr>
              <w:t>الاستدلال ببعض الروایات فی المقام</w:t>
            </w:r>
            <w:r>
              <w:rPr>
                <w:rStyle w:val="IndexLink"/>
                <w:rtl w:val="true"/>
              </w:rPr>
              <w:tab/>
            </w:r>
            <w:r>
              <w:rPr>
                <w:rStyle w:val="IndexLink"/>
              </w:rPr>
              <w:t>124</w:t>
            </w:r>
          </w:hyperlink>
        </w:p>
        <w:p>
          <w:pPr>
            <w:pStyle w:val="Contents5"/>
            <w:tabs>
              <w:tab w:val="clear" w:pos="7892"/>
              <w:tab w:val="right" w:pos="9026" w:leader="dot"/>
            </w:tabs>
            <w:rPr/>
          </w:pPr>
          <w:hyperlink w:anchor="__RefHeading___Toc141809_3244359995">
            <w:r>
              <w:rPr>
                <w:webHidden/>
                <w:rStyle w:val="IndexLink"/>
                <w:rtl w:val="true"/>
              </w:rPr>
              <w:t>تنبیه</w:t>
            </w:r>
            <w:r>
              <w:rPr>
                <w:rStyle w:val="IndexLink"/>
                <w:rtl w:val="true"/>
              </w:rPr>
              <w:t>:</w:t>
              <w:tab/>
            </w:r>
            <w:r>
              <w:rPr>
                <w:rStyle w:val="IndexLink"/>
              </w:rPr>
              <w:t>125</w:t>
            </w:r>
          </w:hyperlink>
        </w:p>
        <w:p>
          <w:pPr>
            <w:pStyle w:val="Contents2"/>
            <w:tabs>
              <w:tab w:val="clear" w:pos="8743"/>
              <w:tab w:val="right" w:pos="9026" w:leader="dot"/>
            </w:tabs>
            <w:rPr/>
          </w:pPr>
          <w:hyperlink w:anchor="__RefHeading___Toc141811_3244359995">
            <w:r>
              <w:rPr>
                <w:webHidden/>
                <w:rStyle w:val="IndexLink"/>
                <w:rtl w:val="true"/>
              </w:rPr>
              <w:t>الأدلّة العقلیة الظنیة</w:t>
            </w:r>
            <w:r>
              <w:rPr>
                <w:rStyle w:val="IndexLink"/>
                <w:rtl w:val="true"/>
              </w:rPr>
              <w:tab/>
            </w:r>
            <w:r>
              <w:rPr>
                <w:rStyle w:val="IndexLink"/>
              </w:rPr>
              <w:t>127</w:t>
            </w:r>
          </w:hyperlink>
        </w:p>
        <w:p>
          <w:pPr>
            <w:pStyle w:val="Contents3"/>
            <w:tabs>
              <w:tab w:val="clear" w:pos="8459"/>
              <w:tab w:val="right" w:pos="9026" w:leader="dot"/>
            </w:tabs>
            <w:rPr/>
          </w:pPr>
          <w:hyperlink w:anchor="__RefHeading___Toc141813_3244359995">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41815_3244359995">
            <w:r>
              <w:rPr>
                <w:webHidden/>
                <w:rStyle w:val="IndexLink"/>
                <w:rtl w:val="true"/>
              </w:rPr>
              <w:t>الأوّل</w:t>
            </w:r>
            <w:r>
              <w:rPr>
                <w:rStyle w:val="IndexLink"/>
                <w:rtl w:val="true"/>
              </w:rPr>
              <w:t xml:space="preserve">: </w:t>
            </w:r>
            <w:r>
              <w:rPr>
                <w:rStyle w:val="IndexLink"/>
                <w:rtl w:val="true"/>
              </w:rPr>
              <w:t>القیاس</w:t>
            </w:r>
            <w:r>
              <w:rPr>
                <w:rStyle w:val="IndexLink"/>
                <w:rtl w:val="true"/>
              </w:rPr>
              <w:tab/>
            </w:r>
            <w:r>
              <w:rPr>
                <w:rStyle w:val="IndexLink"/>
              </w:rPr>
              <w:t>127</w:t>
            </w:r>
          </w:hyperlink>
        </w:p>
        <w:p>
          <w:pPr>
            <w:pStyle w:val="Contents4"/>
            <w:tabs>
              <w:tab w:val="clear" w:pos="8176"/>
              <w:tab w:val="right" w:pos="9026" w:leader="dot"/>
            </w:tabs>
            <w:rPr/>
          </w:pPr>
          <w:hyperlink w:anchor="__RefHeading___Toc141817_3244359995">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41819_3244359995">
            <w:r>
              <w:rPr>
                <w:webHidden/>
                <w:rStyle w:val="IndexLink"/>
              </w:rPr>
              <w:t>1</w:t>
            </w:r>
            <w:r>
              <w:rPr>
                <w:rStyle w:val="IndexLink"/>
                <w:rtl w:val="true"/>
              </w:rPr>
              <w:t xml:space="preserve">. </w:t>
            </w:r>
            <w:r>
              <w:rPr>
                <w:rStyle w:val="IndexLink"/>
                <w:rtl w:val="true"/>
              </w:rPr>
              <w:t>تعریف القیاس</w:t>
            </w:r>
            <w:r>
              <w:rPr>
                <w:rStyle w:val="IndexLink"/>
                <w:rtl w:val="true"/>
              </w:rPr>
              <w:tab/>
            </w:r>
            <w:r>
              <w:rPr>
                <w:rStyle w:val="IndexLink"/>
              </w:rPr>
              <w:t>127</w:t>
            </w:r>
          </w:hyperlink>
        </w:p>
        <w:p>
          <w:pPr>
            <w:pStyle w:val="Contents4"/>
            <w:tabs>
              <w:tab w:val="clear" w:pos="8176"/>
              <w:tab w:val="right" w:pos="9026" w:leader="dot"/>
            </w:tabs>
            <w:rPr/>
          </w:pPr>
          <w:hyperlink w:anchor="__RefHeading___Toc141821_3244359995">
            <w:r>
              <w:rPr>
                <w:webHidden/>
                <w:rStyle w:val="IndexLink"/>
              </w:rPr>
              <w:t>2</w:t>
            </w:r>
            <w:r>
              <w:rPr>
                <w:rStyle w:val="IndexLink"/>
                <w:rtl w:val="true"/>
              </w:rPr>
              <w:t xml:space="preserve">. </w:t>
            </w:r>
            <w:r>
              <w:rPr>
                <w:rStyle w:val="IndexLink"/>
                <w:rtl w:val="true"/>
              </w:rPr>
              <w:t>أقسام القیاس</w:t>
            </w:r>
            <w:r>
              <w:rPr>
                <w:rStyle w:val="IndexLink"/>
                <w:rtl w:val="true"/>
              </w:rPr>
              <w:tab/>
            </w:r>
            <w:r>
              <w:rPr>
                <w:rStyle w:val="IndexLink"/>
              </w:rPr>
              <w:t>128</w:t>
            </w:r>
          </w:hyperlink>
        </w:p>
        <w:p>
          <w:pPr>
            <w:pStyle w:val="Contents4"/>
            <w:tabs>
              <w:tab w:val="clear" w:pos="8176"/>
              <w:tab w:val="right" w:pos="9026" w:leader="dot"/>
            </w:tabs>
            <w:rPr/>
          </w:pPr>
          <w:hyperlink w:anchor="__RefHeading___Toc141823_3244359995">
            <w:r>
              <w:rPr>
                <w:webHidden/>
                <w:rStyle w:val="IndexLink"/>
              </w:rPr>
              <w:t>3</w:t>
            </w:r>
            <w:r>
              <w:rPr>
                <w:rStyle w:val="IndexLink"/>
                <w:rtl w:val="true"/>
              </w:rPr>
              <w:t xml:space="preserve">. </w:t>
            </w:r>
            <w:r>
              <w:rPr>
                <w:rStyle w:val="IndexLink"/>
                <w:rtl w:val="true"/>
              </w:rPr>
              <w:t>الأقوال فی المسألة</w:t>
            </w:r>
            <w:r>
              <w:rPr>
                <w:rStyle w:val="IndexLink"/>
                <w:rtl w:val="true"/>
              </w:rPr>
              <w:tab/>
            </w:r>
            <w:r>
              <w:rPr>
                <w:rStyle w:val="IndexLink"/>
              </w:rPr>
              <w:t>129</w:t>
            </w:r>
          </w:hyperlink>
        </w:p>
        <w:p>
          <w:pPr>
            <w:pStyle w:val="Contents4"/>
            <w:tabs>
              <w:tab w:val="clear" w:pos="8176"/>
              <w:tab w:val="right" w:pos="9026" w:leader="dot"/>
            </w:tabs>
            <w:rPr/>
          </w:pPr>
          <w:hyperlink w:anchor="__RefHeading___Toc141825_3244359995">
            <w:r>
              <w:rPr>
                <w:webHidden/>
                <w:rStyle w:val="IndexLink"/>
              </w:rPr>
              <w:t>4</w:t>
            </w:r>
            <w:r>
              <w:rPr>
                <w:rStyle w:val="IndexLink"/>
                <w:rtl w:val="true"/>
              </w:rPr>
              <w:t xml:space="preserve">. </w:t>
            </w:r>
            <w:r>
              <w:rPr>
                <w:rStyle w:val="IndexLink"/>
                <w:rtl w:val="true"/>
              </w:rPr>
              <w:t>أدلّة النافین</w:t>
            </w:r>
            <w:r>
              <w:rPr>
                <w:rStyle w:val="IndexLink"/>
                <w:rtl w:val="true"/>
              </w:rPr>
              <w:tab/>
            </w:r>
            <w:r>
              <w:rPr>
                <w:rStyle w:val="IndexLink"/>
              </w:rPr>
              <w:t>131</w:t>
            </w:r>
          </w:hyperlink>
        </w:p>
        <w:p>
          <w:pPr>
            <w:pStyle w:val="Contents4"/>
            <w:tabs>
              <w:tab w:val="clear" w:pos="8176"/>
              <w:tab w:val="right" w:pos="9026" w:leader="dot"/>
            </w:tabs>
            <w:rPr/>
          </w:pPr>
          <w:hyperlink w:anchor="__RefHeading___Toc141827_3244359995">
            <w:r>
              <w:rPr>
                <w:webHidden/>
                <w:rStyle w:val="IndexLink"/>
              </w:rPr>
              <w:t>5</w:t>
            </w:r>
            <w:r>
              <w:rPr>
                <w:rStyle w:val="IndexLink"/>
                <w:rtl w:val="true"/>
              </w:rPr>
              <w:t xml:space="preserve">. </w:t>
            </w:r>
            <w:r>
              <w:rPr>
                <w:rStyle w:val="IndexLink"/>
                <w:rtl w:val="true"/>
              </w:rPr>
              <w:t>أدلّة القائلین بالحجّیة</w:t>
            </w:r>
            <w:r>
              <w:rPr>
                <w:rStyle w:val="IndexLink"/>
                <w:rtl w:val="true"/>
              </w:rPr>
              <w:tab/>
            </w:r>
            <w:r>
              <w:rPr>
                <w:rStyle w:val="IndexLink"/>
              </w:rPr>
              <w:t>133</w:t>
            </w:r>
          </w:hyperlink>
        </w:p>
        <w:p>
          <w:pPr>
            <w:pStyle w:val="Contents3"/>
            <w:tabs>
              <w:tab w:val="clear" w:pos="8459"/>
              <w:tab w:val="right" w:pos="9026" w:leader="dot"/>
            </w:tabs>
            <w:rPr/>
          </w:pPr>
          <w:hyperlink w:anchor="__RefHeading___Toc141829_3244359995">
            <w:r>
              <w:rPr>
                <w:webHidden/>
                <w:rStyle w:val="IndexLink"/>
                <w:rtl w:val="true"/>
              </w:rPr>
              <w:t>الثانی</w:t>
            </w:r>
            <w:r>
              <w:rPr>
                <w:rStyle w:val="IndexLink"/>
                <w:rtl w:val="true"/>
              </w:rPr>
              <w:t xml:space="preserve">: </w:t>
            </w:r>
            <w:r>
              <w:rPr>
                <w:rStyle w:val="IndexLink"/>
                <w:rtl w:val="true"/>
              </w:rPr>
              <w:t>الاستحسان</w:t>
            </w:r>
            <w:r>
              <w:rPr>
                <w:rStyle w:val="IndexLink"/>
                <w:rtl w:val="true"/>
              </w:rPr>
              <w:tab/>
            </w:r>
            <w:r>
              <w:rPr>
                <w:rStyle w:val="IndexLink"/>
              </w:rPr>
              <w:t>136</w:t>
            </w:r>
          </w:hyperlink>
        </w:p>
        <w:p>
          <w:pPr>
            <w:pStyle w:val="Contents4"/>
            <w:tabs>
              <w:tab w:val="clear" w:pos="8176"/>
              <w:tab w:val="right" w:pos="9026" w:leader="dot"/>
            </w:tabs>
            <w:rPr/>
          </w:pPr>
          <w:hyperlink w:anchor="__RefHeading___Toc141831_3244359995">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1833_3244359995">
            <w:r>
              <w:rPr>
                <w:webHidden/>
                <w:rStyle w:val="IndexLink"/>
              </w:rPr>
              <w:t>1</w:t>
            </w:r>
            <w:r>
              <w:rPr>
                <w:rStyle w:val="IndexLink"/>
                <w:rtl w:val="true"/>
              </w:rPr>
              <w:t xml:space="preserve">. </w:t>
            </w:r>
            <w:r>
              <w:rPr>
                <w:rStyle w:val="IndexLink"/>
                <w:rtl w:val="true"/>
              </w:rPr>
              <w:t>تعریفه</w:t>
            </w:r>
            <w:r>
              <w:rPr>
                <w:rStyle w:val="IndexLink"/>
                <w:rtl w:val="true"/>
              </w:rPr>
              <w:tab/>
            </w:r>
            <w:r>
              <w:rPr>
                <w:rStyle w:val="IndexLink"/>
              </w:rPr>
              <w:t>136</w:t>
            </w:r>
          </w:hyperlink>
        </w:p>
        <w:p>
          <w:pPr>
            <w:pStyle w:val="Contents4"/>
            <w:tabs>
              <w:tab w:val="clear" w:pos="8176"/>
              <w:tab w:val="right" w:pos="9026" w:leader="dot"/>
            </w:tabs>
            <w:rPr/>
          </w:pPr>
          <w:hyperlink w:anchor="__RefHeading___Toc141835_3244359995">
            <w:r>
              <w:rPr>
                <w:webHidden/>
                <w:rStyle w:val="IndexLink"/>
              </w:rPr>
              <w:t>2</w:t>
            </w:r>
            <w:r>
              <w:rPr>
                <w:rStyle w:val="IndexLink"/>
                <w:rtl w:val="true"/>
              </w:rPr>
              <w:t xml:space="preserve">. </w:t>
            </w:r>
            <w:r>
              <w:rPr>
                <w:rStyle w:val="IndexLink"/>
                <w:rtl w:val="true"/>
              </w:rPr>
              <w:t>الأقوال فیه</w:t>
            </w:r>
            <w:r>
              <w:rPr>
                <w:rStyle w:val="IndexLink"/>
                <w:rtl w:val="true"/>
              </w:rPr>
              <w:tab/>
            </w:r>
            <w:r>
              <w:rPr>
                <w:rStyle w:val="IndexLink"/>
              </w:rPr>
              <w:t>137</w:t>
            </w:r>
          </w:hyperlink>
        </w:p>
        <w:p>
          <w:pPr>
            <w:pStyle w:val="Contents4"/>
            <w:tabs>
              <w:tab w:val="clear" w:pos="8176"/>
              <w:tab w:val="right" w:pos="9026" w:leader="dot"/>
            </w:tabs>
            <w:rPr/>
          </w:pPr>
          <w:hyperlink w:anchor="__RefHeading___Toc141837_3244359995">
            <w:r>
              <w:rPr>
                <w:webHidden/>
                <w:rStyle w:val="IndexLink"/>
              </w:rPr>
              <w:t>3</w:t>
            </w:r>
            <w:r>
              <w:rPr>
                <w:rStyle w:val="IndexLink"/>
                <w:rtl w:val="true"/>
              </w:rPr>
              <w:t xml:space="preserve">. </w:t>
            </w:r>
            <w:r>
              <w:rPr>
                <w:rStyle w:val="IndexLink"/>
                <w:rtl w:val="true"/>
              </w:rPr>
              <w:t>أدلّة المثبتین</w:t>
            </w:r>
            <w:r>
              <w:rPr>
                <w:rStyle w:val="IndexLink"/>
                <w:rtl w:val="true"/>
              </w:rPr>
              <w:tab/>
            </w:r>
            <w:r>
              <w:rPr>
                <w:rStyle w:val="IndexLink"/>
              </w:rPr>
              <w:t>138</w:t>
            </w:r>
          </w:hyperlink>
        </w:p>
        <w:p>
          <w:pPr>
            <w:pStyle w:val="Contents4"/>
            <w:tabs>
              <w:tab w:val="clear" w:pos="8176"/>
              <w:tab w:val="right" w:pos="9026" w:leader="dot"/>
            </w:tabs>
            <w:rPr/>
          </w:pPr>
          <w:hyperlink w:anchor="__RefHeading___Toc141839_3244359995">
            <w:r>
              <w:rPr>
                <w:webHidden/>
                <w:rStyle w:val="IndexLink"/>
              </w:rPr>
              <w:t>4</w:t>
            </w:r>
            <w:r>
              <w:rPr>
                <w:rStyle w:val="IndexLink"/>
                <w:rtl w:val="true"/>
              </w:rPr>
              <w:t xml:space="preserve">. </w:t>
            </w:r>
            <w:r>
              <w:rPr>
                <w:rStyle w:val="IndexLink"/>
                <w:rtl w:val="true"/>
              </w:rPr>
              <w:t>أدلّة النافین</w:t>
            </w:r>
            <w:r>
              <w:rPr>
                <w:rStyle w:val="IndexLink"/>
                <w:rtl w:val="true"/>
              </w:rPr>
              <w:tab/>
            </w:r>
            <w:r>
              <w:rPr>
                <w:rStyle w:val="IndexLink"/>
              </w:rPr>
              <w:t>142</w:t>
            </w:r>
          </w:hyperlink>
        </w:p>
        <w:p>
          <w:pPr>
            <w:pStyle w:val="Contents3"/>
            <w:tabs>
              <w:tab w:val="clear" w:pos="8459"/>
              <w:tab w:val="right" w:pos="9026" w:leader="dot"/>
            </w:tabs>
            <w:rPr/>
          </w:pPr>
          <w:hyperlink w:anchor="__RefHeading___Toc141841_3244359995">
            <w:r>
              <w:rPr>
                <w:webHidden/>
                <w:rStyle w:val="IndexLink"/>
                <w:rtl w:val="true"/>
              </w:rPr>
              <w:t>الثالث</w:t>
            </w:r>
            <w:r>
              <w:rPr>
                <w:rStyle w:val="IndexLink"/>
                <w:rtl w:val="true"/>
              </w:rPr>
              <w:t xml:space="preserve">: </w:t>
            </w:r>
            <w:r>
              <w:rPr>
                <w:rStyle w:val="IndexLink"/>
                <w:rtl w:val="true"/>
              </w:rPr>
              <w:t>المصالح المرسلة</w:t>
            </w:r>
            <w:r>
              <w:rPr>
                <w:rStyle w:val="IndexLink"/>
                <w:rtl w:val="true"/>
              </w:rPr>
              <w:tab/>
            </w:r>
            <w:r>
              <w:rPr>
                <w:rStyle w:val="IndexLink"/>
              </w:rPr>
              <w:t>142</w:t>
            </w:r>
          </w:hyperlink>
        </w:p>
        <w:p>
          <w:pPr>
            <w:pStyle w:val="Contents4"/>
            <w:tabs>
              <w:tab w:val="clear" w:pos="8176"/>
              <w:tab w:val="right" w:pos="9026" w:leader="dot"/>
            </w:tabs>
            <w:rPr/>
          </w:pPr>
          <w:hyperlink w:anchor="__RefHeading___Toc141843_3244359995">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41845_3244359995">
            <w:r>
              <w:rPr>
                <w:webHidden/>
                <w:rStyle w:val="IndexLink"/>
              </w:rPr>
              <w:t>1</w:t>
            </w:r>
            <w:r>
              <w:rPr>
                <w:rStyle w:val="IndexLink"/>
                <w:rtl w:val="true"/>
              </w:rPr>
              <w:t xml:space="preserve">. </w:t>
            </w:r>
            <w:r>
              <w:rPr>
                <w:rStyle w:val="IndexLink"/>
                <w:rtl w:val="true"/>
              </w:rPr>
              <w:t>المراد من المصالح المرسلة</w:t>
            </w:r>
            <w:r>
              <w:rPr>
                <w:rStyle w:val="IndexLink"/>
                <w:rtl w:val="true"/>
              </w:rPr>
              <w:tab/>
            </w:r>
            <w:r>
              <w:rPr>
                <w:rStyle w:val="IndexLink"/>
              </w:rPr>
              <w:t>142</w:t>
            </w:r>
          </w:hyperlink>
        </w:p>
        <w:p>
          <w:pPr>
            <w:pStyle w:val="Contents4"/>
            <w:tabs>
              <w:tab w:val="clear" w:pos="8176"/>
              <w:tab w:val="right" w:pos="9026" w:leader="dot"/>
            </w:tabs>
            <w:rPr/>
          </w:pPr>
          <w:hyperlink w:anchor="__RefHeading___Toc141847_3244359995">
            <w:r>
              <w:rPr>
                <w:webHidden/>
                <w:rStyle w:val="IndexLink"/>
              </w:rPr>
              <w:t>2</w:t>
            </w:r>
            <w:r>
              <w:rPr>
                <w:rStyle w:val="IndexLink"/>
                <w:rtl w:val="true"/>
              </w:rPr>
              <w:t xml:space="preserve">. </w:t>
            </w:r>
            <w:r>
              <w:rPr>
                <w:rStyle w:val="IndexLink"/>
                <w:rtl w:val="true"/>
              </w:rPr>
              <w:t>الأقوال فی المسألة</w:t>
            </w:r>
            <w:r>
              <w:rPr>
                <w:rStyle w:val="IndexLink"/>
                <w:rtl w:val="true"/>
              </w:rPr>
              <w:tab/>
            </w:r>
            <w:r>
              <w:rPr>
                <w:rStyle w:val="IndexLink"/>
              </w:rPr>
              <w:t>143</w:t>
            </w:r>
          </w:hyperlink>
        </w:p>
        <w:p>
          <w:pPr>
            <w:pStyle w:val="Contents4"/>
            <w:tabs>
              <w:tab w:val="clear" w:pos="8176"/>
              <w:tab w:val="right" w:pos="9026" w:leader="dot"/>
            </w:tabs>
            <w:rPr/>
          </w:pPr>
          <w:hyperlink w:anchor="__RefHeading___Toc141849_3244359995">
            <w:r>
              <w:rPr>
                <w:webHidden/>
                <w:rStyle w:val="IndexLink"/>
              </w:rPr>
              <w:t>3</w:t>
            </w:r>
            <w:r>
              <w:rPr>
                <w:rStyle w:val="IndexLink"/>
                <w:rtl w:val="true"/>
              </w:rPr>
              <w:t xml:space="preserve">. </w:t>
            </w:r>
            <w:r>
              <w:rPr>
                <w:rStyle w:val="IndexLink"/>
                <w:rtl w:val="true"/>
              </w:rPr>
              <w:t>أدلّة المثبتین</w:t>
            </w:r>
            <w:r>
              <w:rPr>
                <w:rStyle w:val="IndexLink"/>
                <w:rtl w:val="true"/>
              </w:rPr>
              <w:tab/>
            </w:r>
            <w:r>
              <w:rPr>
                <w:rStyle w:val="IndexLink"/>
              </w:rPr>
              <w:t>144</w:t>
            </w:r>
          </w:hyperlink>
        </w:p>
        <w:p>
          <w:pPr>
            <w:pStyle w:val="Contents3"/>
            <w:tabs>
              <w:tab w:val="clear" w:pos="8459"/>
              <w:tab w:val="right" w:pos="9026" w:leader="dot"/>
            </w:tabs>
            <w:rPr/>
          </w:pPr>
          <w:hyperlink w:anchor="__RefHeading___Toc141851_3244359995">
            <w:r>
              <w:rPr>
                <w:webHidden/>
                <w:rStyle w:val="IndexLink"/>
                <w:rtl w:val="true"/>
              </w:rPr>
              <w:t>الرابع</w:t>
            </w:r>
            <w:r>
              <w:rPr>
                <w:rStyle w:val="IndexLink"/>
                <w:rtl w:val="true"/>
              </w:rPr>
              <w:t xml:space="preserve">: </w:t>
            </w:r>
            <w:r>
              <w:rPr>
                <w:rStyle w:val="IndexLink"/>
                <w:rtl w:val="true"/>
              </w:rPr>
              <w:t>سدّ الذرائع</w:t>
            </w:r>
            <w:r>
              <w:rPr>
                <w:rStyle w:val="IndexLink"/>
                <w:rtl w:val="true"/>
              </w:rPr>
              <w:tab/>
            </w:r>
            <w:r>
              <w:rPr>
                <w:rStyle w:val="IndexLink"/>
              </w:rPr>
              <w:t>146</w:t>
            </w:r>
          </w:hyperlink>
        </w:p>
        <w:p>
          <w:pPr>
            <w:pStyle w:val="Contents4"/>
            <w:tabs>
              <w:tab w:val="clear" w:pos="8176"/>
              <w:tab w:val="right" w:pos="9026" w:leader="dot"/>
            </w:tabs>
            <w:rPr/>
          </w:pPr>
          <w:hyperlink w:anchor="__RefHeading___Toc141853_3244359995">
            <w:r>
              <w:rPr>
                <w:webHidden/>
                <w:rStyle w:val="IndexLink"/>
              </w:rPr>
              <w:t>1</w:t>
            </w:r>
            <w:r>
              <w:rPr>
                <w:rStyle w:val="IndexLink"/>
                <w:rtl w:val="true"/>
              </w:rPr>
              <w:t xml:space="preserve">. </w:t>
            </w:r>
            <w:r>
              <w:rPr>
                <w:rStyle w:val="IndexLink"/>
                <w:rtl w:val="true"/>
              </w:rPr>
              <w:t>بیان المراد منه</w:t>
            </w:r>
            <w:r>
              <w:rPr>
                <w:rStyle w:val="IndexLink"/>
                <w:rtl w:val="true"/>
              </w:rPr>
              <w:tab/>
            </w:r>
            <w:r>
              <w:rPr>
                <w:rStyle w:val="IndexLink"/>
              </w:rPr>
              <w:t>146</w:t>
            </w:r>
          </w:hyperlink>
        </w:p>
        <w:p>
          <w:pPr>
            <w:pStyle w:val="Contents4"/>
            <w:tabs>
              <w:tab w:val="clear" w:pos="8176"/>
              <w:tab w:val="right" w:pos="9026" w:leader="dot"/>
            </w:tabs>
            <w:rPr/>
          </w:pPr>
          <w:hyperlink w:anchor="__RefHeading___Toc141855_3244359995">
            <w:r>
              <w:rPr>
                <w:webHidden/>
                <w:rStyle w:val="IndexLink"/>
              </w:rPr>
              <w:t>2</w:t>
            </w:r>
            <w:r>
              <w:rPr>
                <w:rStyle w:val="IndexLink"/>
                <w:rtl w:val="true"/>
              </w:rPr>
              <w:t xml:space="preserve">. </w:t>
            </w:r>
            <w:r>
              <w:rPr>
                <w:rStyle w:val="IndexLink"/>
                <w:rtl w:val="true"/>
              </w:rPr>
              <w:t>ما یمکن أن یقال فی حجّیته</w:t>
            </w:r>
            <w:r>
              <w:rPr>
                <w:rStyle w:val="IndexLink"/>
                <w:rtl w:val="true"/>
              </w:rPr>
              <w:tab/>
            </w:r>
            <w:r>
              <w:rPr>
                <w:rStyle w:val="IndexLink"/>
              </w:rPr>
              <w:t>147</w:t>
            </w:r>
          </w:hyperlink>
        </w:p>
        <w:p>
          <w:pPr>
            <w:pStyle w:val="Contents2"/>
            <w:tabs>
              <w:tab w:val="clear" w:pos="8743"/>
              <w:tab w:val="right" w:pos="9026" w:leader="dot"/>
            </w:tabs>
            <w:rPr/>
          </w:pPr>
          <w:hyperlink w:anchor="__RefHeading___Toc141857_3244359995">
            <w:r>
              <w:rPr>
                <w:webHidden/>
                <w:rStyle w:val="IndexLink"/>
                <w:rtl w:val="true"/>
              </w:rPr>
              <w:t>المقصد الخامس</w:t>
            </w:r>
            <w:r>
              <w:rPr>
                <w:rStyle w:val="IndexLink"/>
                <w:rtl w:val="true"/>
              </w:rPr>
              <w:t xml:space="preserve">: </w:t>
            </w:r>
            <w:r>
              <w:rPr>
                <w:rStyle w:val="IndexLink"/>
                <w:rtl w:val="true"/>
              </w:rPr>
              <w:t>الأصول العملیّة</w:t>
            </w:r>
            <w:r>
              <w:rPr>
                <w:rStyle w:val="IndexLink"/>
                <w:rtl w:val="true"/>
              </w:rPr>
              <w:tab/>
            </w:r>
            <w:r>
              <w:rPr>
                <w:rStyle w:val="IndexLink"/>
              </w:rPr>
              <w:t>149</w:t>
            </w:r>
          </w:hyperlink>
        </w:p>
        <w:p>
          <w:pPr>
            <w:pStyle w:val="Contents3"/>
            <w:tabs>
              <w:tab w:val="clear" w:pos="8459"/>
              <w:tab w:val="right" w:pos="9026" w:leader="dot"/>
            </w:tabs>
            <w:rPr/>
          </w:pPr>
          <w:hyperlink w:anchor="__RefHeading___Toc141859_3244359995">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41861_3244359995">
            <w:r>
              <w:rPr>
                <w:webHidden/>
                <w:rStyle w:val="IndexLink"/>
              </w:rPr>
              <w:t>1</w:t>
            </w:r>
            <w:r>
              <w:rPr>
                <w:rStyle w:val="IndexLink"/>
                <w:rtl w:val="true"/>
              </w:rPr>
              <w:t xml:space="preserve">. </w:t>
            </w:r>
            <w:r>
              <w:rPr>
                <w:rStyle w:val="IndexLink"/>
                <w:rtl w:val="true"/>
              </w:rPr>
              <w:t>تعریف الاصول العملیّة</w:t>
            </w:r>
            <w:r>
              <w:rPr>
                <w:rStyle w:val="IndexLink"/>
                <w:rtl w:val="true"/>
              </w:rPr>
              <w:tab/>
            </w:r>
            <w:r>
              <w:rPr>
                <w:rStyle w:val="IndexLink"/>
              </w:rPr>
              <w:t>150</w:t>
            </w:r>
          </w:hyperlink>
        </w:p>
        <w:p>
          <w:pPr>
            <w:pStyle w:val="Contents3"/>
            <w:tabs>
              <w:tab w:val="clear" w:pos="8459"/>
              <w:tab w:val="right" w:pos="9026" w:leader="dot"/>
            </w:tabs>
            <w:rPr/>
          </w:pPr>
          <w:hyperlink w:anchor="__RefHeading___Toc141863_3244359995">
            <w:r>
              <w:rPr>
                <w:webHidden/>
                <w:rStyle w:val="IndexLink"/>
              </w:rPr>
              <w:t>2</w:t>
            </w:r>
            <w:r>
              <w:rPr>
                <w:rStyle w:val="IndexLink"/>
                <w:rtl w:val="true"/>
              </w:rPr>
              <w:t xml:space="preserve">. </w:t>
            </w:r>
            <w:r>
              <w:rPr>
                <w:rStyle w:val="IndexLink"/>
                <w:rtl w:val="true"/>
              </w:rPr>
              <w:t>حصر الاصول العملیّة فی الأربعة</w:t>
            </w:r>
            <w:r>
              <w:rPr>
                <w:rStyle w:val="IndexLink"/>
                <w:rtl w:val="true"/>
              </w:rPr>
              <w:tab/>
            </w:r>
            <w:r>
              <w:rPr>
                <w:rStyle w:val="IndexLink"/>
              </w:rPr>
              <w:t>151</w:t>
            </w:r>
          </w:hyperlink>
        </w:p>
        <w:p>
          <w:pPr>
            <w:pStyle w:val="Contents3"/>
            <w:tabs>
              <w:tab w:val="clear" w:pos="8459"/>
              <w:tab w:val="right" w:pos="9026" w:leader="dot"/>
            </w:tabs>
            <w:rPr/>
          </w:pPr>
          <w:hyperlink w:anchor="__RefHeading___Toc141865_3244359995">
            <w:r>
              <w:rPr>
                <w:webHidden/>
                <w:rStyle w:val="IndexLink"/>
              </w:rPr>
              <w:t>3</w:t>
            </w:r>
            <w:r>
              <w:rPr>
                <w:rStyle w:val="IndexLink"/>
                <w:rtl w:val="true"/>
              </w:rPr>
              <w:t xml:space="preserve">. </w:t>
            </w:r>
            <w:r>
              <w:rPr>
                <w:rStyle w:val="IndexLink"/>
                <w:rtl w:val="true"/>
              </w:rPr>
              <w:t>حکومة الأمارات والأدلّة الاجتهادیّة علی الاصول العملیّة</w:t>
            </w:r>
            <w:r>
              <w:rPr>
                <w:rStyle w:val="IndexLink"/>
                <w:rtl w:val="true"/>
              </w:rPr>
              <w:tab/>
            </w:r>
            <w:r>
              <w:rPr>
                <w:rStyle w:val="IndexLink"/>
              </w:rPr>
              <w:t>152</w:t>
            </w:r>
          </w:hyperlink>
        </w:p>
        <w:p>
          <w:pPr>
            <w:pStyle w:val="Contents3"/>
            <w:tabs>
              <w:tab w:val="clear" w:pos="8459"/>
              <w:tab w:val="right" w:pos="9026" w:leader="dot"/>
            </w:tabs>
            <w:rPr/>
          </w:pPr>
          <w:hyperlink w:anchor="__RefHeading___Toc141867_3244359995">
            <w:r>
              <w:rPr>
                <w:webHidden/>
                <w:rStyle w:val="IndexLink"/>
                <w:rtl w:val="true"/>
              </w:rPr>
              <w:t>الأصل الأول</w:t>
            </w:r>
            <w:r>
              <w:rPr>
                <w:rStyle w:val="IndexLink"/>
                <w:rtl w:val="true"/>
              </w:rPr>
              <w:t xml:space="preserve">: </w:t>
            </w:r>
            <w:r>
              <w:rPr>
                <w:rStyle w:val="IndexLink"/>
                <w:rtl w:val="true"/>
              </w:rPr>
              <w:t>اصالة البراءة</w:t>
            </w:r>
            <w:r>
              <w:rPr>
                <w:rStyle w:val="IndexLink"/>
                <w:rtl w:val="true"/>
              </w:rPr>
              <w:tab/>
            </w:r>
            <w:r>
              <w:rPr>
                <w:rStyle w:val="IndexLink"/>
              </w:rPr>
              <w:t>155</w:t>
            </w:r>
          </w:hyperlink>
        </w:p>
        <w:p>
          <w:pPr>
            <w:pStyle w:val="Contents4"/>
            <w:tabs>
              <w:tab w:val="clear" w:pos="8176"/>
              <w:tab w:val="right" w:pos="9026" w:leader="dot"/>
            </w:tabs>
            <w:rPr/>
          </w:pPr>
          <w:hyperlink w:anchor="__RefHeading___Toc141869_324435999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1871_3244359995">
            <w:r>
              <w:rPr>
                <w:webHidden/>
                <w:rStyle w:val="IndexLink"/>
                <w:rtl w:val="true"/>
              </w:rPr>
              <w:t>أدلّة الاصولیین علی البراءة</w:t>
            </w:r>
            <w:r>
              <w:rPr>
                <w:rStyle w:val="IndexLink"/>
                <w:rtl w:val="true"/>
              </w:rPr>
              <w:t>:</w:t>
              <w:tab/>
            </w:r>
            <w:r>
              <w:rPr>
                <w:rStyle w:val="IndexLink"/>
              </w:rPr>
              <w:t>155</w:t>
            </w:r>
          </w:hyperlink>
        </w:p>
        <w:p>
          <w:pPr>
            <w:pStyle w:val="Contents5"/>
            <w:tabs>
              <w:tab w:val="clear" w:pos="7892"/>
              <w:tab w:val="right" w:pos="9026" w:leader="dot"/>
            </w:tabs>
            <w:rPr/>
          </w:pPr>
          <w:hyperlink w:anchor="__RefHeading___Toc141873_3244359995">
            <w:r>
              <w:rPr>
                <w:webHidden/>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155</w:t>
            </w:r>
          </w:hyperlink>
        </w:p>
        <w:p>
          <w:pPr>
            <w:pStyle w:val="Contents6"/>
            <w:tabs>
              <w:tab w:val="clear" w:pos="7609"/>
              <w:tab w:val="right" w:pos="9026" w:leader="dot"/>
            </w:tabs>
            <w:rPr/>
          </w:pPr>
          <w:hyperlink w:anchor="__RefHeading___Toc141875_3244359995">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41877_3244359995">
            <w:r>
              <w:rPr>
                <w:webHidden/>
                <w:rStyle w:val="IndexLink"/>
                <w:rtl w:val="true"/>
              </w:rPr>
              <w:t>بقی هنا شی‌ء</w:t>
            </w:r>
            <w:r>
              <w:rPr>
                <w:rStyle w:val="IndexLink"/>
                <w:rtl w:val="true"/>
              </w:rPr>
              <w:tab/>
            </w:r>
            <w:r>
              <w:rPr>
                <w:rStyle w:val="IndexLink"/>
              </w:rPr>
              <w:t>159</w:t>
            </w:r>
          </w:hyperlink>
        </w:p>
        <w:p>
          <w:pPr>
            <w:pStyle w:val="Contents5"/>
            <w:tabs>
              <w:tab w:val="clear" w:pos="7892"/>
              <w:tab w:val="right" w:pos="9026" w:leader="dot"/>
            </w:tabs>
            <w:rPr/>
          </w:pPr>
          <w:hyperlink w:anchor="__RefHeading___Toc141879_3244359995">
            <w:r>
              <w:rPr>
                <w:webHidden/>
                <w:rStyle w:val="IndexLink"/>
                <w:rtl w:val="true"/>
              </w:rPr>
              <w:t>الثانی</w:t>
            </w:r>
            <w:r>
              <w:rPr>
                <w:rStyle w:val="IndexLink"/>
                <w:rtl w:val="true"/>
              </w:rPr>
              <w:t xml:space="preserve">: </w:t>
            </w:r>
            <w:r>
              <w:rPr>
                <w:rStyle w:val="IndexLink"/>
                <w:rtl w:val="true"/>
              </w:rPr>
              <w:t>الروایات</w:t>
            </w:r>
            <w:r>
              <w:rPr>
                <w:rStyle w:val="IndexLink"/>
                <w:rtl w:val="true"/>
              </w:rPr>
              <w:tab/>
            </w:r>
            <w:r>
              <w:rPr>
                <w:rStyle w:val="IndexLink"/>
              </w:rPr>
              <w:t>159</w:t>
            </w:r>
          </w:hyperlink>
        </w:p>
        <w:p>
          <w:pPr>
            <w:pStyle w:val="Contents6"/>
            <w:tabs>
              <w:tab w:val="clear" w:pos="7609"/>
              <w:tab w:val="right" w:pos="9026" w:leader="dot"/>
            </w:tabs>
            <w:rPr/>
          </w:pPr>
          <w:hyperlink w:anchor="__RefHeading___Toc141881_324435999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41883_3244359995">
            <w:r>
              <w:rPr>
                <w:webHidden/>
                <w:rStyle w:val="IndexLink"/>
              </w:rPr>
              <w:t>1</w:t>
            </w:r>
            <w:r>
              <w:rPr>
                <w:rStyle w:val="IndexLink"/>
                <w:rtl w:val="true"/>
              </w:rPr>
              <w:t xml:space="preserve">. </w:t>
            </w:r>
            <w:r>
              <w:rPr>
                <w:rStyle w:val="IndexLink"/>
                <w:rtl w:val="true"/>
              </w:rPr>
              <w:t>حدیث الرفع</w:t>
            </w:r>
            <w:r>
              <w:rPr>
                <w:rStyle w:val="IndexLink"/>
                <w:rtl w:val="true"/>
              </w:rPr>
              <w:tab/>
            </w:r>
            <w:r>
              <w:rPr>
                <w:rStyle w:val="IndexLink"/>
              </w:rPr>
              <w:t>159</w:t>
            </w:r>
          </w:hyperlink>
        </w:p>
        <w:p>
          <w:pPr>
            <w:pStyle w:val="Contents6"/>
            <w:tabs>
              <w:tab w:val="clear" w:pos="7609"/>
              <w:tab w:val="right" w:pos="9026" w:leader="dot"/>
            </w:tabs>
            <w:rPr/>
          </w:pPr>
          <w:hyperlink w:anchor="__RefHeading___Toc141885_3244359995">
            <w:r>
              <w:rPr>
                <w:webHidden/>
                <w:rStyle w:val="IndexLink"/>
              </w:rPr>
              <w:t>2</w:t>
            </w:r>
            <w:r>
              <w:rPr>
                <w:rStyle w:val="IndexLink"/>
                <w:rtl w:val="true"/>
              </w:rPr>
              <w:t xml:space="preserve">. </w:t>
            </w:r>
            <w:r>
              <w:rPr>
                <w:rStyle w:val="IndexLink"/>
                <w:rtl w:val="true"/>
              </w:rPr>
              <w:t>حدیث الحجب</w:t>
            </w:r>
            <w:r>
              <w:rPr>
                <w:rStyle w:val="IndexLink"/>
                <w:rtl w:val="true"/>
              </w:rPr>
              <w:tab/>
            </w:r>
            <w:r>
              <w:rPr>
                <w:rStyle w:val="IndexLink"/>
              </w:rPr>
              <w:t>165</w:t>
            </w:r>
          </w:hyperlink>
        </w:p>
        <w:p>
          <w:pPr>
            <w:pStyle w:val="Contents6"/>
            <w:tabs>
              <w:tab w:val="clear" w:pos="7609"/>
              <w:tab w:val="right" w:pos="9026" w:leader="dot"/>
            </w:tabs>
            <w:rPr/>
          </w:pPr>
          <w:hyperlink w:anchor="__RefHeading___Toc141887_3244359995">
            <w:r>
              <w:rPr>
                <w:webHidden/>
                <w:rStyle w:val="IndexLink"/>
              </w:rPr>
              <w:t>3</w:t>
            </w:r>
            <w:r>
              <w:rPr>
                <w:rStyle w:val="IndexLink"/>
                <w:rtl w:val="true"/>
              </w:rPr>
              <w:t xml:space="preserve">. </w:t>
            </w:r>
            <w:r>
              <w:rPr>
                <w:rStyle w:val="IndexLink"/>
                <w:rtl w:val="true"/>
              </w:rPr>
              <w:t>حدیث الحلّ</w:t>
            </w:r>
            <w:r>
              <w:rPr>
                <w:rStyle w:val="IndexLink"/>
                <w:rtl w:val="true"/>
              </w:rPr>
              <w:tab/>
            </w:r>
            <w:r>
              <w:rPr>
                <w:rStyle w:val="IndexLink"/>
              </w:rPr>
              <w:t>166</w:t>
            </w:r>
          </w:hyperlink>
        </w:p>
        <w:p>
          <w:pPr>
            <w:pStyle w:val="Contents6"/>
            <w:tabs>
              <w:tab w:val="clear" w:pos="7609"/>
              <w:tab w:val="right" w:pos="9026" w:leader="dot"/>
            </w:tabs>
            <w:rPr/>
          </w:pPr>
          <w:hyperlink w:anchor="__RefHeading___Toc141889_3244359995">
            <w:r>
              <w:rPr>
                <w:webHidden/>
                <w:rStyle w:val="IndexLink"/>
              </w:rPr>
              <w:t>4</w:t>
            </w:r>
            <w:r>
              <w:rPr>
                <w:rStyle w:val="IndexLink"/>
                <w:rtl w:val="true"/>
              </w:rPr>
              <w:t xml:space="preserve">. </w:t>
            </w:r>
            <w:r>
              <w:rPr>
                <w:rStyle w:val="IndexLink"/>
                <w:rtl w:val="true"/>
              </w:rPr>
              <w:t>حدیث السعة</w:t>
            </w:r>
            <w:r>
              <w:rPr>
                <w:rStyle w:val="IndexLink"/>
                <w:rtl w:val="true"/>
              </w:rPr>
              <w:tab/>
            </w:r>
            <w:r>
              <w:rPr>
                <w:rStyle w:val="IndexLink"/>
              </w:rPr>
              <w:t>167</w:t>
            </w:r>
          </w:hyperlink>
        </w:p>
        <w:p>
          <w:pPr>
            <w:pStyle w:val="Contents6"/>
            <w:tabs>
              <w:tab w:val="clear" w:pos="7609"/>
              <w:tab w:val="right" w:pos="9026" w:leader="dot"/>
            </w:tabs>
            <w:rPr/>
          </w:pPr>
          <w:hyperlink w:anchor="__RefHeading___Toc141891_3244359995">
            <w:r>
              <w:rPr>
                <w:webHidden/>
                <w:rStyle w:val="IndexLink"/>
              </w:rPr>
              <w:t>5</w:t>
            </w:r>
            <w:r>
              <w:rPr>
                <w:rStyle w:val="IndexLink"/>
                <w:rtl w:val="true"/>
              </w:rPr>
              <w:t xml:space="preserve">. </w:t>
            </w:r>
            <w:r>
              <w:rPr>
                <w:rStyle w:val="IndexLink"/>
                <w:rtl w:val="true"/>
              </w:rPr>
              <w:t>حدیث الإطلاق</w:t>
            </w:r>
            <w:r>
              <w:rPr>
                <w:rStyle w:val="IndexLink"/>
                <w:rtl w:val="true"/>
              </w:rPr>
              <w:tab/>
            </w:r>
            <w:r>
              <w:rPr>
                <w:rStyle w:val="IndexLink"/>
              </w:rPr>
              <w:t>169</w:t>
            </w:r>
          </w:hyperlink>
        </w:p>
        <w:p>
          <w:pPr>
            <w:pStyle w:val="Contents5"/>
            <w:tabs>
              <w:tab w:val="clear" w:pos="7892"/>
              <w:tab w:val="right" w:pos="9026" w:leader="dot"/>
            </w:tabs>
            <w:rPr/>
          </w:pPr>
          <w:hyperlink w:anchor="__RefHeading___Toc141893_3244359995">
            <w:r>
              <w:rPr>
                <w:webHidden/>
                <w:rStyle w:val="IndexLink"/>
                <w:rtl w:val="true"/>
              </w:rPr>
              <w:t>الثالث</w:t>
            </w:r>
            <w:r>
              <w:rPr>
                <w:rStyle w:val="IndexLink"/>
                <w:rtl w:val="true"/>
              </w:rPr>
              <w:t xml:space="preserve">: </w:t>
            </w:r>
            <w:r>
              <w:rPr>
                <w:rStyle w:val="IndexLink"/>
                <w:rtl w:val="true"/>
              </w:rPr>
              <w:t>دلیل العقل</w:t>
            </w:r>
            <w:r>
              <w:rPr>
                <w:rStyle w:val="IndexLink"/>
                <w:rtl w:val="true"/>
              </w:rPr>
              <w:tab/>
            </w:r>
            <w:r>
              <w:rPr>
                <w:rStyle w:val="IndexLink"/>
              </w:rPr>
              <w:t>170</w:t>
            </w:r>
          </w:hyperlink>
        </w:p>
        <w:p>
          <w:pPr>
            <w:pStyle w:val="Contents5"/>
            <w:tabs>
              <w:tab w:val="clear" w:pos="7892"/>
              <w:tab w:val="right" w:pos="9026" w:leader="dot"/>
            </w:tabs>
            <w:rPr/>
          </w:pPr>
          <w:hyperlink w:anchor="__RefHeading___Toc141895_3244359995">
            <w:r>
              <w:rPr>
                <w:webHidden/>
                <w:rStyle w:val="IndexLink"/>
                <w:rtl w:val="true"/>
              </w:rPr>
              <w:t>الرابع</w:t>
            </w:r>
            <w:r>
              <w:rPr>
                <w:rStyle w:val="IndexLink"/>
                <w:rtl w:val="true"/>
              </w:rPr>
              <w:t xml:space="preserve">: </w:t>
            </w:r>
            <w:r>
              <w:rPr>
                <w:rStyle w:val="IndexLink"/>
                <w:rtl w:val="true"/>
              </w:rPr>
              <w:t>الإجماع</w:t>
            </w:r>
            <w:r>
              <w:rPr>
                <w:rStyle w:val="IndexLink"/>
                <w:rtl w:val="true"/>
              </w:rPr>
              <w:tab/>
            </w:r>
            <w:r>
              <w:rPr>
                <w:rStyle w:val="IndexLink"/>
              </w:rPr>
              <w:t>174</w:t>
            </w:r>
          </w:hyperlink>
        </w:p>
        <w:p>
          <w:pPr>
            <w:pStyle w:val="Contents4"/>
            <w:tabs>
              <w:tab w:val="clear" w:pos="8176"/>
              <w:tab w:val="right" w:pos="9026" w:leader="dot"/>
            </w:tabs>
            <w:rPr/>
          </w:pPr>
          <w:hyperlink w:anchor="__RefHeading___Toc141897_3244359995">
            <w:r>
              <w:rPr>
                <w:webHidden/>
                <w:rStyle w:val="IndexLink"/>
                <w:rtl w:val="true"/>
              </w:rPr>
              <w:t>أدلّة الأخباریین علی وجوب الاحتیاط</w:t>
            </w:r>
            <w:r>
              <w:rPr>
                <w:rStyle w:val="IndexLink"/>
                <w:rtl w:val="true"/>
              </w:rPr>
              <w:t>:</w:t>
              <w:tab/>
            </w:r>
            <w:r>
              <w:rPr>
                <w:rStyle w:val="IndexLink"/>
              </w:rPr>
              <w:t>175</w:t>
            </w:r>
          </w:hyperlink>
        </w:p>
        <w:p>
          <w:pPr>
            <w:pStyle w:val="Contents5"/>
            <w:tabs>
              <w:tab w:val="clear" w:pos="7892"/>
              <w:tab w:val="right" w:pos="9026" w:leader="dot"/>
            </w:tabs>
            <w:rPr/>
          </w:pPr>
          <w:hyperlink w:anchor="__RefHeading___Toc141899_3244359995">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41901_3244359995">
            <w:r>
              <w:rPr>
                <w:webHidden/>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175</w:t>
            </w:r>
          </w:hyperlink>
        </w:p>
        <w:p>
          <w:pPr>
            <w:pStyle w:val="Contents5"/>
            <w:tabs>
              <w:tab w:val="clear" w:pos="7892"/>
              <w:tab w:val="right" w:pos="9026" w:leader="dot"/>
            </w:tabs>
            <w:rPr/>
          </w:pPr>
          <w:hyperlink w:anchor="__RefHeading___Toc141903_3244359995">
            <w:r>
              <w:rPr>
                <w:webHidden/>
                <w:rStyle w:val="IndexLink"/>
                <w:rtl w:val="true"/>
              </w:rPr>
              <w:t>الثانی</w:t>
            </w:r>
            <w:r>
              <w:rPr>
                <w:rStyle w:val="IndexLink"/>
                <w:rtl w:val="true"/>
              </w:rPr>
              <w:t xml:space="preserve">: </w:t>
            </w:r>
            <w:r>
              <w:rPr>
                <w:rStyle w:val="IndexLink"/>
                <w:rtl w:val="true"/>
              </w:rPr>
              <w:t>الروایات</w:t>
            </w:r>
            <w:r>
              <w:rPr>
                <w:rStyle w:val="IndexLink"/>
                <w:rtl w:val="true"/>
              </w:rPr>
              <w:tab/>
            </w:r>
            <w:r>
              <w:rPr>
                <w:rStyle w:val="IndexLink"/>
              </w:rPr>
              <w:t>177</w:t>
            </w:r>
          </w:hyperlink>
        </w:p>
        <w:p>
          <w:pPr>
            <w:pStyle w:val="Contents5"/>
            <w:tabs>
              <w:tab w:val="clear" w:pos="7892"/>
              <w:tab w:val="right" w:pos="9026" w:leader="dot"/>
            </w:tabs>
            <w:rPr/>
          </w:pPr>
          <w:hyperlink w:anchor="__RefHeading___Toc141905_3244359995">
            <w:r>
              <w:rPr>
                <w:webHidden/>
                <w:rStyle w:val="IndexLink"/>
                <w:rtl w:val="true"/>
              </w:rPr>
              <w:t>الثالث</w:t>
            </w:r>
            <w:r>
              <w:rPr>
                <w:rStyle w:val="IndexLink"/>
                <w:rtl w:val="true"/>
              </w:rPr>
              <w:t xml:space="preserve">: </w:t>
            </w:r>
            <w:r>
              <w:rPr>
                <w:rStyle w:val="IndexLink"/>
                <w:rtl w:val="true"/>
              </w:rPr>
              <w:t>العقل</w:t>
            </w:r>
            <w:r>
              <w:rPr>
                <w:rStyle w:val="IndexLink"/>
                <w:rtl w:val="true"/>
              </w:rPr>
              <w:tab/>
            </w:r>
            <w:r>
              <w:rPr>
                <w:rStyle w:val="IndexLink"/>
              </w:rPr>
              <w:t>181</w:t>
            </w:r>
          </w:hyperlink>
        </w:p>
        <w:p>
          <w:pPr>
            <w:pStyle w:val="Contents4"/>
            <w:tabs>
              <w:tab w:val="clear" w:pos="8176"/>
              <w:tab w:val="right" w:pos="9026" w:leader="dot"/>
            </w:tabs>
            <w:rPr/>
          </w:pPr>
          <w:hyperlink w:anchor="__RefHeading___Toc141907_3244359995">
            <w:r>
              <w:rPr>
                <w:webHidden/>
                <w:rStyle w:val="IndexLink"/>
                <w:rtl w:val="true"/>
              </w:rPr>
              <w:t>مسألة الحظر والإباحة</w:t>
            </w:r>
            <w:r>
              <w:rPr>
                <w:rStyle w:val="IndexLink"/>
                <w:rtl w:val="true"/>
              </w:rPr>
              <w:tab/>
            </w:r>
            <w:r>
              <w:rPr>
                <w:rStyle w:val="IndexLink"/>
              </w:rPr>
              <w:t>182</w:t>
            </w:r>
          </w:hyperlink>
        </w:p>
        <w:p>
          <w:pPr>
            <w:pStyle w:val="Contents4"/>
            <w:tabs>
              <w:tab w:val="clear" w:pos="8176"/>
              <w:tab w:val="right" w:pos="9026" w:leader="dot"/>
            </w:tabs>
            <w:rPr/>
          </w:pPr>
          <w:hyperlink w:anchor="__RefHeading___Toc141909_3244359995">
            <w:r>
              <w:rPr>
                <w:webHidden/>
                <w:rStyle w:val="IndexLink"/>
                <w:rtl w:val="true"/>
              </w:rPr>
              <w:t>تنبیهات أصالة البراءة</w:t>
            </w:r>
            <w:r>
              <w:rPr>
                <w:rStyle w:val="IndexLink"/>
                <w:rtl w:val="true"/>
              </w:rPr>
              <w:t>:</w:t>
              <w:tab/>
            </w:r>
            <w:r>
              <w:rPr>
                <w:rStyle w:val="IndexLink"/>
              </w:rPr>
              <w:t>183</w:t>
            </w:r>
          </w:hyperlink>
        </w:p>
        <w:p>
          <w:pPr>
            <w:pStyle w:val="Contents5"/>
            <w:tabs>
              <w:tab w:val="clear" w:pos="7892"/>
              <w:tab w:val="right" w:pos="9026" w:leader="dot"/>
            </w:tabs>
            <w:rPr/>
          </w:pPr>
          <w:hyperlink w:anchor="__RefHeading___Toc141911_3244359995">
            <w:r>
              <w:rPr>
                <w:webHidden/>
                <w:rStyle w:val="IndexLink"/>
              </w:rPr>
              <w:t>1</w:t>
            </w:r>
            <w:r>
              <w:rPr>
                <w:rStyle w:val="IndexLink"/>
                <w:rtl w:val="true"/>
              </w:rPr>
              <w:t xml:space="preserve">. </w:t>
            </w:r>
            <w:r>
              <w:rPr>
                <w:rStyle w:val="IndexLink"/>
                <w:rtl w:val="true"/>
              </w:rPr>
              <w:t>اشتراط عدم وجود أصل موضوعی</w:t>
            </w:r>
            <w:r>
              <w:rPr>
                <w:rStyle w:val="IndexLink"/>
                <w:rtl w:val="true"/>
              </w:rPr>
              <w:tab/>
            </w:r>
            <w:r>
              <w:rPr>
                <w:rStyle w:val="IndexLink"/>
              </w:rPr>
              <w:t>183</w:t>
            </w:r>
          </w:hyperlink>
        </w:p>
        <w:p>
          <w:pPr>
            <w:pStyle w:val="Contents5"/>
            <w:tabs>
              <w:tab w:val="clear" w:pos="7892"/>
              <w:tab w:val="right" w:pos="9026" w:leader="dot"/>
            </w:tabs>
            <w:rPr/>
          </w:pPr>
          <w:hyperlink w:anchor="__RefHeading___Toc141913_3244359995">
            <w:r>
              <w:rPr>
                <w:webHidden/>
                <w:rStyle w:val="IndexLink"/>
              </w:rPr>
              <w:t>2</w:t>
            </w:r>
            <w:r>
              <w:rPr>
                <w:rStyle w:val="IndexLink"/>
                <w:rtl w:val="true"/>
              </w:rPr>
              <w:t xml:space="preserve">. </w:t>
            </w:r>
            <w:r>
              <w:rPr>
                <w:rStyle w:val="IndexLink"/>
                <w:rtl w:val="true"/>
              </w:rPr>
              <w:t>حسن الاحتیاط وترتّب الثواب علیه وإمکانه فی العبادات</w:t>
            </w:r>
            <w:r>
              <w:rPr>
                <w:rStyle w:val="IndexLink"/>
                <w:rtl w:val="true"/>
              </w:rPr>
              <w:tab/>
            </w:r>
            <w:r>
              <w:rPr>
                <w:rStyle w:val="IndexLink"/>
              </w:rPr>
              <w:t>185</w:t>
            </w:r>
          </w:hyperlink>
        </w:p>
        <w:p>
          <w:pPr>
            <w:pStyle w:val="Contents6"/>
            <w:tabs>
              <w:tab w:val="clear" w:pos="7609"/>
              <w:tab w:val="right" w:pos="9026" w:leader="dot"/>
            </w:tabs>
            <w:rPr/>
          </w:pPr>
          <w:hyperlink w:anchor="__RefHeading___Toc141915_324435999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41917_3244359995">
            <w:r>
              <w:rPr>
                <w:webHidden/>
                <w:rStyle w:val="IndexLink"/>
                <w:rtl w:val="true"/>
              </w:rPr>
              <w:t>تذییل حول أخبار من بلغ والتسامح فی أدلّة السنن</w:t>
            </w:r>
            <w:r>
              <w:rPr>
                <w:rStyle w:val="IndexLink"/>
                <w:rtl w:val="true"/>
              </w:rPr>
              <w:tab/>
            </w:r>
            <w:r>
              <w:rPr>
                <w:rStyle w:val="IndexLink"/>
              </w:rPr>
              <w:t>188</w:t>
            </w:r>
          </w:hyperlink>
        </w:p>
        <w:p>
          <w:pPr>
            <w:pStyle w:val="Contents5"/>
            <w:tabs>
              <w:tab w:val="clear" w:pos="7892"/>
              <w:tab w:val="right" w:pos="9026" w:leader="dot"/>
            </w:tabs>
            <w:rPr/>
          </w:pPr>
          <w:hyperlink w:anchor="__RefHeading___Toc141919_3244359995">
            <w:r>
              <w:rPr>
                <w:webHidden/>
                <w:rStyle w:val="IndexLink"/>
              </w:rPr>
              <w:t>3</w:t>
            </w:r>
            <w:r>
              <w:rPr>
                <w:rStyle w:val="IndexLink"/>
                <w:rtl w:val="true"/>
              </w:rPr>
              <w:t xml:space="preserve">. </w:t>
            </w:r>
            <w:r>
              <w:rPr>
                <w:rStyle w:val="IndexLink"/>
                <w:rtl w:val="true"/>
              </w:rPr>
              <w:t>جریان البراءة فی الشبهات الموضوعیّة</w:t>
            </w:r>
            <w:r>
              <w:rPr>
                <w:rStyle w:val="IndexLink"/>
                <w:rtl w:val="true"/>
              </w:rPr>
              <w:tab/>
            </w:r>
            <w:r>
              <w:rPr>
                <w:rStyle w:val="IndexLink"/>
              </w:rPr>
              <w:t>191</w:t>
            </w:r>
          </w:hyperlink>
        </w:p>
        <w:p>
          <w:pPr>
            <w:pStyle w:val="Contents5"/>
            <w:tabs>
              <w:tab w:val="clear" w:pos="7892"/>
              <w:tab w:val="right" w:pos="9026" w:leader="dot"/>
            </w:tabs>
            <w:rPr/>
          </w:pPr>
          <w:hyperlink w:anchor="__RefHeading___Toc141921_3244359995">
            <w:r>
              <w:rPr>
                <w:webHidden/>
                <w:rStyle w:val="IndexLink"/>
              </w:rPr>
              <w:t>4</w:t>
            </w:r>
            <w:r>
              <w:rPr>
                <w:rStyle w:val="IndexLink"/>
                <w:rtl w:val="true"/>
              </w:rPr>
              <w:t xml:space="preserve">. </w:t>
            </w:r>
            <w:r>
              <w:rPr>
                <w:rStyle w:val="IndexLink"/>
                <w:rtl w:val="true"/>
              </w:rPr>
              <w:t>المناط فی حسن الاحتیاط</w:t>
            </w:r>
            <w:r>
              <w:rPr>
                <w:rStyle w:val="IndexLink"/>
                <w:rtl w:val="true"/>
              </w:rPr>
              <w:tab/>
            </w:r>
            <w:r>
              <w:rPr>
                <w:rStyle w:val="IndexLink"/>
              </w:rPr>
              <w:t>192</w:t>
            </w:r>
          </w:hyperlink>
        </w:p>
        <w:p>
          <w:pPr>
            <w:pStyle w:val="Contents3"/>
            <w:tabs>
              <w:tab w:val="clear" w:pos="8459"/>
              <w:tab w:val="right" w:pos="9026" w:leader="dot"/>
            </w:tabs>
            <w:rPr/>
          </w:pPr>
          <w:hyperlink w:anchor="__RefHeading___Toc141923_3244359995">
            <w:r>
              <w:rPr>
                <w:webHidden/>
                <w:rStyle w:val="IndexLink"/>
                <w:rtl w:val="true"/>
              </w:rPr>
              <w:t>الأصل الثانی</w:t>
            </w:r>
            <w:r>
              <w:rPr>
                <w:rStyle w:val="IndexLink"/>
                <w:rtl w:val="true"/>
              </w:rPr>
              <w:t xml:space="preserve">: </w:t>
            </w:r>
            <w:r>
              <w:rPr>
                <w:rStyle w:val="IndexLink"/>
                <w:rtl w:val="true"/>
              </w:rPr>
              <w:t>اصالة التّخییر</w:t>
            </w:r>
            <w:r>
              <w:rPr>
                <w:rStyle w:val="IndexLink"/>
                <w:rtl w:val="true"/>
              </w:rPr>
              <w:tab/>
            </w:r>
            <w:r>
              <w:rPr>
                <w:rStyle w:val="IndexLink"/>
              </w:rPr>
              <w:t>194</w:t>
            </w:r>
          </w:hyperlink>
        </w:p>
        <w:p>
          <w:pPr>
            <w:pStyle w:val="Contents4"/>
            <w:tabs>
              <w:tab w:val="clear" w:pos="8176"/>
              <w:tab w:val="right" w:pos="9026" w:leader="dot"/>
            </w:tabs>
            <w:rPr/>
          </w:pPr>
          <w:hyperlink w:anchor="__RefHeading___Toc141925_3244359995">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1927_3244359995">
            <w:r>
              <w:rPr>
                <w:webHidden/>
                <w:rStyle w:val="IndexLink"/>
                <w:rtl w:val="true"/>
              </w:rPr>
              <w:t>بقی هنا امور</w:t>
            </w:r>
            <w:r>
              <w:rPr>
                <w:rStyle w:val="IndexLink"/>
                <w:rtl w:val="true"/>
              </w:rPr>
              <w:t>:</w:t>
              <w:tab/>
            </w:r>
            <w:r>
              <w:rPr>
                <w:rStyle w:val="IndexLink"/>
              </w:rPr>
              <w:t>195</w:t>
            </w:r>
          </w:hyperlink>
        </w:p>
        <w:p>
          <w:pPr>
            <w:pStyle w:val="Contents5"/>
            <w:tabs>
              <w:tab w:val="clear" w:pos="7892"/>
              <w:tab w:val="right" w:pos="9026" w:leader="dot"/>
            </w:tabs>
            <w:rPr/>
          </w:pPr>
          <w:hyperlink w:anchor="__RefHeading___Toc141929_3244359995">
            <w:r>
              <w:rPr>
                <w:webHidden/>
                <w:rStyle w:val="IndexLink"/>
              </w:rPr>
              <w:t>1</w:t>
            </w:r>
            <w:r>
              <w:rPr>
                <w:rStyle w:val="IndexLink"/>
                <w:rtl w:val="true"/>
              </w:rPr>
              <w:t xml:space="preserve">. </w:t>
            </w:r>
            <w:r>
              <w:rPr>
                <w:rStyle w:val="IndexLink"/>
                <w:rtl w:val="true"/>
              </w:rPr>
              <w:t>جریان التخییر فی الواقعة المتکرّرة</w:t>
            </w:r>
            <w:r>
              <w:rPr>
                <w:rStyle w:val="IndexLink"/>
                <w:rtl w:val="true"/>
              </w:rPr>
              <w:tab/>
            </w:r>
            <w:r>
              <w:rPr>
                <w:rStyle w:val="IndexLink"/>
              </w:rPr>
              <w:t>195</w:t>
            </w:r>
          </w:hyperlink>
        </w:p>
        <w:p>
          <w:pPr>
            <w:pStyle w:val="Contents5"/>
            <w:tabs>
              <w:tab w:val="clear" w:pos="7892"/>
              <w:tab w:val="right" w:pos="9026" w:leader="dot"/>
            </w:tabs>
            <w:rPr/>
          </w:pPr>
          <w:hyperlink w:anchor="__RefHeading___Toc141931_3244359995">
            <w:r>
              <w:rPr>
                <w:webHidden/>
                <w:rStyle w:val="IndexLink"/>
              </w:rPr>
              <w:t>2</w:t>
            </w:r>
            <w:r>
              <w:rPr>
                <w:rStyle w:val="IndexLink"/>
                <w:rtl w:val="true"/>
              </w:rPr>
              <w:t xml:space="preserve">. </w:t>
            </w:r>
            <w:r>
              <w:rPr>
                <w:rStyle w:val="IndexLink"/>
                <w:rtl w:val="true"/>
              </w:rPr>
              <w:t>التخییر فی التعبدیّات</w:t>
            </w:r>
            <w:r>
              <w:rPr>
                <w:rStyle w:val="IndexLink"/>
                <w:rtl w:val="true"/>
              </w:rPr>
              <w:tab/>
            </w:r>
            <w:r>
              <w:rPr>
                <w:rStyle w:val="IndexLink"/>
              </w:rPr>
              <w:t>195</w:t>
            </w:r>
          </w:hyperlink>
        </w:p>
        <w:p>
          <w:pPr>
            <w:pStyle w:val="Contents5"/>
            <w:tabs>
              <w:tab w:val="clear" w:pos="7892"/>
              <w:tab w:val="right" w:pos="9026" w:leader="dot"/>
            </w:tabs>
            <w:rPr/>
          </w:pPr>
          <w:hyperlink w:anchor="__RefHeading___Toc141933_3244359995">
            <w:r>
              <w:rPr>
                <w:webHidden/>
                <w:rStyle w:val="IndexLink"/>
              </w:rPr>
              <w:t>3</w:t>
            </w:r>
            <w:r>
              <w:rPr>
                <w:rStyle w:val="IndexLink"/>
                <w:rtl w:val="true"/>
              </w:rPr>
              <w:t xml:space="preserve">. </w:t>
            </w:r>
            <w:r>
              <w:rPr>
                <w:rStyle w:val="IndexLink"/>
                <w:rtl w:val="true"/>
              </w:rPr>
              <w:t>دوران الأمر بین التعیین و التخییر</w:t>
            </w:r>
            <w:r>
              <w:rPr>
                <w:rStyle w:val="IndexLink"/>
                <w:rtl w:val="true"/>
              </w:rPr>
              <w:tab/>
            </w:r>
            <w:r>
              <w:rPr>
                <w:rStyle w:val="IndexLink"/>
              </w:rPr>
              <w:t>196</w:t>
            </w:r>
          </w:hyperlink>
        </w:p>
        <w:p>
          <w:pPr>
            <w:pStyle w:val="Contents5"/>
            <w:tabs>
              <w:tab w:val="clear" w:pos="7892"/>
              <w:tab w:val="right" w:pos="9026" w:leader="dot"/>
            </w:tabs>
            <w:rPr/>
          </w:pPr>
          <w:hyperlink w:anchor="__RefHeading___Toc141935_3244359995">
            <w:r>
              <w:rPr>
                <w:webHidden/>
                <w:rStyle w:val="IndexLink"/>
              </w:rPr>
              <w:t>4</w:t>
            </w:r>
            <w:r>
              <w:rPr>
                <w:rStyle w:val="IndexLink"/>
                <w:rtl w:val="true"/>
              </w:rPr>
              <w:t xml:space="preserve">. </w:t>
            </w:r>
            <w:r>
              <w:rPr>
                <w:rStyle w:val="IndexLink"/>
                <w:rtl w:val="true"/>
              </w:rPr>
              <w:t>ترجیح جانب الحرمة فی دوران الأمر بین المحذورین</w:t>
            </w:r>
            <w:r>
              <w:rPr>
                <w:rStyle w:val="IndexLink"/>
                <w:rtl w:val="true"/>
              </w:rPr>
              <w:tab/>
            </w:r>
            <w:r>
              <w:rPr>
                <w:rStyle w:val="IndexLink"/>
              </w:rPr>
              <w:t>197</w:t>
            </w:r>
          </w:hyperlink>
        </w:p>
        <w:p>
          <w:pPr>
            <w:pStyle w:val="Contents3"/>
            <w:tabs>
              <w:tab w:val="clear" w:pos="8459"/>
              <w:tab w:val="right" w:pos="9026" w:leader="dot"/>
            </w:tabs>
            <w:rPr/>
          </w:pPr>
          <w:hyperlink w:anchor="__RefHeading___Toc141937_3244359995">
            <w:r>
              <w:rPr>
                <w:webHidden/>
                <w:rStyle w:val="IndexLink"/>
                <w:rtl w:val="true"/>
              </w:rPr>
              <w:t>الأصل الثالث</w:t>
            </w:r>
            <w:r>
              <w:rPr>
                <w:rStyle w:val="IndexLink"/>
                <w:rtl w:val="true"/>
              </w:rPr>
              <w:t xml:space="preserve">: </w:t>
            </w:r>
            <w:r>
              <w:rPr>
                <w:rStyle w:val="IndexLink"/>
                <w:rtl w:val="true"/>
              </w:rPr>
              <w:t>اصالة الاشتغال</w:t>
            </w:r>
            <w:r>
              <w:rPr>
                <w:rStyle w:val="IndexLink"/>
                <w:rtl w:val="true"/>
              </w:rPr>
              <w:tab/>
            </w:r>
            <w:r>
              <w:rPr>
                <w:rStyle w:val="IndexLink"/>
              </w:rPr>
              <w:t>198</w:t>
            </w:r>
          </w:hyperlink>
        </w:p>
        <w:p>
          <w:pPr>
            <w:pStyle w:val="Contents4"/>
            <w:tabs>
              <w:tab w:val="clear" w:pos="8176"/>
              <w:tab w:val="right" w:pos="9026" w:leader="dot"/>
            </w:tabs>
            <w:rPr/>
          </w:pPr>
          <w:hyperlink w:anchor="__RefHeading___Toc141939_3244359995">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41941_3244359995">
            <w:r>
              <w:rPr>
                <w:webHidden/>
                <w:rStyle w:val="IndexLink"/>
                <w:rtl w:val="true"/>
              </w:rPr>
              <w:t>المقام الأوّل</w:t>
            </w:r>
            <w:r>
              <w:rPr>
                <w:rStyle w:val="IndexLink"/>
                <w:rtl w:val="true"/>
              </w:rPr>
              <w:t xml:space="preserve">: </w:t>
            </w:r>
            <w:r>
              <w:rPr>
                <w:rStyle w:val="IndexLink"/>
                <w:rtl w:val="true"/>
              </w:rPr>
              <w:t>فی دوران الأمر بین المتباینین</w:t>
            </w:r>
            <w:r>
              <w:rPr>
                <w:rStyle w:val="IndexLink"/>
                <w:rtl w:val="true"/>
              </w:rPr>
              <w:tab/>
            </w:r>
            <w:r>
              <w:rPr>
                <w:rStyle w:val="IndexLink"/>
              </w:rPr>
              <w:t>198</w:t>
            </w:r>
          </w:hyperlink>
        </w:p>
        <w:p>
          <w:pPr>
            <w:pStyle w:val="Contents5"/>
            <w:tabs>
              <w:tab w:val="clear" w:pos="7892"/>
              <w:tab w:val="right" w:pos="9026" w:leader="dot"/>
            </w:tabs>
            <w:rPr/>
          </w:pPr>
          <w:hyperlink w:anchor="__RefHeading___Toc141943_3244359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41945_3244359995">
            <w:r>
              <w:rPr>
                <w:webHidden/>
                <w:rStyle w:val="IndexLink"/>
                <w:rtl w:val="true"/>
              </w:rPr>
              <w:t>الجهة الاولی</w:t>
            </w:r>
            <w:r>
              <w:rPr>
                <w:rStyle w:val="IndexLink"/>
                <w:rtl w:val="true"/>
              </w:rPr>
              <w:t xml:space="preserve">: </w:t>
            </w:r>
            <w:r>
              <w:rPr>
                <w:rStyle w:val="IndexLink"/>
                <w:rtl w:val="true"/>
              </w:rPr>
              <w:t>حرمة المخالفة القطعیّة</w:t>
            </w:r>
            <w:r>
              <w:rPr>
                <w:rStyle w:val="IndexLink"/>
                <w:rtl w:val="true"/>
              </w:rPr>
              <w:tab/>
            </w:r>
            <w:r>
              <w:rPr>
                <w:rStyle w:val="IndexLink"/>
              </w:rPr>
              <w:t>200</w:t>
            </w:r>
          </w:hyperlink>
        </w:p>
        <w:p>
          <w:pPr>
            <w:pStyle w:val="Contents5"/>
            <w:tabs>
              <w:tab w:val="clear" w:pos="7892"/>
              <w:tab w:val="right" w:pos="9026" w:leader="dot"/>
            </w:tabs>
            <w:rPr/>
          </w:pPr>
          <w:hyperlink w:anchor="__RefHeading___Toc141947_3244359995">
            <w:r>
              <w:rPr>
                <w:webHidden/>
                <w:rStyle w:val="IndexLink"/>
                <w:rtl w:val="true"/>
              </w:rPr>
              <w:t>الجهة الثانیة</w:t>
            </w:r>
            <w:r>
              <w:rPr>
                <w:rStyle w:val="IndexLink"/>
                <w:rtl w:val="true"/>
              </w:rPr>
              <w:t xml:space="preserve">: </w:t>
            </w:r>
            <w:r>
              <w:rPr>
                <w:rStyle w:val="IndexLink"/>
                <w:rtl w:val="true"/>
              </w:rPr>
              <w:t>حرمة المخالفة الاحتمالیة</w:t>
            </w:r>
            <w:r>
              <w:rPr>
                <w:rStyle w:val="IndexLink"/>
                <w:rtl w:val="true"/>
              </w:rPr>
              <w:tab/>
            </w:r>
            <w:r>
              <w:rPr>
                <w:rStyle w:val="IndexLink"/>
              </w:rPr>
              <w:t>203</w:t>
            </w:r>
          </w:hyperlink>
        </w:p>
        <w:p>
          <w:pPr>
            <w:pStyle w:val="Contents5"/>
            <w:tabs>
              <w:tab w:val="clear" w:pos="7892"/>
              <w:tab w:val="right" w:pos="9026" w:leader="dot"/>
            </w:tabs>
            <w:rPr/>
          </w:pPr>
          <w:hyperlink w:anchor="__RefHeading___Toc141949_3244359995">
            <w:r>
              <w:rPr>
                <w:webHidden/>
                <w:rStyle w:val="IndexLink"/>
                <w:rtl w:val="true"/>
              </w:rPr>
              <w:t>تنبیهات</w:t>
            </w:r>
            <w:r>
              <w:rPr>
                <w:rStyle w:val="IndexLink"/>
                <w:rtl w:val="true"/>
              </w:rPr>
              <w:t>:</w:t>
              <w:tab/>
            </w:r>
            <w:r>
              <w:rPr>
                <w:rStyle w:val="IndexLink"/>
              </w:rPr>
              <w:t>205</w:t>
            </w:r>
          </w:hyperlink>
        </w:p>
        <w:p>
          <w:pPr>
            <w:pStyle w:val="Contents6"/>
            <w:tabs>
              <w:tab w:val="clear" w:pos="7609"/>
              <w:tab w:val="right" w:pos="9026" w:leader="dot"/>
            </w:tabs>
            <w:rPr/>
          </w:pPr>
          <w:hyperlink w:anchor="__RefHeading___Toc141951_3244359995">
            <w:r>
              <w:rPr>
                <w:webHidden/>
                <w:rStyle w:val="IndexLink"/>
              </w:rPr>
              <w:t>1</w:t>
            </w:r>
            <w:r>
              <w:rPr>
                <w:rStyle w:val="IndexLink"/>
                <w:rtl w:val="true"/>
              </w:rPr>
              <w:t xml:space="preserve">. </w:t>
            </w:r>
            <w:r>
              <w:rPr>
                <w:rStyle w:val="IndexLink"/>
                <w:rtl w:val="true"/>
              </w:rPr>
              <w:t>الاضطرار إلی بعض الأطراف</w:t>
            </w:r>
            <w:r>
              <w:rPr>
                <w:rStyle w:val="IndexLink"/>
                <w:rtl w:val="true"/>
              </w:rPr>
              <w:tab/>
            </w:r>
            <w:r>
              <w:rPr>
                <w:rStyle w:val="IndexLink"/>
              </w:rPr>
              <w:t>205</w:t>
            </w:r>
          </w:hyperlink>
        </w:p>
        <w:p>
          <w:pPr>
            <w:pStyle w:val="Contents6"/>
            <w:tabs>
              <w:tab w:val="clear" w:pos="7609"/>
              <w:tab w:val="right" w:pos="9026" w:leader="dot"/>
            </w:tabs>
            <w:rPr/>
          </w:pPr>
          <w:hyperlink w:anchor="__RefHeading___Toc141953_3244359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41955_3244359995">
            <w:r>
              <w:rPr>
                <w:webHidden/>
                <w:rStyle w:val="IndexLink"/>
                <w:rtl w:val="true"/>
              </w:rPr>
              <w:t>بیان المختار فی المسألة</w:t>
            </w:r>
            <w:r>
              <w:rPr>
                <w:rStyle w:val="IndexLink"/>
                <w:rtl w:val="true"/>
              </w:rPr>
              <w:tab/>
            </w:r>
            <w:r>
              <w:rPr>
                <w:rStyle w:val="IndexLink"/>
              </w:rPr>
              <w:t>206</w:t>
            </w:r>
          </w:hyperlink>
        </w:p>
        <w:p>
          <w:pPr>
            <w:pStyle w:val="Contents6"/>
            <w:tabs>
              <w:tab w:val="clear" w:pos="7609"/>
              <w:tab w:val="right" w:pos="9026" w:leader="dot"/>
            </w:tabs>
            <w:rPr/>
          </w:pPr>
          <w:hyperlink w:anchor="__RefHeading___Toc141957_3244359995">
            <w:r>
              <w:rPr>
                <w:webHidden/>
                <w:rStyle w:val="IndexLink"/>
              </w:rPr>
              <w:t>2</w:t>
            </w:r>
            <w:r>
              <w:rPr>
                <w:rStyle w:val="IndexLink"/>
                <w:rtl w:val="true"/>
              </w:rPr>
              <w:t xml:space="preserve">. </w:t>
            </w:r>
            <w:r>
              <w:rPr>
                <w:rStyle w:val="IndexLink"/>
                <w:rtl w:val="true"/>
              </w:rPr>
              <w:t>خروج بعض الأطراف عن محلّ الابتلاء</w:t>
            </w:r>
            <w:r>
              <w:rPr>
                <w:rStyle w:val="IndexLink"/>
                <w:rtl w:val="true"/>
              </w:rPr>
              <w:tab/>
            </w:r>
            <w:r>
              <w:rPr>
                <w:rStyle w:val="IndexLink"/>
              </w:rPr>
              <w:t>207</w:t>
            </w:r>
          </w:hyperlink>
        </w:p>
        <w:p>
          <w:pPr>
            <w:pStyle w:val="Contents6"/>
            <w:tabs>
              <w:tab w:val="clear" w:pos="7609"/>
              <w:tab w:val="right" w:pos="9026" w:leader="dot"/>
            </w:tabs>
            <w:rPr/>
          </w:pPr>
          <w:hyperlink w:anchor="__RefHeading___Toc141959_3244359995">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41961_3244359995">
            <w:r>
              <w:rPr>
                <w:webHidden/>
                <w:rStyle w:val="IndexLink"/>
                <w:rtl w:val="true"/>
              </w:rPr>
              <w:t>بقی هنا شی‌ء</w:t>
            </w:r>
            <w:r>
              <w:rPr>
                <w:rStyle w:val="IndexLink"/>
                <w:rtl w:val="true"/>
              </w:rPr>
              <w:t>:</w:t>
              <w:tab/>
            </w:r>
            <w:r>
              <w:rPr>
                <w:rStyle w:val="IndexLink"/>
              </w:rPr>
              <w:t>208</w:t>
            </w:r>
          </w:hyperlink>
        </w:p>
        <w:p>
          <w:pPr>
            <w:pStyle w:val="Contents6"/>
            <w:tabs>
              <w:tab w:val="clear" w:pos="7609"/>
              <w:tab w:val="right" w:pos="9026" w:leader="dot"/>
            </w:tabs>
            <w:rPr/>
          </w:pPr>
          <w:hyperlink w:anchor="__RefHeading___Toc141963_3244359995">
            <w:r>
              <w:rPr>
                <w:webHidden/>
                <w:rStyle w:val="IndexLink"/>
                <w:rtl w:val="true"/>
              </w:rPr>
              <w:t>حکم الشکّ فی الخروج عن محلّ الابتلاء</w:t>
            </w:r>
            <w:r>
              <w:rPr>
                <w:rStyle w:val="IndexLink"/>
                <w:rtl w:val="true"/>
              </w:rPr>
              <w:tab/>
            </w:r>
            <w:r>
              <w:rPr>
                <w:rStyle w:val="IndexLink"/>
              </w:rPr>
              <w:t>210</w:t>
            </w:r>
          </w:hyperlink>
        </w:p>
        <w:p>
          <w:pPr>
            <w:pStyle w:val="Contents6"/>
            <w:tabs>
              <w:tab w:val="clear" w:pos="7609"/>
              <w:tab w:val="right" w:pos="9026" w:leader="dot"/>
            </w:tabs>
            <w:rPr/>
          </w:pPr>
          <w:hyperlink w:anchor="__RefHeading___Toc141965_3244359995">
            <w:r>
              <w:rPr>
                <w:webHidden/>
                <w:rStyle w:val="IndexLink"/>
              </w:rPr>
              <w:t>3</w:t>
            </w:r>
            <w:r>
              <w:rPr>
                <w:rStyle w:val="IndexLink"/>
                <w:rtl w:val="true"/>
              </w:rPr>
              <w:t xml:space="preserve">. </w:t>
            </w:r>
            <w:r>
              <w:rPr>
                <w:rStyle w:val="IndexLink"/>
                <w:rtl w:val="true"/>
              </w:rPr>
              <w:t>وجه عدم جریان الاصول فی أطراف العلم الإجمالی</w:t>
            </w:r>
            <w:r>
              <w:rPr>
                <w:rStyle w:val="IndexLink"/>
                <w:rtl w:val="true"/>
              </w:rPr>
              <w:tab/>
            </w:r>
            <w:r>
              <w:rPr>
                <w:rStyle w:val="IndexLink"/>
              </w:rPr>
              <w:t>211</w:t>
            </w:r>
          </w:hyperlink>
        </w:p>
        <w:p>
          <w:pPr>
            <w:pStyle w:val="Contents6"/>
            <w:tabs>
              <w:tab w:val="clear" w:pos="7609"/>
              <w:tab w:val="right" w:pos="9026" w:leader="dot"/>
            </w:tabs>
            <w:rPr/>
          </w:pPr>
          <w:hyperlink w:anchor="__RefHeading___Toc141967_3244359995">
            <w:r>
              <w:rPr>
                <w:webHidden/>
                <w:rStyle w:val="IndexLink"/>
              </w:rPr>
              <w:t>4</w:t>
            </w:r>
            <w:r>
              <w:rPr>
                <w:rStyle w:val="IndexLink"/>
                <w:rtl w:val="true"/>
              </w:rPr>
              <w:t xml:space="preserve">. </w:t>
            </w:r>
            <w:r>
              <w:rPr>
                <w:rStyle w:val="IndexLink"/>
                <w:rtl w:val="true"/>
              </w:rPr>
              <w:t xml:space="preserve">الفرق بین الشبهات </w:t>
            </w:r>
            <w:r>
              <w:rPr>
                <w:rStyle w:val="IndexLink"/>
                <w:rtl w:val="true"/>
              </w:rPr>
              <w:t>«</w:t>
            </w:r>
            <w:r>
              <w:rPr>
                <w:rStyle w:val="IndexLink"/>
                <w:rtl w:val="true"/>
              </w:rPr>
              <w:t>المحصورة</w:t>
            </w:r>
            <w:r>
              <w:rPr>
                <w:rStyle w:val="IndexLink"/>
                <w:rtl w:val="true"/>
              </w:rPr>
              <w:t xml:space="preserve">» </w:t>
            </w:r>
            <w:r>
              <w:rPr>
                <w:rStyle w:val="IndexLink"/>
                <w:rtl w:val="true"/>
              </w:rPr>
              <w:t xml:space="preserve">و </w:t>
            </w:r>
            <w:r>
              <w:rPr>
                <w:rStyle w:val="IndexLink"/>
                <w:rtl w:val="true"/>
              </w:rPr>
              <w:t>«</w:t>
            </w:r>
            <w:r>
              <w:rPr>
                <w:rStyle w:val="IndexLink"/>
                <w:rtl w:val="true"/>
              </w:rPr>
              <w:t>غیر المحصورة</w:t>
            </w:r>
            <w:r>
              <w:rPr>
                <w:rStyle w:val="IndexLink"/>
                <w:rtl w:val="true"/>
              </w:rPr>
              <w:t>»</w:t>
              <w:tab/>
            </w:r>
            <w:r>
              <w:rPr>
                <w:rStyle w:val="IndexLink"/>
              </w:rPr>
              <w:t>213</w:t>
            </w:r>
          </w:hyperlink>
        </w:p>
        <w:p>
          <w:pPr>
            <w:pStyle w:val="Contents6"/>
            <w:tabs>
              <w:tab w:val="clear" w:pos="7609"/>
              <w:tab w:val="right" w:pos="9026" w:leader="dot"/>
            </w:tabs>
            <w:rPr/>
          </w:pPr>
          <w:hyperlink w:anchor="__RefHeading___Toc141969_324435999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41971_3244359995">
            <w:r>
              <w:rPr>
                <w:webHidden/>
                <w:rStyle w:val="IndexLink"/>
                <w:rtl w:val="true"/>
              </w:rPr>
              <w:t>بقی هنا أمران</w:t>
            </w:r>
            <w:r>
              <w:rPr>
                <w:rStyle w:val="IndexLink"/>
                <w:rtl w:val="true"/>
              </w:rPr>
              <w:t>:</w:t>
              <w:tab/>
            </w:r>
            <w:r>
              <w:rPr>
                <w:rStyle w:val="IndexLink"/>
              </w:rPr>
              <w:t>214</w:t>
            </w:r>
          </w:hyperlink>
        </w:p>
        <w:p>
          <w:pPr>
            <w:pStyle w:val="Contents6"/>
            <w:tabs>
              <w:tab w:val="clear" w:pos="7609"/>
              <w:tab w:val="right" w:pos="9026" w:leader="dot"/>
            </w:tabs>
            <w:rPr/>
          </w:pPr>
          <w:hyperlink w:anchor="__RefHeading___Toc141973_3244359995">
            <w:r>
              <w:rPr>
                <w:webHidden/>
                <w:rStyle w:val="IndexLink"/>
                <w:rtl w:val="true"/>
              </w:rPr>
              <w:t>الأوّل</w:t>
            </w:r>
            <w:r>
              <w:rPr>
                <w:rStyle w:val="IndexLink"/>
                <w:rtl w:val="true"/>
              </w:rPr>
              <w:t xml:space="preserve">: </w:t>
            </w:r>
            <w:r>
              <w:rPr>
                <w:rStyle w:val="IndexLink"/>
                <w:rtl w:val="true"/>
              </w:rPr>
              <w:t>تعیین الضابط فی الشبهة غیر المحصورة وتحدیدها</w:t>
            </w:r>
            <w:r>
              <w:rPr>
                <w:rStyle w:val="IndexLink"/>
                <w:rtl w:val="true"/>
              </w:rPr>
              <w:tab/>
            </w:r>
            <w:r>
              <w:rPr>
                <w:rStyle w:val="IndexLink"/>
              </w:rPr>
              <w:t>214</w:t>
            </w:r>
          </w:hyperlink>
        </w:p>
        <w:p>
          <w:pPr>
            <w:pStyle w:val="Contents6"/>
            <w:tabs>
              <w:tab w:val="clear" w:pos="7609"/>
              <w:tab w:val="right" w:pos="9026" w:leader="dot"/>
            </w:tabs>
            <w:rPr/>
          </w:pPr>
          <w:hyperlink w:anchor="__RefHeading___Toc141975_3244359995">
            <w:r>
              <w:rPr>
                <w:webHidden/>
                <w:rStyle w:val="IndexLink"/>
                <w:rtl w:val="true"/>
              </w:rPr>
              <w:t>الثانی</w:t>
            </w:r>
            <w:r>
              <w:rPr>
                <w:rStyle w:val="IndexLink"/>
                <w:rtl w:val="true"/>
              </w:rPr>
              <w:t xml:space="preserve">: </w:t>
            </w:r>
            <w:r>
              <w:rPr>
                <w:rStyle w:val="IndexLink"/>
                <w:rtl w:val="true"/>
              </w:rPr>
              <w:t>الشبهة غیر المحصورة الوجوبیّة</w:t>
            </w:r>
            <w:r>
              <w:rPr>
                <w:rStyle w:val="IndexLink"/>
                <w:rtl w:val="true"/>
              </w:rPr>
              <w:tab/>
            </w:r>
            <w:r>
              <w:rPr>
                <w:rStyle w:val="IndexLink"/>
              </w:rPr>
              <w:t>215</w:t>
            </w:r>
          </w:hyperlink>
        </w:p>
        <w:p>
          <w:pPr>
            <w:pStyle w:val="Contents6"/>
            <w:tabs>
              <w:tab w:val="clear" w:pos="7609"/>
              <w:tab w:val="right" w:pos="9026" w:leader="dot"/>
            </w:tabs>
            <w:rPr/>
          </w:pPr>
          <w:hyperlink w:anchor="__RefHeading___Toc141977_3244359995">
            <w:r>
              <w:rPr>
                <w:webHidden/>
                <w:rStyle w:val="IndexLink"/>
              </w:rPr>
              <w:t>5</w:t>
            </w:r>
            <w:r>
              <w:rPr>
                <w:rStyle w:val="IndexLink"/>
                <w:rtl w:val="true"/>
              </w:rPr>
              <w:t xml:space="preserve">. </w:t>
            </w:r>
            <w:r>
              <w:rPr>
                <w:rStyle w:val="IndexLink"/>
                <w:rtl w:val="true"/>
              </w:rPr>
              <w:t>حول اعتبار اندراج طرفی العلم الإجمالی تحت عنوان واحد</w:t>
            </w:r>
            <w:r>
              <w:rPr>
                <w:rStyle w:val="IndexLink"/>
                <w:rtl w:val="true"/>
              </w:rPr>
              <w:tab/>
            </w:r>
            <w:r>
              <w:rPr>
                <w:rStyle w:val="IndexLink"/>
              </w:rPr>
              <w:t>216</w:t>
            </w:r>
          </w:hyperlink>
        </w:p>
        <w:p>
          <w:pPr>
            <w:pStyle w:val="Contents5"/>
            <w:tabs>
              <w:tab w:val="clear" w:pos="7892"/>
              <w:tab w:val="right" w:pos="9026" w:leader="dot"/>
            </w:tabs>
            <w:rPr/>
          </w:pPr>
          <w:hyperlink w:anchor="__RefHeading___Toc141979_3244359995">
            <w:r>
              <w:rPr>
                <w:webHidden/>
                <w:rStyle w:val="IndexLink"/>
              </w:rPr>
              <w:t>6</w:t>
            </w:r>
            <w:r>
              <w:rPr>
                <w:rStyle w:val="IndexLink"/>
                <w:rtl w:val="true"/>
              </w:rPr>
              <w:t xml:space="preserve">. </w:t>
            </w:r>
            <w:r>
              <w:rPr>
                <w:rStyle w:val="IndexLink"/>
                <w:rtl w:val="true"/>
              </w:rPr>
              <w:t>حکم ملاقی بعض أطراف الشبهة المحصورة</w:t>
            </w:r>
            <w:r>
              <w:rPr>
                <w:rStyle w:val="IndexLink"/>
                <w:rtl w:val="true"/>
              </w:rPr>
              <w:tab/>
            </w:r>
            <w:r>
              <w:rPr>
                <w:rStyle w:val="IndexLink"/>
              </w:rPr>
              <w:t>217</w:t>
            </w:r>
          </w:hyperlink>
        </w:p>
        <w:p>
          <w:pPr>
            <w:pStyle w:val="Contents4"/>
            <w:tabs>
              <w:tab w:val="clear" w:pos="8176"/>
              <w:tab w:val="right" w:pos="9026" w:leader="dot"/>
            </w:tabs>
            <w:rPr/>
          </w:pPr>
          <w:hyperlink w:anchor="__RefHeading___Toc141981_3244359995">
            <w:r>
              <w:rPr>
                <w:webHidden/>
                <w:rStyle w:val="IndexLink"/>
                <w:rtl w:val="true"/>
              </w:rPr>
              <w:t>المقام الثانی</w:t>
            </w:r>
            <w:r>
              <w:rPr>
                <w:rStyle w:val="IndexLink"/>
                <w:rtl w:val="true"/>
              </w:rPr>
              <w:t xml:space="preserve">: </w:t>
            </w:r>
            <w:r>
              <w:rPr>
                <w:rStyle w:val="IndexLink"/>
                <w:rtl w:val="true"/>
              </w:rPr>
              <w:t>دوران الأمر بین الأقلّ والأکثر الإرتباطیین</w:t>
            </w:r>
            <w:r>
              <w:rPr>
                <w:rStyle w:val="IndexLink"/>
                <w:rtl w:val="true"/>
              </w:rPr>
              <w:tab/>
            </w:r>
            <w:r>
              <w:rPr>
                <w:rStyle w:val="IndexLink"/>
              </w:rPr>
              <w:t>218</w:t>
            </w:r>
          </w:hyperlink>
        </w:p>
        <w:p>
          <w:pPr>
            <w:pStyle w:val="Contents5"/>
            <w:tabs>
              <w:tab w:val="clear" w:pos="7892"/>
              <w:tab w:val="right" w:pos="9026" w:leader="dot"/>
            </w:tabs>
            <w:rPr/>
          </w:pPr>
          <w:hyperlink w:anchor="__RefHeading___Toc141983_324435999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41985_3244359995">
            <w:r>
              <w:rPr>
                <w:webHidden/>
                <w:rStyle w:val="IndexLink"/>
                <w:rtl w:val="true"/>
              </w:rPr>
              <w:t>الجهة الاولی</w:t>
            </w:r>
            <w:r>
              <w:rPr>
                <w:rStyle w:val="IndexLink"/>
                <w:rtl w:val="true"/>
              </w:rPr>
              <w:t xml:space="preserve">: </w:t>
            </w:r>
            <w:r>
              <w:rPr>
                <w:rStyle w:val="IndexLink"/>
                <w:rtl w:val="true"/>
              </w:rPr>
              <w:t>فی الأجزاء</w:t>
            </w:r>
            <w:r>
              <w:rPr>
                <w:rStyle w:val="IndexLink"/>
                <w:rtl w:val="true"/>
              </w:rPr>
              <w:tab/>
            </w:r>
            <w:r>
              <w:rPr>
                <w:rStyle w:val="IndexLink"/>
              </w:rPr>
              <w:t>219</w:t>
            </w:r>
          </w:hyperlink>
        </w:p>
        <w:p>
          <w:pPr>
            <w:pStyle w:val="Contents6"/>
            <w:tabs>
              <w:tab w:val="clear" w:pos="7609"/>
              <w:tab w:val="right" w:pos="9026" w:leader="dot"/>
            </w:tabs>
            <w:rPr/>
          </w:pPr>
          <w:hyperlink w:anchor="__RefHeading___Toc141987_3244359995">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41989_3244359995">
            <w:r>
              <w:rPr>
                <w:webHidden/>
                <w:rStyle w:val="IndexLink"/>
                <w:rtl w:val="true"/>
              </w:rPr>
              <w:t>بقی هنا أمر</w:t>
            </w:r>
            <w:r>
              <w:rPr>
                <w:rStyle w:val="IndexLink"/>
                <w:rtl w:val="true"/>
              </w:rPr>
              <w:t>:</w:t>
              <w:tab/>
            </w:r>
            <w:r>
              <w:rPr>
                <w:rStyle w:val="IndexLink"/>
              </w:rPr>
              <w:t>222</w:t>
            </w:r>
          </w:hyperlink>
        </w:p>
        <w:p>
          <w:pPr>
            <w:pStyle w:val="Contents5"/>
            <w:tabs>
              <w:tab w:val="clear" w:pos="7892"/>
              <w:tab w:val="right" w:pos="9026" w:leader="dot"/>
            </w:tabs>
            <w:rPr/>
          </w:pPr>
          <w:hyperlink w:anchor="__RefHeading___Toc141991_3244359995">
            <w:r>
              <w:rPr>
                <w:webHidden/>
                <w:rStyle w:val="IndexLink"/>
                <w:rtl w:val="true"/>
              </w:rPr>
              <w:t>الجهة الثانیة</w:t>
            </w:r>
            <w:r>
              <w:rPr>
                <w:rStyle w:val="IndexLink"/>
                <w:rtl w:val="true"/>
              </w:rPr>
              <w:t xml:space="preserve">: </w:t>
            </w:r>
            <w:r>
              <w:rPr>
                <w:rStyle w:val="IndexLink"/>
                <w:rtl w:val="true"/>
              </w:rPr>
              <w:t>فی الشرائط</w:t>
            </w:r>
            <w:r>
              <w:rPr>
                <w:rStyle w:val="IndexLink"/>
                <w:rtl w:val="true"/>
              </w:rPr>
              <w:tab/>
            </w:r>
            <w:r>
              <w:rPr>
                <w:rStyle w:val="IndexLink"/>
              </w:rPr>
              <w:t>223</w:t>
            </w:r>
          </w:hyperlink>
        </w:p>
        <w:p>
          <w:pPr>
            <w:pStyle w:val="Contents5"/>
            <w:tabs>
              <w:tab w:val="clear" w:pos="7892"/>
              <w:tab w:val="right" w:pos="9026" w:leader="dot"/>
            </w:tabs>
            <w:rPr/>
          </w:pPr>
          <w:hyperlink w:anchor="__RefHeading___Toc141993_3244359995">
            <w:r>
              <w:rPr>
                <w:webHidden/>
                <w:rStyle w:val="IndexLink"/>
                <w:rtl w:val="true"/>
              </w:rPr>
              <w:t>الجهة الثالثة</w:t>
            </w:r>
            <w:r>
              <w:rPr>
                <w:rStyle w:val="IndexLink"/>
                <w:rtl w:val="true"/>
              </w:rPr>
              <w:t xml:space="preserve">: </w:t>
            </w:r>
            <w:r>
              <w:rPr>
                <w:rStyle w:val="IndexLink"/>
                <w:rtl w:val="true"/>
              </w:rPr>
              <w:t>فی القیود</w:t>
            </w:r>
            <w:r>
              <w:rPr>
                <w:rStyle w:val="IndexLink"/>
                <w:rtl w:val="true"/>
              </w:rPr>
              <w:tab/>
            </w:r>
            <w:r>
              <w:rPr>
                <w:rStyle w:val="IndexLink"/>
              </w:rPr>
              <w:t>224</w:t>
            </w:r>
          </w:hyperlink>
        </w:p>
        <w:p>
          <w:pPr>
            <w:pStyle w:val="Contents6"/>
            <w:tabs>
              <w:tab w:val="clear" w:pos="7609"/>
              <w:tab w:val="right" w:pos="9026" w:leader="dot"/>
            </w:tabs>
            <w:rPr/>
          </w:pPr>
          <w:hyperlink w:anchor="__RefHeading___Toc141995_3244359995">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41997_3244359995">
            <w:r>
              <w:rPr>
                <w:webHidden/>
                <w:rStyle w:val="IndexLink"/>
                <w:rtl w:val="true"/>
              </w:rPr>
              <w:t>تنبیه</w:t>
            </w:r>
            <w:r>
              <w:rPr>
                <w:rStyle w:val="IndexLink"/>
                <w:rtl w:val="true"/>
              </w:rPr>
              <w:t>:</w:t>
              <w:tab/>
            </w:r>
            <w:r>
              <w:rPr>
                <w:rStyle w:val="IndexLink"/>
              </w:rPr>
              <w:t>225</w:t>
            </w:r>
          </w:hyperlink>
        </w:p>
        <w:p>
          <w:pPr>
            <w:pStyle w:val="Contents4"/>
            <w:tabs>
              <w:tab w:val="clear" w:pos="8176"/>
              <w:tab w:val="right" w:pos="9026" w:leader="dot"/>
            </w:tabs>
            <w:rPr/>
          </w:pPr>
          <w:hyperlink w:anchor="__RefHeading___Toc141999_3244359995">
            <w:r>
              <w:rPr>
                <w:webHidden/>
                <w:rStyle w:val="IndexLink"/>
                <w:rtl w:val="true"/>
              </w:rPr>
              <w:t>المقام الثالث</w:t>
            </w:r>
            <w:r>
              <w:rPr>
                <w:rStyle w:val="IndexLink"/>
                <w:rtl w:val="true"/>
              </w:rPr>
              <w:t xml:space="preserve">: </w:t>
            </w:r>
            <w:r>
              <w:rPr>
                <w:rStyle w:val="IndexLink"/>
                <w:rtl w:val="true"/>
              </w:rPr>
              <w:t>دوران الأمر بین الأقلّ والأکثر الاستقلالیین</w:t>
            </w:r>
            <w:r>
              <w:rPr>
                <w:rStyle w:val="IndexLink"/>
                <w:rtl w:val="true"/>
              </w:rPr>
              <w:tab/>
            </w:r>
            <w:r>
              <w:rPr>
                <w:rStyle w:val="IndexLink"/>
              </w:rPr>
              <w:t>226</w:t>
            </w:r>
          </w:hyperlink>
        </w:p>
        <w:p>
          <w:pPr>
            <w:pStyle w:val="Contents3"/>
            <w:tabs>
              <w:tab w:val="clear" w:pos="8459"/>
              <w:tab w:val="right" w:pos="9026" w:leader="dot"/>
            </w:tabs>
            <w:rPr/>
          </w:pPr>
          <w:hyperlink w:anchor="__RefHeading___Toc142001_3244359995">
            <w:r>
              <w:rPr>
                <w:webHidden/>
                <w:rStyle w:val="IndexLink"/>
                <w:rtl w:val="true"/>
              </w:rPr>
              <w:t>الأصل الرابع</w:t>
            </w:r>
            <w:r>
              <w:rPr>
                <w:rStyle w:val="IndexLink"/>
                <w:rtl w:val="true"/>
              </w:rPr>
              <w:t xml:space="preserve">: </w:t>
            </w:r>
            <w:r>
              <w:rPr>
                <w:rStyle w:val="IndexLink"/>
                <w:rtl w:val="true"/>
              </w:rPr>
              <w:t>اصالة الاستصحاب</w:t>
            </w:r>
            <w:r>
              <w:rPr>
                <w:rStyle w:val="IndexLink"/>
                <w:rtl w:val="true"/>
              </w:rPr>
              <w:tab/>
            </w:r>
            <w:r>
              <w:rPr>
                <w:rStyle w:val="IndexLink"/>
              </w:rPr>
              <w:t>227</w:t>
            </w:r>
          </w:hyperlink>
        </w:p>
        <w:p>
          <w:pPr>
            <w:pStyle w:val="Contents4"/>
            <w:tabs>
              <w:tab w:val="clear" w:pos="8176"/>
              <w:tab w:val="right" w:pos="9026" w:leader="dot"/>
            </w:tabs>
            <w:rPr/>
          </w:pPr>
          <w:hyperlink w:anchor="__RefHeading___Toc142003_324435999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2005_3244359995">
            <w:r>
              <w:rPr>
                <w:webHidden/>
                <w:rStyle w:val="IndexLink"/>
              </w:rPr>
              <w:t>1</w:t>
            </w:r>
            <w:r>
              <w:rPr>
                <w:rStyle w:val="IndexLink"/>
                <w:rtl w:val="true"/>
              </w:rPr>
              <w:t xml:space="preserve">. </w:t>
            </w:r>
            <w:r>
              <w:rPr>
                <w:rStyle w:val="IndexLink"/>
                <w:rtl w:val="true"/>
              </w:rPr>
              <w:t>تعریف الاستصحاب</w:t>
            </w:r>
            <w:r>
              <w:rPr>
                <w:rStyle w:val="IndexLink"/>
                <w:rtl w:val="true"/>
              </w:rPr>
              <w:tab/>
            </w:r>
            <w:r>
              <w:rPr>
                <w:rStyle w:val="IndexLink"/>
              </w:rPr>
              <w:t>227</w:t>
            </w:r>
          </w:hyperlink>
        </w:p>
        <w:p>
          <w:pPr>
            <w:pStyle w:val="Contents4"/>
            <w:tabs>
              <w:tab w:val="clear" w:pos="8176"/>
              <w:tab w:val="right" w:pos="9026" w:leader="dot"/>
            </w:tabs>
            <w:rPr/>
          </w:pPr>
          <w:hyperlink w:anchor="__RefHeading___Toc142007_3244359995">
            <w:r>
              <w:rPr>
                <w:webHidden/>
                <w:rStyle w:val="IndexLink"/>
              </w:rPr>
              <w:t>2</w:t>
            </w:r>
            <w:r>
              <w:rPr>
                <w:rStyle w:val="IndexLink"/>
                <w:rtl w:val="true"/>
              </w:rPr>
              <w:t xml:space="preserve">. </w:t>
            </w:r>
            <w:r>
              <w:rPr>
                <w:rStyle w:val="IndexLink"/>
                <w:rtl w:val="true"/>
              </w:rPr>
              <w:t>هل الاستصحاب من المسائل الاصولیة؟</w:t>
            </w:r>
            <w:r>
              <w:rPr>
                <w:rStyle w:val="IndexLink"/>
                <w:rtl w:val="true"/>
              </w:rPr>
              <w:tab/>
            </w:r>
            <w:r>
              <w:rPr>
                <w:rStyle w:val="IndexLink"/>
              </w:rPr>
              <w:t>228</w:t>
            </w:r>
          </w:hyperlink>
        </w:p>
        <w:p>
          <w:pPr>
            <w:pStyle w:val="Contents4"/>
            <w:tabs>
              <w:tab w:val="clear" w:pos="8176"/>
              <w:tab w:val="right" w:pos="9026" w:leader="dot"/>
            </w:tabs>
            <w:rPr/>
          </w:pPr>
          <w:hyperlink w:anchor="__RefHeading___Toc142009_3244359995">
            <w:r>
              <w:rPr>
                <w:webHidden/>
                <w:rStyle w:val="IndexLink"/>
              </w:rPr>
              <w:t>3</w:t>
            </w:r>
            <w:r>
              <w:rPr>
                <w:rStyle w:val="IndexLink"/>
                <w:rtl w:val="true"/>
              </w:rPr>
              <w:t xml:space="preserve">. </w:t>
            </w:r>
            <w:r>
              <w:rPr>
                <w:rStyle w:val="IndexLink"/>
                <w:rtl w:val="true"/>
              </w:rPr>
              <w:t>أرکان الاستصحاب</w:t>
            </w:r>
            <w:r>
              <w:rPr>
                <w:rStyle w:val="IndexLink"/>
                <w:rtl w:val="true"/>
              </w:rPr>
              <w:tab/>
            </w:r>
            <w:r>
              <w:rPr>
                <w:rStyle w:val="IndexLink"/>
              </w:rPr>
              <w:t>228</w:t>
            </w:r>
          </w:hyperlink>
        </w:p>
        <w:p>
          <w:pPr>
            <w:pStyle w:val="Contents4"/>
            <w:tabs>
              <w:tab w:val="clear" w:pos="8176"/>
              <w:tab w:val="right" w:pos="9026" w:leader="dot"/>
            </w:tabs>
            <w:rPr/>
          </w:pPr>
          <w:hyperlink w:anchor="__RefHeading___Toc142011_3244359995">
            <w:r>
              <w:rPr>
                <w:webHidden/>
                <w:rStyle w:val="IndexLink"/>
              </w:rPr>
              <w:t>4</w:t>
            </w:r>
            <w:r>
              <w:rPr>
                <w:rStyle w:val="IndexLink"/>
                <w:rtl w:val="true"/>
              </w:rPr>
              <w:t xml:space="preserve">. </w:t>
            </w:r>
            <w:r>
              <w:rPr>
                <w:rStyle w:val="IndexLink"/>
                <w:rtl w:val="true"/>
              </w:rPr>
              <w:t>هل الاستصحاب من الاصول أو الأمارات؟</w:t>
            </w:r>
            <w:r>
              <w:rPr>
                <w:rStyle w:val="IndexLink"/>
                <w:rtl w:val="true"/>
              </w:rPr>
              <w:tab/>
            </w:r>
            <w:r>
              <w:rPr>
                <w:rStyle w:val="IndexLink"/>
              </w:rPr>
              <w:t>229</w:t>
            </w:r>
          </w:hyperlink>
        </w:p>
        <w:p>
          <w:pPr>
            <w:pStyle w:val="Contents4"/>
            <w:tabs>
              <w:tab w:val="clear" w:pos="8176"/>
              <w:tab w:val="right" w:pos="9026" w:leader="dot"/>
            </w:tabs>
            <w:rPr/>
          </w:pPr>
          <w:hyperlink w:anchor="__RefHeading___Toc142013_3244359995">
            <w:r>
              <w:rPr>
                <w:webHidden/>
                <w:rStyle w:val="IndexLink"/>
              </w:rPr>
              <w:t>5</w:t>
            </w:r>
            <w:r>
              <w:rPr>
                <w:rStyle w:val="IndexLink"/>
                <w:rtl w:val="true"/>
              </w:rPr>
              <w:t xml:space="preserve">. </w:t>
            </w:r>
            <w:r>
              <w:rPr>
                <w:rStyle w:val="IndexLink"/>
                <w:rtl w:val="true"/>
              </w:rPr>
              <w:t>استصحاب الحکم الشرعی المستکشف من دلیل العقل</w:t>
            </w:r>
            <w:r>
              <w:rPr>
                <w:rStyle w:val="IndexLink"/>
                <w:rtl w:val="true"/>
              </w:rPr>
              <w:tab/>
            </w:r>
            <w:r>
              <w:rPr>
                <w:rStyle w:val="IndexLink"/>
              </w:rPr>
              <w:t>230</w:t>
            </w:r>
          </w:hyperlink>
        </w:p>
        <w:p>
          <w:pPr>
            <w:pStyle w:val="Contents4"/>
            <w:tabs>
              <w:tab w:val="clear" w:pos="8176"/>
              <w:tab w:val="right" w:pos="9026" w:leader="dot"/>
            </w:tabs>
            <w:rPr/>
          </w:pPr>
          <w:hyperlink w:anchor="__RefHeading___Toc142015_3244359995">
            <w:r>
              <w:rPr>
                <w:webHidden/>
                <w:rStyle w:val="IndexLink"/>
              </w:rPr>
              <w:t>6</w:t>
            </w:r>
            <w:r>
              <w:rPr>
                <w:rStyle w:val="IndexLink"/>
                <w:rtl w:val="true"/>
              </w:rPr>
              <w:t xml:space="preserve">. </w:t>
            </w:r>
            <w:r>
              <w:rPr>
                <w:rStyle w:val="IndexLink"/>
                <w:rtl w:val="true"/>
              </w:rPr>
              <w:t>الفرق بین الاستصحاب وقاعدتی الیقین والمقتضی والمانع</w:t>
            </w:r>
            <w:r>
              <w:rPr>
                <w:rStyle w:val="IndexLink"/>
                <w:rtl w:val="true"/>
              </w:rPr>
              <w:tab/>
            </w:r>
            <w:r>
              <w:rPr>
                <w:rStyle w:val="IndexLink"/>
              </w:rPr>
              <w:t>232</w:t>
            </w:r>
          </w:hyperlink>
        </w:p>
        <w:p>
          <w:pPr>
            <w:pStyle w:val="Contents3"/>
            <w:tabs>
              <w:tab w:val="clear" w:pos="8459"/>
              <w:tab w:val="right" w:pos="9026" w:leader="dot"/>
            </w:tabs>
            <w:rPr/>
          </w:pPr>
          <w:hyperlink w:anchor="__RefHeading___Toc142017_3244359995">
            <w:r>
              <w:rPr>
                <w:webHidden/>
                <w:rStyle w:val="IndexLink"/>
                <w:rtl w:val="true"/>
              </w:rPr>
              <w:t>حجیة الاستصحاب وبیان أدلّتها</w:t>
            </w:r>
            <w:r>
              <w:rPr>
                <w:rStyle w:val="IndexLink"/>
                <w:rtl w:val="true"/>
              </w:rPr>
              <w:tab/>
            </w:r>
            <w:r>
              <w:rPr>
                <w:rStyle w:val="IndexLink"/>
              </w:rPr>
              <w:t>233</w:t>
            </w:r>
          </w:hyperlink>
        </w:p>
        <w:p>
          <w:pPr>
            <w:pStyle w:val="Contents4"/>
            <w:tabs>
              <w:tab w:val="clear" w:pos="8176"/>
              <w:tab w:val="right" w:pos="9026" w:leader="dot"/>
            </w:tabs>
            <w:rPr/>
          </w:pPr>
          <w:hyperlink w:anchor="__RefHeading___Toc142019_3244359995">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2021_3244359995">
            <w:r>
              <w:rPr>
                <w:webHidden/>
                <w:rStyle w:val="IndexLink"/>
                <w:rtl w:val="true"/>
              </w:rPr>
              <w:t>الأوّل</w:t>
            </w:r>
            <w:r>
              <w:rPr>
                <w:rStyle w:val="IndexLink"/>
                <w:rtl w:val="true"/>
              </w:rPr>
              <w:t xml:space="preserve">: </w:t>
            </w:r>
            <w:r>
              <w:rPr>
                <w:rStyle w:val="IndexLink"/>
                <w:rtl w:val="true"/>
              </w:rPr>
              <w:t>بناء العقلاء</w:t>
            </w:r>
            <w:r>
              <w:rPr>
                <w:rStyle w:val="IndexLink"/>
                <w:rtl w:val="true"/>
              </w:rPr>
              <w:tab/>
            </w:r>
            <w:r>
              <w:rPr>
                <w:rStyle w:val="IndexLink"/>
              </w:rPr>
              <w:t>233</w:t>
            </w:r>
          </w:hyperlink>
        </w:p>
        <w:p>
          <w:pPr>
            <w:pStyle w:val="Contents4"/>
            <w:tabs>
              <w:tab w:val="clear" w:pos="8176"/>
              <w:tab w:val="right" w:pos="9026" w:leader="dot"/>
            </w:tabs>
            <w:rPr/>
          </w:pPr>
          <w:hyperlink w:anchor="__RefHeading___Toc142023_3244359995">
            <w:r>
              <w:rPr>
                <w:webHidden/>
                <w:rStyle w:val="IndexLink"/>
                <w:rtl w:val="true"/>
              </w:rPr>
              <w:t>الثانی</w:t>
            </w:r>
            <w:r>
              <w:rPr>
                <w:rStyle w:val="IndexLink"/>
                <w:rtl w:val="true"/>
              </w:rPr>
              <w:t xml:space="preserve">: </w:t>
            </w:r>
            <w:r>
              <w:rPr>
                <w:rStyle w:val="IndexLink"/>
                <w:rtl w:val="true"/>
              </w:rPr>
              <w:t>الأخبار المستفیضة</w:t>
            </w:r>
            <w:r>
              <w:rPr>
                <w:rStyle w:val="IndexLink"/>
                <w:rtl w:val="true"/>
              </w:rPr>
              <w:tab/>
            </w:r>
            <w:r>
              <w:rPr>
                <w:rStyle w:val="IndexLink"/>
              </w:rPr>
              <w:t>235</w:t>
            </w:r>
          </w:hyperlink>
        </w:p>
        <w:p>
          <w:pPr>
            <w:pStyle w:val="Contents5"/>
            <w:tabs>
              <w:tab w:val="clear" w:pos="7892"/>
              <w:tab w:val="right" w:pos="9026" w:leader="dot"/>
            </w:tabs>
            <w:rPr/>
          </w:pPr>
          <w:hyperlink w:anchor="__RefHeading___Toc142025_3244359995">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42027_3244359995">
            <w:r>
              <w:rPr>
                <w:webHidden/>
                <w:rStyle w:val="IndexLink"/>
              </w:rPr>
              <w:t>1</w:t>
            </w:r>
            <w:r>
              <w:rPr>
                <w:rStyle w:val="IndexLink"/>
                <w:rtl w:val="true"/>
              </w:rPr>
              <w:t xml:space="preserve">. </w:t>
            </w:r>
            <w:r>
              <w:rPr>
                <w:rStyle w:val="IndexLink"/>
                <w:rtl w:val="true"/>
              </w:rPr>
              <w:t>الصحیحة الاولی لزرارة</w:t>
            </w:r>
            <w:r>
              <w:rPr>
                <w:rStyle w:val="IndexLink"/>
                <w:rtl w:val="true"/>
              </w:rPr>
              <w:tab/>
            </w:r>
            <w:r>
              <w:rPr>
                <w:rStyle w:val="IndexLink"/>
              </w:rPr>
              <w:t>236</w:t>
            </w:r>
          </w:hyperlink>
        </w:p>
        <w:p>
          <w:pPr>
            <w:pStyle w:val="Contents5"/>
            <w:tabs>
              <w:tab w:val="clear" w:pos="7892"/>
              <w:tab w:val="right" w:pos="9026" w:leader="dot"/>
            </w:tabs>
            <w:rPr/>
          </w:pPr>
          <w:hyperlink w:anchor="__RefHeading___Toc142029_3244359995">
            <w:r>
              <w:rPr>
                <w:webHidden/>
                <w:rStyle w:val="IndexLink"/>
              </w:rPr>
              <w:t>2</w:t>
            </w:r>
            <w:r>
              <w:rPr>
                <w:rStyle w:val="IndexLink"/>
                <w:rtl w:val="true"/>
              </w:rPr>
              <w:t xml:space="preserve">. </w:t>
            </w:r>
            <w:r>
              <w:rPr>
                <w:rStyle w:val="IndexLink"/>
                <w:rtl w:val="true"/>
              </w:rPr>
              <w:t>الصحیحة الثانیة لزرارة</w:t>
            </w:r>
            <w:r>
              <w:rPr>
                <w:rStyle w:val="IndexLink"/>
                <w:rtl w:val="true"/>
              </w:rPr>
              <w:tab/>
            </w:r>
            <w:r>
              <w:rPr>
                <w:rStyle w:val="IndexLink"/>
              </w:rPr>
              <w:t>237</w:t>
            </w:r>
          </w:hyperlink>
        </w:p>
        <w:p>
          <w:pPr>
            <w:pStyle w:val="Contents5"/>
            <w:tabs>
              <w:tab w:val="clear" w:pos="7892"/>
              <w:tab w:val="right" w:pos="9026" w:leader="dot"/>
            </w:tabs>
            <w:rPr/>
          </w:pPr>
          <w:hyperlink w:anchor="__RefHeading___Toc142031_3244359995">
            <w:r>
              <w:rPr>
                <w:webHidden/>
                <w:rStyle w:val="IndexLink"/>
              </w:rPr>
              <w:t>3</w:t>
            </w:r>
            <w:r>
              <w:rPr>
                <w:rStyle w:val="IndexLink"/>
                <w:rtl w:val="true"/>
              </w:rPr>
              <w:t xml:space="preserve">. </w:t>
            </w:r>
            <w:r>
              <w:rPr>
                <w:rStyle w:val="IndexLink"/>
                <w:rtl w:val="true"/>
              </w:rPr>
              <w:t>الصحیحة الثالثة لزرارة</w:t>
            </w:r>
            <w:r>
              <w:rPr>
                <w:rStyle w:val="IndexLink"/>
                <w:rtl w:val="true"/>
              </w:rPr>
              <w:tab/>
            </w:r>
            <w:r>
              <w:rPr>
                <w:rStyle w:val="IndexLink"/>
              </w:rPr>
              <w:t>240</w:t>
            </w:r>
          </w:hyperlink>
        </w:p>
        <w:p>
          <w:pPr>
            <w:pStyle w:val="Contents5"/>
            <w:tabs>
              <w:tab w:val="clear" w:pos="7892"/>
              <w:tab w:val="right" w:pos="9026" w:leader="dot"/>
            </w:tabs>
            <w:rPr/>
          </w:pPr>
          <w:hyperlink w:anchor="__RefHeading___Toc142033_3244359995">
            <w:r>
              <w:rPr>
                <w:webHidden/>
                <w:rStyle w:val="IndexLink"/>
              </w:rPr>
              <w:t>4</w:t>
            </w:r>
            <w:r>
              <w:rPr>
                <w:rStyle w:val="IndexLink"/>
                <w:rtl w:val="true"/>
              </w:rPr>
              <w:t xml:space="preserve">. </w:t>
            </w:r>
            <w:r>
              <w:rPr>
                <w:rStyle w:val="IndexLink"/>
                <w:rtl w:val="true"/>
              </w:rPr>
              <w:t>خبر الخصال</w:t>
            </w:r>
            <w:r>
              <w:rPr>
                <w:rStyle w:val="IndexLink"/>
                <w:rtl w:val="true"/>
              </w:rPr>
              <w:tab/>
            </w:r>
            <w:r>
              <w:rPr>
                <w:rStyle w:val="IndexLink"/>
              </w:rPr>
              <w:t>243</w:t>
            </w:r>
          </w:hyperlink>
        </w:p>
        <w:p>
          <w:pPr>
            <w:pStyle w:val="Contents5"/>
            <w:tabs>
              <w:tab w:val="clear" w:pos="7892"/>
              <w:tab w:val="right" w:pos="9026" w:leader="dot"/>
            </w:tabs>
            <w:rPr/>
          </w:pPr>
          <w:hyperlink w:anchor="__RefHeading___Toc142035_3244359995">
            <w:r>
              <w:rPr>
                <w:webHidden/>
                <w:rStyle w:val="IndexLink"/>
              </w:rPr>
              <w:t>5</w:t>
            </w:r>
            <w:r>
              <w:rPr>
                <w:rStyle w:val="IndexLink"/>
                <w:rtl w:val="true"/>
              </w:rPr>
              <w:t xml:space="preserve">. </w:t>
            </w:r>
            <w:r>
              <w:rPr>
                <w:rStyle w:val="IndexLink"/>
                <w:rtl w:val="true"/>
              </w:rPr>
              <w:t>خبر علی بن محمّد القاسانی</w:t>
            </w:r>
            <w:r>
              <w:rPr>
                <w:rStyle w:val="IndexLink"/>
                <w:rtl w:val="true"/>
              </w:rPr>
              <w:tab/>
            </w:r>
            <w:r>
              <w:rPr>
                <w:rStyle w:val="IndexLink"/>
              </w:rPr>
              <w:t>244</w:t>
            </w:r>
          </w:hyperlink>
        </w:p>
        <w:p>
          <w:pPr>
            <w:pStyle w:val="Contents5"/>
            <w:tabs>
              <w:tab w:val="clear" w:pos="7892"/>
              <w:tab w:val="right" w:pos="9026" w:leader="dot"/>
            </w:tabs>
            <w:rPr/>
          </w:pPr>
          <w:hyperlink w:anchor="__RefHeading___Toc142037_3244359995">
            <w:r>
              <w:rPr>
                <w:webHidden/>
                <w:rStyle w:val="IndexLink"/>
                <w:rtl w:val="true"/>
              </w:rPr>
              <w:t>التفصیل بین الشبهات الحکمیّة والشبهات الموضوعیّة</w:t>
            </w:r>
            <w:r>
              <w:rPr>
                <w:rStyle w:val="IndexLink"/>
                <w:rtl w:val="true"/>
              </w:rPr>
              <w:tab/>
            </w:r>
            <w:r>
              <w:rPr>
                <w:rStyle w:val="IndexLink"/>
              </w:rPr>
              <w:t>245</w:t>
            </w:r>
          </w:hyperlink>
        </w:p>
        <w:p>
          <w:pPr>
            <w:pStyle w:val="Contents5"/>
            <w:tabs>
              <w:tab w:val="clear" w:pos="7892"/>
              <w:tab w:val="right" w:pos="9026" w:leader="dot"/>
            </w:tabs>
            <w:rPr/>
          </w:pPr>
          <w:hyperlink w:anchor="__RefHeading___Toc142039_3244359995">
            <w:r>
              <w:rPr>
                <w:webHidden/>
                <w:rStyle w:val="IndexLink"/>
                <w:rtl w:val="true"/>
              </w:rPr>
              <w:t>تنبیهات</w:t>
            </w:r>
            <w:r>
              <w:rPr>
                <w:rStyle w:val="IndexLink"/>
                <w:rtl w:val="true"/>
              </w:rPr>
              <w:t>:</w:t>
              <w:tab/>
            </w:r>
            <w:r>
              <w:rPr>
                <w:rStyle w:val="IndexLink"/>
              </w:rPr>
              <w:t>247</w:t>
            </w:r>
          </w:hyperlink>
        </w:p>
        <w:p>
          <w:pPr>
            <w:pStyle w:val="Contents5"/>
            <w:tabs>
              <w:tab w:val="clear" w:pos="7892"/>
              <w:tab w:val="right" w:pos="9026" w:leader="dot"/>
            </w:tabs>
            <w:rPr/>
          </w:pPr>
          <w:hyperlink w:anchor="__RefHeading___Toc142041_3244359995">
            <w:r>
              <w:rPr>
                <w:webHidden/>
                <w:rStyle w:val="IndexLink"/>
              </w:rPr>
              <w:t>1</w:t>
            </w:r>
            <w:r>
              <w:rPr>
                <w:rStyle w:val="IndexLink"/>
                <w:rtl w:val="true"/>
              </w:rPr>
              <w:t xml:space="preserve">. </w:t>
            </w:r>
            <w:r>
              <w:rPr>
                <w:rStyle w:val="IndexLink"/>
                <w:rtl w:val="true"/>
              </w:rPr>
              <w:t>فی المراد من الشکّ الذی هو من أرکان الاستصحاب</w:t>
            </w:r>
            <w:r>
              <w:rPr>
                <w:rStyle w:val="IndexLink"/>
                <w:rtl w:val="true"/>
              </w:rPr>
              <w:tab/>
            </w:r>
            <w:r>
              <w:rPr>
                <w:rStyle w:val="IndexLink"/>
              </w:rPr>
              <w:t>247</w:t>
            </w:r>
          </w:hyperlink>
        </w:p>
        <w:p>
          <w:pPr>
            <w:pStyle w:val="Contents5"/>
            <w:tabs>
              <w:tab w:val="clear" w:pos="7892"/>
              <w:tab w:val="right" w:pos="9026" w:leader="dot"/>
            </w:tabs>
            <w:rPr/>
          </w:pPr>
          <w:hyperlink w:anchor="__RefHeading___Toc142043_3244359995">
            <w:r>
              <w:rPr>
                <w:webHidden/>
                <w:rStyle w:val="IndexLink"/>
              </w:rPr>
              <w:t>2</w:t>
            </w:r>
            <w:r>
              <w:rPr>
                <w:rStyle w:val="IndexLink"/>
                <w:rtl w:val="true"/>
              </w:rPr>
              <w:t xml:space="preserve">. </w:t>
            </w:r>
            <w:r>
              <w:rPr>
                <w:rStyle w:val="IndexLink"/>
                <w:rtl w:val="true"/>
              </w:rPr>
              <w:t>اعتبار فعلیّة الیقین والشکّ فی الاستصحاب</w:t>
            </w:r>
            <w:r>
              <w:rPr>
                <w:rStyle w:val="IndexLink"/>
                <w:rtl w:val="true"/>
              </w:rPr>
              <w:tab/>
            </w:r>
            <w:r>
              <w:rPr>
                <w:rStyle w:val="IndexLink"/>
              </w:rPr>
              <w:t>248</w:t>
            </w:r>
          </w:hyperlink>
        </w:p>
        <w:p>
          <w:pPr>
            <w:pStyle w:val="Contents5"/>
            <w:tabs>
              <w:tab w:val="clear" w:pos="7892"/>
              <w:tab w:val="right" w:pos="9026" w:leader="dot"/>
            </w:tabs>
            <w:rPr/>
          </w:pPr>
          <w:hyperlink w:anchor="__RefHeading___Toc142045_3244359995">
            <w:r>
              <w:rPr>
                <w:webHidden/>
                <w:rStyle w:val="IndexLink"/>
              </w:rPr>
              <w:t>3</w:t>
            </w:r>
            <w:r>
              <w:rPr>
                <w:rStyle w:val="IndexLink"/>
                <w:rtl w:val="true"/>
              </w:rPr>
              <w:t xml:space="preserve">. </w:t>
            </w:r>
            <w:r>
              <w:rPr>
                <w:rStyle w:val="IndexLink"/>
                <w:rtl w:val="true"/>
              </w:rPr>
              <w:t>لزوم کون المستصحب حکماً شرعیاً أو ذا حکم شرعی</w:t>
            </w:r>
            <w:r>
              <w:rPr>
                <w:rStyle w:val="IndexLink"/>
                <w:rtl w:val="true"/>
              </w:rPr>
              <w:tab/>
            </w:r>
            <w:r>
              <w:rPr>
                <w:rStyle w:val="IndexLink"/>
              </w:rPr>
              <w:t>248</w:t>
            </w:r>
          </w:hyperlink>
        </w:p>
        <w:p>
          <w:pPr>
            <w:pStyle w:val="Contents5"/>
            <w:tabs>
              <w:tab w:val="clear" w:pos="7892"/>
              <w:tab w:val="right" w:pos="9026" w:leader="dot"/>
            </w:tabs>
            <w:rPr/>
          </w:pPr>
          <w:hyperlink w:anchor="__RefHeading___Toc142047_3244359995">
            <w:r>
              <w:rPr>
                <w:webHidden/>
                <w:rStyle w:val="IndexLink"/>
              </w:rPr>
              <w:t>4</w:t>
            </w:r>
            <w:r>
              <w:rPr>
                <w:rStyle w:val="IndexLink"/>
                <w:rtl w:val="true"/>
              </w:rPr>
              <w:t xml:space="preserve">. </w:t>
            </w:r>
            <w:r>
              <w:rPr>
                <w:rStyle w:val="IndexLink"/>
                <w:rtl w:val="true"/>
              </w:rPr>
              <w:t>جریان الاستصحاب فیما ثبت بالأمارة</w:t>
            </w:r>
            <w:r>
              <w:rPr>
                <w:rStyle w:val="IndexLink"/>
                <w:rtl w:val="true"/>
              </w:rPr>
              <w:tab/>
            </w:r>
            <w:r>
              <w:rPr>
                <w:rStyle w:val="IndexLink"/>
              </w:rPr>
              <w:t>249</w:t>
            </w:r>
          </w:hyperlink>
        </w:p>
        <w:p>
          <w:pPr>
            <w:pStyle w:val="Contents5"/>
            <w:tabs>
              <w:tab w:val="clear" w:pos="7892"/>
              <w:tab w:val="right" w:pos="9026" w:leader="dot"/>
            </w:tabs>
            <w:rPr/>
          </w:pPr>
          <w:hyperlink w:anchor="__RefHeading___Toc142049_3244359995">
            <w:r>
              <w:rPr>
                <w:webHidden/>
                <w:rStyle w:val="IndexLink"/>
              </w:rPr>
              <w:t>5</w:t>
            </w:r>
            <w:r>
              <w:rPr>
                <w:rStyle w:val="IndexLink"/>
                <w:rtl w:val="true"/>
              </w:rPr>
              <w:t xml:space="preserve">. </w:t>
            </w:r>
            <w:r>
              <w:rPr>
                <w:rStyle w:val="IndexLink"/>
                <w:rtl w:val="true"/>
              </w:rPr>
              <w:t>اعتبار بقاء الموضوع فی الاستصحاب</w:t>
            </w:r>
            <w:r>
              <w:rPr>
                <w:rStyle w:val="IndexLink"/>
                <w:rtl w:val="true"/>
              </w:rPr>
              <w:tab/>
            </w:r>
            <w:r>
              <w:rPr>
                <w:rStyle w:val="IndexLink"/>
              </w:rPr>
              <w:t>250</w:t>
            </w:r>
          </w:hyperlink>
        </w:p>
        <w:p>
          <w:pPr>
            <w:pStyle w:val="Contents6"/>
            <w:tabs>
              <w:tab w:val="clear" w:pos="7609"/>
              <w:tab w:val="right" w:pos="9026" w:leader="dot"/>
            </w:tabs>
            <w:rPr/>
          </w:pPr>
          <w:hyperlink w:anchor="__RefHeading___Toc142051_3244359995">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42053_3244359995">
            <w:r>
              <w:rPr>
                <w:webHidden/>
                <w:rStyle w:val="IndexLink"/>
                <w:rtl w:val="true"/>
              </w:rPr>
              <w:t>تبدّل الموضوع فی الشبهات الحکمیّة والموضوعیّة</w:t>
            </w:r>
            <w:r>
              <w:rPr>
                <w:rStyle w:val="IndexLink"/>
                <w:rtl w:val="true"/>
              </w:rPr>
              <w:tab/>
            </w:r>
            <w:r>
              <w:rPr>
                <w:rStyle w:val="IndexLink"/>
              </w:rPr>
              <w:t>251</w:t>
            </w:r>
          </w:hyperlink>
        </w:p>
        <w:p>
          <w:pPr>
            <w:pStyle w:val="Contents6"/>
            <w:tabs>
              <w:tab w:val="clear" w:pos="7609"/>
              <w:tab w:val="right" w:pos="9026" w:leader="dot"/>
            </w:tabs>
            <w:rPr/>
          </w:pPr>
          <w:hyperlink w:anchor="__RefHeading___Toc142055_3244359995">
            <w:r>
              <w:rPr>
                <w:webHidden/>
                <w:rStyle w:val="IndexLink"/>
                <w:rtl w:val="true"/>
              </w:rPr>
              <w:t>المعیار فی بقاء الموضوع</w:t>
            </w:r>
            <w:r>
              <w:rPr>
                <w:rStyle w:val="IndexLink"/>
                <w:rtl w:val="true"/>
              </w:rPr>
              <w:tab/>
            </w:r>
            <w:r>
              <w:rPr>
                <w:rStyle w:val="IndexLink"/>
              </w:rPr>
              <w:t>252</w:t>
            </w:r>
          </w:hyperlink>
        </w:p>
        <w:p>
          <w:pPr>
            <w:pStyle w:val="Contents5"/>
            <w:tabs>
              <w:tab w:val="clear" w:pos="7892"/>
              <w:tab w:val="right" w:pos="9026" w:leader="dot"/>
            </w:tabs>
            <w:rPr/>
          </w:pPr>
          <w:hyperlink w:anchor="__RefHeading___Toc142057_3244359995">
            <w:r>
              <w:rPr>
                <w:webHidden/>
                <w:rStyle w:val="IndexLink"/>
              </w:rPr>
              <w:t>6</w:t>
            </w:r>
            <w:r>
              <w:rPr>
                <w:rStyle w:val="IndexLink"/>
                <w:rtl w:val="true"/>
              </w:rPr>
              <w:t xml:space="preserve">. </w:t>
            </w:r>
            <w:r>
              <w:rPr>
                <w:rStyle w:val="IndexLink"/>
                <w:rtl w:val="true"/>
              </w:rPr>
              <w:t>جریان الاستصحاب فی الأحکام الوضعیّة</w:t>
            </w:r>
            <w:r>
              <w:rPr>
                <w:rStyle w:val="IndexLink"/>
                <w:rtl w:val="true"/>
              </w:rPr>
              <w:tab/>
            </w:r>
            <w:r>
              <w:rPr>
                <w:rStyle w:val="IndexLink"/>
              </w:rPr>
              <w:t>254</w:t>
            </w:r>
          </w:hyperlink>
        </w:p>
        <w:p>
          <w:pPr>
            <w:pStyle w:val="Contents6"/>
            <w:tabs>
              <w:tab w:val="clear" w:pos="7609"/>
              <w:tab w:val="right" w:pos="9026" w:leader="dot"/>
            </w:tabs>
            <w:rPr/>
          </w:pPr>
          <w:hyperlink w:anchor="__RefHeading___Toc142059_3244359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42061_3244359995">
            <w:r>
              <w:rPr>
                <w:webHidden/>
                <w:rStyle w:val="IndexLink"/>
                <w:rtl w:val="true"/>
              </w:rPr>
              <w:t>بیان الفرق بین الاعتباریّات و الانتزاعیّات</w:t>
            </w:r>
            <w:r>
              <w:rPr>
                <w:rStyle w:val="IndexLink"/>
                <w:rtl w:val="true"/>
              </w:rPr>
              <w:tab/>
            </w:r>
            <w:r>
              <w:rPr>
                <w:rStyle w:val="IndexLink"/>
              </w:rPr>
              <w:t>255</w:t>
            </w:r>
          </w:hyperlink>
        </w:p>
        <w:p>
          <w:pPr>
            <w:pStyle w:val="Contents6"/>
            <w:tabs>
              <w:tab w:val="clear" w:pos="7609"/>
              <w:tab w:val="right" w:pos="9026" w:leader="dot"/>
            </w:tabs>
            <w:rPr/>
          </w:pPr>
          <w:hyperlink w:anchor="__RefHeading___Toc142063_3244359995">
            <w:r>
              <w:rPr>
                <w:webHidden/>
                <w:rStyle w:val="IndexLink"/>
                <w:rtl w:val="true"/>
              </w:rPr>
              <w:t>بیان الأقوال قی حقیقة الأحکام الوضعیّة</w:t>
            </w:r>
            <w:r>
              <w:rPr>
                <w:rStyle w:val="IndexLink"/>
                <w:rtl w:val="true"/>
              </w:rPr>
              <w:tab/>
            </w:r>
            <w:r>
              <w:rPr>
                <w:rStyle w:val="IndexLink"/>
              </w:rPr>
              <w:t>255</w:t>
            </w:r>
          </w:hyperlink>
        </w:p>
        <w:p>
          <w:pPr>
            <w:pStyle w:val="Contents6"/>
            <w:tabs>
              <w:tab w:val="clear" w:pos="7609"/>
              <w:tab w:val="right" w:pos="9026" w:leader="dot"/>
            </w:tabs>
            <w:rPr/>
          </w:pPr>
          <w:hyperlink w:anchor="__RefHeading___Toc142065_3244359995">
            <w:r>
              <w:rPr>
                <w:webHidden/>
                <w:rStyle w:val="IndexLink"/>
                <w:rtl w:val="true"/>
              </w:rPr>
              <w:t>نتیجة البحث</w:t>
            </w:r>
            <w:r>
              <w:rPr>
                <w:rStyle w:val="IndexLink"/>
                <w:rtl w:val="true"/>
              </w:rPr>
              <w:tab/>
            </w:r>
            <w:r>
              <w:rPr>
                <w:rStyle w:val="IndexLink"/>
              </w:rPr>
              <w:t>259</w:t>
            </w:r>
          </w:hyperlink>
        </w:p>
        <w:p>
          <w:pPr>
            <w:pStyle w:val="Contents5"/>
            <w:tabs>
              <w:tab w:val="clear" w:pos="7892"/>
              <w:tab w:val="right" w:pos="9026" w:leader="dot"/>
            </w:tabs>
            <w:rPr/>
          </w:pPr>
          <w:hyperlink w:anchor="__RefHeading___Toc142067_3244359995">
            <w:r>
              <w:rPr>
                <w:webHidden/>
                <w:rStyle w:val="IndexLink"/>
              </w:rPr>
              <w:t>7</w:t>
            </w:r>
            <w:r>
              <w:rPr>
                <w:rStyle w:val="IndexLink"/>
                <w:rtl w:val="true"/>
              </w:rPr>
              <w:t xml:space="preserve">. </w:t>
            </w:r>
            <w:r>
              <w:rPr>
                <w:rStyle w:val="IndexLink"/>
                <w:rtl w:val="true"/>
              </w:rPr>
              <w:t>استصحاب الکلّی</w:t>
            </w:r>
            <w:r>
              <w:rPr>
                <w:rStyle w:val="IndexLink"/>
                <w:rtl w:val="true"/>
              </w:rPr>
              <w:tab/>
            </w:r>
            <w:r>
              <w:rPr>
                <w:rStyle w:val="IndexLink"/>
              </w:rPr>
              <w:t>259</w:t>
            </w:r>
          </w:hyperlink>
        </w:p>
        <w:p>
          <w:pPr>
            <w:pStyle w:val="Contents6"/>
            <w:tabs>
              <w:tab w:val="clear" w:pos="7609"/>
              <w:tab w:val="right" w:pos="9026" w:leader="dot"/>
            </w:tabs>
            <w:rPr/>
          </w:pPr>
          <w:hyperlink w:anchor="__RefHeading___Toc142069_3244359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42071_3244359995">
            <w:r>
              <w:rPr>
                <w:webHidden/>
                <w:rStyle w:val="IndexLink"/>
                <w:rtl w:val="true"/>
              </w:rPr>
              <w:t>جریان الاستصحاب فی الأقسام الأربعة وعدمه</w:t>
            </w:r>
            <w:r>
              <w:rPr>
                <w:rStyle w:val="IndexLink"/>
                <w:rtl w:val="true"/>
              </w:rPr>
              <w:tab/>
            </w:r>
            <w:r>
              <w:rPr>
                <w:rStyle w:val="IndexLink"/>
              </w:rPr>
              <w:t>261</w:t>
            </w:r>
          </w:hyperlink>
        </w:p>
        <w:p>
          <w:pPr>
            <w:pStyle w:val="Contents5"/>
            <w:tabs>
              <w:tab w:val="clear" w:pos="7892"/>
              <w:tab w:val="right" w:pos="9026" w:leader="dot"/>
            </w:tabs>
            <w:rPr/>
          </w:pPr>
          <w:hyperlink w:anchor="__RefHeading___Toc142073_3244359995">
            <w:r>
              <w:rPr>
                <w:webHidden/>
                <w:rStyle w:val="IndexLink"/>
              </w:rPr>
              <w:t>8</w:t>
            </w:r>
            <w:r>
              <w:rPr>
                <w:rStyle w:val="IndexLink"/>
                <w:rtl w:val="true"/>
              </w:rPr>
              <w:t xml:space="preserve">. </w:t>
            </w:r>
            <w:r>
              <w:rPr>
                <w:rStyle w:val="IndexLink"/>
                <w:rtl w:val="true"/>
              </w:rPr>
              <w:t>استصحاب الامور التدریجیّة</w:t>
            </w:r>
            <w:r>
              <w:rPr>
                <w:rStyle w:val="IndexLink"/>
                <w:rtl w:val="true"/>
              </w:rPr>
              <w:tab/>
            </w:r>
            <w:r>
              <w:rPr>
                <w:rStyle w:val="IndexLink"/>
              </w:rPr>
              <w:t>266</w:t>
            </w:r>
          </w:hyperlink>
        </w:p>
        <w:p>
          <w:pPr>
            <w:pStyle w:val="Contents5"/>
            <w:tabs>
              <w:tab w:val="clear" w:pos="7892"/>
              <w:tab w:val="right" w:pos="9026" w:leader="dot"/>
            </w:tabs>
            <w:rPr/>
          </w:pPr>
          <w:hyperlink w:anchor="__RefHeading___Toc142075_3244359995">
            <w:r>
              <w:rPr>
                <w:webHidden/>
                <w:rStyle w:val="IndexLink"/>
              </w:rPr>
              <w:t>9</w:t>
            </w:r>
            <w:r>
              <w:rPr>
                <w:rStyle w:val="IndexLink"/>
                <w:rtl w:val="true"/>
              </w:rPr>
              <w:t xml:space="preserve">. </w:t>
            </w:r>
            <w:r>
              <w:rPr>
                <w:rStyle w:val="IndexLink"/>
                <w:rtl w:val="true"/>
              </w:rPr>
              <w:t>الاستصحاب التعلیقی</w:t>
            </w:r>
            <w:r>
              <w:rPr>
                <w:rStyle w:val="IndexLink"/>
                <w:rtl w:val="true"/>
              </w:rPr>
              <w:tab/>
            </w:r>
            <w:r>
              <w:rPr>
                <w:rStyle w:val="IndexLink"/>
              </w:rPr>
              <w:t>269</w:t>
            </w:r>
          </w:hyperlink>
        </w:p>
        <w:p>
          <w:pPr>
            <w:pStyle w:val="Contents6"/>
            <w:tabs>
              <w:tab w:val="clear" w:pos="7609"/>
              <w:tab w:val="right" w:pos="9026" w:leader="dot"/>
            </w:tabs>
            <w:rPr/>
          </w:pPr>
          <w:hyperlink w:anchor="__RefHeading___Toc142077_3244359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42079_3244359995">
            <w:r>
              <w:rPr>
                <w:webHidden/>
                <w:rStyle w:val="IndexLink"/>
                <w:rtl w:val="true"/>
              </w:rPr>
              <w:t>بقی أمران</w:t>
            </w:r>
            <w:r>
              <w:rPr>
                <w:rStyle w:val="IndexLink"/>
                <w:rtl w:val="true"/>
              </w:rPr>
              <w:t>:</w:t>
              <w:tab/>
            </w:r>
            <w:r>
              <w:rPr>
                <w:rStyle w:val="IndexLink"/>
              </w:rPr>
              <w:t>271</w:t>
            </w:r>
          </w:hyperlink>
        </w:p>
        <w:p>
          <w:pPr>
            <w:pStyle w:val="Contents5"/>
            <w:tabs>
              <w:tab w:val="clear" w:pos="7892"/>
              <w:tab w:val="right" w:pos="9026" w:leader="dot"/>
            </w:tabs>
            <w:rPr/>
          </w:pPr>
          <w:hyperlink w:anchor="__RefHeading___Toc142081_3244359995">
            <w:r>
              <w:rPr>
                <w:webHidden/>
                <w:rStyle w:val="IndexLink"/>
              </w:rPr>
              <w:t>10</w:t>
            </w:r>
            <w:r>
              <w:rPr>
                <w:rStyle w:val="IndexLink"/>
                <w:rtl w:val="true"/>
              </w:rPr>
              <w:t xml:space="preserve">. </w:t>
            </w:r>
            <w:r>
              <w:rPr>
                <w:rStyle w:val="IndexLink"/>
                <w:rtl w:val="true"/>
              </w:rPr>
              <w:t>استصحاب أحکام الشرائع السابقة</w:t>
            </w:r>
            <w:r>
              <w:rPr>
                <w:rStyle w:val="IndexLink"/>
                <w:rtl w:val="true"/>
              </w:rPr>
              <w:tab/>
            </w:r>
            <w:r>
              <w:rPr>
                <w:rStyle w:val="IndexLink"/>
              </w:rPr>
              <w:t>272</w:t>
            </w:r>
          </w:hyperlink>
        </w:p>
        <w:p>
          <w:pPr>
            <w:pStyle w:val="Contents6"/>
            <w:tabs>
              <w:tab w:val="clear" w:pos="7609"/>
              <w:tab w:val="right" w:pos="9026" w:leader="dot"/>
            </w:tabs>
            <w:rPr/>
          </w:pPr>
          <w:hyperlink w:anchor="__RefHeading___Toc142083_3244359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42085_3244359995">
            <w:r>
              <w:rPr>
                <w:webHidden/>
                <w:rStyle w:val="IndexLink"/>
                <w:rtl w:val="true"/>
              </w:rPr>
              <w:t>کلمة حول حقیقة نسخ الشرائع</w:t>
            </w:r>
            <w:r>
              <w:rPr>
                <w:rStyle w:val="IndexLink"/>
                <w:rtl w:val="true"/>
              </w:rPr>
              <w:tab/>
            </w:r>
            <w:r>
              <w:rPr>
                <w:rStyle w:val="IndexLink"/>
              </w:rPr>
              <w:t>273</w:t>
            </w:r>
          </w:hyperlink>
        </w:p>
        <w:p>
          <w:pPr>
            <w:pStyle w:val="Contents5"/>
            <w:tabs>
              <w:tab w:val="clear" w:pos="7892"/>
              <w:tab w:val="right" w:pos="9026" w:leader="dot"/>
            </w:tabs>
            <w:rPr/>
          </w:pPr>
          <w:hyperlink w:anchor="__RefHeading___Toc142087_3244359995">
            <w:r>
              <w:rPr>
                <w:webHidden/>
                <w:rStyle w:val="IndexLink"/>
              </w:rPr>
              <w:t>11</w:t>
            </w:r>
            <w:r>
              <w:rPr>
                <w:rStyle w:val="IndexLink"/>
                <w:rtl w:val="true"/>
              </w:rPr>
              <w:t xml:space="preserve">. </w:t>
            </w:r>
            <w:r>
              <w:rPr>
                <w:rStyle w:val="IndexLink"/>
                <w:rtl w:val="true"/>
              </w:rPr>
              <w:t>الاصول المثبتة وعدم حجّیتها</w:t>
            </w:r>
            <w:r>
              <w:rPr>
                <w:rStyle w:val="IndexLink"/>
                <w:rtl w:val="true"/>
              </w:rPr>
              <w:tab/>
            </w:r>
            <w:r>
              <w:rPr>
                <w:rStyle w:val="IndexLink"/>
              </w:rPr>
              <w:t>274</w:t>
            </w:r>
          </w:hyperlink>
        </w:p>
        <w:p>
          <w:pPr>
            <w:pStyle w:val="Contents6"/>
            <w:tabs>
              <w:tab w:val="clear" w:pos="7609"/>
              <w:tab w:val="right" w:pos="9026" w:leader="dot"/>
            </w:tabs>
            <w:rPr/>
          </w:pPr>
          <w:hyperlink w:anchor="__RefHeading___Toc142089_3244359995">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42091_3244359995">
            <w:r>
              <w:rPr>
                <w:webHidden/>
                <w:rStyle w:val="IndexLink"/>
                <w:rtl w:val="true"/>
              </w:rPr>
              <w:t>القول الفصل فی حجّیة مثبتات الأمارات</w:t>
            </w:r>
            <w:r>
              <w:rPr>
                <w:rStyle w:val="IndexLink"/>
                <w:rtl w:val="true"/>
              </w:rPr>
              <w:tab/>
            </w:r>
            <w:r>
              <w:rPr>
                <w:rStyle w:val="IndexLink"/>
              </w:rPr>
              <w:t>280</w:t>
            </w:r>
          </w:hyperlink>
        </w:p>
        <w:p>
          <w:pPr>
            <w:pStyle w:val="Contents5"/>
            <w:tabs>
              <w:tab w:val="clear" w:pos="7892"/>
              <w:tab w:val="right" w:pos="9026" w:leader="dot"/>
            </w:tabs>
            <w:rPr/>
          </w:pPr>
          <w:hyperlink w:anchor="__RefHeading___Toc142093_3244359995">
            <w:r>
              <w:rPr>
                <w:webHidden/>
                <w:rStyle w:val="IndexLink"/>
              </w:rPr>
              <w:t>12</w:t>
            </w:r>
            <w:r>
              <w:rPr>
                <w:rStyle w:val="IndexLink"/>
                <w:rtl w:val="true"/>
              </w:rPr>
              <w:t xml:space="preserve">. </w:t>
            </w:r>
            <w:r>
              <w:rPr>
                <w:rStyle w:val="IndexLink"/>
                <w:rtl w:val="true"/>
              </w:rPr>
              <w:t>استصحاب تأخّر الحادث</w:t>
            </w:r>
            <w:r>
              <w:rPr>
                <w:rStyle w:val="IndexLink"/>
                <w:rtl w:val="true"/>
              </w:rPr>
              <w:tab/>
            </w:r>
            <w:r>
              <w:rPr>
                <w:rStyle w:val="IndexLink"/>
              </w:rPr>
              <w:t>281</w:t>
            </w:r>
          </w:hyperlink>
        </w:p>
        <w:p>
          <w:pPr>
            <w:pStyle w:val="Contents6"/>
            <w:tabs>
              <w:tab w:val="clear" w:pos="7609"/>
              <w:tab w:val="right" w:pos="9026" w:leader="dot"/>
            </w:tabs>
            <w:rPr/>
          </w:pPr>
          <w:hyperlink w:anchor="__RefHeading___Toc142095_3244359995">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42097_3244359995">
            <w:r>
              <w:rPr>
                <w:webHidden/>
                <w:rStyle w:val="IndexLink"/>
                <w:rtl w:val="true"/>
              </w:rPr>
              <w:t>القول فی توارد الحالتین المتضادّتین فی محلّ واحد</w:t>
            </w:r>
            <w:r>
              <w:rPr>
                <w:rStyle w:val="IndexLink"/>
                <w:rtl w:val="true"/>
              </w:rPr>
              <w:tab/>
            </w:r>
            <w:r>
              <w:rPr>
                <w:rStyle w:val="IndexLink"/>
              </w:rPr>
              <w:t>285</w:t>
            </w:r>
          </w:hyperlink>
        </w:p>
        <w:p>
          <w:pPr>
            <w:pStyle w:val="Contents5"/>
            <w:tabs>
              <w:tab w:val="clear" w:pos="7892"/>
              <w:tab w:val="right" w:pos="9026" w:leader="dot"/>
            </w:tabs>
            <w:rPr/>
          </w:pPr>
          <w:hyperlink w:anchor="__RefHeading___Toc142099_3244359995">
            <w:r>
              <w:rPr>
                <w:webHidden/>
                <w:rStyle w:val="IndexLink"/>
              </w:rPr>
              <w:t>13</w:t>
            </w:r>
            <w:r>
              <w:rPr>
                <w:rStyle w:val="IndexLink"/>
                <w:rtl w:val="true"/>
              </w:rPr>
              <w:t xml:space="preserve">. </w:t>
            </w:r>
            <w:r>
              <w:rPr>
                <w:rStyle w:val="IndexLink"/>
                <w:rtl w:val="true"/>
              </w:rPr>
              <w:t>استصحاب حکم المخصّص</w:t>
            </w:r>
            <w:r>
              <w:rPr>
                <w:rStyle w:val="IndexLink"/>
                <w:rtl w:val="true"/>
              </w:rPr>
              <w:tab/>
            </w:r>
            <w:r>
              <w:rPr>
                <w:rStyle w:val="IndexLink"/>
              </w:rPr>
              <w:t>287</w:t>
            </w:r>
          </w:hyperlink>
        </w:p>
        <w:p>
          <w:pPr>
            <w:pStyle w:val="Contents5"/>
            <w:tabs>
              <w:tab w:val="clear" w:pos="7892"/>
              <w:tab w:val="right" w:pos="9026" w:leader="dot"/>
            </w:tabs>
            <w:rPr/>
          </w:pPr>
          <w:hyperlink w:anchor="__RefHeading___Toc142101_3244359995">
            <w:r>
              <w:rPr>
                <w:webHidden/>
                <w:rStyle w:val="IndexLink"/>
              </w:rPr>
              <w:t>14</w:t>
            </w:r>
            <w:r>
              <w:rPr>
                <w:rStyle w:val="IndexLink"/>
                <w:rtl w:val="true"/>
              </w:rPr>
              <w:t xml:space="preserve">. </w:t>
            </w:r>
            <w:r>
              <w:rPr>
                <w:rStyle w:val="IndexLink"/>
                <w:rtl w:val="true"/>
              </w:rPr>
              <w:t>تقدّم الأمارات علی الاستصحاب</w:t>
            </w:r>
            <w:r>
              <w:rPr>
                <w:rStyle w:val="IndexLink"/>
                <w:rtl w:val="true"/>
              </w:rPr>
              <w:tab/>
            </w:r>
            <w:r>
              <w:rPr>
                <w:rStyle w:val="IndexLink"/>
              </w:rPr>
              <w:t>289</w:t>
            </w:r>
          </w:hyperlink>
        </w:p>
        <w:p>
          <w:pPr>
            <w:pStyle w:val="Contents5"/>
            <w:tabs>
              <w:tab w:val="clear" w:pos="7892"/>
              <w:tab w:val="right" w:pos="9026" w:leader="dot"/>
            </w:tabs>
            <w:rPr/>
          </w:pPr>
          <w:hyperlink w:anchor="__RefHeading___Toc142103_3244359995">
            <w:r>
              <w:rPr>
                <w:webHidden/>
                <w:rStyle w:val="IndexLink"/>
              </w:rPr>
              <w:t>15</w:t>
            </w:r>
            <w:r>
              <w:rPr>
                <w:rStyle w:val="IndexLink"/>
                <w:rtl w:val="true"/>
              </w:rPr>
              <w:t xml:space="preserve">. </w:t>
            </w:r>
            <w:r>
              <w:rPr>
                <w:rStyle w:val="IndexLink"/>
                <w:rtl w:val="true"/>
              </w:rPr>
              <w:t>النسبة بین الاستصحاب وسائر الاصول العملیّة</w:t>
            </w:r>
            <w:r>
              <w:rPr>
                <w:rStyle w:val="IndexLink"/>
                <w:rtl w:val="true"/>
              </w:rPr>
              <w:tab/>
            </w:r>
            <w:r>
              <w:rPr>
                <w:rStyle w:val="IndexLink"/>
              </w:rPr>
              <w:t>292</w:t>
            </w:r>
          </w:hyperlink>
        </w:p>
        <w:p>
          <w:pPr>
            <w:pStyle w:val="Contents5"/>
            <w:tabs>
              <w:tab w:val="clear" w:pos="7892"/>
              <w:tab w:val="right" w:pos="9026" w:leader="dot"/>
            </w:tabs>
            <w:rPr/>
          </w:pPr>
          <w:hyperlink w:anchor="__RefHeading___Toc142105_3244359995">
            <w:r>
              <w:rPr>
                <w:webHidden/>
                <w:rStyle w:val="IndexLink"/>
              </w:rPr>
              <w:t>16</w:t>
            </w:r>
            <w:r>
              <w:rPr>
                <w:rStyle w:val="IndexLink"/>
                <w:rtl w:val="true"/>
              </w:rPr>
              <w:t xml:space="preserve">. </w:t>
            </w:r>
            <w:r>
              <w:rPr>
                <w:rStyle w:val="IndexLink"/>
                <w:rtl w:val="true"/>
              </w:rPr>
              <w:t>تعارض الاستصحابین</w:t>
            </w:r>
            <w:r>
              <w:rPr>
                <w:rStyle w:val="IndexLink"/>
                <w:rtl w:val="true"/>
              </w:rPr>
              <w:tab/>
            </w:r>
            <w:r>
              <w:rPr>
                <w:rStyle w:val="IndexLink"/>
              </w:rPr>
              <w:t>293</w:t>
            </w:r>
          </w:hyperlink>
        </w:p>
        <w:p>
          <w:pPr>
            <w:pStyle w:val="Contents6"/>
            <w:tabs>
              <w:tab w:val="clear" w:pos="7609"/>
              <w:tab w:val="right" w:pos="9026" w:leader="dot"/>
            </w:tabs>
            <w:rPr/>
          </w:pPr>
          <w:hyperlink w:anchor="__RefHeading___Toc142107_3244359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42109_3244359995">
            <w:r>
              <w:rPr>
                <w:webHidden/>
                <w:rStyle w:val="IndexLink"/>
                <w:rtl w:val="true"/>
              </w:rPr>
              <w:t>ما هو الوجه فی تقدیم الأصل السببی علی المسبّبی</w:t>
            </w:r>
            <w:r>
              <w:rPr>
                <w:rStyle w:val="IndexLink"/>
                <w:rtl w:val="true"/>
              </w:rPr>
              <w:tab/>
            </w:r>
            <w:r>
              <w:rPr>
                <w:rStyle w:val="IndexLink"/>
              </w:rPr>
              <w:t>295</w:t>
            </w:r>
          </w:hyperlink>
        </w:p>
        <w:p>
          <w:pPr>
            <w:pStyle w:val="Contents6"/>
            <w:tabs>
              <w:tab w:val="clear" w:pos="7609"/>
              <w:tab w:val="right" w:pos="9026" w:leader="dot"/>
            </w:tabs>
            <w:rPr/>
          </w:pPr>
          <w:hyperlink w:anchor="__RefHeading___Toc142111_3244359995">
            <w:r>
              <w:rPr>
                <w:webHidden/>
                <w:rStyle w:val="IndexLink"/>
                <w:rtl w:val="true"/>
              </w:rPr>
              <w:t>تعارض الاستصحابین إذا کان أحدهما فی عرض الآخر</w:t>
            </w:r>
            <w:r>
              <w:rPr>
                <w:rStyle w:val="IndexLink"/>
                <w:rtl w:val="true"/>
              </w:rPr>
              <w:tab/>
            </w:r>
            <w:r>
              <w:rPr>
                <w:rStyle w:val="IndexLink"/>
              </w:rPr>
              <w:t>296</w:t>
            </w:r>
          </w:hyperlink>
        </w:p>
        <w:p>
          <w:pPr>
            <w:pStyle w:val="Contents5"/>
            <w:tabs>
              <w:tab w:val="clear" w:pos="7892"/>
              <w:tab w:val="right" w:pos="9026" w:leader="dot"/>
            </w:tabs>
            <w:rPr/>
          </w:pPr>
          <w:hyperlink w:anchor="__RefHeading___Toc142113_3244359995">
            <w:r>
              <w:rPr>
                <w:webHidden/>
                <w:rStyle w:val="IndexLink"/>
              </w:rPr>
              <w:t>17</w:t>
            </w:r>
            <w:r>
              <w:rPr>
                <w:rStyle w:val="IndexLink"/>
                <w:rtl w:val="true"/>
              </w:rPr>
              <w:t xml:space="preserve">. </w:t>
            </w:r>
            <w:r>
              <w:rPr>
                <w:rStyle w:val="IndexLink"/>
                <w:rtl w:val="true"/>
              </w:rPr>
              <w:t>نسبة الاستصحاب مع القواعد الجاریة فی الشبهات الموضوعیّة</w:t>
            </w:r>
            <w:r>
              <w:rPr>
                <w:rStyle w:val="IndexLink"/>
                <w:rtl w:val="true"/>
              </w:rPr>
              <w:tab/>
            </w:r>
            <w:r>
              <w:rPr>
                <w:rStyle w:val="IndexLink"/>
              </w:rPr>
              <w:t>298</w:t>
            </w:r>
          </w:hyperlink>
        </w:p>
        <w:p>
          <w:pPr>
            <w:pStyle w:val="Contents5"/>
            <w:tabs>
              <w:tab w:val="clear" w:pos="7892"/>
              <w:tab w:val="right" w:pos="9026" w:leader="dot"/>
            </w:tabs>
            <w:rPr/>
          </w:pPr>
          <w:hyperlink w:anchor="__RefHeading___Toc142115_3244359995">
            <w:r>
              <w:rPr>
                <w:webHidden/>
                <w:rStyle w:val="IndexLink"/>
                <w:rtl w:val="true"/>
              </w:rPr>
              <w:t>وجه تقدیم الاستصحاب علی القرعة</w:t>
            </w:r>
            <w:r>
              <w:rPr>
                <w:rStyle w:val="IndexLink"/>
                <w:rtl w:val="true"/>
              </w:rPr>
              <w:tab/>
            </w:r>
            <w:r>
              <w:rPr>
                <w:rStyle w:val="IndexLink"/>
              </w:rPr>
              <w:t>299</w:t>
            </w:r>
          </w:hyperlink>
        </w:p>
        <w:p>
          <w:pPr>
            <w:pStyle w:val="Contents3"/>
            <w:tabs>
              <w:tab w:val="clear" w:pos="8459"/>
              <w:tab w:val="right" w:pos="9026" w:leader="dot"/>
            </w:tabs>
            <w:rPr/>
          </w:pPr>
          <w:hyperlink w:anchor="__RefHeading___Toc142117_3244359995">
            <w:r>
              <w:rPr>
                <w:webHidden/>
                <w:rStyle w:val="IndexLink"/>
                <w:rtl w:val="true"/>
              </w:rPr>
              <w:t>الخاتمة</w:t>
            </w:r>
            <w:r>
              <w:rPr>
                <w:rStyle w:val="IndexLink"/>
                <w:rtl w:val="true"/>
              </w:rPr>
              <w:t xml:space="preserve">: </w:t>
            </w:r>
            <w:r>
              <w:rPr>
                <w:rStyle w:val="IndexLink"/>
                <w:rtl w:val="true"/>
              </w:rPr>
              <w:t>شرایط جریان الأصول</w:t>
            </w:r>
            <w:r>
              <w:rPr>
                <w:rStyle w:val="IndexLink"/>
                <w:rtl w:val="true"/>
              </w:rPr>
              <w:tab/>
            </w:r>
            <w:r>
              <w:rPr>
                <w:rStyle w:val="IndexLink"/>
              </w:rPr>
              <w:t>302</w:t>
            </w:r>
          </w:hyperlink>
        </w:p>
        <w:p>
          <w:pPr>
            <w:pStyle w:val="Contents4"/>
            <w:tabs>
              <w:tab w:val="clear" w:pos="8176"/>
              <w:tab w:val="right" w:pos="9026" w:leader="dot"/>
            </w:tabs>
            <w:rPr/>
          </w:pPr>
          <w:hyperlink w:anchor="__RefHeading___Toc142119_3244359995">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2121_3244359995">
            <w:r>
              <w:rPr>
                <w:webHidden/>
                <w:rStyle w:val="IndexLink"/>
                <w:rtl w:val="true"/>
              </w:rPr>
              <w:t>المقام الأوّل</w:t>
            </w:r>
            <w:r>
              <w:rPr>
                <w:rStyle w:val="IndexLink"/>
                <w:rtl w:val="true"/>
              </w:rPr>
              <w:t xml:space="preserve">: </w:t>
            </w:r>
            <w:r>
              <w:rPr>
                <w:rStyle w:val="IndexLink"/>
                <w:rtl w:val="true"/>
              </w:rPr>
              <w:t>فی شرائط جریان أصالة الاحتیاط</w:t>
            </w:r>
            <w:r>
              <w:rPr>
                <w:rStyle w:val="IndexLink"/>
                <w:rtl w:val="true"/>
              </w:rPr>
              <w:tab/>
            </w:r>
            <w:r>
              <w:rPr>
                <w:rStyle w:val="IndexLink"/>
              </w:rPr>
              <w:t>302</w:t>
            </w:r>
          </w:hyperlink>
        </w:p>
        <w:p>
          <w:pPr>
            <w:pStyle w:val="Contents5"/>
            <w:tabs>
              <w:tab w:val="clear" w:pos="7892"/>
              <w:tab w:val="right" w:pos="9026" w:leader="dot"/>
            </w:tabs>
            <w:rPr/>
          </w:pPr>
          <w:hyperlink w:anchor="__RefHeading___Toc142123_3244359995">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42125_3244359995">
            <w:r>
              <w:rPr>
                <w:webHidden/>
                <w:rStyle w:val="IndexLink"/>
                <w:rtl w:val="true"/>
              </w:rPr>
              <w:t>جواز العمل بالاحتیاط مع إمکان الاجتهاد أو التقلید</w:t>
            </w:r>
            <w:r>
              <w:rPr>
                <w:rStyle w:val="IndexLink"/>
                <w:rtl w:val="true"/>
              </w:rPr>
              <w:tab/>
            </w:r>
            <w:r>
              <w:rPr>
                <w:rStyle w:val="IndexLink"/>
              </w:rPr>
              <w:t>304</w:t>
            </w:r>
          </w:hyperlink>
        </w:p>
        <w:p>
          <w:pPr>
            <w:pStyle w:val="Contents4"/>
            <w:tabs>
              <w:tab w:val="clear" w:pos="8176"/>
              <w:tab w:val="right" w:pos="9026" w:leader="dot"/>
            </w:tabs>
            <w:rPr/>
          </w:pPr>
          <w:hyperlink w:anchor="__RefHeading___Toc142127_3244359995">
            <w:r>
              <w:rPr>
                <w:webHidden/>
                <w:rStyle w:val="IndexLink"/>
                <w:rtl w:val="true"/>
              </w:rPr>
              <w:t>المقام الثانی</w:t>
            </w:r>
            <w:r>
              <w:rPr>
                <w:rStyle w:val="IndexLink"/>
                <w:rtl w:val="true"/>
              </w:rPr>
              <w:t xml:space="preserve">: </w:t>
            </w:r>
            <w:r>
              <w:rPr>
                <w:rStyle w:val="IndexLink"/>
                <w:rtl w:val="true"/>
              </w:rPr>
              <w:t>فی شرائط جریان سائر الأصول</w:t>
            </w:r>
            <w:r>
              <w:rPr>
                <w:rStyle w:val="IndexLink"/>
                <w:rtl w:val="true"/>
              </w:rPr>
              <w:tab/>
            </w:r>
            <w:r>
              <w:rPr>
                <w:rStyle w:val="IndexLink"/>
              </w:rPr>
              <w:t>305</w:t>
            </w:r>
          </w:hyperlink>
        </w:p>
        <w:p>
          <w:pPr>
            <w:pStyle w:val="Contents5"/>
            <w:tabs>
              <w:tab w:val="clear" w:pos="7892"/>
              <w:tab w:val="right" w:pos="9026" w:leader="dot"/>
            </w:tabs>
            <w:rPr/>
          </w:pPr>
          <w:hyperlink w:anchor="__RefHeading___Toc142129_3244359995">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42131_3244359995">
            <w:r>
              <w:rPr>
                <w:webHidden/>
                <w:rStyle w:val="IndexLink"/>
                <w:rtl w:val="true"/>
              </w:rPr>
              <w:t>المورد الأوّل</w:t>
            </w:r>
            <w:r>
              <w:rPr>
                <w:rStyle w:val="IndexLink"/>
                <w:rtl w:val="true"/>
              </w:rPr>
              <w:t xml:space="preserve">: </w:t>
            </w:r>
            <w:r>
              <w:rPr>
                <w:rStyle w:val="IndexLink"/>
                <w:rtl w:val="true"/>
              </w:rPr>
              <w:t>الشبهات الموضوعیّة</w:t>
            </w:r>
            <w:r>
              <w:rPr>
                <w:rStyle w:val="IndexLink"/>
                <w:rtl w:val="true"/>
              </w:rPr>
              <w:tab/>
            </w:r>
            <w:r>
              <w:rPr>
                <w:rStyle w:val="IndexLink"/>
              </w:rPr>
              <w:t>305</w:t>
            </w:r>
          </w:hyperlink>
        </w:p>
        <w:p>
          <w:pPr>
            <w:pStyle w:val="Contents5"/>
            <w:tabs>
              <w:tab w:val="clear" w:pos="7892"/>
              <w:tab w:val="right" w:pos="9026" w:leader="dot"/>
            </w:tabs>
            <w:rPr/>
          </w:pPr>
          <w:hyperlink w:anchor="__RefHeading___Toc142133_3244359995">
            <w:r>
              <w:rPr>
                <w:webHidden/>
                <w:rStyle w:val="IndexLink"/>
                <w:rtl w:val="true"/>
              </w:rPr>
              <w:t>فی مقدار الواجب من الفحص</w:t>
            </w:r>
            <w:r>
              <w:rPr>
                <w:rStyle w:val="IndexLink"/>
                <w:rtl w:val="true"/>
              </w:rPr>
              <w:tab/>
            </w:r>
            <w:r>
              <w:rPr>
                <w:rStyle w:val="IndexLink"/>
              </w:rPr>
              <w:t>307</w:t>
            </w:r>
          </w:hyperlink>
        </w:p>
        <w:p>
          <w:pPr>
            <w:pStyle w:val="Contents5"/>
            <w:tabs>
              <w:tab w:val="clear" w:pos="7892"/>
              <w:tab w:val="right" w:pos="9026" w:leader="dot"/>
            </w:tabs>
            <w:rPr/>
          </w:pPr>
          <w:hyperlink w:anchor="__RefHeading___Toc142135_3244359995">
            <w:r>
              <w:rPr>
                <w:webHidden/>
                <w:rStyle w:val="IndexLink"/>
                <w:rtl w:val="true"/>
              </w:rPr>
              <w:t>المورد الثانی</w:t>
            </w:r>
            <w:r>
              <w:rPr>
                <w:rStyle w:val="IndexLink"/>
                <w:rtl w:val="true"/>
              </w:rPr>
              <w:t xml:space="preserve">: </w:t>
            </w:r>
            <w:r>
              <w:rPr>
                <w:rStyle w:val="IndexLink"/>
                <w:rtl w:val="true"/>
              </w:rPr>
              <w:t>الفحص فی الشبهات الموضوعیّة</w:t>
            </w:r>
            <w:r>
              <w:rPr>
                <w:rStyle w:val="IndexLink"/>
                <w:rtl w:val="true"/>
              </w:rPr>
              <w:tab/>
            </w:r>
            <w:r>
              <w:rPr>
                <w:rStyle w:val="IndexLink"/>
              </w:rPr>
              <w:t>307</w:t>
            </w:r>
          </w:hyperlink>
        </w:p>
        <w:p>
          <w:pPr>
            <w:pStyle w:val="Contents5"/>
            <w:tabs>
              <w:tab w:val="clear" w:pos="7892"/>
              <w:tab w:val="right" w:pos="9026" w:leader="dot"/>
            </w:tabs>
            <w:rPr/>
          </w:pPr>
          <w:hyperlink w:anchor="__RefHeading___Toc142137_3244359995">
            <w:r>
              <w:rPr>
                <w:webHidden/>
                <w:rStyle w:val="IndexLink"/>
                <w:rtl w:val="true"/>
              </w:rPr>
              <w:t>تنبیه</w:t>
            </w:r>
            <w:r>
              <w:rPr>
                <w:rStyle w:val="IndexLink"/>
                <w:rtl w:val="true"/>
              </w:rPr>
              <w:t>:</w:t>
              <w:tab/>
            </w:r>
            <w:r>
              <w:rPr>
                <w:rStyle w:val="IndexLink"/>
              </w:rPr>
              <w:t>308</w:t>
            </w:r>
          </w:hyperlink>
        </w:p>
        <w:p>
          <w:pPr>
            <w:pStyle w:val="Contents2"/>
            <w:tabs>
              <w:tab w:val="clear" w:pos="8743"/>
              <w:tab w:val="right" w:pos="9026" w:leader="dot"/>
            </w:tabs>
            <w:rPr/>
          </w:pPr>
          <w:hyperlink w:anchor="__RefHeading___Toc142139_3244359995">
            <w:r>
              <w:rPr>
                <w:webHidden/>
                <w:rStyle w:val="IndexLink"/>
                <w:rtl w:val="true"/>
              </w:rPr>
              <w:t>الخاتمة</w:t>
            </w:r>
            <w:r>
              <w:rPr>
                <w:rStyle w:val="IndexLink"/>
                <w:rtl w:val="true"/>
              </w:rPr>
              <w:t xml:space="preserve">: </w:t>
            </w:r>
            <w:r>
              <w:rPr>
                <w:rStyle w:val="IndexLink"/>
                <w:rtl w:val="true"/>
              </w:rPr>
              <w:t>الاجتهاد والتقلید</w:t>
            </w:r>
            <w:r>
              <w:rPr>
                <w:rStyle w:val="IndexLink"/>
                <w:rtl w:val="true"/>
              </w:rPr>
              <w:tab/>
            </w:r>
            <w:r>
              <w:rPr>
                <w:rStyle w:val="IndexLink"/>
              </w:rPr>
              <w:t>310</w:t>
            </w:r>
          </w:hyperlink>
        </w:p>
        <w:p>
          <w:pPr>
            <w:pStyle w:val="Contents3"/>
            <w:tabs>
              <w:tab w:val="clear" w:pos="8459"/>
              <w:tab w:val="right" w:pos="9026" w:leader="dot"/>
            </w:tabs>
            <w:rPr/>
          </w:pPr>
          <w:hyperlink w:anchor="__RefHeading___Toc142141_3244359995">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42143_3244359995">
            <w:r>
              <w:rPr>
                <w:webHidden/>
                <w:rStyle w:val="IndexLink"/>
                <w:rtl w:val="true"/>
              </w:rPr>
              <w:t>المقام الأوّل فی مباحث الاجتهاد</w:t>
            </w:r>
            <w:r>
              <w:rPr>
                <w:rStyle w:val="IndexLink"/>
                <w:rtl w:val="true"/>
              </w:rPr>
              <w:tab/>
            </w:r>
            <w:r>
              <w:rPr>
                <w:rStyle w:val="IndexLink"/>
              </w:rPr>
              <w:t>310</w:t>
            </w:r>
          </w:hyperlink>
        </w:p>
        <w:p>
          <w:pPr>
            <w:pStyle w:val="Contents3"/>
            <w:tabs>
              <w:tab w:val="clear" w:pos="8459"/>
              <w:tab w:val="right" w:pos="9026" w:leader="dot"/>
            </w:tabs>
            <w:rPr/>
          </w:pPr>
          <w:hyperlink w:anchor="__RefHeading___Toc142145_3244359995">
            <w:r>
              <w:rPr>
                <w:webHidden/>
                <w:rStyle w:val="IndexLink"/>
                <w:rtl w:val="true"/>
              </w:rPr>
              <w:t>المقام الثانی فی مباحث التقلید</w:t>
            </w:r>
            <w:r>
              <w:rPr>
                <w:rStyle w:val="IndexLink"/>
                <w:rtl w:val="true"/>
              </w:rPr>
              <w:tab/>
            </w:r>
            <w:r>
              <w:rPr>
                <w:rStyle w:val="IndexLink"/>
              </w:rPr>
              <w:t>310</w:t>
            </w:r>
          </w:hyperlink>
        </w:p>
        <w:p>
          <w:pPr>
            <w:pStyle w:val="Contents3"/>
            <w:tabs>
              <w:tab w:val="clear" w:pos="8459"/>
              <w:tab w:val="right" w:pos="9026" w:leader="dot"/>
            </w:tabs>
            <w:rPr/>
          </w:pPr>
          <w:hyperlink w:anchor="__RefHeading___Toc142147_3244359995">
            <w:r>
              <w:rPr>
                <w:webHidden/>
                <w:rStyle w:val="IndexLink"/>
                <w:rtl w:val="true"/>
              </w:rPr>
              <w:t>المقام الأوّل</w:t>
            </w:r>
            <w:r>
              <w:rPr>
                <w:rStyle w:val="IndexLink"/>
                <w:rtl w:val="true"/>
              </w:rPr>
              <w:t xml:space="preserve">: </w:t>
            </w:r>
            <w:r>
              <w:rPr>
                <w:rStyle w:val="IndexLink"/>
                <w:rtl w:val="true"/>
              </w:rPr>
              <w:t>مباحث الاجتهاد</w:t>
            </w:r>
            <w:r>
              <w:rPr>
                <w:rStyle w:val="IndexLink"/>
                <w:rtl w:val="true"/>
              </w:rPr>
              <w:tab/>
            </w:r>
            <w:r>
              <w:rPr>
                <w:rStyle w:val="IndexLink"/>
              </w:rPr>
              <w:t>311</w:t>
            </w:r>
          </w:hyperlink>
        </w:p>
        <w:p>
          <w:pPr>
            <w:pStyle w:val="Contents4"/>
            <w:tabs>
              <w:tab w:val="clear" w:pos="8176"/>
              <w:tab w:val="right" w:pos="9026" w:leader="dot"/>
            </w:tabs>
            <w:rPr/>
          </w:pPr>
          <w:hyperlink w:anchor="__RefHeading___Toc142149_3244359995">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2151_3244359995">
            <w:r>
              <w:rPr>
                <w:webHidden/>
                <w:rStyle w:val="IndexLink"/>
              </w:rPr>
              <w:t>1</w:t>
            </w:r>
            <w:r>
              <w:rPr>
                <w:rStyle w:val="IndexLink"/>
                <w:rtl w:val="true"/>
              </w:rPr>
              <w:t xml:space="preserve">. </w:t>
            </w:r>
            <w:r>
              <w:rPr>
                <w:rStyle w:val="IndexLink"/>
                <w:rtl w:val="true"/>
              </w:rPr>
              <w:t>الاجتهاد فی اللغة والاصطلاح</w:t>
            </w:r>
            <w:r>
              <w:rPr>
                <w:rStyle w:val="IndexLink"/>
                <w:rtl w:val="true"/>
              </w:rPr>
              <w:tab/>
            </w:r>
            <w:r>
              <w:rPr>
                <w:rStyle w:val="IndexLink"/>
              </w:rPr>
              <w:t>311</w:t>
            </w:r>
          </w:hyperlink>
        </w:p>
        <w:p>
          <w:pPr>
            <w:pStyle w:val="Contents4"/>
            <w:tabs>
              <w:tab w:val="clear" w:pos="8176"/>
              <w:tab w:val="right" w:pos="9026" w:leader="dot"/>
            </w:tabs>
            <w:rPr/>
          </w:pPr>
          <w:hyperlink w:anchor="__RefHeading___Toc142153_3244359995">
            <w:r>
              <w:rPr>
                <w:webHidden/>
                <w:rStyle w:val="IndexLink"/>
              </w:rPr>
              <w:t>2</w:t>
            </w:r>
            <w:r>
              <w:rPr>
                <w:rStyle w:val="IndexLink"/>
                <w:rtl w:val="true"/>
              </w:rPr>
              <w:t xml:space="preserve">. </w:t>
            </w:r>
            <w:r>
              <w:rPr>
                <w:rStyle w:val="IndexLink"/>
                <w:rtl w:val="true"/>
              </w:rPr>
              <w:t>الاجتهاد بالمعنی العامّ والخاصّ</w:t>
            </w:r>
            <w:r>
              <w:rPr>
                <w:rStyle w:val="IndexLink"/>
                <w:rtl w:val="true"/>
              </w:rPr>
              <w:tab/>
            </w:r>
            <w:r>
              <w:rPr>
                <w:rStyle w:val="IndexLink"/>
              </w:rPr>
              <w:t>313</w:t>
            </w:r>
          </w:hyperlink>
        </w:p>
        <w:p>
          <w:pPr>
            <w:pStyle w:val="Contents4"/>
            <w:tabs>
              <w:tab w:val="clear" w:pos="8176"/>
              <w:tab w:val="right" w:pos="9026" w:leader="dot"/>
            </w:tabs>
            <w:rPr/>
          </w:pPr>
          <w:hyperlink w:anchor="__RefHeading___Toc142155_3244359995">
            <w:r>
              <w:rPr>
                <w:webHidden/>
                <w:rStyle w:val="IndexLink"/>
              </w:rPr>
              <w:t>3</w:t>
            </w:r>
            <w:r>
              <w:rPr>
                <w:rStyle w:val="IndexLink"/>
                <w:rtl w:val="true"/>
              </w:rPr>
              <w:t xml:space="preserve">. </w:t>
            </w:r>
            <w:r>
              <w:rPr>
                <w:rStyle w:val="IndexLink"/>
                <w:rtl w:val="true"/>
              </w:rPr>
              <w:t>المجتهد المطلق والمتجزّی</w:t>
            </w:r>
            <w:r>
              <w:rPr>
                <w:rStyle w:val="IndexLink"/>
                <w:rtl w:val="true"/>
              </w:rPr>
              <w:tab/>
            </w:r>
            <w:r>
              <w:rPr>
                <w:rStyle w:val="IndexLink"/>
              </w:rPr>
              <w:t>315</w:t>
            </w:r>
          </w:hyperlink>
        </w:p>
        <w:p>
          <w:pPr>
            <w:pStyle w:val="Contents5"/>
            <w:tabs>
              <w:tab w:val="clear" w:pos="7892"/>
              <w:tab w:val="right" w:pos="9026" w:leader="dot"/>
            </w:tabs>
            <w:rPr/>
          </w:pPr>
          <w:hyperlink w:anchor="__RefHeading___Toc142157_3244359995">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42159_3244359995">
            <w:r>
              <w:rPr>
                <w:webHidden/>
                <w:rStyle w:val="IndexLink"/>
                <w:rtl w:val="true"/>
              </w:rPr>
              <w:t>المرحلة الاولی</w:t>
            </w:r>
            <w:r>
              <w:rPr>
                <w:rStyle w:val="IndexLink"/>
                <w:rtl w:val="true"/>
              </w:rPr>
              <w:t xml:space="preserve">: </w:t>
            </w:r>
            <w:r>
              <w:rPr>
                <w:rStyle w:val="IndexLink"/>
                <w:rtl w:val="true"/>
              </w:rPr>
              <w:t>فی أحکام المجتهد المطلق</w:t>
            </w:r>
            <w:r>
              <w:rPr>
                <w:rStyle w:val="IndexLink"/>
                <w:rtl w:val="true"/>
              </w:rPr>
              <w:tab/>
            </w:r>
            <w:r>
              <w:rPr>
                <w:rStyle w:val="IndexLink"/>
              </w:rPr>
              <w:t>316</w:t>
            </w:r>
          </w:hyperlink>
        </w:p>
        <w:p>
          <w:pPr>
            <w:pStyle w:val="Contents6"/>
            <w:tabs>
              <w:tab w:val="clear" w:pos="7609"/>
              <w:tab w:val="right" w:pos="9026" w:leader="dot"/>
            </w:tabs>
            <w:rPr/>
          </w:pPr>
          <w:hyperlink w:anchor="__RefHeading___Toc142161_3244359995">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42163_3244359995">
            <w:r>
              <w:rPr>
                <w:webHidden/>
                <w:rStyle w:val="IndexLink"/>
                <w:rtl w:val="true"/>
              </w:rPr>
              <w:t>المسألة الاولی</w:t>
            </w:r>
            <w:r>
              <w:rPr>
                <w:rStyle w:val="IndexLink"/>
                <w:rtl w:val="true"/>
              </w:rPr>
              <w:t xml:space="preserve">: </w:t>
            </w:r>
            <w:r>
              <w:rPr>
                <w:rStyle w:val="IndexLink"/>
                <w:rtl w:val="true"/>
              </w:rPr>
              <w:t>إمکان تحقّق الاجتهاد المطلق</w:t>
            </w:r>
            <w:r>
              <w:rPr>
                <w:rStyle w:val="IndexLink"/>
                <w:rtl w:val="true"/>
              </w:rPr>
              <w:tab/>
            </w:r>
            <w:r>
              <w:rPr>
                <w:rStyle w:val="IndexLink"/>
              </w:rPr>
              <w:t>316</w:t>
            </w:r>
          </w:hyperlink>
        </w:p>
        <w:p>
          <w:pPr>
            <w:pStyle w:val="Contents6"/>
            <w:tabs>
              <w:tab w:val="clear" w:pos="7609"/>
              <w:tab w:val="right" w:pos="9026" w:leader="dot"/>
            </w:tabs>
            <w:rPr/>
          </w:pPr>
          <w:hyperlink w:anchor="__RefHeading___Toc142165_3244359995">
            <w:r>
              <w:rPr>
                <w:webHidden/>
                <w:rStyle w:val="IndexLink"/>
                <w:rtl w:val="true"/>
              </w:rPr>
              <w:t>المسألة الثانیة</w:t>
            </w:r>
            <w:r>
              <w:rPr>
                <w:rStyle w:val="IndexLink"/>
                <w:rtl w:val="true"/>
              </w:rPr>
              <w:t xml:space="preserve">: </w:t>
            </w:r>
            <w:r>
              <w:rPr>
                <w:rStyle w:val="IndexLink"/>
                <w:rtl w:val="true"/>
              </w:rPr>
              <w:t>جواز العمل برأی المجتهد المطلق</w:t>
            </w:r>
            <w:r>
              <w:rPr>
                <w:rStyle w:val="IndexLink"/>
                <w:rtl w:val="true"/>
              </w:rPr>
              <w:tab/>
            </w:r>
            <w:r>
              <w:rPr>
                <w:rStyle w:val="IndexLink"/>
              </w:rPr>
              <w:t>317</w:t>
            </w:r>
          </w:hyperlink>
        </w:p>
        <w:p>
          <w:pPr>
            <w:pStyle w:val="Contents6"/>
            <w:tabs>
              <w:tab w:val="clear" w:pos="7609"/>
              <w:tab w:val="right" w:pos="9026" w:leader="dot"/>
            </w:tabs>
            <w:rPr/>
          </w:pPr>
          <w:hyperlink w:anchor="__RefHeading___Toc142167_3244359995">
            <w:r>
              <w:rPr>
                <w:webHidden/>
                <w:rStyle w:val="IndexLink"/>
                <w:rtl w:val="true"/>
              </w:rPr>
              <w:t>المسألة الثالثة</w:t>
            </w:r>
            <w:r>
              <w:rPr>
                <w:rStyle w:val="IndexLink"/>
                <w:rtl w:val="true"/>
              </w:rPr>
              <w:t xml:space="preserve">: </w:t>
            </w:r>
            <w:r>
              <w:rPr>
                <w:rStyle w:val="IndexLink"/>
                <w:rtl w:val="true"/>
              </w:rPr>
              <w:t>جواز القضاء للمجتهد المطلق</w:t>
            </w:r>
            <w:r>
              <w:rPr>
                <w:rStyle w:val="IndexLink"/>
                <w:rtl w:val="true"/>
              </w:rPr>
              <w:tab/>
            </w:r>
            <w:r>
              <w:rPr>
                <w:rStyle w:val="IndexLink"/>
              </w:rPr>
              <w:t>319</w:t>
            </w:r>
          </w:hyperlink>
        </w:p>
        <w:p>
          <w:pPr>
            <w:pStyle w:val="Contents6"/>
            <w:tabs>
              <w:tab w:val="clear" w:pos="7609"/>
              <w:tab w:val="right" w:pos="9026" w:leader="dot"/>
            </w:tabs>
            <w:rPr/>
          </w:pPr>
          <w:hyperlink w:anchor="__RefHeading___Toc142169_3244359995">
            <w:r>
              <w:rPr>
                <w:webHidden/>
                <w:rStyle w:val="IndexLink"/>
                <w:rtl w:val="true"/>
              </w:rPr>
              <w:t>المسألة الرابعة</w:t>
            </w:r>
            <w:r>
              <w:rPr>
                <w:rStyle w:val="IndexLink"/>
                <w:rtl w:val="true"/>
              </w:rPr>
              <w:t xml:space="preserve">: </w:t>
            </w:r>
            <w:r>
              <w:rPr>
                <w:rStyle w:val="IndexLink"/>
                <w:rtl w:val="true"/>
              </w:rPr>
              <w:t>حول منصب الولایة والحکومة</w:t>
            </w:r>
            <w:r>
              <w:rPr>
                <w:rStyle w:val="IndexLink"/>
                <w:rtl w:val="true"/>
              </w:rPr>
              <w:tab/>
            </w:r>
            <w:r>
              <w:rPr>
                <w:rStyle w:val="IndexLink"/>
              </w:rPr>
              <w:t>321</w:t>
            </w:r>
          </w:hyperlink>
        </w:p>
        <w:p>
          <w:pPr>
            <w:pStyle w:val="Contents5"/>
            <w:tabs>
              <w:tab w:val="clear" w:pos="7892"/>
              <w:tab w:val="right" w:pos="9026" w:leader="dot"/>
            </w:tabs>
            <w:rPr/>
          </w:pPr>
          <w:hyperlink w:anchor="__RefHeading___Toc142171_3244359995">
            <w:r>
              <w:rPr>
                <w:webHidden/>
                <w:rStyle w:val="IndexLink"/>
                <w:rtl w:val="true"/>
              </w:rPr>
              <w:t>المرحلة الثانیة</w:t>
            </w:r>
            <w:r>
              <w:rPr>
                <w:rStyle w:val="IndexLink"/>
                <w:rtl w:val="true"/>
              </w:rPr>
              <w:t xml:space="preserve">: </w:t>
            </w:r>
            <w:r>
              <w:rPr>
                <w:rStyle w:val="IndexLink"/>
                <w:rtl w:val="true"/>
              </w:rPr>
              <w:t>فی أحکام المجتهد المتجزّی</w:t>
            </w:r>
            <w:r>
              <w:rPr>
                <w:rStyle w:val="IndexLink"/>
                <w:rtl w:val="true"/>
              </w:rPr>
              <w:tab/>
            </w:r>
            <w:r>
              <w:rPr>
                <w:rStyle w:val="IndexLink"/>
              </w:rPr>
              <w:t>322</w:t>
            </w:r>
          </w:hyperlink>
        </w:p>
        <w:p>
          <w:pPr>
            <w:pStyle w:val="Contents6"/>
            <w:tabs>
              <w:tab w:val="clear" w:pos="7609"/>
              <w:tab w:val="right" w:pos="9026" w:leader="dot"/>
            </w:tabs>
            <w:rPr/>
          </w:pPr>
          <w:hyperlink w:anchor="__RefHeading___Toc142173_3244359995">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42175_3244359995">
            <w:r>
              <w:rPr>
                <w:webHidden/>
                <w:rStyle w:val="IndexLink"/>
                <w:rtl w:val="true"/>
              </w:rPr>
              <w:t>الأوّل</w:t>
            </w:r>
            <w:r>
              <w:rPr>
                <w:rStyle w:val="IndexLink"/>
                <w:rtl w:val="true"/>
              </w:rPr>
              <w:t xml:space="preserve">: </w:t>
            </w:r>
            <w:r>
              <w:rPr>
                <w:rStyle w:val="IndexLink"/>
                <w:rtl w:val="true"/>
              </w:rPr>
              <w:t>جواز عمل المجتهد المتجزّی برأیه</w:t>
            </w:r>
            <w:r>
              <w:rPr>
                <w:rStyle w:val="IndexLink"/>
                <w:rtl w:val="true"/>
              </w:rPr>
              <w:tab/>
            </w:r>
            <w:r>
              <w:rPr>
                <w:rStyle w:val="IndexLink"/>
              </w:rPr>
              <w:t>323</w:t>
            </w:r>
          </w:hyperlink>
        </w:p>
        <w:p>
          <w:pPr>
            <w:pStyle w:val="Contents6"/>
            <w:tabs>
              <w:tab w:val="clear" w:pos="7609"/>
              <w:tab w:val="right" w:pos="9026" w:leader="dot"/>
            </w:tabs>
            <w:rPr/>
          </w:pPr>
          <w:hyperlink w:anchor="__RefHeading___Toc142177_3244359995">
            <w:r>
              <w:rPr>
                <w:webHidden/>
                <w:rStyle w:val="IndexLink"/>
                <w:rtl w:val="true"/>
              </w:rPr>
              <w:t>الثانی</w:t>
            </w:r>
            <w:r>
              <w:rPr>
                <w:rStyle w:val="IndexLink"/>
                <w:rtl w:val="true"/>
              </w:rPr>
              <w:t xml:space="preserve">: </w:t>
            </w:r>
            <w:r>
              <w:rPr>
                <w:rStyle w:val="IndexLink"/>
                <w:rtl w:val="true"/>
              </w:rPr>
              <w:t>جواز رجوع الغیر إلیه</w:t>
            </w:r>
            <w:r>
              <w:rPr>
                <w:rStyle w:val="IndexLink"/>
                <w:rtl w:val="true"/>
              </w:rPr>
              <w:tab/>
            </w:r>
            <w:r>
              <w:rPr>
                <w:rStyle w:val="IndexLink"/>
              </w:rPr>
              <w:t>323</w:t>
            </w:r>
          </w:hyperlink>
        </w:p>
        <w:p>
          <w:pPr>
            <w:pStyle w:val="Contents6"/>
            <w:tabs>
              <w:tab w:val="clear" w:pos="7609"/>
              <w:tab w:val="right" w:pos="9026" w:leader="dot"/>
            </w:tabs>
            <w:rPr/>
          </w:pPr>
          <w:hyperlink w:anchor="__RefHeading___Toc142179_3244359995">
            <w:r>
              <w:rPr>
                <w:webHidden/>
                <w:rStyle w:val="IndexLink"/>
                <w:rtl w:val="true"/>
              </w:rPr>
              <w:t>الثالث</w:t>
            </w:r>
            <w:r>
              <w:rPr>
                <w:rStyle w:val="IndexLink"/>
                <w:rtl w:val="true"/>
              </w:rPr>
              <w:t xml:space="preserve">: </w:t>
            </w:r>
            <w:r>
              <w:rPr>
                <w:rStyle w:val="IndexLink"/>
                <w:rtl w:val="true"/>
              </w:rPr>
              <w:t>تصدّی المجتهد المتجزّی لمنصب القضاء</w:t>
            </w:r>
            <w:r>
              <w:rPr>
                <w:rStyle w:val="IndexLink"/>
                <w:rtl w:val="true"/>
              </w:rPr>
              <w:tab/>
            </w:r>
            <w:r>
              <w:rPr>
                <w:rStyle w:val="IndexLink"/>
              </w:rPr>
              <w:t>324</w:t>
            </w:r>
          </w:hyperlink>
        </w:p>
        <w:p>
          <w:pPr>
            <w:pStyle w:val="Contents6"/>
            <w:tabs>
              <w:tab w:val="clear" w:pos="7609"/>
              <w:tab w:val="right" w:pos="9026" w:leader="dot"/>
            </w:tabs>
            <w:rPr/>
          </w:pPr>
          <w:hyperlink w:anchor="__RefHeading___Toc142181_3244359995">
            <w:r>
              <w:rPr>
                <w:webHidden/>
                <w:rStyle w:val="IndexLink"/>
                <w:rtl w:val="true"/>
              </w:rPr>
              <w:t>اعتبار الإذن من المجتهد المطلق</w:t>
            </w:r>
            <w:r>
              <w:rPr>
                <w:rStyle w:val="IndexLink"/>
                <w:rtl w:val="true"/>
              </w:rPr>
              <w:tab/>
            </w:r>
            <w:r>
              <w:rPr>
                <w:rStyle w:val="IndexLink"/>
              </w:rPr>
              <w:t>325</w:t>
            </w:r>
          </w:hyperlink>
        </w:p>
        <w:p>
          <w:pPr>
            <w:pStyle w:val="Contents4"/>
            <w:tabs>
              <w:tab w:val="clear" w:pos="8176"/>
              <w:tab w:val="right" w:pos="9026" w:leader="dot"/>
            </w:tabs>
            <w:rPr/>
          </w:pPr>
          <w:hyperlink w:anchor="__RefHeading___Toc142183_3244359995">
            <w:r>
              <w:rPr>
                <w:webHidden/>
                <w:rStyle w:val="IndexLink"/>
              </w:rPr>
              <w:t>4</w:t>
            </w:r>
            <w:r>
              <w:rPr>
                <w:rStyle w:val="IndexLink"/>
                <w:rtl w:val="true"/>
              </w:rPr>
              <w:t xml:space="preserve">. </w:t>
            </w:r>
            <w:r>
              <w:rPr>
                <w:rStyle w:val="IndexLink"/>
                <w:rtl w:val="true"/>
              </w:rPr>
              <w:t>مبانی الاجتهاد والعلوم اللازمة له</w:t>
            </w:r>
            <w:r>
              <w:rPr>
                <w:rStyle w:val="IndexLink"/>
                <w:rtl w:val="true"/>
              </w:rPr>
              <w:tab/>
            </w:r>
            <w:r>
              <w:rPr>
                <w:rStyle w:val="IndexLink"/>
              </w:rPr>
              <w:t>325</w:t>
            </w:r>
          </w:hyperlink>
        </w:p>
        <w:p>
          <w:pPr>
            <w:pStyle w:val="Contents5"/>
            <w:tabs>
              <w:tab w:val="clear" w:pos="7892"/>
              <w:tab w:val="right" w:pos="9026" w:leader="dot"/>
            </w:tabs>
            <w:rPr/>
          </w:pPr>
          <w:hyperlink w:anchor="__RefHeading___Toc142185_3244359995">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42187_3244359995">
            <w:r>
              <w:rPr>
                <w:webHidden/>
                <w:rStyle w:val="IndexLink"/>
                <w:rtl w:val="true"/>
              </w:rPr>
              <w:t>بقی هنا امور</w:t>
            </w:r>
            <w:r>
              <w:rPr>
                <w:rStyle w:val="IndexLink"/>
                <w:rtl w:val="true"/>
              </w:rPr>
              <w:t>:</w:t>
              <w:tab/>
            </w:r>
            <w:r>
              <w:rPr>
                <w:rStyle w:val="IndexLink"/>
              </w:rPr>
              <w:t>328</w:t>
            </w:r>
          </w:hyperlink>
        </w:p>
        <w:p>
          <w:pPr>
            <w:pStyle w:val="Contents5"/>
            <w:tabs>
              <w:tab w:val="clear" w:pos="7892"/>
              <w:tab w:val="right" w:pos="9026" w:leader="dot"/>
            </w:tabs>
            <w:rPr/>
          </w:pPr>
          <w:hyperlink w:anchor="__RefHeading___Toc142189_3244359995">
            <w:r>
              <w:rPr>
                <w:webHidden/>
                <w:rStyle w:val="IndexLink"/>
                <w:rtl w:val="true"/>
              </w:rPr>
              <w:t>الأمر الأوّل</w:t>
            </w:r>
            <w:r>
              <w:rPr>
                <w:rStyle w:val="IndexLink"/>
                <w:rtl w:val="true"/>
              </w:rPr>
              <w:t xml:space="preserve">: </w:t>
            </w:r>
            <w:r>
              <w:rPr>
                <w:rStyle w:val="IndexLink"/>
                <w:rtl w:val="true"/>
              </w:rPr>
              <w:t>القواعد الفقهیّة و دوره الأساسی فی الاستنباط</w:t>
            </w:r>
            <w:r>
              <w:rPr>
                <w:rStyle w:val="IndexLink"/>
                <w:rtl w:val="true"/>
              </w:rPr>
              <w:tab/>
            </w:r>
            <w:r>
              <w:rPr>
                <w:rStyle w:val="IndexLink"/>
              </w:rPr>
              <w:t>328</w:t>
            </w:r>
          </w:hyperlink>
        </w:p>
        <w:p>
          <w:pPr>
            <w:pStyle w:val="Contents5"/>
            <w:tabs>
              <w:tab w:val="clear" w:pos="7892"/>
              <w:tab w:val="right" w:pos="9026" w:leader="dot"/>
            </w:tabs>
            <w:rPr/>
          </w:pPr>
          <w:hyperlink w:anchor="__RefHeading___Toc142191_3244359995">
            <w:r>
              <w:rPr>
                <w:webHidden/>
                <w:rStyle w:val="IndexLink"/>
                <w:rtl w:val="true"/>
              </w:rPr>
              <w:t>الأمر الثانی</w:t>
            </w:r>
            <w:r>
              <w:rPr>
                <w:rStyle w:val="IndexLink"/>
                <w:rtl w:val="true"/>
              </w:rPr>
              <w:t xml:space="preserve">: </w:t>
            </w:r>
            <w:r>
              <w:rPr>
                <w:rStyle w:val="IndexLink"/>
                <w:rtl w:val="true"/>
              </w:rPr>
              <w:t>شأن الفقیه فی تشخیص الموضوعات الفقهیّة</w:t>
            </w:r>
            <w:r>
              <w:rPr>
                <w:rStyle w:val="IndexLink"/>
                <w:rtl w:val="true"/>
              </w:rPr>
              <w:tab/>
            </w:r>
            <w:r>
              <w:rPr>
                <w:rStyle w:val="IndexLink"/>
              </w:rPr>
              <w:t>329</w:t>
            </w:r>
          </w:hyperlink>
        </w:p>
        <w:p>
          <w:pPr>
            <w:pStyle w:val="Contents5"/>
            <w:tabs>
              <w:tab w:val="clear" w:pos="7892"/>
              <w:tab w:val="right" w:pos="9026" w:leader="dot"/>
            </w:tabs>
            <w:rPr/>
          </w:pPr>
          <w:hyperlink w:anchor="__RefHeading___Toc142193_3244359995">
            <w:r>
              <w:rPr>
                <w:webHidden/>
                <w:rStyle w:val="IndexLink"/>
                <w:rtl w:val="true"/>
              </w:rPr>
              <w:t>الأمر الثالث</w:t>
            </w:r>
            <w:r>
              <w:rPr>
                <w:rStyle w:val="IndexLink"/>
                <w:rtl w:val="true"/>
              </w:rPr>
              <w:t xml:space="preserve">: </w:t>
            </w:r>
            <w:r>
              <w:rPr>
                <w:rStyle w:val="IndexLink"/>
                <w:rtl w:val="true"/>
              </w:rPr>
              <w:t>دور الزمان والمکان فی الاجتهاد</w:t>
            </w:r>
            <w:r>
              <w:rPr>
                <w:rStyle w:val="IndexLink"/>
                <w:rtl w:val="true"/>
              </w:rPr>
              <w:tab/>
            </w:r>
            <w:r>
              <w:rPr>
                <w:rStyle w:val="IndexLink"/>
              </w:rPr>
              <w:t>331</w:t>
            </w:r>
          </w:hyperlink>
        </w:p>
        <w:p>
          <w:pPr>
            <w:pStyle w:val="Contents4"/>
            <w:tabs>
              <w:tab w:val="clear" w:pos="8176"/>
              <w:tab w:val="right" w:pos="9026" w:leader="dot"/>
            </w:tabs>
            <w:rPr/>
          </w:pPr>
          <w:hyperlink w:anchor="__RefHeading___Toc142195_3244359995">
            <w:r>
              <w:rPr>
                <w:webHidden/>
                <w:rStyle w:val="IndexLink"/>
              </w:rPr>
              <w:t>5</w:t>
            </w:r>
            <w:r>
              <w:rPr>
                <w:rStyle w:val="IndexLink"/>
                <w:rtl w:val="true"/>
              </w:rPr>
              <w:t xml:space="preserve">. </w:t>
            </w:r>
            <w:r>
              <w:rPr>
                <w:rStyle w:val="IndexLink"/>
                <w:rtl w:val="true"/>
              </w:rPr>
              <w:t>التخطئة والتصویب</w:t>
            </w:r>
            <w:r>
              <w:rPr>
                <w:rStyle w:val="IndexLink"/>
                <w:rtl w:val="true"/>
              </w:rPr>
              <w:tab/>
            </w:r>
            <w:r>
              <w:rPr>
                <w:rStyle w:val="IndexLink"/>
              </w:rPr>
              <w:t>332</w:t>
            </w:r>
          </w:hyperlink>
        </w:p>
        <w:p>
          <w:pPr>
            <w:pStyle w:val="Contents5"/>
            <w:tabs>
              <w:tab w:val="clear" w:pos="7892"/>
              <w:tab w:val="right" w:pos="9026" w:leader="dot"/>
            </w:tabs>
            <w:rPr/>
          </w:pPr>
          <w:hyperlink w:anchor="__RefHeading___Toc142197_3244359995">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42199_3244359995">
            <w:r>
              <w:rPr>
                <w:webHidden/>
                <w:rStyle w:val="IndexLink"/>
                <w:rtl w:val="true"/>
              </w:rPr>
              <w:t>بطلان القسم الأوّل من التصویب</w:t>
            </w:r>
            <w:r>
              <w:rPr>
                <w:rStyle w:val="IndexLink"/>
                <w:rtl w:val="true"/>
              </w:rPr>
              <w:tab/>
            </w:r>
            <w:r>
              <w:rPr>
                <w:rStyle w:val="IndexLink"/>
              </w:rPr>
              <w:t>334</w:t>
            </w:r>
          </w:hyperlink>
        </w:p>
        <w:p>
          <w:pPr>
            <w:pStyle w:val="Contents5"/>
            <w:tabs>
              <w:tab w:val="clear" w:pos="7892"/>
              <w:tab w:val="right" w:pos="9026" w:leader="dot"/>
            </w:tabs>
            <w:rPr/>
          </w:pPr>
          <w:hyperlink w:anchor="__RefHeading___Toc142201_3244359995">
            <w:r>
              <w:rPr>
                <w:webHidden/>
                <w:rStyle w:val="IndexLink"/>
                <w:rtl w:val="true"/>
              </w:rPr>
              <w:t>بطلان القسم الثانی والثالث</w:t>
            </w:r>
            <w:r>
              <w:rPr>
                <w:rStyle w:val="IndexLink"/>
                <w:rtl w:val="true"/>
              </w:rPr>
              <w:tab/>
            </w:r>
            <w:r>
              <w:rPr>
                <w:rStyle w:val="IndexLink"/>
              </w:rPr>
              <w:t>336</w:t>
            </w:r>
          </w:hyperlink>
        </w:p>
        <w:p>
          <w:pPr>
            <w:pStyle w:val="Contents5"/>
            <w:tabs>
              <w:tab w:val="clear" w:pos="7892"/>
              <w:tab w:val="right" w:pos="9026" w:leader="dot"/>
            </w:tabs>
            <w:rPr/>
          </w:pPr>
          <w:hyperlink w:anchor="__RefHeading___Toc142203_3244359995">
            <w:r>
              <w:rPr>
                <w:webHidden/>
                <w:rStyle w:val="IndexLink"/>
                <w:rtl w:val="true"/>
              </w:rPr>
              <w:t>المصلحة السلوکیة وخروجها عن التصویب موضوعاً</w:t>
            </w:r>
            <w:r>
              <w:rPr>
                <w:rStyle w:val="IndexLink"/>
                <w:rtl w:val="true"/>
              </w:rPr>
              <w:tab/>
            </w:r>
            <w:r>
              <w:rPr>
                <w:rStyle w:val="IndexLink"/>
              </w:rPr>
              <w:t>337</w:t>
            </w:r>
          </w:hyperlink>
        </w:p>
        <w:p>
          <w:pPr>
            <w:pStyle w:val="Contents4"/>
            <w:tabs>
              <w:tab w:val="clear" w:pos="8176"/>
              <w:tab w:val="right" w:pos="9026" w:leader="dot"/>
            </w:tabs>
            <w:rPr/>
          </w:pPr>
          <w:hyperlink w:anchor="__RefHeading___Toc142205_3244359995">
            <w:r>
              <w:rPr>
                <w:webHidden/>
                <w:rStyle w:val="IndexLink"/>
              </w:rPr>
              <w:t>6</w:t>
            </w:r>
            <w:r>
              <w:rPr>
                <w:rStyle w:val="IndexLink"/>
                <w:rtl w:val="true"/>
              </w:rPr>
              <w:t xml:space="preserve">. </w:t>
            </w:r>
            <w:r>
              <w:rPr>
                <w:rStyle w:val="IndexLink"/>
                <w:rtl w:val="true"/>
              </w:rPr>
              <w:t>تبدّل رأی المجتهد</w:t>
            </w:r>
            <w:r>
              <w:rPr>
                <w:rStyle w:val="IndexLink"/>
                <w:rtl w:val="true"/>
              </w:rPr>
              <w:tab/>
            </w:r>
            <w:r>
              <w:rPr>
                <w:rStyle w:val="IndexLink"/>
              </w:rPr>
              <w:t>339</w:t>
            </w:r>
          </w:hyperlink>
        </w:p>
        <w:p>
          <w:pPr>
            <w:pStyle w:val="Contents5"/>
            <w:tabs>
              <w:tab w:val="clear" w:pos="7892"/>
              <w:tab w:val="right" w:pos="9026" w:leader="dot"/>
            </w:tabs>
            <w:rPr/>
          </w:pPr>
          <w:hyperlink w:anchor="__RefHeading___Toc142207_3244359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42209_3244359995">
            <w:r>
              <w:rPr>
                <w:webHidden/>
                <w:rStyle w:val="IndexLink"/>
                <w:rtl w:val="true"/>
              </w:rPr>
              <w:t>التفصیل فی المسألة بین القطع والأمارات</w:t>
            </w:r>
            <w:r>
              <w:rPr>
                <w:rStyle w:val="IndexLink"/>
                <w:rtl w:val="true"/>
              </w:rPr>
              <w:tab/>
            </w:r>
            <w:r>
              <w:rPr>
                <w:rStyle w:val="IndexLink"/>
              </w:rPr>
              <w:t>340</w:t>
            </w:r>
          </w:hyperlink>
        </w:p>
        <w:p>
          <w:pPr>
            <w:pStyle w:val="Contents5"/>
            <w:tabs>
              <w:tab w:val="clear" w:pos="7892"/>
              <w:tab w:val="right" w:pos="9026" w:leader="dot"/>
            </w:tabs>
            <w:rPr/>
          </w:pPr>
          <w:hyperlink w:anchor="__RefHeading___Toc142211_3244359995">
            <w:r>
              <w:rPr>
                <w:webHidden/>
                <w:rStyle w:val="IndexLink"/>
                <w:rtl w:val="true"/>
              </w:rPr>
              <w:t>مقتضی إطلاقات أدلّة حجّیة الأمارات</w:t>
            </w:r>
            <w:r>
              <w:rPr>
                <w:rStyle w:val="IndexLink"/>
                <w:rtl w:val="true"/>
              </w:rPr>
              <w:tab/>
            </w:r>
            <w:r>
              <w:rPr>
                <w:rStyle w:val="IndexLink"/>
              </w:rPr>
              <w:t>340</w:t>
            </w:r>
          </w:hyperlink>
        </w:p>
        <w:p>
          <w:pPr>
            <w:pStyle w:val="Contents3"/>
            <w:tabs>
              <w:tab w:val="clear" w:pos="8459"/>
              <w:tab w:val="right" w:pos="9026" w:leader="dot"/>
            </w:tabs>
            <w:rPr/>
          </w:pPr>
          <w:hyperlink w:anchor="__RefHeading___Toc142213_3244359995">
            <w:r>
              <w:rPr>
                <w:webHidden/>
                <w:rStyle w:val="IndexLink"/>
                <w:rtl w:val="true"/>
              </w:rPr>
              <w:t>المقام الثانی</w:t>
            </w:r>
            <w:r>
              <w:rPr>
                <w:rStyle w:val="IndexLink"/>
                <w:rtl w:val="true"/>
              </w:rPr>
              <w:t xml:space="preserve">: </w:t>
            </w:r>
            <w:r>
              <w:rPr>
                <w:rStyle w:val="IndexLink"/>
                <w:rtl w:val="true"/>
              </w:rPr>
              <w:t>مباحث التقلید</w:t>
            </w:r>
            <w:r>
              <w:rPr>
                <w:rStyle w:val="IndexLink"/>
                <w:rtl w:val="true"/>
              </w:rPr>
              <w:tab/>
            </w:r>
            <w:r>
              <w:rPr>
                <w:rStyle w:val="IndexLink"/>
              </w:rPr>
              <w:t>343</w:t>
            </w:r>
          </w:hyperlink>
        </w:p>
        <w:p>
          <w:pPr>
            <w:pStyle w:val="Contents4"/>
            <w:tabs>
              <w:tab w:val="clear" w:pos="8176"/>
              <w:tab w:val="right" w:pos="9026" w:leader="dot"/>
            </w:tabs>
            <w:rPr/>
          </w:pPr>
          <w:hyperlink w:anchor="__RefHeading___Toc142215_3244359995">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42217_3244359995">
            <w:r>
              <w:rPr>
                <w:webHidden/>
                <w:rStyle w:val="IndexLink"/>
                <w:rtl w:val="true"/>
              </w:rPr>
              <w:t>نقد أدلّة القول بأنّ التقلید لیس من مقولة العمل</w:t>
            </w:r>
            <w:r>
              <w:rPr>
                <w:rStyle w:val="IndexLink"/>
                <w:rtl w:val="true"/>
              </w:rPr>
              <w:tab/>
            </w:r>
            <w:r>
              <w:rPr>
                <w:rStyle w:val="IndexLink"/>
              </w:rPr>
              <w:t>344</w:t>
            </w:r>
          </w:hyperlink>
        </w:p>
        <w:p>
          <w:pPr>
            <w:pStyle w:val="Contents4"/>
            <w:tabs>
              <w:tab w:val="clear" w:pos="8176"/>
              <w:tab w:val="right" w:pos="9026" w:leader="dot"/>
            </w:tabs>
            <w:rPr/>
          </w:pPr>
          <w:hyperlink w:anchor="__RefHeading___Toc142219_3244359995">
            <w:r>
              <w:rPr>
                <w:webHidden/>
                <w:rStyle w:val="IndexLink"/>
                <w:rtl w:val="true"/>
              </w:rPr>
              <w:t>مسائل التقلید</w:t>
            </w:r>
            <w:r>
              <w:rPr>
                <w:rStyle w:val="IndexLink"/>
                <w:rtl w:val="true"/>
              </w:rPr>
              <w:tab/>
            </w:r>
            <w:r>
              <w:rPr>
                <w:rStyle w:val="IndexLink"/>
              </w:rPr>
              <w:t>346</w:t>
            </w:r>
          </w:hyperlink>
        </w:p>
        <w:p>
          <w:pPr>
            <w:pStyle w:val="Contents5"/>
            <w:tabs>
              <w:tab w:val="clear" w:pos="7892"/>
              <w:tab w:val="right" w:pos="9026" w:leader="dot"/>
            </w:tabs>
            <w:rPr/>
          </w:pPr>
          <w:hyperlink w:anchor="__RefHeading___Toc142221_3244359995">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42223_3244359995">
            <w:r>
              <w:rPr>
                <w:webHidden/>
                <w:rStyle w:val="IndexLink"/>
              </w:rPr>
              <w:t>1</w:t>
            </w:r>
            <w:r>
              <w:rPr>
                <w:rStyle w:val="IndexLink"/>
                <w:rtl w:val="true"/>
              </w:rPr>
              <w:t xml:space="preserve">. </w:t>
            </w:r>
            <w:r>
              <w:rPr>
                <w:rStyle w:val="IndexLink"/>
                <w:rtl w:val="true"/>
              </w:rPr>
              <w:t>جواز التقلید للعامّی</w:t>
            </w:r>
            <w:r>
              <w:rPr>
                <w:rStyle w:val="IndexLink"/>
                <w:rtl w:val="true"/>
              </w:rPr>
              <w:tab/>
            </w:r>
            <w:r>
              <w:rPr>
                <w:rStyle w:val="IndexLink"/>
              </w:rPr>
              <w:t>346</w:t>
            </w:r>
          </w:hyperlink>
        </w:p>
        <w:p>
          <w:pPr>
            <w:pStyle w:val="Contents5"/>
            <w:tabs>
              <w:tab w:val="clear" w:pos="7892"/>
              <w:tab w:val="right" w:pos="9026" w:leader="dot"/>
            </w:tabs>
            <w:rPr/>
          </w:pPr>
          <w:hyperlink w:anchor="__RefHeading___Toc142225_3244359995">
            <w:r>
              <w:rPr>
                <w:webHidden/>
                <w:rStyle w:val="IndexLink"/>
              </w:rPr>
              <w:t>2</w:t>
            </w:r>
            <w:r>
              <w:rPr>
                <w:rStyle w:val="IndexLink"/>
                <w:rtl w:val="true"/>
              </w:rPr>
              <w:t xml:space="preserve">. </w:t>
            </w:r>
            <w:r>
              <w:rPr>
                <w:rStyle w:val="IndexLink"/>
                <w:rtl w:val="true"/>
              </w:rPr>
              <w:t>تقلید الأعلم</w:t>
            </w:r>
            <w:r>
              <w:rPr>
                <w:rStyle w:val="IndexLink"/>
                <w:rtl w:val="true"/>
              </w:rPr>
              <w:tab/>
            </w:r>
            <w:r>
              <w:rPr>
                <w:rStyle w:val="IndexLink"/>
              </w:rPr>
              <w:t>350</w:t>
            </w:r>
          </w:hyperlink>
        </w:p>
        <w:p>
          <w:pPr>
            <w:pStyle w:val="Contents5"/>
            <w:tabs>
              <w:tab w:val="clear" w:pos="7892"/>
              <w:tab w:val="right" w:pos="9026" w:leader="dot"/>
            </w:tabs>
            <w:rPr/>
          </w:pPr>
          <w:hyperlink w:anchor="__RefHeading___Toc142227_3244359995">
            <w:r>
              <w:rPr>
                <w:webHidden/>
                <w:rStyle w:val="IndexLink"/>
              </w:rPr>
              <w:t>3</w:t>
            </w:r>
            <w:r>
              <w:rPr>
                <w:rStyle w:val="IndexLink"/>
                <w:rtl w:val="true"/>
              </w:rPr>
              <w:t xml:space="preserve">. </w:t>
            </w:r>
            <w:r>
              <w:rPr>
                <w:rStyle w:val="IndexLink"/>
                <w:rtl w:val="true"/>
              </w:rPr>
              <w:t>تقلید المیّت</w:t>
            </w:r>
            <w:r>
              <w:rPr>
                <w:rStyle w:val="IndexLink"/>
                <w:rtl w:val="true"/>
              </w:rPr>
              <w:tab/>
            </w:r>
            <w:r>
              <w:rPr>
                <w:rStyle w:val="IndexLink"/>
              </w:rPr>
              <w:t>355</w:t>
            </w:r>
          </w:hyperlink>
        </w:p>
        <w:p>
          <w:pPr>
            <w:pStyle w:val="Contents5"/>
            <w:tabs>
              <w:tab w:val="clear" w:pos="7892"/>
              <w:tab w:val="right" w:pos="9026" w:leader="dot"/>
            </w:tabs>
            <w:rPr/>
          </w:pPr>
          <w:hyperlink w:anchor="__RefHeading___Toc142229_3244359995">
            <w:r>
              <w:rPr>
                <w:webHidden/>
                <w:rStyle w:val="IndexLink"/>
                <w:rtl w:val="true"/>
              </w:rPr>
              <w:t>مصادر التحقیق</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2_187521"/>
      <w:bookmarkStart w:id="1" w:name="pg16922_187521"/>
      <w:bookmarkEnd w:id="1"/>
    </w:p>
    <w:p>
      <w:pPr>
        <w:pStyle w:val="Heading2"/>
        <w:numPr>
          <w:ilvl w:val="1"/>
          <w:numId w:val="1"/>
        </w:numPr>
        <w:rPr/>
      </w:pPr>
      <w:bookmarkStart w:id="2" w:name="pg16922_187521"/>
      <w:bookmarkStart w:id="3" w:name="__RefHeading___Toc141575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طریق‌الوصول الی مهمات علم‌الاصول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 باسلوب حدیث و آراء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مکارم‌الشیرازی؛ الاعداد والتحقیق محمد‌حسین ساعی‌فرد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دارالنشرالامام‌علی‌بن‌ابی‌طالب علیه‌السلام،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ساعی‌فرد، محمدحسین،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۲۲۹۷۹۶۰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577_3244359995"/>
      <w:bookmarkStart w:id="6" w:name="_Toc2"/>
      <w:bookmarkEnd w:id="5"/>
      <w:r>
        <w:rPr>
          <w:rtl w:val="true"/>
        </w:rPr>
        <w:t>اشارة</w:t>
      </w:r>
      <w:bookmarkStart w:id="7" w:name="pg16922_187526"/>
      <w:bookmarkEnd w:id="6"/>
    </w:p>
    <w:p>
      <w:pPr>
        <w:pStyle w:val="Heading2"/>
        <w:numPr>
          <w:ilvl w:val="1"/>
          <w:numId w:val="1"/>
        </w:numPr>
        <w:rPr/>
      </w:pPr>
      <w:bookmarkStart w:id="8" w:name="__RefHeading___Toc141579_3244359995"/>
      <w:bookmarkStart w:id="9" w:name="_Toc3"/>
      <w:bookmarkEnd w:id="7"/>
      <w:bookmarkEnd w:id="8"/>
      <w:r>
        <w:rPr>
          <w:rtl w:val="true"/>
        </w:rPr>
        <w:t>المقصد الثالث</w:t>
      </w:r>
      <w:r>
        <w:rPr>
          <w:rtl w:val="true"/>
        </w:rPr>
        <w:t xml:space="preserve">: </w:t>
      </w:r>
      <w:r>
        <w:rPr>
          <w:rtl w:val="true"/>
        </w:rPr>
        <w:t>الإجماع</w:t>
      </w:r>
      <w:bookmarkEnd w:id="9"/>
    </w:p>
    <w:p>
      <w:pPr>
        <w:pStyle w:val="Heading3"/>
        <w:numPr>
          <w:ilvl w:val="2"/>
          <w:numId w:val="1"/>
        </w:numPr>
        <w:rPr/>
      </w:pPr>
      <w:bookmarkStart w:id="10" w:name="__RefHeading___Toc141581_3244359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المحصّل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المنقول بخبر الواحد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الشهرة الکاشفة عن قول المعصوم علیه السلام</w:t>
      </w:r>
      <w:bookmarkStart w:id="12" w:name="pg16922_187527"/>
    </w:p>
    <w:p>
      <w:pPr>
        <w:pStyle w:val="BookText"/>
        <w:rPr/>
      </w:pPr>
      <w:bookmarkEnd w:id="12"/>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وهو لغة بمعنی الاتفاق، وفی مصطلح الاصولیین اتفاق خاصّ علی حکم شرعی، وهو إمّا محصّل أو منقول، فالکلام حوله یقع فی فصول</w:t>
      </w:r>
      <w:r>
        <w:rPr>
          <w:rFonts w:eastAsia="IRNazanin" w:cs="IRNazanin"/>
          <w:color w:val="111111"/>
          <w:sz w:val="28"/>
          <w:szCs w:val="28"/>
          <w:rtl w:val="true"/>
          <w:lang w:bidi="fa-IR"/>
        </w:rPr>
        <w:t>:</w:t>
      </w:r>
    </w:p>
    <w:p>
      <w:pPr>
        <w:pStyle w:val="Heading3"/>
        <w:numPr>
          <w:ilvl w:val="2"/>
          <w:numId w:val="1"/>
        </w:numPr>
        <w:rPr/>
      </w:pPr>
      <w:bookmarkStart w:id="13" w:name="__RefHeading___Toc141583_3244359995"/>
      <w:bookmarkStart w:id="14" w:name="_Toc5"/>
      <w:bookmarkEnd w:id="13"/>
      <w:r>
        <w:rPr>
          <w:rtl w:val="true"/>
        </w:rPr>
        <w:t>الفصل الأول</w:t>
      </w:r>
      <w:r>
        <w:rPr>
          <w:rtl w:val="true"/>
        </w:rPr>
        <w:t xml:space="preserve">: </w:t>
      </w:r>
      <w:r>
        <w:rPr>
          <w:rtl w:val="true"/>
        </w:rPr>
        <w:t>الإجماع المحصل</w:t>
      </w:r>
      <w:bookmarkEnd w:id="14"/>
    </w:p>
    <w:p>
      <w:pPr>
        <w:pStyle w:val="Heading4"/>
        <w:numPr>
          <w:ilvl w:val="3"/>
          <w:numId w:val="1"/>
        </w:numPr>
        <w:rPr/>
      </w:pPr>
      <w:bookmarkStart w:id="15" w:name="__RefHeading___Toc141585_3244359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وفی وجه حجّیته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أهل السنّة، وطریق الشیعة؛ والمشهور عند أهل السنّة أنّ الإجماع فی نفسه حجّة، أی الامّة بما هی امّة معصومة عن الخطأ، ولذلک عبّر شیخنا الأعظم الأنصاری رحمه الله عن إجماعهم بالذی هو الأصل لهم وهم الأصل له </w:t>
      </w:r>
      <w:r>
        <w:rPr>
          <w:rStyle w:val="FootnoteAnchor"/>
          <w:rtl w:val="true"/>
        </w:rPr>
        <w:footnoteReference w:id="2"/>
      </w:r>
      <w:r>
        <w:rPr>
          <w:rFonts w:ascii="IRNazanin" w:hAnsi="IRNazanin" w:eastAsia="IRNazanin"/>
          <w:color w:val="111111"/>
          <w:sz w:val="28"/>
          <w:sz w:val="28"/>
          <w:szCs w:val="28"/>
          <w:rtl w:val="true"/>
          <w:lang w:bidi="fa-IR"/>
        </w:rPr>
        <w:t>، أمّا کونه الأصل لهم؛ فلأنّهم یدّعون ثبوت خلافة خلفائهم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کونهم الأصل له، لأنّ الإجماع أوّل مرّة ظهر فی عباراتهم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الشیعة فالإجماع عندهم حجّة بالعرض، أی بما هو کاشف عن قول النبی الأکرم صلی الله علیه و آله أو الإمام المعصوم علیه السلام، وبالتالی یرجع إلی السنّة ولیس دلیلًا علی حدة،</w:t>
      </w:r>
      <w:bookmarkStart w:id="17" w:name="pg16922_187528"/>
    </w:p>
    <w:p>
      <w:pPr>
        <w:pStyle w:val="BookText"/>
        <w:rPr/>
      </w:pPr>
      <w:bookmarkEnd w:id="17"/>
      <w:r>
        <w:rPr>
          <w:rFonts w:ascii="IRNazanin" w:hAnsi="IRNazanin" w:eastAsia="IRNazanin"/>
          <w:color w:val="111111"/>
          <w:sz w:val="28"/>
          <w:sz w:val="28"/>
          <w:szCs w:val="28"/>
          <w:rtl w:val="true"/>
          <w:lang w:bidi="fa-IR"/>
        </w:rPr>
        <w:t>فالأدلّة عندنا فی الواقع ثلاثة لا أربعة، وإن قلنا إنّها أربعة باعتبار الأصل والفرع</w:t>
      </w:r>
      <w:r>
        <w:rPr>
          <w:rFonts w:eastAsia="IRNazanin" w:cs="IRNazanin"/>
          <w:color w:val="111111"/>
          <w:sz w:val="28"/>
          <w:szCs w:val="28"/>
          <w:rtl w:val="true"/>
          <w:lang w:bidi="fa-IR"/>
        </w:rPr>
        <w:t>.</w:t>
      </w:r>
    </w:p>
    <w:p>
      <w:pPr>
        <w:pStyle w:val="Heading4"/>
        <w:numPr>
          <w:ilvl w:val="3"/>
          <w:numId w:val="1"/>
        </w:numPr>
        <w:rPr/>
      </w:pPr>
      <w:bookmarkStart w:id="18" w:name="__RefHeading___Toc141587_3244359995"/>
      <w:bookmarkStart w:id="19" w:name="_Toc7"/>
      <w:bookmarkEnd w:id="18"/>
      <w:r>
        <w:rPr/>
        <w:t>1</w:t>
      </w:r>
      <w:r>
        <w:rPr>
          <w:rtl w:val="true"/>
        </w:rPr>
        <w:t xml:space="preserve">. </w:t>
      </w:r>
      <w:r>
        <w:rPr>
          <w:rtl w:val="true"/>
        </w:rPr>
        <w:t>الإجماع عند أهل السنّة</w:t>
      </w:r>
      <w:bookmarkEnd w:id="19"/>
    </w:p>
    <w:p>
      <w:pPr>
        <w:pStyle w:val="BookText"/>
        <w:rPr/>
      </w:pPr>
      <w:r>
        <w:rPr>
          <w:rFonts w:ascii="IRNazanin" w:hAnsi="IRNazanin" w:eastAsia="IRNazanin"/>
          <w:color w:val="111111"/>
          <w:sz w:val="28"/>
          <w:sz w:val="28"/>
          <w:szCs w:val="28"/>
          <w:rtl w:val="true"/>
          <w:lang w:bidi="fa-IR"/>
        </w:rPr>
        <w:t>اختلف العامّة فی تحدید الإجماع وتعریفه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اتفاق امّة محمّد صلی الله علیه و آله علی أمر من الامور الدینیّة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اتفاق أهل الحلّ والعقد من امّة محمّد صلی الله علیه و آله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اتفاق المجتهدین من امّة محمّد صلی الله علیه و آله فی عصر علی أمر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اتفاق أهل الحرمین أو أهل المدینة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یظهر من بعضهم أنّه اتفاق الشیخین أو الخلفاء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علی حجّیته بأدلّة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حیث إنّ اللَّه تعالی جمع بین عداوة الرسول صلی الله علیه و آله واتّباع غیر سبیل المؤمنین فی الوعید، فیلزم أن یکون اتّباع غیر سبیل المؤمنین محرّماً مثل مشاقّة الرسول، وإذا حرم اتّباع غیر سبیل المؤمنین وجب اتّباع سبیلهم إذ لا ثالث لهما، ویلزم من اتّباع سبیلهم أن یکون الإجماع حجّة لأنّ سبیل الإنسان هو ما یختاره من القول أو الفعل أو الاعتقاد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هذه الآیة لا ربط لها بمسألة الإجماع فی الأحکام الفرعیّة، بل إنّها</w:t>
      </w:r>
    </w:p>
    <w:p>
      <w:pPr>
        <w:pStyle w:val="BookText"/>
        <w:rPr/>
      </w:pPr>
      <w:r>
        <w:rPr>
          <w:rFonts w:ascii="IRNazanin" w:hAnsi="IRNazanin" w:eastAsia="IRNazanin"/>
          <w:color w:val="111111"/>
          <w:sz w:val="28"/>
          <w:sz w:val="28"/>
          <w:szCs w:val="28"/>
          <w:rtl w:val="true"/>
          <w:lang w:bidi="fa-IR"/>
        </w:rPr>
        <w:t>تنهی عن معصیة الرسول وشقّ عصا المجتمع الإسلامی، وتتکلّم عن مخالفة الرسول والکفر بعد الإیمان وما یترتّب علیه من العذاب الاخروی، فالمقصود من اتّباع غیر سبیل المؤمنین أی غیر سبیل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نزلت فی رجل منافق ارتدّ ولحق بالمشرکین، فاتّباعه غیر سبیل المؤمنین إنّما هو إرتداده ولحوقه بالمشرکین لا مخالفته لإجماع المسلمین فی حکم فرعی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سبیل المؤمنین، سبیلهم بما هم مؤمنون،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الإیمان، لأنّ تعلیق حکم بوصف مشعر بعلّیته، فالمراد من الآیة الخروج من الإیمان إلی الکفر لا المخالفة فی المسائل الفرعیّة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یکن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وَیَتَّبِعْ غَیْرَ 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تفسیریاً لمشاقّة الرسول فی نبوّته، وکان المراد منه مخالفة الإجماع فی المسائل الفرعیّة، أی أمراً آخر وراء مشاقّة الرسول صلی الله علیه و آله فلتکن هی وحدها موجبة للدخول فی جهنّم کما أنّ مشاقّة الرسول وحدها موجبة له، ولازمه حینئذٍ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عطف بالواو، وهو ظاهر فی مطلق الجمع، ولازمه کون الثانی تفسیراً وتوضیحاً للأوّل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آخر علی المقصود، حیث إنّه یدلّ علی أنّ الکلام فی الضلالة بعد الهدایة، فیوجب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کونه تفسیراً لاتّباع الضلالة بعد تبیّن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مجموع هذه القرائن والشواهد أنّ الآیة لا دخل لها بالإجماع فی الأحکام الفرعیّة، بل هی ناظرة إلی اصول الدین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بتقریب أنّ الإجماع حبل اللَّه فیجب الاعتصام به ولا یجوز التفرّق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تأمر بإیجاد الاتّحاد بین المسلمین، وعدم اختلافهم فی أمر المجتمع وأخذهم بالقرآن الذی هو سبب الوحدة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دلالة الآیة علی المدّعی موقوفة علی أن یکون الإجماع مصداقاً لمفهوم حبل اللَّه، مع أنّ من الواضح أنّ الحکم لا یثبت موضوعه، بل تدلّ علی لزوم الاعتصام بحبل ثبت کونه حبل اللَّه تعالی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النبوی‌الدائر علی ألسنتهم نقلوه بمضامین مختلفة، ففی سنن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خلف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امّتی لا تجتمع علی ضلالة فإذا رأیتم اختلافاً فعلیکم بالسواد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نقل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لیجمع امّتی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لا یجمع امّتی علی الضلالة فأعطانیها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ناقشوا فی جمیع طرقه بأنفسهم </w:t>
      </w:r>
      <w:r>
        <w:rPr>
          <w:rStyle w:val="FootnoteAnchor"/>
          <w:rtl w:val="true"/>
        </w:rPr>
        <w:footnoteReference w:id="11"/>
      </w:r>
      <w:r>
        <w:rPr>
          <w:rFonts w:ascii="IRNazanin" w:hAnsi="IRNazanin" w:eastAsia="IRNazanin"/>
          <w:color w:val="111111"/>
          <w:sz w:val="28"/>
          <w:sz w:val="28"/>
          <w:szCs w:val="28"/>
          <w:rtl w:val="true"/>
          <w:lang w:bidi="fa-IR"/>
        </w:rPr>
        <w:t>، هذا مضافاً إلی عدم تمامیة دلالته أیضاً؛ لأنّ المتبادر من الضلالة هو الانحراف فی اصول الدین، فلا یثبت بها حجّیة الإجماع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متعلّق الضلالة هو الامّة، فیکون مفادها حینئذٍ أنّ جمیع المسلمین لا یجتمعون علی باطل؛ لأنّ الظاهر من الامّة هو تمام الامّة، وهذا لا یفید إلّا من یقول بأنّ إجماع الامّة حجّة، فالذی یثبت به إنّما هو حجّیة إجماع الامّة وهذا ممّا لا بأس به عند الإمامیة أیضاً لاعتقادهم بوجود المعصوم علیه السلام فی الامّة فی کلّ زمان، وهذا الجواب یجری أیضاً فی الحدیث بناء علی اشتماله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واردة فی خصوص ضروریات الدین، وإذن یکون مفادها مقبولًا، بل یمکن تأییدها بدلیل العقل؛ لأنّ ضلالة الامّة واجتماعهم علی الخطأ فی ضروریات الدین غیر ممکن عادة</w:t>
      </w:r>
      <w:r>
        <w:rPr>
          <w:rFonts w:eastAsia="IRNazanin" w:cs="IRNazanin"/>
          <w:color w:val="111111"/>
          <w:sz w:val="28"/>
          <w:szCs w:val="28"/>
          <w:rtl w:val="true"/>
          <w:lang w:bidi="fa-IR"/>
        </w:rPr>
        <w:t>.</w:t>
      </w:r>
      <w:bookmarkStart w:id="20" w:name="pg16922_187531"/>
    </w:p>
    <w:p>
      <w:pPr>
        <w:pStyle w:val="Heading4"/>
        <w:numPr>
          <w:ilvl w:val="3"/>
          <w:numId w:val="1"/>
        </w:numPr>
        <w:rPr/>
      </w:pPr>
      <w:bookmarkStart w:id="21" w:name="__RefHeading___Toc141589_3244359995"/>
      <w:bookmarkStart w:id="22" w:name="_Toc8"/>
      <w:bookmarkEnd w:id="20"/>
      <w:bookmarkEnd w:id="21"/>
      <w:r>
        <w:rPr/>
        <w:t>2</w:t>
      </w:r>
      <w:r>
        <w:rPr>
          <w:rtl w:val="true"/>
        </w:rPr>
        <w:t xml:space="preserve">. </w:t>
      </w:r>
      <w:r>
        <w:rPr>
          <w:rtl w:val="true"/>
        </w:rPr>
        <w:t>الإجماع عند الأصحاب</w:t>
      </w:r>
      <w:bookmarkEnd w:id="22"/>
    </w:p>
    <w:p>
      <w:pPr>
        <w:pStyle w:val="Heading5"/>
        <w:numPr>
          <w:ilvl w:val="4"/>
          <w:numId w:val="1"/>
        </w:numPr>
        <w:rPr/>
      </w:pPr>
      <w:bookmarkStart w:id="23" w:name="__RefHeading___Toc141591_3244359995"/>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ولهم فی حجّیته مسالک أربعة</w:t>
      </w:r>
      <w:r>
        <w:rPr>
          <w:rFonts w:eastAsia="IRNazanin" w:cs="IRNazanin"/>
          <w:color w:val="111111"/>
          <w:sz w:val="28"/>
          <w:szCs w:val="28"/>
          <w:rtl w:val="true"/>
          <w:lang w:bidi="fa-IR"/>
        </w:rPr>
        <w:t>:</w:t>
      </w:r>
    </w:p>
    <w:p>
      <w:pPr>
        <w:pStyle w:val="Heading5"/>
        <w:numPr>
          <w:ilvl w:val="4"/>
          <w:numId w:val="1"/>
        </w:numPr>
        <w:rPr/>
      </w:pPr>
      <w:bookmarkStart w:id="25" w:name="__RefHeading___Toc141593_3244359995"/>
      <w:bookmarkStart w:id="26" w:name="_Toc10"/>
      <w:bookmarkEnd w:id="25"/>
      <w:r>
        <w:rPr>
          <w:rtl w:val="true"/>
        </w:rPr>
        <w:t>المسلک الأوّل</w:t>
      </w:r>
      <w:r>
        <w:rPr>
          <w:rtl w:val="true"/>
        </w:rPr>
        <w:t xml:space="preserve">: </w:t>
      </w:r>
      <w:r>
        <w:rPr>
          <w:rtl w:val="true"/>
        </w:rPr>
        <w:t>الإجماع الدخولی</w:t>
      </w:r>
      <w:bookmarkEnd w:id="26"/>
    </w:p>
    <w:p>
      <w:pPr>
        <w:pStyle w:val="BookText"/>
        <w:rPr/>
      </w:pPr>
      <w:r>
        <w:rPr>
          <w:rFonts w:ascii="IRNazanin" w:hAnsi="IRNazanin" w:eastAsia="IRNazanin"/>
          <w:color w:val="111111"/>
          <w:sz w:val="28"/>
          <w:sz w:val="28"/>
          <w:szCs w:val="28"/>
          <w:rtl w:val="true"/>
          <w:lang w:bidi="fa-IR"/>
        </w:rPr>
        <w:t xml:space="preserve">وهو دخول الإمام علیه السلام فی المجمعین بشخصه، وإن کان لا یعرفه المحصّل للإجماع، فیخبر بالحکم عنه بصورة الإجماع </w:t>
      </w:r>
      <w:r>
        <w:rPr>
          <w:rStyle w:val="FootnoteAnchor"/>
          <w:rtl w:val="true"/>
        </w:rPr>
        <w:footnoteReference w:id="12"/>
      </w:r>
      <w:r>
        <w:rPr>
          <w:rFonts w:ascii="IRNazanin" w:hAnsi="IRNazanin" w:eastAsia="IRNazanin"/>
          <w:color w:val="111111"/>
          <w:sz w:val="28"/>
          <w:sz w:val="28"/>
          <w:szCs w:val="28"/>
          <w:rtl w:val="true"/>
          <w:lang w:bidi="fa-IR"/>
        </w:rPr>
        <w:t>، فملاک حجّیته دخول المعصوم بنفسه فی المجمعین، ولذلک قال المحقّق رحمه الله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خلا المائة من فقهائنا من قوله لما کان حجّة ولو حصل فی اثنین کان قولهما حجّة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النوع من الإجماع وإن کان ممکناً فی عصر حضور الإمام علیه السلام، ولکن نقلة الإجماع وأرباب الکتب الفقهیّة متأخّرون عن ذلک العصر غالباً، فالإجماعات المدّعاة فی الکتب الفقهیّة لیست من هذا القبیل، فإنّ الناقل لم یسمع الحکم من جماعة یعلم أنّ الإمام علیه السلام أحدهم</w:t>
      </w:r>
      <w:r>
        <w:rPr>
          <w:rFonts w:eastAsia="IRNazanin" w:cs="IRNazanin"/>
          <w:color w:val="111111"/>
          <w:sz w:val="28"/>
          <w:szCs w:val="28"/>
          <w:rtl w:val="true"/>
          <w:lang w:bidi="fa-IR"/>
        </w:rPr>
        <w:t>.</w:t>
      </w:r>
    </w:p>
    <w:p>
      <w:pPr>
        <w:pStyle w:val="Heading5"/>
        <w:numPr>
          <w:ilvl w:val="4"/>
          <w:numId w:val="1"/>
        </w:numPr>
        <w:rPr/>
      </w:pPr>
      <w:bookmarkStart w:id="27" w:name="__RefHeading___Toc141595_3244359995"/>
      <w:bookmarkStart w:id="28" w:name="_Toc11"/>
      <w:bookmarkEnd w:id="27"/>
      <w:r>
        <w:rPr>
          <w:rtl w:val="true"/>
        </w:rPr>
        <w:t>المسلک الثانی</w:t>
      </w:r>
      <w:r>
        <w:rPr>
          <w:rtl w:val="true"/>
        </w:rPr>
        <w:t xml:space="preserve">: </w:t>
      </w:r>
      <w:r>
        <w:rPr>
          <w:rtl w:val="true"/>
        </w:rPr>
        <w:t>الإجماع اللطفی</w:t>
      </w:r>
      <w:bookmarkEnd w:id="28"/>
    </w:p>
    <w:p>
      <w:pPr>
        <w:pStyle w:val="BookText"/>
        <w:rPr/>
      </w:pPr>
      <w:r>
        <w:rPr>
          <w:rFonts w:ascii="IRNazanin" w:hAnsi="IRNazanin" w:eastAsia="IRNazanin"/>
          <w:color w:val="111111"/>
          <w:sz w:val="28"/>
          <w:sz w:val="28"/>
          <w:szCs w:val="28"/>
          <w:rtl w:val="true"/>
          <w:lang w:bidi="fa-IR"/>
        </w:rPr>
        <w:t>وصاحب هذا المسلک هو شیخ الطائفة رحمه الله فإنّه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اجتماع الأصحاب علی الباطل وعلی خلاف حکم اللَّه الواقعی مغایر لحسن التکلیف بالواقع، فیجب إلقاء الخلاف بینهم بإظهار الحقّ ولو لبعضهم، فلو حصل إجماع واتفاق من الکلّ نستکشف إنّه حقّ وهو حکم اللَّه الواقعی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المسلک متوقّف علی قاعدة اللطف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عبارة عمّا یقرّب العبد نحو الطاعة ویبعّده عن المعصیة مع عدم وصولها إلی حدّ الإلجاء والإجبار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فاللطف یقتضی إیجاد ظروف ثقافیة وفکریة لتکمیل النفوس القابلة والإرشاد إلی مناهج الصلاح؛ لأنّه یجب علی الشارع أو المقنّن إیجاد الشرائط ومقدّمات إجراء أحکامه وقوانینه، وإلّا یلزم نقض غرضه، فإنّ اللَّه سبحانه وتعالی خلق الإنسان لیوصله إلی الکمال بطاعته وترک معصیته، وهذا یحتاج إلی بعث الرسل وإنزال الکتب وجعل التکالیف وإیصالها إلیه، وإلّا فقد نقض غرضه، وهذا هو معنی اللطف فی مصطلح علماء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مقبول بالنسبة إلی الشرائط والمقدّمات الّتی یوجب عدمها نقض الغرض ولکن لا یمکن تطبیق القاعدة علی المقام؛ لعدم وضوح المصلحة الّتی اقتضت اختفاء الإمام علیه السلام، فلعلّها امتحان للناس کما امتحن بنی إسرائیل بغیبة موسی علیه السلام وذهابه إلی جبل طور فی فترة من الزمان، أو أنّها لحفظ نفس الإمام علیه السلام، أو لعدم قابلیة الناس وعصیانهم، فلو صلحوا وأطاعوا لظهر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نفس المصلحة الّتی تقتضی خفاءه وغیبته قد تکون موجودة فی اختفاء بعض الأحکام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المحقّق الطوسی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أنّ لوجود الإمام علیه السلام ألطافاً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وجوده الشریف، فإنّه من أسباب قوام نظام الکون، وهذا باقٍ فی عصر الغیبة أیضاً؛ فإنّه العلّة الغائیة لخلق العالم لأنّه أتمّ مصادیق الإنسان الکامل الذی خلق الکون لأجله، ونور اللَّه الذی یهتدی به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وتصرّفه، فإنّ حکومته وقیادته لطف آخر، ولکن عدم هذا اللطف وانقطاعه منّا، وقطع هذا القسم من اللطف لا یلازم انقطاع القسم الأوّل منه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لو سلّمنا أنّ مقتضی القاعدة إلقاء الخلاف، إلّاأنّه لا تنحلّ المشکلة به، ما لم یمنع أکثر الفقهاء عن الوقوع فی الخطأ؛ لأنّ مجرّد إلقاء الخلاف لبعض لا یهدی</w:t>
      </w:r>
      <w:bookmarkStart w:id="29" w:name="pg16922_187533"/>
    </w:p>
    <w:p>
      <w:pPr>
        <w:pStyle w:val="BookText"/>
        <w:rPr/>
      </w:pPr>
      <w:bookmarkEnd w:id="29"/>
      <w:r>
        <w:rPr>
          <w:rFonts w:ascii="IRNazanin" w:hAnsi="IRNazanin" w:eastAsia="IRNazanin"/>
          <w:color w:val="111111"/>
          <w:sz w:val="28"/>
          <w:sz w:val="28"/>
          <w:szCs w:val="28"/>
          <w:rtl w:val="true"/>
          <w:lang w:bidi="fa-IR"/>
        </w:rPr>
        <w:t>إلی سبیل، مضافاً إلی أنّ هذا یستلزم حجّیة الشهرة أیضاً مع أنّ المستدلّ لا یلتزم به علی الظاهر</w:t>
      </w:r>
      <w:r>
        <w:rPr>
          <w:rFonts w:eastAsia="IRNazanin" w:cs="IRNazanin"/>
          <w:color w:val="111111"/>
          <w:sz w:val="28"/>
          <w:szCs w:val="28"/>
          <w:rtl w:val="true"/>
          <w:lang w:bidi="fa-IR"/>
        </w:rPr>
        <w:t>.</w:t>
      </w:r>
    </w:p>
    <w:p>
      <w:pPr>
        <w:pStyle w:val="Heading5"/>
        <w:numPr>
          <w:ilvl w:val="4"/>
          <w:numId w:val="1"/>
        </w:numPr>
        <w:rPr/>
      </w:pPr>
      <w:bookmarkStart w:id="30" w:name="__RefHeading___Toc141597_3244359995"/>
      <w:bookmarkStart w:id="31" w:name="_Toc12"/>
      <w:bookmarkEnd w:id="30"/>
      <w:r>
        <w:rPr>
          <w:rtl w:val="true"/>
        </w:rPr>
        <w:t>المسلک الثالث</w:t>
      </w:r>
      <w:r>
        <w:rPr>
          <w:rtl w:val="true"/>
        </w:rPr>
        <w:t xml:space="preserve">: </w:t>
      </w:r>
      <w:r>
        <w:rPr>
          <w:rtl w:val="true"/>
        </w:rPr>
        <w:t>الإجماع التشرّفی</w:t>
      </w:r>
      <w:bookmarkEnd w:id="31"/>
    </w:p>
    <w:p>
      <w:pPr>
        <w:pStyle w:val="BookText"/>
        <w:rPr/>
      </w:pPr>
      <w:r>
        <w:rPr>
          <w:rFonts w:ascii="IRNazanin" w:hAnsi="IRNazanin" w:eastAsia="IRNazanin"/>
          <w:color w:val="111111"/>
          <w:sz w:val="28"/>
          <w:sz w:val="28"/>
          <w:szCs w:val="28"/>
          <w:rtl w:val="true"/>
          <w:lang w:bidi="fa-IR"/>
        </w:rPr>
        <w:t xml:space="preserve">وهو تشرّف الأوحدی من العلماء بمحضر الإمام علیه السلام فی زمان الغیبة واستفساره عن بعض المسائل المشکلة، ثمّ إعلانه رأی الإمام علیه السلام فی صورة الإجماع </w:t>
      </w:r>
      <w:r>
        <w:rPr>
          <w:rStyle w:val="FootnoteAnchor"/>
          <w:rtl w:val="true"/>
        </w:rPr>
        <w:footnoteReference w:id="16"/>
      </w:r>
      <w:r>
        <w:rPr>
          <w:rFonts w:ascii="IRNazanin" w:hAnsi="IRNazanin" w:eastAsia="IRNazanin"/>
          <w:color w:val="111111"/>
          <w:sz w:val="28"/>
          <w:sz w:val="28"/>
          <w:szCs w:val="28"/>
          <w:rtl w:val="true"/>
          <w:lang w:bidi="fa-IR"/>
        </w:rPr>
        <w:t xml:space="preserve">لأنّه یعلم أنّ مدّعی الرؤیة لا یقبل قوله، بل لابدّ من تکذیبه کما فی الحدیث </w:t>
      </w:r>
      <w:r>
        <w:rPr>
          <w:rStyle w:val="FootnoteAnchor"/>
          <w:rtl w:val="true"/>
        </w:rPr>
        <w:footnoteReference w:id="17"/>
      </w:r>
      <w:r>
        <w:rPr>
          <w:rFonts w:ascii="IRNazanin" w:hAnsi="IRNazanin" w:eastAsia="IRNazanin"/>
          <w:color w:val="111111"/>
          <w:sz w:val="28"/>
          <w:sz w:val="28"/>
          <w:szCs w:val="28"/>
          <w:rtl w:val="true"/>
          <w:lang w:bidi="fa-IR"/>
        </w:rPr>
        <w:t>، فیعلن حکم الإمام بصورة الإجماع ویقول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ثابت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غایة ما یقتضیه هذا البیان، هو إمکان الإجماع التشرّفی ثبوتاً، وأمّا فی مقام الإثبات فلم نجد مصداقاً له فی ما بأیدینا من الإجماعات المنقولة</w:t>
      </w:r>
      <w:r>
        <w:rPr>
          <w:rFonts w:eastAsia="IRNazanin" w:cs="IRNazanin"/>
          <w:color w:val="111111"/>
          <w:sz w:val="28"/>
          <w:szCs w:val="28"/>
          <w:rtl w:val="true"/>
          <w:lang w:bidi="fa-IR"/>
        </w:rPr>
        <w:t>.</w:t>
      </w:r>
    </w:p>
    <w:p>
      <w:pPr>
        <w:pStyle w:val="Heading5"/>
        <w:numPr>
          <w:ilvl w:val="4"/>
          <w:numId w:val="1"/>
        </w:numPr>
        <w:rPr/>
      </w:pPr>
      <w:bookmarkStart w:id="32" w:name="__RefHeading___Toc141599_3244359995"/>
      <w:bookmarkStart w:id="33" w:name="_Toc13"/>
      <w:bookmarkEnd w:id="32"/>
      <w:r>
        <w:rPr>
          <w:rtl w:val="true"/>
        </w:rPr>
        <w:t>المسلک الرابع</w:t>
      </w:r>
      <w:r>
        <w:rPr>
          <w:rtl w:val="true"/>
        </w:rPr>
        <w:t xml:space="preserve">: </w:t>
      </w:r>
      <w:r>
        <w:rPr>
          <w:rtl w:val="true"/>
        </w:rPr>
        <w:t>الإجماع الحدسی</w:t>
      </w:r>
      <w:bookmarkEnd w:id="33"/>
    </w:p>
    <w:p>
      <w:pPr>
        <w:pStyle w:val="BookText"/>
        <w:rPr/>
      </w:pPr>
      <w:r>
        <w:rPr>
          <w:rFonts w:ascii="IRNazanin" w:hAnsi="IRNazanin" w:eastAsia="IRNazanin"/>
          <w:color w:val="111111"/>
          <w:sz w:val="28"/>
          <w:sz w:val="28"/>
          <w:szCs w:val="28"/>
          <w:rtl w:val="true"/>
          <w:lang w:bidi="fa-IR"/>
        </w:rPr>
        <w:t xml:space="preserve">وهو أن یستکشف من اتفاق علمائنا الذین کان دیدنهم الانقطاع إلی الأئمّة علیهم السلام فی الأحکام، وطریقتهم التحرّز عن القول بالرأی، قول المعصوم علیه السلام، فإنّ اتفاقهم علی قول وتسالمهم علیه مع ما یری من اختلاف أنظارهم وتباین أفکارهم ممّا یؤدّی بمقتضی العادة إلی العلم بأنّ ذلک قول أئمّتهم وأنّهم إنّما أخذوه منهم </w:t>
      </w:r>
      <w:r>
        <w:rPr>
          <w:rStyle w:val="FootnoteAnchor"/>
          <w:rtl w:val="true"/>
        </w:rPr>
        <w:footnoteReference w:id="18"/>
      </w:r>
      <w:r>
        <w:rPr>
          <w:rFonts w:ascii="IRNazanin" w:hAnsi="IRNazanin" w:eastAsia="IRNazanin"/>
          <w:color w:val="111111"/>
          <w:sz w:val="28"/>
          <w:sz w:val="28"/>
          <w:szCs w:val="28"/>
          <w:rtl w:val="true"/>
          <w:lang w:bidi="fa-IR"/>
        </w:rPr>
        <w:t>، لکن هذا إذا لم یکن فی مورد الإجماع أصل أو قاعدة أو دلیل علی وفق ما اتفقوا علیه، فإنّه مع وجود ذلک یحتمل أن یکون مستند الإجماع أحد هذه الامور، فلا یکشف اتفاقهم عن وجود دلیل آخر وراء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اتفقوا علی أنّ حدّ الکرّ فی باب المیاه ثلاثة أشبار ونصف فی ثلاثة</w:t>
      </w:r>
    </w:p>
    <w:p>
      <w:pPr>
        <w:pStyle w:val="BookText"/>
        <w:rPr/>
      </w:pPr>
      <w:r>
        <w:rPr>
          <w:rFonts w:ascii="IRNazanin" w:hAnsi="IRNazanin" w:eastAsia="IRNazanin"/>
          <w:color w:val="111111"/>
          <w:sz w:val="28"/>
          <w:sz w:val="28"/>
          <w:szCs w:val="28"/>
          <w:rtl w:val="true"/>
          <w:lang w:bidi="fa-IR"/>
        </w:rPr>
        <w:t>أشبار ونصف، وفرضنا فی هذا الفرع عدم وجود أصل أو قاعدة عقلیّة أو دلیل معتبر نقلی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الاتفاق یکشف عن وجود دلیل آخر معتبر عند الکلّ، سیّما إذا لاحظنا دیدن قدماء أصحابنا فإنّه کان علی التعبّد بالرجوع إلی الأخبار والإفتاء علی وفق متون الروایات، فإذا اتفق علماء ذلک الزمان علی مسألة فالإنصاف أنّه یمکن الحدس القطعی من ذلک عن وجود دلیل معتبر، أو یکشف ذلک عن أخذ هذا الحکم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 التامّ من بین المسالک الأربعة هو الإجماع الحدسی، وهو المقصود من الإجماعات المنقولة فی الکتب الفقهیّة بین المتأخّرین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فلابدّ فی کشف مراد ناقل الإجماع من ملاحظة التعبیر الذی ذکره، فلو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فلان لا تضرّ بالإجماع لأنّه معلوم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فنعلم أنّ مبناه علی الإجماع الدخولی، وإذا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الفلان لا تضرّ لانقراض عصره حین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إنعقد الإجماع قبله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فنعلم أنّ مبناه علی الإجماع اللطفی لاعتبارهم اتفاق أهل عصر واحد علی حکم، 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 ولا قاعدة فی هذه المسألة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فنستکشف کون المبنی علی الحدس، نعم لا یوجد تعبیر یناسب الإجماع التشرّفی فی الکلمات</w:t>
      </w:r>
      <w:r>
        <w:rPr>
          <w:rFonts w:eastAsia="IRNazanin" w:cs="IRNazanin"/>
          <w:color w:val="111111"/>
          <w:sz w:val="28"/>
          <w:szCs w:val="28"/>
          <w:rtl w:val="true"/>
          <w:lang w:bidi="fa-IR"/>
        </w:rPr>
        <w:t>.</w:t>
      </w:r>
      <w:bookmarkStart w:id="34" w:name="pg16922_187535"/>
    </w:p>
    <w:p>
      <w:pPr>
        <w:pStyle w:val="Heading3"/>
        <w:numPr>
          <w:ilvl w:val="2"/>
          <w:numId w:val="1"/>
        </w:numPr>
        <w:rPr/>
      </w:pPr>
      <w:bookmarkStart w:id="35" w:name="__RefHeading___Toc141601_3244359995"/>
      <w:bookmarkStart w:id="36" w:name="_Toc14"/>
      <w:bookmarkEnd w:id="34"/>
      <w:bookmarkEnd w:id="35"/>
      <w:r>
        <w:rPr>
          <w:rtl w:val="true"/>
        </w:rPr>
        <w:t>الفصل الثانی</w:t>
      </w:r>
      <w:r>
        <w:rPr>
          <w:rtl w:val="true"/>
        </w:rPr>
        <w:t xml:space="preserve">: </w:t>
      </w:r>
      <w:r>
        <w:rPr>
          <w:rtl w:val="true"/>
        </w:rPr>
        <w:t>الإجماع المنقول بخبر الواحد</w:t>
      </w:r>
      <w:bookmarkEnd w:id="36"/>
    </w:p>
    <w:p>
      <w:pPr>
        <w:pStyle w:val="Heading4"/>
        <w:numPr>
          <w:ilvl w:val="3"/>
          <w:numId w:val="1"/>
        </w:numPr>
        <w:rPr/>
      </w:pPr>
      <w:bookmarkStart w:id="37" w:name="__RefHeading___Toc141603_3244359995"/>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وحجّیته مبنیة علی دخوله تحت مصادیق خبر الواحد فلابدّ من توفّر شرائطه فیه، وهی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عن حسّ، فلا تشتمل أدلّة حجّیة خبر الواحد الخبر الصادر عن الحدس، کما إذا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 من قرائن عقلیّة أنّ الإمام علیه السلام قال کذا، إمّا لأنّ سیرة العقلاء الّتی هی عمدة دلیل الحجّیة لم تقم إلّاعلی قبول خبر الثقة فیما إذا کان إخباره عن حسّ وسائر الأدلّة تقریر وإمضاء لتلک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لأنّ أدلّة حجّیة خبر العادل والثقة تنفی احتمال تعمّد الکذب، وبانضمام أصالة عدم الخطأ والغفلة فی المحسوسات یتمّ المطلوب، أی حجّیته ووجوب تصدیقه ولزوم العمل علی طبق قوله، وأمّا فی الحدسیات فلکثرة الخطأ والغفلة فیها، فلا تجری أصالة عدم الخطأ والغفلة عند العقلاء، فلا تشملها أدلّة حجّیة خبر الواحد، ولا شکّ أنّ ناقل الإجماع لا ینقل الحکم عن الإمام علیه السلام عن حسّ خصوصاً فی زمن الغیبة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الإخبار عن المعصوم علیه السلام فی الأحکام الشرعیّة لا فی الموضوعات الخارجیّة، بل یعتبر فی الموضوعات التعدّد والعدالة ولا یکفی الوحدة والوثاقة، وهذا هو المشهور، ولکن المختار کفایة نقل عادل أو ثقة واحد فی الموضوعات</w:t>
      </w:r>
    </w:p>
    <w:p>
      <w:pPr>
        <w:pStyle w:val="BookText"/>
        <w:rPr/>
      </w:pPr>
      <w:r>
        <w:rPr>
          <w:rFonts w:ascii="IRNazanin" w:hAnsi="IRNazanin" w:eastAsia="IRNazanin"/>
          <w:color w:val="111111"/>
          <w:sz w:val="28"/>
          <w:sz w:val="28"/>
          <w:szCs w:val="28"/>
          <w:rtl w:val="true"/>
          <w:lang w:bidi="fa-IR"/>
        </w:rPr>
        <w:t>أیضاً فی غیر مسألة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الخبر من الامور الغریبة والمستبعدة، فلو کان أمراً غریباً فلا یکفی فیه خبر الواحد بل لابدّ من استفاضته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الخبر من المسائل المهمّة کاصول الفقه علی المختار، لأنّ سیرة العقلاء لم تثبت فی أمثالها الّتی تترتّب علیها مئات أو آلاف من المسائل، ولعلّ هذا مراد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لیس بحجّة فی الاصول، والمراد من الاصول هنا هو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أنّه إذا شککنا فی نقل الإجماع أنّه هل هو مستند إلی الحسّ حتّی تشمله أدلّة حجّیة خبر الواحد، أو إلی الحدس، فما هو مقتضی القاعدة؟</w:t>
      </w:r>
    </w:p>
    <w:p>
      <w:pPr>
        <w:pStyle w:val="BookText"/>
        <w:rPr/>
      </w:pPr>
      <w:r>
        <w:rPr>
          <w:rFonts w:ascii="IRNazanin" w:hAnsi="IRNazanin" w:eastAsia="IRNazanin"/>
          <w:color w:val="111111"/>
          <w:sz w:val="28"/>
          <w:sz w:val="28"/>
          <w:szCs w:val="28"/>
          <w:rtl w:val="true"/>
          <w:lang w:bidi="fa-IR"/>
        </w:rPr>
        <w:t>قال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یقال بشمول أدلّة حجّیة خبر الواحد لهذه الصورة أیضاً، لأنّ عمدة أدلّة الحجّیة هو بناء العقلاء، وهم کما یعملون بخبر الثقة إذا علم أنّه عن حسّ یعملون به أیضاً فیما یحتمل کونه عن حدس، فلیس بناؤهم فیما إذا أخبر بشی‌ء التفتیش فی أنّه هل یکون عن حدس أو عن حسّ، بل یعملون علی طبقه بدون ذلک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صحیح بالنسبة إلی الموارد الّتی کانت طبیعة الإخبار عنها مبنیة علی الحسّ، وأمّا الموارد الّتی یخبر فیها کثیراً عن حدس فقد یقال بعدم ثبوت بنائهم علی الحجّیة فی مورد الشکّ، وحیث إنّ الإجماعات المنقولة غالباً مبنیة علی حدس الناقل أو علی اعتقاد الملازمة عقلًا، فلا اعتبار بها ما لم ینکشف استنادها إلی الحسّ</w:t>
      </w:r>
      <w:r>
        <w:rPr>
          <w:rFonts w:eastAsia="IRNazanin" w:cs="IRNazanin"/>
          <w:color w:val="111111"/>
          <w:sz w:val="28"/>
          <w:szCs w:val="28"/>
          <w:rtl w:val="true"/>
          <w:lang w:bidi="fa-IR"/>
        </w:rPr>
        <w:t>.</w:t>
      </w:r>
      <w:bookmarkStart w:id="39" w:name="pg16922_187537"/>
    </w:p>
    <w:p>
      <w:pPr>
        <w:pStyle w:val="Heading4"/>
        <w:numPr>
          <w:ilvl w:val="3"/>
          <w:numId w:val="1"/>
        </w:numPr>
        <w:rPr/>
      </w:pPr>
      <w:bookmarkStart w:id="40" w:name="__RefHeading___Toc141605_3244359995"/>
      <w:bookmarkStart w:id="41" w:name="_Toc16"/>
      <w:bookmarkEnd w:id="39"/>
      <w:bookmarkEnd w:id="40"/>
      <w:r>
        <w:rPr>
          <w:rtl w:val="true"/>
        </w:rPr>
        <w:t>تقویم الإجماعات المنقولة من جهة کیفیة النقل</w:t>
      </w:r>
      <w:bookmarkEnd w:id="41"/>
    </w:p>
    <w:p>
      <w:pPr>
        <w:pStyle w:val="BookText"/>
        <w:rPr/>
      </w:pPr>
      <w:r>
        <w:rPr>
          <w:rFonts w:ascii="IRNazanin" w:hAnsi="IRNazanin" w:eastAsia="IRNazanin"/>
          <w:color w:val="111111"/>
          <w:sz w:val="28"/>
          <w:sz w:val="28"/>
          <w:szCs w:val="28"/>
          <w:rtl w:val="true"/>
          <w:lang w:bidi="fa-IR"/>
        </w:rPr>
        <w:t>المنقول فی حکایة الإجماع تارةً یکون هو المسبّب؛ وهو قول الإمام علیه السلام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المسلمون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إذا کان ظاهره إرادة الإمام علیه السلام معهم، ویسمّی حینئذٍ بنقل المسبّب أو بنقل السبب والمسبّب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السبب فقط، أی قول من سوی الإمام الکاشف عن قوله علیه السلام کما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ممّا ظاهره من سوی الإمام علیه السلام، ویسمّی بنقل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کون المنقول سبباً أو مسبّباً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الذی اختاره الناقل والمدرک الذی اعتمد علیه، فإنّه قرینة علی مراده، فإن کان مسلکه الإجماع الدخولی أو التشرّفی وکان مدرک نقله هو الحسّ والسماع من الإمام بنفسه ولو ضمن أشخاص یعلم إجمالًا أنّ الإمام علیه السلام أحدهم ولا یعرفه بشخصه کان المنقول حینئذٍ المسبّب أو السبب والمسبّب جمیعاً، وإن کان مبناه الإجماع الحدسی أو اللطفی، أی کان مدرک نقله هو الحدس المقابل للحسّ کان المنقول هو السبب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ألفاظ النقل من حیث الصراحة والظهور والإجمال فی أنّه نقل للسبب، أی نقل قول من عدا الإمام علیه السلام، أو أنّه نقل للسبب والمسبّب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لکیفیة نقل الإجماع من حیث السبب و المسبّب، بالحسّ أو الحدس صوراً مختلفة یعلم حالها ممّا أشرنا إلیه</w:t>
      </w:r>
      <w:r>
        <w:rPr>
          <w:rFonts w:eastAsia="IRNazanin" w:cs="IRNazanin"/>
          <w:color w:val="111111"/>
          <w:sz w:val="28"/>
          <w:szCs w:val="28"/>
          <w:rtl w:val="true"/>
          <w:lang w:bidi="fa-IR"/>
        </w:rPr>
        <w:t>.</w:t>
      </w:r>
    </w:p>
    <w:p>
      <w:pPr>
        <w:pStyle w:val="Heading4"/>
        <w:numPr>
          <w:ilvl w:val="3"/>
          <w:numId w:val="1"/>
        </w:numPr>
        <w:rPr/>
      </w:pPr>
      <w:bookmarkStart w:id="42" w:name="__RefHeading___Toc141607_3244359995"/>
      <w:bookmarkStart w:id="43" w:name="_Toc17"/>
      <w:bookmarkEnd w:id="42"/>
      <w:r>
        <w:rPr>
          <w:rtl w:val="true"/>
        </w:rPr>
        <w:t>بقی هنا أمران</w:t>
      </w:r>
      <w:r>
        <w:rPr>
          <w:rtl w:val="true"/>
        </w:rPr>
        <w:t>:</w:t>
      </w:r>
      <w:bookmarkEnd w:id="43"/>
    </w:p>
    <w:p>
      <w:pPr>
        <w:pStyle w:val="Heading4"/>
        <w:numPr>
          <w:ilvl w:val="3"/>
          <w:numId w:val="1"/>
        </w:numPr>
        <w:rPr/>
      </w:pPr>
      <w:bookmarkStart w:id="44" w:name="__RefHeading___Toc141609_3244359995"/>
      <w:bookmarkStart w:id="45" w:name="_Toc18"/>
      <w:bookmarkEnd w:id="44"/>
      <w:r>
        <w:rPr>
          <w:rtl w:val="true"/>
        </w:rPr>
        <w:t>الأمر الأول</w:t>
      </w:r>
      <w:r>
        <w:rPr>
          <w:rtl w:val="true"/>
        </w:rPr>
        <w:t xml:space="preserve">: </w:t>
      </w:r>
      <w:r>
        <w:rPr>
          <w:rtl w:val="true"/>
        </w:rPr>
        <w:t>الإجماع القاعدة</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یوهن الاعتماد بالنسبة إلی الإجماعات المنقولة عن قدماء الأصحاب</w:t>
      </w:r>
      <w:bookmarkStart w:id="46" w:name="pg16922_187538"/>
    </w:p>
    <w:p>
      <w:pPr>
        <w:pStyle w:val="BookText"/>
        <w:rPr/>
      </w:pPr>
      <w:bookmarkEnd w:id="46"/>
      <w:r>
        <w:rPr>
          <w:rFonts w:ascii="IRNazanin" w:hAnsi="IRNazanin" w:eastAsia="IRNazanin"/>
          <w:color w:val="111111"/>
          <w:sz w:val="28"/>
          <w:sz w:val="28"/>
          <w:szCs w:val="28"/>
          <w:rtl w:val="true"/>
          <w:lang w:bidi="fa-IR"/>
        </w:rPr>
        <w:t>اکتفاؤهم فی دعوی الإجماع فی مسألة خاصّة بوجود الإجماع علی قاعدة أو أصل أو عموم أو إطلاق أو غیر ذلک ممّا یؤدّی إلی هذا الحکم فی نظرهم، کدعوی السیّد المرتضی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مذهبنا جواز إزالة النجاسة بغیر الماء من المائعات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فقال المحقّق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أضاف ذلک إلی مذهبنا لأنّ من أصلنا العمل بالأصل ما لم یثبت الناقل ولیس فی الشرع ما یمنع الإزالة بغیر الماء من المائعات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أنّ نسبة السیّد قدس سره الحکم المذکور إلی مذهبنا من جهة الاتفاق علی الأصل مع أنّ تطبیقه علی هذا المورد خطأ؛ لأنّه من الموارد الّتی یوجد فیها الدلیل الاجتهادی، وهو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کثیرة، فإنّ ظاهره وجوب الغسل بالماء المطلق فلا تصل النوبة إلی الأصل العملی، بل مع عدم وجود الدلیل الاجتهادی یکون المورد من موارد استصحاب النجاسة لا الرجوع إلی البراءة والجواز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الإجماعات المتعارضة من شخص واحد أو من معاصرین، ومنه أیضاً رجوع المدّعی للإجماع عن الفتوی الّتی ادّعی الإجماع فیها، وکذلک دعوی الإجماع فی مسائل غیر معنونة فی کلام من تقدّم علی المدّعی، فکلّ ذلک مبنی علی هذا الوجه؛ أی الإجماع علی القاعدة، دون المسألة الخاصّة، فلا یمکن الاعتماد علیه فی تلک المسألة</w:t>
      </w:r>
      <w:r>
        <w:rPr>
          <w:rFonts w:eastAsia="IRNazanin" w:cs="IRNazanin"/>
          <w:color w:val="111111"/>
          <w:sz w:val="28"/>
          <w:szCs w:val="28"/>
          <w:rtl w:val="true"/>
          <w:lang w:bidi="fa-IR"/>
        </w:rPr>
        <w:t>.</w:t>
      </w:r>
    </w:p>
    <w:p>
      <w:pPr>
        <w:pStyle w:val="Heading4"/>
        <w:numPr>
          <w:ilvl w:val="3"/>
          <w:numId w:val="1"/>
        </w:numPr>
        <w:rPr/>
      </w:pPr>
      <w:bookmarkStart w:id="47" w:name="__RefHeading___Toc141611_3244359995"/>
      <w:bookmarkStart w:id="48" w:name="_Toc19"/>
      <w:bookmarkEnd w:id="47"/>
      <w:r>
        <w:rPr>
          <w:rtl w:val="true"/>
        </w:rPr>
        <w:t>الأمر الثانی</w:t>
      </w:r>
      <w:r>
        <w:rPr>
          <w:rtl w:val="true"/>
        </w:rPr>
        <w:t xml:space="preserve">: </w:t>
      </w:r>
      <w:r>
        <w:rPr>
          <w:rtl w:val="true"/>
        </w:rPr>
        <w:t>فی لزوم ملاحظة ألفاظ نقل الإجماع</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فی الإجماعات المنقولة من ملاحظة مقدار دلالة ألفاظها، فإنّ دلالة ألفاظ الإجماع تختلف فی القوّة والضعف، فقد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أیضاً من ملاحظة حال الناقل فإنّه قد یکون فی أعلی درجة التتبّع، وقد یکون دون 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لابدّ من ملاحظة حال المسألة الّتی نقل فیها الإجماع؛ فإنّها قد تکون مشهورة عند الأصحاب مدوّنة فی کتبهم تصل إلیها الأیدی غالباً، وقد تکون دون ذلک، وقد تکون فی غایة الخفاء لیس لها محلّ مضبوط وإنّما عنونها الأصحاب فی مواضع مختلفة لا تصل إلیها إلّاید الأوحدی من الأعلام، فإذا استفید من مجموع ذلک أنّ السبب المنقول هو سبب تامّ فهو، وإلّا فلابدّ من الأخذ بالمتیقّن وضمّ سائر الأقوال إلیه لعلّه یکون سبباً تامّاً تترتّب علیه الثمرة والنتیجة</w:t>
      </w:r>
      <w:r>
        <w:rPr>
          <w:rFonts w:eastAsia="IRNazanin" w:cs="IRNazanin"/>
          <w:color w:val="111111"/>
          <w:sz w:val="28"/>
          <w:szCs w:val="28"/>
          <w:rtl w:val="true"/>
          <w:lang w:bidi="fa-IR"/>
        </w:rPr>
        <w:t>.</w:t>
      </w:r>
      <w:bookmarkStart w:id="49" w:name="pg16922_187541"/>
    </w:p>
    <w:p>
      <w:pPr>
        <w:pStyle w:val="Heading3"/>
        <w:numPr>
          <w:ilvl w:val="2"/>
          <w:numId w:val="1"/>
        </w:numPr>
        <w:rPr/>
      </w:pPr>
      <w:bookmarkStart w:id="50" w:name="__RefHeading___Toc141613_3244359995"/>
      <w:bookmarkStart w:id="51" w:name="_Toc20"/>
      <w:bookmarkEnd w:id="49"/>
      <w:bookmarkEnd w:id="50"/>
      <w:r>
        <w:rPr>
          <w:rtl w:val="true"/>
        </w:rPr>
        <w:t>الفصل الثالث</w:t>
      </w:r>
      <w:r>
        <w:rPr>
          <w:rtl w:val="true"/>
        </w:rPr>
        <w:t xml:space="preserve">: </w:t>
      </w:r>
      <w:r>
        <w:rPr>
          <w:rtl w:val="true"/>
        </w:rPr>
        <w:t>الشهرة الکاشفة عن قول المعصوم علیه السلام</w:t>
      </w:r>
      <w:bookmarkEnd w:id="51"/>
    </w:p>
    <w:p>
      <w:pPr>
        <w:pStyle w:val="Heading4"/>
        <w:numPr>
          <w:ilvl w:val="3"/>
          <w:numId w:val="1"/>
        </w:numPr>
        <w:rPr/>
      </w:pPr>
      <w:bookmarkStart w:id="52" w:name="__RefHeading___Toc141615_3244359995"/>
      <w:bookmarkStart w:id="53" w:name="_Toc21"/>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قد تقدّم أنّ وجه حجّیة الإجماع کاشفیته عن قول المعصوم علیه السلام، وقد یقال بوجود هذا الملاک فی الشهرة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منها الشهرة الفتوائیّة، فإنّ الشهرة الروائیّة والعملیّة أجنبیتان عن مقامنا؛ لأنّ الشهرة الروائیّة عبارة عن اشتهار الروایة بین أرباب الحدیث ونقلها فی کتبهم وهی من المرجّحات عند تعارض الخبرین علی ما مرّ، والشهرة العملیّة عبارة عن عمل المشهور بالروایة، أی فتواهم مستنداً إلی تلک الروایة، فتکون جابرة لضعفها إذا کانت عند القدماء، کما أنّ إعراضهم عن العمل بها یکون کاسراً لقوّتها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الشهرة الفتوائیّة فهی عبارة عن فتوی المشهور بحکم بحیث یعدّ قول المخالف شاذّاً سواء وجدت فی البین روایة أو لم یوجد، وسواء کانوا متفقین فی المدرک أو مختلفین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أنّه قد یقال بحجّیة الشهرة الفتوائیة واختلف القائلون بها علی قولین</w:t>
      </w:r>
      <w:r>
        <w:rPr>
          <w:rFonts w:eastAsia="IRNazanin" w:cs="IRNazanin"/>
          <w:color w:val="111111"/>
          <w:sz w:val="28"/>
          <w:szCs w:val="28"/>
          <w:rtl w:val="true"/>
          <w:lang w:bidi="fa-IR"/>
        </w:rPr>
        <w:t>:</w:t>
      </w:r>
      <w:bookmarkStart w:id="54" w:name="pg16922_187542"/>
    </w:p>
    <w:p>
      <w:pPr>
        <w:pStyle w:val="Heading4"/>
        <w:numPr>
          <w:ilvl w:val="3"/>
          <w:numId w:val="1"/>
        </w:numPr>
        <w:rPr/>
      </w:pPr>
      <w:bookmarkStart w:id="55" w:name="__RefHeading___Toc141617_3244359995"/>
      <w:bookmarkStart w:id="56" w:name="_Toc22"/>
      <w:bookmarkEnd w:id="54"/>
      <w:bookmarkEnd w:id="55"/>
      <w:r>
        <w:rPr/>
        <w:t>1</w:t>
      </w:r>
      <w:r>
        <w:rPr>
          <w:rtl w:val="true"/>
        </w:rPr>
        <w:t xml:space="preserve">. </w:t>
      </w:r>
      <w:r>
        <w:rPr>
          <w:rtl w:val="true"/>
        </w:rPr>
        <w:t>القول بحجّیة الشهرة مطلقاً</w:t>
      </w:r>
      <w:bookmarkEnd w:id="56"/>
    </w:p>
    <w:p>
      <w:pPr>
        <w:pStyle w:val="BookText"/>
        <w:rPr/>
      </w:pPr>
      <w:r>
        <w:rPr>
          <w:rFonts w:ascii="IRNazanin" w:hAnsi="IRNazanin" w:eastAsia="IRNazanin"/>
          <w:color w:val="111111"/>
          <w:sz w:val="28"/>
          <w:sz w:val="28"/>
          <w:szCs w:val="28"/>
          <w:rtl w:val="true"/>
          <w:lang w:bidi="fa-IR"/>
        </w:rPr>
        <w:t>واستدلّ لها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الحاصل من الشهرة الفتوائیة بالحکم أقوی من الظنّ الحاصل من خبر الواحد فتکون حجّة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قیاس مع الفارق، لأنّ الظنّ الحاصل من خبر الواحد ینشأ عن الحسّ وفی الشهرة عن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یتمّ لو کان مناط حجّیة خبر الواحد هو حصول الظنّ منه بالحکم الشرعی وحینئذٍ لا خصوصیّة للظنّ الحاصل من الشهرة، بل إنّه یدلّ علی حجّیة کلّ ظنّ کان فی مرتبة ذلک أو أقوی منه، وأمّا لو کان مناط حجّیته نوعاً من التعبّد، فلا یتمّ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خبر الواحد لمّا کان بناء العقلاء، فلا ریب أنّ الملاک عندهم هو الکشف الظنّی عن الواقع والمفروض أنّ هذا الکشف موجود فی الشهرة بدرجة أقوی؛ لمنع حجّیة کلّ ظنّ عند العقلاء، واعتباره فی خبر الواحد لخصوصیّة فیه، مضافاً إلی أنّه یمکن أن یکون شی‌ء حجّة عند العقلاء بملاک ولکن الشارع أمضی بناءهم بملاک آخر، ولعلّ ما نحن فیه کذلک، فکان خبر الواحد حجّة عند العقلاء بملاک وعند الشارع بملاک آخر، کما یشهد له حکم الشارع فی الخبرین المتعارضین المتساویین بالتخییر مع أنّهما یتساقطان فی الحجّیة والاعتبار عندهم، وعلی کلّ حال لا ملازمة بین إمضاء النتیجة وإمضاء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مقبولة عمر بن حنظلة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 فیؤخذ به من حکمنا ویترک الشاذّ الذی لیس بمشهور عند أصحابک فانّ المجمع علیه لا ریب فیه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وکذا قوله علیه السلام فی مرفوعة زرارة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ودع الشاذّ</w:t>
      </w:r>
    </w:p>
    <w:p>
      <w:p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المجمع علیه فی المقبولة هو المشهور بقرینة إطلاق المشهور علیه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ویترک الشاذّ الذی لیس بمشهور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فالتعلیل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دلیلًا علی أنّ المشهور مطلقاً سواء کان روایة أو فتوی یکون ممّا لا ریب فیه ویجب العمل به، وإن کان مورد التعلیل خصوص الشهرة فی الروایة وهکذا فی المرفوعة فإنّ الموصول فیها عامّ یشمل الشهرة بأقسامها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الشهرة هنا هو الشهرة اللغویة بمعنی الوضوح، لا الشهرة المصطلحة وقد وقع الخلط بینهما، فإذن یکون معنی قول الإمام فی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صار واضحاً عند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هذا المعنی من الشهرة أو أنّ هذه الدرجة من الشهرة تصل إلی مرتبة القطع العرفی العادی، فلیس المراد من عدم الریب عدم الریب بالنسبة إلی ما یقابله، بل عدم الریب مطلقاً، وإذن لا یصحّ الاستدلال بهما فی محلّ البحث، لأنّ المفروض أنّ محلّ النزاع هو الشهرة فی الاصطلاح، أی الشهرة الفتوائیّة الّتی توجب الظنّ بقول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بذیل آیة النبأ من التعلیل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بتقریب أنّ المراد من الجهالة السفاهة والاعتماد علی ما لا ینبغی الاعتماد علیه، ومعلوم أنّ العمل بالشهرة والاعتماد علیها لیس من السفاهة وفعل ما لا ینبغی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مایقتضیه هذاالتعلیل هو عدم حجّیة کلّ ما فیه جهالة وسفاهة، وهذا لایقتضی حجّیة کلّ ما لیس فیه جهالة وسفاهة إذ لیس له مفهوم حتّی یتمسّک به، ألا</w:t>
      </w:r>
      <w:bookmarkStart w:id="57" w:name="pg16922_187544"/>
    </w:p>
    <w:p>
      <w:pPr>
        <w:pStyle w:val="BookText"/>
        <w:rPr/>
      </w:pPr>
      <w:bookmarkEnd w:id="57"/>
      <w:r>
        <w:rPr>
          <w:rFonts w:ascii="IRNazanin" w:hAnsi="IRNazanin" w:eastAsia="IRNazanin"/>
          <w:color w:val="111111"/>
          <w:sz w:val="28"/>
          <w:sz w:val="28"/>
          <w:szCs w:val="28"/>
          <w:rtl w:val="true"/>
          <w:lang w:bidi="fa-IR"/>
        </w:rPr>
        <w:t xml:space="preserve">تری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جواز أکل کلّ ما لیس بحامض</w:t>
      </w:r>
      <w:r>
        <w:rPr>
          <w:rFonts w:eastAsia="IRNazanin" w:cs="IRNazanin"/>
          <w:color w:val="111111"/>
          <w:sz w:val="28"/>
          <w:szCs w:val="28"/>
          <w:rtl w:val="true"/>
          <w:lang w:bidi="fa-IR"/>
        </w:rPr>
        <w:t>.</w:t>
      </w:r>
    </w:p>
    <w:p>
      <w:pPr>
        <w:pStyle w:val="Heading4"/>
        <w:numPr>
          <w:ilvl w:val="3"/>
          <w:numId w:val="1"/>
        </w:numPr>
        <w:rPr/>
      </w:pPr>
      <w:bookmarkStart w:id="58" w:name="__RefHeading___Toc141619_3244359995"/>
      <w:bookmarkStart w:id="59" w:name="_Toc23"/>
      <w:bookmarkEnd w:id="58"/>
      <w:r>
        <w:rPr/>
        <w:t>2</w:t>
      </w:r>
      <w:r>
        <w:rPr>
          <w:rtl w:val="true"/>
        </w:rPr>
        <w:t xml:space="preserve">. </w:t>
      </w:r>
      <w:r>
        <w:rPr>
          <w:rtl w:val="true"/>
        </w:rPr>
        <w:t>القول بالتفصیل بین الشهرة عند القدماء وعند المتأخّرین</w:t>
      </w:r>
      <w:bookmarkEnd w:id="59"/>
    </w:p>
    <w:p>
      <w:pPr>
        <w:pStyle w:val="BookText"/>
        <w:rPr/>
      </w:pPr>
      <w:r>
        <w:rPr>
          <w:rFonts w:ascii="IRNazanin" w:hAnsi="IRNazanin" w:eastAsia="IRNazanin"/>
          <w:color w:val="111111"/>
          <w:sz w:val="28"/>
          <w:sz w:val="28"/>
          <w:szCs w:val="28"/>
          <w:rtl w:val="true"/>
          <w:lang w:bidi="fa-IR"/>
        </w:rPr>
        <w:t>واستدلّ القائلون بحجّیة الشهرة عند قدماء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بتعبّد القدماء بالعمل بالأخبار ومتون الروایات؛ حیث إنّه لم یکن لهم تفریع واستنباط من عند أنفسهم فیحصل من اشتهار قول عندهم الوثوق والإطمئنان بقول المعصوم علیه السلام أو وجود دلیل معتبر، وتکون هذه الشهرة بنفسها کاشفة عن الحکم، بخلاف الشهرة عند المتأخّرین لکونها مبنیة علی آرائهم الظنّیة، من دون أن یکون معقدها متلّقاة من کلمات المعصومین وألفاظ الروایات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الشهرة عند القدماء حینئذٍ کالإجماع الحدسی کاشفة عن قول الإمام علیه السلام أو مدرک معتبر کشفاً قطعیاً، بل هی ترجع فی الواقع إلی الإجماع الحدسی وتکون من مصادیقه لعدم اشتراط إجماع الکلّ فیه، وعندئذٍ یخرج عن محلّ النزاع لأنّ البحث کان فی الشهرة الفتوائیة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عدم عمل القدماء بل کثیر من فقهاء الرواة بالاستنباطات الظنّیة عن الأدلّة المعتبرة ولو فی صورة محدودة بسیطة أوّل الکلام</w:t>
      </w:r>
      <w:r>
        <w:rPr>
          <w:rFonts w:eastAsia="IRNazanin" w:cs="IRNazanin"/>
          <w:color w:val="111111"/>
          <w:sz w:val="28"/>
          <w:szCs w:val="28"/>
          <w:rtl w:val="true"/>
          <w:lang w:bidi="fa-IR"/>
        </w:rPr>
        <w:t>.</w:t>
      </w:r>
    </w:p>
    <w:p>
      <w:pPr>
        <w:pStyle w:val="Heading4"/>
        <w:numPr>
          <w:ilvl w:val="3"/>
          <w:numId w:val="1"/>
        </w:numPr>
        <w:rPr/>
      </w:pPr>
      <w:bookmarkStart w:id="60" w:name="__RefHeading___Toc141621_3244359995"/>
      <w:bookmarkStart w:id="61" w:name="_Toc24"/>
      <w:bookmarkEnd w:id="60"/>
      <w:r>
        <w:rPr>
          <w:rtl w:val="true"/>
        </w:rPr>
        <w:t>تذییل حول الشهرة العملیّة</w:t>
      </w:r>
      <w:bookmarkEnd w:id="61"/>
    </w:p>
    <w:p>
      <w:pPr>
        <w:pStyle w:val="BookText"/>
        <w:rPr/>
      </w:pPr>
      <w:r>
        <w:rPr>
          <w:rFonts w:ascii="IRNazanin" w:hAnsi="IRNazanin" w:eastAsia="IRNazanin"/>
          <w:color w:val="111111"/>
          <w:sz w:val="28"/>
          <w:sz w:val="28"/>
          <w:szCs w:val="28"/>
          <w:rtl w:val="true"/>
          <w:lang w:bidi="fa-IR"/>
        </w:rPr>
        <w:t>قد مرّ أنّ الشهرة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الفتوائیّة والشهرة الروائیّة والشهرة العملیّة، وقد ذهب المشهور إلی أنّ الشهرة العملیّة علی وفق روایة ضعیفة توجب جبر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الضعیف لا یکون حجّة فی نفسه وفتوی المشهور غیر حجّة أیضاً، وانضمام اللاحجّة إلی مثله لا یوجب الحجّیة، 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المشهور بخبر ضعیف توثیقٌ عملیٌ للمخبر فیثبت به کونه ثقة، فیدخل فی موضوع الحجّیة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مجمل لا یعلم وجهه فیحتمل أن یکون عملهم به لما ظهر</w:t>
      </w:r>
    </w:p>
    <w:p>
      <w:pPr>
        <w:pStyle w:val="BookText"/>
        <w:rPr/>
      </w:pPr>
      <w:r>
        <w:rPr>
          <w:rFonts w:ascii="IRNazanin" w:hAnsi="IRNazanin" w:eastAsia="IRNazanin"/>
          <w:color w:val="111111"/>
          <w:sz w:val="28"/>
          <w:sz w:val="28"/>
          <w:szCs w:val="28"/>
          <w:rtl w:val="true"/>
          <w:lang w:bidi="fa-IR"/>
        </w:rPr>
        <w:t>لهم من صدق الخبر ومطابقته للواقع بحسب نظرهم واجتهادهم، لا لکون المخبر ثقة عندهم، فالعمل بخبر ضعیف لا یدلّ علی توثیق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تمامیة الصغری أیضاً فإنّ القدماء لم یتعرّضوا للاستدلال فی کتبهم لیعلم استنادهم إلی الخبر الضعیف، وإنّما المذکور فیها مجرّد الفتوی، فمن أین نستکشف عمل قدماء الأصحاب بخبر ضعیف واستنادهم إلیه، فإنّ مجرّد مطابقة الفتوی لخبر ضعیف لا یدلّ علی أنّهم استندوا فی هذه الفتوی إلی هذا الخبر إذ یحتمل کون الدلیل عندهم غیره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الإنصاف أنّ ملاک حجّیة خبر الواحد موجود هنا، وهو حصول الوثوق بصدور الروایة عن المعصوم علیه السلام وإن لم تکن رواتها موثوقین، فإنّ عمل مشهور القدماء بروایة واستنادهم إلیها یوجب الاطمئنان والوثوق بصدورها؛ لأنّ المیزان فی باب الحجّیة إنّما هو الوثوق بالصدور، لا الوثوق بالراوی فقط، فکما یحصل الوثوق بالصدور بکون الراوی ثقة کذلک یحصل بمطابقة الشهرة لمضمون الخبر، کما لا یحصل الوثوق بالصدور إذا تحقّقت الشهرة علی خلاف روایة وإن تحقّق الوثوق برواتها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 ذلک من قبیل ضمّ العدم إلی العدم؛ لأنّ ضمّ احتمال إلی احتمال آخر یوجب شدّة الاحتمال، وتراکم الظنون والاحتمالات توجب قوّة الظنّ، وقد ینتهی إلی حصول الیقین، وإلّا یلزم من ذلک عدم حجّیة الخبر المتواتر أیضاً؛ لأنّه أیضاً ضمّ لا حجّة إلی لا حجّة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والإشکال فی صغری البحث غیر تامّ أیضاً، لأنّه وإن لم یستند الأصحاب فی فتواهم إلی الروایة مباشرة، ولکن إذا ذکرت الروایة فی کتب مشهورة معتبرة، وکانت بمرأی الأصحاب وکان عملهم موافقاً لمضمونها، فیحصل الوثوق والإطمئنان</w:t>
      </w:r>
    </w:p>
    <w:p>
      <w:pPr>
        <w:pStyle w:val="BookText"/>
        <w:rPr/>
      </w:pPr>
      <w:r>
        <w:rPr>
          <w:rFonts w:ascii="IRNazanin" w:hAnsi="IRNazanin" w:eastAsia="IRNazanin"/>
          <w:color w:val="111111"/>
          <w:sz w:val="28"/>
          <w:sz w:val="28"/>
          <w:szCs w:val="28"/>
          <w:rtl w:val="true"/>
          <w:lang w:bidi="fa-IR"/>
        </w:rPr>
        <w:t>إجمالًا بأنّ فتواهم إمّا مستندة إلی هذه الروایة أو ما فی معناها، وعلی أیّ حال یحصل الوثوق إجمالًا بصدور هذا المعنی من الإمام علیه السلام فنأخذ به ویکون حجّة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الفتوائیّة علی وفق الخبر الضعیف توجب قوّته، وعلی خلاف الخبر القویّ توجب ضعفه</w:t>
      </w:r>
      <w:r>
        <w:rPr>
          <w:rFonts w:eastAsia="IRNazanin" w:cs="IRNazanin"/>
          <w:color w:val="111111"/>
          <w:sz w:val="28"/>
          <w:szCs w:val="28"/>
          <w:rtl w:val="true"/>
          <w:lang w:bidi="fa-IR"/>
        </w:rPr>
        <w:t>.</w:t>
      </w:r>
      <w:bookmarkStart w:id="62" w:name="pg16922_187547"/>
    </w:p>
    <w:p>
      <w:pPr>
        <w:pStyle w:val="Heading4"/>
        <w:numPr>
          <w:ilvl w:val="3"/>
          <w:numId w:val="1"/>
        </w:numPr>
        <w:rPr/>
      </w:pPr>
      <w:bookmarkStart w:id="63" w:name="__RefHeading___Toc141623_3244359995"/>
      <w:bookmarkStart w:id="64" w:name="_Toc25"/>
      <w:bookmarkEnd w:id="62"/>
      <w:bookmarkEnd w:id="63"/>
      <w:r>
        <w:rPr>
          <w:rtl w:val="true"/>
        </w:rPr>
        <w:t>وفیه مراحل</w:t>
      </w:r>
      <w:r>
        <w:rPr>
          <w:rtl w:val="true"/>
        </w:rPr>
        <w:t>:</w:t>
      </w:r>
      <w:bookmarkEnd w:id="64"/>
    </w:p>
    <w:p>
      <w:pPr>
        <w:pStyle w:val="BookText"/>
        <w:rPr/>
      </w:pPr>
      <w:r>
        <w:rPr>
          <w:rFonts w:ascii="IRNazanin" w:hAnsi="IRNazanin" w:eastAsia="IRNazanin"/>
          <w:color w:val="111111"/>
          <w:sz w:val="28"/>
          <w:sz w:val="28"/>
          <w:szCs w:val="28"/>
          <w:rtl w:val="true"/>
          <w:lang w:bidi="fa-IR"/>
        </w:rPr>
        <w:t>الاولی علل الأحکام ومبادیها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الأحکام</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الاستلزامات الحکمیّة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الضدّ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الأمر والنهی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 عن العبادات و المعاملات</w:t>
      </w:r>
    </w:p>
    <w:p>
      <w:pPr>
        <w:pStyle w:val="BookText"/>
        <w:rPr/>
      </w:pPr>
      <w:r>
        <w:rPr>
          <w:rFonts w:ascii="IRNazanin" w:hAnsi="IRNazanin" w:eastAsia="IRNazanin"/>
          <w:color w:val="111111"/>
          <w:sz w:val="28"/>
          <w:sz w:val="28"/>
          <w:szCs w:val="28"/>
          <w:rtl w:val="true"/>
          <w:lang w:bidi="fa-IR"/>
        </w:rPr>
        <w:t>الأدلة العقلیة الظنیة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الذرائع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65" w:name="pg16922_187549"/>
    </w:p>
    <w:p>
      <w:pPr>
        <w:pStyle w:val="Heading2"/>
        <w:numPr>
          <w:ilvl w:val="1"/>
          <w:numId w:val="1"/>
        </w:numPr>
        <w:rPr/>
      </w:pPr>
      <w:bookmarkStart w:id="66" w:name="__RefHeading___Toc141625_3244359995"/>
      <w:bookmarkStart w:id="67" w:name="_Toc26"/>
      <w:bookmarkEnd w:id="65"/>
      <w:bookmarkEnd w:id="66"/>
      <w:r>
        <w:rPr>
          <w:rtl w:val="true"/>
        </w:rPr>
        <w:t>المقصد الرابع</w:t>
      </w:r>
      <w:r>
        <w:rPr>
          <w:rtl w:val="true"/>
        </w:rPr>
        <w:t xml:space="preserve">: </w:t>
      </w:r>
      <w:r>
        <w:rPr>
          <w:rtl w:val="true"/>
        </w:rPr>
        <w:t>دلیل العقل</w:t>
      </w:r>
      <w:bookmarkEnd w:id="67"/>
    </w:p>
    <w:p>
      <w:pPr>
        <w:pStyle w:val="Heading3"/>
        <w:numPr>
          <w:ilvl w:val="2"/>
          <w:numId w:val="1"/>
        </w:numPr>
        <w:rPr/>
      </w:pPr>
      <w:bookmarkStart w:id="68" w:name="__RefHeading___Toc141627_3244359995"/>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من الأدلّة الفقهیّة فی أحکام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سیأتی من ثبوت الملازمة بین حکم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لدلالة العقل علی الأحکام الشرعیّة مراتب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علل الأحکام ومبادیها، ومرتبة معلولاتها، ومرتبة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یحکم العقل بحسن العدل والإحسان وقبح الظلم، أی یدرک مصلحة العدل والإحسان ومفسدة الظلم، وحیث إنّ المصالح والمفاسد بمنزلة علل الأحکام، فنستکشف من ناحیتها الوجوب الشرعی أو 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یحکم العقل أوّلًا بقبح العقاب بلا بیان ثمّ یستکشف من ناحیة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معلولات الأحکام عدم الوجوب والحرمة الفعلیین، ویسمّی هذا بالبراءة العقلیّة الدالّة علی نفی الحکم الإلزامی الشرعی، أو یحکم فی موارد العلم الإجمالی فی الشبهات المحصورة أوّلًا بتنجّزه وکونه منجّزاً للعقاب الاخروی ثمّ یستکشف منه فعلیّة الحکم الشرعی فی أطراف الشبهة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یکشف العقل عن حکم شرعی مجهول من ناحیة حکم شرعی آخر معلوم بسبب وجود الملازمة بینهما عند العقل، وهذه العلاقات والملازمات العقلیّة المورثة للقطع بالحکم تسمّی بالاستلزامات الحکمیّة والمبحوث عنها فی الاصول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فیبحث فیه عن وجود الملازمة بین الأمر بشی‌ء وإجزائه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مقدّمة الواجب، فیدرک العقل فی هذا الباب التلازم بین وجوب المقدّمة وذی 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اقتضاء الأمر بالشی‌ء النهی عن ضدّه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الأمر والنهی فإنّ القائلین بعدم الجواز یعتقدون بأنّ الأمر یلازم عدم النهی دائماً، وکذا العکس فلا یجتمعان فی شی‌ء واحد ولو بعنوانین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النهی علی الفساد، فیدلّ العقل علی وجود الملازمة بین النهی عن عبادة وفسادها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فتمام الکلام حول دلیل العقل یقع فی مراحل ثلاثة</w:t>
      </w:r>
      <w:r>
        <w:rPr>
          <w:rFonts w:eastAsia="IRNazanin" w:cs="IRNazanin"/>
          <w:color w:val="111111"/>
          <w:sz w:val="28"/>
          <w:szCs w:val="28"/>
          <w:rtl w:val="true"/>
          <w:lang w:bidi="fa-IR"/>
        </w:rPr>
        <w:t>.</w:t>
      </w:r>
      <w:bookmarkStart w:id="70" w:name="pg16922_187551"/>
    </w:p>
    <w:p>
      <w:pPr>
        <w:pStyle w:val="Heading3"/>
        <w:numPr>
          <w:ilvl w:val="2"/>
          <w:numId w:val="1"/>
        </w:numPr>
        <w:rPr/>
      </w:pPr>
      <w:bookmarkStart w:id="71" w:name="__RefHeading___Toc141629_3244359995"/>
      <w:bookmarkStart w:id="72" w:name="_Toc28"/>
      <w:bookmarkEnd w:id="70"/>
      <w:bookmarkEnd w:id="71"/>
      <w:r>
        <w:rPr>
          <w:rtl w:val="true"/>
        </w:rPr>
        <w:t>المرحلة الاولی</w:t>
      </w:r>
      <w:r>
        <w:rPr>
          <w:rtl w:val="true"/>
        </w:rPr>
        <w:t xml:space="preserve">: </w:t>
      </w:r>
      <w:r>
        <w:rPr>
          <w:rtl w:val="true"/>
        </w:rPr>
        <w:t>علل الاحکام و مبادیها</w:t>
      </w:r>
      <w:bookmarkEnd w:id="72"/>
    </w:p>
    <w:p>
      <w:pPr>
        <w:pStyle w:val="Heading4"/>
        <w:numPr>
          <w:ilvl w:val="3"/>
          <w:numId w:val="1"/>
        </w:numPr>
        <w:rPr/>
      </w:pPr>
      <w:bookmarkStart w:id="73" w:name="__RefHeading___Toc141631_3244359995"/>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والبحث عنها یتمّ فی ثلاث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حسن الأشیاء أو قبحها ذاتاً قبل ورود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إدراک العقل لهما بعد أن ثبتت ذاتیّتهما للأشیاء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والأوّلین بمنزلة الصغری، والثالث بمنزلة الکبری لإثبات حکم الشرع</w:t>
      </w:r>
      <w:r>
        <w:rPr>
          <w:rFonts w:eastAsia="IRNazanin" w:cs="IRNazanin"/>
          <w:color w:val="111111"/>
          <w:sz w:val="28"/>
          <w:szCs w:val="28"/>
          <w:rtl w:val="true"/>
          <w:lang w:bidi="fa-IR"/>
        </w:rPr>
        <w:t>.</w:t>
      </w:r>
    </w:p>
    <w:p>
      <w:pPr>
        <w:pStyle w:val="Heading4"/>
        <w:numPr>
          <w:ilvl w:val="3"/>
          <w:numId w:val="1"/>
        </w:numPr>
        <w:rPr/>
      </w:pPr>
      <w:bookmarkStart w:id="75" w:name="__RefHeading___Toc141633_3244359995"/>
      <w:bookmarkStart w:id="76" w:name="_Toc30"/>
      <w:bookmarkEnd w:id="75"/>
      <w:r>
        <w:rPr>
          <w:rtl w:val="true"/>
        </w:rPr>
        <w:t>المقام الأوّل</w:t>
      </w:r>
      <w:r>
        <w:rPr>
          <w:rtl w:val="true"/>
        </w:rPr>
        <w:t xml:space="preserve">: </w:t>
      </w:r>
      <w:r>
        <w:rPr>
          <w:rtl w:val="true"/>
        </w:rPr>
        <w:t>هل للأشیاء حسن وقبح ذاتاً؟</w:t>
      </w:r>
      <w:bookmarkEnd w:id="76"/>
    </w:p>
    <w:p>
      <w:pPr>
        <w:pStyle w:val="Heading5"/>
        <w:numPr>
          <w:ilvl w:val="4"/>
          <w:numId w:val="1"/>
        </w:numPr>
        <w:rPr/>
      </w:pPr>
      <w:bookmarkStart w:id="77" w:name="__RefHeading___Toc141635_3244359995"/>
      <w:bookmarkStart w:id="78" w:name="_Toc31"/>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المراد من حسن الفعل وقبحه ما یستحقّ المدح أو الذمّ علی إتیانه، فالنزاع عنهما مقصور فی عالم الأفعال ولا یشمل عالم التکوین، فإنّه لا إشکال فی أنّ هناک أشیاء حسنة کجمال یوسف وصوت العندلیب، کما أنّ هناک أشیاء قبیحة کصوت الحمیر والریح النتن، فالبحث فی المقام مرتبط بحسن الأفعال وقبحها لا حسن الأشیاء التکوینیّة وقبحها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إشکال فی أنّ حسن الفعل أو قبحه ناشٍ من جهة تکوینیّة لا محالة، فالإحسان حسن لأنّه موجب لکمال الفرد والمجتمع خارجاً، والظلم قبیح لأنّه موجب لنقصانهما کذلک</w:t>
      </w:r>
      <w:r>
        <w:rPr>
          <w:rFonts w:eastAsia="IRNazanin" w:cs="IRNazanin"/>
          <w:color w:val="111111"/>
          <w:sz w:val="28"/>
          <w:szCs w:val="28"/>
          <w:rtl w:val="true"/>
          <w:lang w:bidi="fa-IR"/>
        </w:rPr>
        <w:t>.</w:t>
      </w:r>
      <w:bookmarkStart w:id="79" w:name="pg16922_187552"/>
    </w:p>
    <w:p>
      <w:pPr>
        <w:pStyle w:val="Heading5"/>
        <w:numPr>
          <w:ilvl w:val="4"/>
          <w:numId w:val="1"/>
        </w:numPr>
        <w:rPr/>
      </w:pPr>
      <w:bookmarkStart w:id="80" w:name="__RefHeading___Toc141637_3244359995"/>
      <w:bookmarkStart w:id="81" w:name="_Toc32"/>
      <w:bookmarkEnd w:id="79"/>
      <w:bookmarkEnd w:id="80"/>
      <w:r>
        <w:rPr>
          <w:rtl w:val="true"/>
        </w:rPr>
        <w:t>أدّلة المثبتین</w:t>
      </w:r>
      <w:bookmarkEnd w:id="81"/>
    </w:p>
    <w:p>
      <w:pPr>
        <w:pStyle w:val="BookText"/>
        <w:rPr/>
      </w:pPr>
      <w:r>
        <w:rPr>
          <w:rFonts w:ascii="IRNazanin" w:hAnsi="IRNazanin" w:eastAsia="IRNazanin"/>
          <w:color w:val="111111"/>
          <w:sz w:val="28"/>
          <w:sz w:val="28"/>
          <w:szCs w:val="28"/>
          <w:rtl w:val="true"/>
          <w:lang w:bidi="fa-IR"/>
        </w:rPr>
        <w:t>لایخفی أنّ قسماً من الأفعال یکون بحسب الذات علّة تامّة للحسن أو القبح کالظلم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وقسماً منها یکون مقتضیاً وعلّة ناقصة لأحدهما فی حدّ ذاته کالصدق الذی یقتضی الحسن ذاتاً ما لم یمنع مانع عنه، کما إذا أوجب إلقاء النفس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ثالث منها لیس علة تامّة للحسن أو القبح فی حدّ ذاته ولا علّة ناقصة لأحدهما کذلک کالمباحات العقلیّة، والنزاع إنّما وقع فی القسم الأوّل لا الثانی والثالث ممّا یکون حسناً أو قبیحاً بالوجوه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لا إشکال فی حسن بعض الأفعال أو قبحه ذاتاً وقبل ورود الشرع ویدلّ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فإنّ وجدان کلّ إنسان یحکم بأنّ هناک أفعالًا حسنة ذاتاً وأفعالًا اخری قبیحة کذلک، وإن شئت فانظر إلی رجلین أحدهما أنقذ غریقاً من البحر والآخر ألقی رضیعاً فی البحر، فهل تجد فی نفسک أنّهما سیّان من حیث المدح والذمّ؟ کلّا، بل یحکم وجدانک بحسن عمل الأوّل وقبح عمل الثانی بلا ریب، ولا ترتاب ولو للحظة واحدة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الحسن والقبح الذاتی یستلزم إنکار الشریعة وعدم إمکان إثباتها؛ لأنّه متوقّف علی إظهار المعجزة علی ید النبی الصادق صلی الله علیه و آله وهو لا یدلّ علی صحّة النبوّة إلّاإذا قلنا بقبح إظهارها علی ید الکاذب، وکذلک یستلزم عدم إمکان قبول الوعد والوعید الواردین فی کتاب اللَّه لأنّه یتوقّف علی قبح الکذب وعدم الوفاء بالوعد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من الآیات علی حسن بعض الأفعال وقبح بعض آخر قبل ورود الشرع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w:t>
      </w:r>
      <w:bookmarkStart w:id="82" w:name="pg16922_187553"/>
    </w:p>
    <w:p>
      <w:pPr>
        <w:pStyle w:val="BookText"/>
        <w:rPr/>
      </w:pPr>
      <w:bookmarkEnd w:id="82"/>
      <w:r>
        <w:rPr>
          <w:rFonts w:ascii="Amiri" w:hAnsi="Amiri" w:eastAsia="Amiri" w:cs="Amiri"/>
          <w:color w:val="111111"/>
          <w:sz w:val="28"/>
          <w:sz w:val="28"/>
          <w:szCs w:val="28"/>
          <w:rtl w:val="true"/>
          <w:lang w:bidi="ar-SA"/>
        </w:rPr>
        <w:t>وَیُحَرِّمُ عَلَیْهِمْ الْخَبَائِثَ</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وقوله عظم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ففی هذه الآیات وأشباهها دلالة واضحة علی ثبوت الحسن والقبح بحکم العقل، وقبل ورود الشرع</w:t>
      </w:r>
      <w:r>
        <w:rPr>
          <w:rFonts w:eastAsia="IRNazanin" w:cs="IRNazanin"/>
          <w:color w:val="111111"/>
          <w:sz w:val="28"/>
          <w:szCs w:val="28"/>
          <w:rtl w:val="true"/>
          <w:lang w:bidi="fa-IR"/>
        </w:rPr>
        <w:t>.</w:t>
      </w:r>
    </w:p>
    <w:p>
      <w:pPr>
        <w:pStyle w:val="Heading5"/>
        <w:numPr>
          <w:ilvl w:val="4"/>
          <w:numId w:val="1"/>
        </w:numPr>
        <w:rPr/>
      </w:pPr>
      <w:bookmarkStart w:id="83" w:name="__RefHeading___Toc141639_3244359995"/>
      <w:bookmarkStart w:id="84" w:name="_Toc33"/>
      <w:bookmarkEnd w:id="83"/>
      <w:r>
        <w:rPr>
          <w:rtl w:val="true"/>
        </w:rPr>
        <w:t>أدلّة المنکرین للحسن والقبح</w:t>
      </w:r>
      <w:r>
        <w:rPr>
          <w:rtl w:val="true"/>
        </w:rPr>
        <w:t>:</w:t>
      </w:r>
      <w:bookmarkEnd w:id="84"/>
    </w:p>
    <w:p>
      <w:pPr>
        <w:pStyle w:val="BookText"/>
        <w:rPr/>
      </w:pPr>
      <w:r>
        <w:rPr>
          <w:rFonts w:ascii="IRNazanin" w:hAnsi="IRNazanin" w:eastAsia="IRNazanin"/>
          <w:color w:val="111111"/>
          <w:sz w:val="28"/>
          <w:sz w:val="28"/>
          <w:szCs w:val="28"/>
          <w:rtl w:val="true"/>
          <w:lang w:bidi="fa-IR"/>
        </w:rPr>
        <w:t>ثمّ إنّه استدلّ لعدم حسن الأفعال وعدم قبحها ذاتاً بوجوه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الحسن والقبح عقلیین لزم الجبر فی أفعال اللَّه تعالی؛ أی لزم أن یکون الشارع الحکیم مقیّداً فی تشریعه للأحکام بهذه الأوصاف، وهذا ینافی اختیاره تعالی فی أفعاله علی الإطلاق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واضح، لأنّ الجبر فی فعلٍ شی‌ءٌ، ووجود الصارف الاختیاری عن ذلک الفعل شی‌ءٌ آخر، فإنّ السلوک علی وفق الحکمة وعدم التخطّی عمّا تقتضیه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العباد غیر صادرة عنهم باختیارهم فلا تتّصف بالحسن والقبح بالمعنی المتنازع فیه، وهو استحقاق المدح أو الذمّ علی إتیانها، لأنّ الاستحقاق موقوف علی وجود الاختیار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مبنی علی القول بالجبر وهو فاسد من أصله، مضافاً إلی ورود النقض علیه بعد ورود حکم الشرع بالحسن والقبح مع أنّهم ملتزمون بهما بعد ورودهما فی الشرع</w:t>
      </w:r>
      <w:r>
        <w:rPr>
          <w:rFonts w:eastAsia="IRNazanin" w:cs="IRNazanin"/>
          <w:color w:val="111111"/>
          <w:sz w:val="28"/>
          <w:szCs w:val="28"/>
          <w:rtl w:val="true"/>
          <w:lang w:bidi="fa-IR"/>
        </w:rPr>
        <w:t>.</w:t>
      </w:r>
      <w:bookmarkStart w:id="85" w:name="pg16922_187554"/>
    </w:p>
    <w:p>
      <w:pPr>
        <w:pStyle w:val="Heading5"/>
        <w:numPr>
          <w:ilvl w:val="4"/>
          <w:numId w:val="1"/>
        </w:numPr>
        <w:rPr/>
      </w:pPr>
      <w:bookmarkStart w:id="86" w:name="__RefHeading___Toc141641_3244359995"/>
      <w:bookmarkStart w:id="87" w:name="_Toc34"/>
      <w:bookmarkEnd w:id="85"/>
      <w:bookmarkEnd w:id="86"/>
      <w:r>
        <w:rPr>
          <w:rtl w:val="true"/>
        </w:rPr>
        <w:t>المقام الثانی</w:t>
      </w:r>
      <w:r>
        <w:rPr>
          <w:rtl w:val="true"/>
        </w:rPr>
        <w:t xml:space="preserve">: </w:t>
      </w:r>
      <w:r>
        <w:rPr>
          <w:rtl w:val="true"/>
        </w:rPr>
        <w:t>فی إمکان إدراک الحسن والقبح الذاتیین</w:t>
      </w:r>
      <w:bookmarkEnd w:id="87"/>
    </w:p>
    <w:p>
      <w:pPr>
        <w:pStyle w:val="BookText"/>
        <w:rPr/>
      </w:pPr>
      <w:r>
        <w:rPr>
          <w:rFonts w:ascii="IRNazanin" w:hAnsi="IRNazanin" w:eastAsia="IRNazanin"/>
          <w:color w:val="111111"/>
          <w:sz w:val="28"/>
          <w:sz w:val="28"/>
          <w:szCs w:val="28"/>
          <w:rtl w:val="true"/>
          <w:lang w:bidi="fa-IR"/>
        </w:rPr>
        <w:t>والدلیل علیه یظهر ممّا مرّ فی المقام الأوّل، نعم ینبغی الإشارة إلی أنّ حکم العقل بالحسن أو القبح یکون علی حدّ الموجبة الجزئیة لا الکلّیة، ولا یقول أحد بأنّ العقل یدرک جمیع المصالح والمفاسد وما یتبعهما من الحسن والقبح، وذلک لأنّ القضایا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منها یدرک العقل الحسن أو القبح فیها بالضرورة والبداهة کقضیتی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ونوع آخر یکون درک العقل للحسن أو القبح فیها بالاستدلال والبرهان کقضیة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أضرّ بمنفعة الشخص، فیدرک حسن الصدق الضارّ بالتأمّل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ونوع ثالث منها لا یدرک العقل الحسن أو القبح فیها لا بالضرورة ولا بالتأمّل وذلک کما فی جزئیات کثیر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الجواب عن استدلال الأخباریین ببعض الروایات الدالّة علی قصور العقل فی إدراکه لمصالح الأحکام ومفاسدها کقوله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دین اللَّه لا یصاب بالعقول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فإنّ الظاهر أنّ هذه الروایات ناظرة إلی القسم الثالث من القضایا، ولا تدلّ علی نفی الإدراک مطلقاً، کیف والشارع بنفسه یستدلّ بالعقل فی کثیر من الموارد ویخاطب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اعترف کثیر من الأخباریین بإدراک العقل للضروریات العقلیّة واضطرّوا إلی استثنائها من مقالتهم، وقد مرّ تفصیل الجواب عنهم فی مباحث القطع وحجّیة القطع الحاصل من طریق العقل</w:t>
      </w:r>
      <w:r>
        <w:rPr>
          <w:rFonts w:eastAsia="IRNazanin" w:cs="IRNazanin"/>
          <w:color w:val="111111"/>
          <w:sz w:val="28"/>
          <w:szCs w:val="28"/>
          <w:rtl w:val="true"/>
          <w:lang w:bidi="fa-IR"/>
        </w:rPr>
        <w:t>.</w:t>
      </w:r>
    </w:p>
    <w:p>
      <w:pPr>
        <w:pStyle w:val="Heading5"/>
        <w:numPr>
          <w:ilvl w:val="4"/>
          <w:numId w:val="1"/>
        </w:numPr>
        <w:rPr/>
      </w:pPr>
      <w:bookmarkStart w:id="88" w:name="__RefHeading___Toc141643_3244359995"/>
      <w:bookmarkStart w:id="89" w:name="_Toc35"/>
      <w:bookmarkEnd w:id="88"/>
      <w:r>
        <w:rPr>
          <w:rtl w:val="true"/>
        </w:rPr>
        <w:t>المقام الثالث</w:t>
      </w:r>
      <w:r>
        <w:rPr>
          <w:rtl w:val="true"/>
        </w:rPr>
        <w:t xml:space="preserve">: </w:t>
      </w:r>
      <w:r>
        <w:rPr>
          <w:rtl w:val="true"/>
        </w:rPr>
        <w:t>فی الملازمة بین حکم العقل وحکم الشرع</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الورود فی البحث عنها لابدّ من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قاعدة</w:t>
      </w:r>
      <w:bookmarkStart w:id="90" w:name="pg16922_187555"/>
    </w:p>
    <w:p>
      <w:pPr>
        <w:pStyle w:val="BookText"/>
        <w:rPr/>
      </w:pPr>
      <w:bookmarkEnd w:id="90"/>
      <w:r>
        <w:rPr>
          <w:rFonts w:ascii="IRNazanin" w:hAnsi="IRNazanin" w:eastAsia="IRNazanin"/>
          <w:color w:val="111111"/>
          <w:sz w:val="28"/>
          <w:sz w:val="28"/>
          <w:szCs w:val="28"/>
          <w:rtl w:val="true"/>
          <w:lang w:bidi="fa-IR"/>
        </w:rPr>
        <w:t xml:space="preserve">الملازمة الناطقة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الحکم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الحکم الأوّل معناه إدراک العقل لا إنشائه وجعله؛ لأنّ إنشاء التکلیف من شأن المولی، وأمّا الحکم الثانی، فلیس هو بمعنی الإدراک بل هو بمعنی التشریع وإنشاء التکلیف لکون الشارع مولی الموالی والناس جمیعهم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الأشاعرة وهو إنکار الملازمة مطلقاً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تطابقت آراء العقلاء علی حسن فعل أو قبحه وبین ما إذا لم تتطابق آراؤهم علیه، والملازمة ثابتة فی الصورة الاولی فقط</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41645_3244359995"/>
      <w:bookmarkStart w:id="92" w:name="_Toc36"/>
      <w:bookmarkEnd w:id="91"/>
      <w:r>
        <w:rPr>
          <w:rtl w:val="true"/>
        </w:rPr>
        <w:t>المختار فی المسألة</w:t>
      </w:r>
      <w:r>
        <w:rPr>
          <w:rtl w:val="true"/>
        </w:rPr>
        <w:t>:</w:t>
      </w:r>
      <w:bookmarkEnd w:id="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القول الأوّل، لکن المراد من حکم الشارع هو الأعمّ من الإلزامی وغیره، والدلیل علی ذلک حکمة الباری تعالی، فإذا کان الفعل واجداً لمصلحة تامّة أو مفسدة کذلک فکیف یمکن أن لا یکون للشارع الحکیم فیه حکم، مع أنّه قد ثبت عند الإمامیة عدم خلوّ شی‌ء من الأشیاء من حکم من الأحکام، فبعد حکم العقل بالحسن أو القبح یثبت أوّلًا انقداح إرادة أو کراهة فی بعض المبادئ العالیة، ثمّ بانضمام الکبری الثابتة فی محلّه من عدم خلوّ الأشیاء عن الحکم یثبت حکم الشارع</w:t>
      </w:r>
      <w:r>
        <w:rPr>
          <w:rFonts w:eastAsia="IRNazanin" w:cs="IRNazanin"/>
          <w:color w:val="111111"/>
          <w:sz w:val="28"/>
          <w:szCs w:val="28"/>
          <w:rtl w:val="true"/>
          <w:lang w:bidi="fa-IR"/>
        </w:rPr>
        <w:t>.</w:t>
      </w:r>
      <w:bookmarkStart w:id="93" w:name="pg16922_187556"/>
    </w:p>
    <w:p>
      <w:pPr>
        <w:pStyle w:val="BookText"/>
        <w:rPr/>
      </w:pPr>
      <w:bookmarkEnd w:id="93"/>
      <w:r>
        <w:rPr>
          <w:rFonts w:ascii="IRNazanin" w:hAnsi="IRNazanin" w:eastAsia="IRNazanin"/>
          <w:color w:val="111111"/>
          <w:sz w:val="28"/>
          <w:sz w:val="28"/>
          <w:szCs w:val="28"/>
          <w:rtl w:val="true"/>
          <w:lang w:bidi="fa-IR"/>
        </w:rPr>
        <w:t>والطریق الصحیح عندنا هو حکمة الباری، ومقتضاها ثبوت الملازمة مطلقاً، وکیف یعقل ترک التکلیف من المولی الحکیم إذا کان فی الفعل مصلحة تامّة قطعیّة أو مفسدة کذلک؟</w:t>
      </w:r>
    </w:p>
    <w:p>
      <w:pPr>
        <w:pStyle w:val="BookText"/>
        <w:rPr/>
      </w:pPr>
      <w:r>
        <w:rPr>
          <w:rFonts w:ascii="IRNazanin" w:hAnsi="IRNazanin" w:eastAsia="IRNazanin"/>
          <w:color w:val="111111"/>
          <w:sz w:val="28"/>
          <w:sz w:val="28"/>
          <w:szCs w:val="28"/>
          <w:rtl w:val="true"/>
          <w:lang w:bidi="fa-IR"/>
        </w:rPr>
        <w:t>ومن المعلوم أنّ ترک الأمر والنهی فی هذه المقامات منافٍ للحکمة، فإذا أدرک العقل المصلحة التامّة فی أمر وأدرک علّیة ذلک للحکم بتبعیة الأحکام الشرعیّة للمصالح والمفاسد یکشف أیضاً حکم الشارع به وإنشاءه</w:t>
      </w:r>
      <w:r>
        <w:rPr>
          <w:rFonts w:eastAsia="IRNazanin" w:cs="IRNazanin"/>
          <w:color w:val="111111"/>
          <w:sz w:val="28"/>
          <w:szCs w:val="28"/>
          <w:rtl w:val="true"/>
          <w:lang w:bidi="fa-IR"/>
        </w:rPr>
        <w:t>.</w:t>
      </w:r>
    </w:p>
    <w:p>
      <w:pPr>
        <w:pStyle w:val="Heading5"/>
        <w:numPr>
          <w:ilvl w:val="4"/>
          <w:numId w:val="1"/>
        </w:numPr>
        <w:rPr/>
      </w:pPr>
      <w:bookmarkStart w:id="94" w:name="__RefHeading___Toc141647_3244359995"/>
      <w:bookmarkStart w:id="95" w:name="_Toc37"/>
      <w:bookmarkEnd w:id="94"/>
      <w:r>
        <w:rPr>
          <w:rtl w:val="true"/>
        </w:rPr>
        <w:t>أدلّة منکری الملازمة</w:t>
      </w:r>
      <w:r>
        <w:rPr>
          <w:rtl w:val="true"/>
        </w:rPr>
        <w:t>:</w:t>
      </w:r>
      <w:bookmarkEnd w:id="95"/>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فإنّها تدلّ علی أنّه لا عقاب من دون إرسال الرسل وقبل صدور الأدلّة السمعیّة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ویرد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العذاب فی الآیة لیس مطلق العذاب، بل المراد منه عذاب الاستئصال الذی یوجب الهدم والهلاک فی الدنیا کالطوفان لقوم نوح علیه السلام والغرق لقوم فرعون والصیحة السماویّة لأقوام اخر، فالآیة إشارة إلی هذا النوع من العذاب، ویشهد لذلک ما وردت بعدها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 وَکَمْ أَهْلَکْنَا مِنْ الْقُرُونِ مِنْ بَعْدِ نُوحٍ وَکَفَی بِرَبِّکَ بِذُنُوبِ عِبَادِهِ خَبِیراً بَصِیراً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ولا أقلّ من أنّه لیس للآیة إطلاق یشمل غیر عذاب الاستئصال فإنّها محفوفة بما یصلح للقرینیّة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کنایة عن إتمام الحجّة ویکون ذکر بعث الرسل فیها من باب الغلبة؛ لأنّ جلّ الأحکام وصلت إلینا من طریق الأدلّة السمعیّة، فیکون مفاد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نعذّب العباد حتّی نتمّ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ویشهد علی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أَهْلَکْنَاهُمْ بِعَذَابٍ مِنْ قَبْلِهِ لَقَالُوا رَبَّنَا لَوْلَا أَرْسَلْتَ إِلَیْنَا رَسُولًا فَنَتَّبِعَ آیَاتِکَ مِنْ قَبْلِ أَنْ نَذِلَّ وَنَخْزَی</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ولکن إطلاق الآیة قابل للتقیید بالمستقلّات العقلیّة، فإنّ هذا الظهور دلیل ظنّی وذاک 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من الروایات علی خلوّ کلّ شی‌ء عن الحکم قبل ورود الشرع وأنّ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حتّی یرد فیه نهی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الاستدلال هو الوجهان الأخیران فی الجواب عن الآیة من انصراف إطلاقها إلی الغالب، وأنّ الإطلاق علی فرض ثبوته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علم الکلام من استناد لزوم بعث الرسل إلی قاعدة اللطف لأنّ تمام اللطف وکماله متوقّف علی تأکید أحکام العقل بأدلّة سمعیّة وإمضائها من ناحیة بعث الرسل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ویردّه ما مرّ فی البحث عن الإجماع اللطفی، من أنّ الواجب من اللطف عبارة عن تهیئة أسباب الرشد والکمال بحیث کان عدم إعداده موجباً لنقض الغرض،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الأحکام العقلیّة فی حقّ الصبی إذا کان کامل العقل لطیف القریحة مع عدم کونه مکلّفاً بوجوب ولا تحریم باتفاق جمیع الفقهاء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رفع القلم ناظر إلی غالب الأحکام ویکون منصرفاً عن المستقلّات العقلیّة، فهل یمکن أن یفتی أحد من الفقهاء بجواز قتل نفوس الأبریاء</w:t>
      </w:r>
      <w:bookmarkStart w:id="96" w:name="pg16922_187558"/>
    </w:p>
    <w:p>
      <w:pPr>
        <w:pStyle w:val="BookText"/>
        <w:rPr/>
      </w:pPr>
      <w:bookmarkEnd w:id="96"/>
      <w:r>
        <w:rPr>
          <w:rFonts w:ascii="IRNazanin" w:hAnsi="IRNazanin" w:eastAsia="IRNazanin"/>
          <w:color w:val="111111"/>
          <w:sz w:val="28"/>
          <w:sz w:val="28"/>
          <w:szCs w:val="28"/>
          <w:rtl w:val="true"/>
          <w:lang w:bidi="fa-IR"/>
        </w:rPr>
        <w:t>وإحراق أموالهم والظلم علی الناس لمثل هذا الصبی الکامل العقل، فیحکم بعدم عقابه فی الآخرة؟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هو الحکم بتحریم مثل هذه الامور علی الصبی المذکور، وعدم جریان أحکام القصاص علیه خارج عن محلّ النزاع؛ لأنّ النزاع فی العقاب وعدمه، ونفی القصاص عنه فی الدنیا لمصلحة خاصّة لا یلازم نفی العقاب عنه فی الآخرة</w:t>
      </w:r>
      <w:r>
        <w:rPr>
          <w:rFonts w:eastAsia="IRNazanin" w:cs="IRNazanin"/>
          <w:color w:val="111111"/>
          <w:sz w:val="28"/>
          <w:szCs w:val="28"/>
          <w:rtl w:val="true"/>
          <w:lang w:bidi="fa-IR"/>
        </w:rPr>
        <w:t>.</w:t>
      </w:r>
    </w:p>
    <w:p>
      <w:pPr>
        <w:pStyle w:val="Heading5"/>
        <w:numPr>
          <w:ilvl w:val="4"/>
          <w:numId w:val="1"/>
        </w:numPr>
        <w:rPr/>
      </w:pPr>
      <w:bookmarkStart w:id="97" w:name="__RefHeading___Toc141649_3244359995"/>
      <w:bookmarkStart w:id="98" w:name="_Toc38"/>
      <w:bookmarkEnd w:id="97"/>
      <w:r>
        <w:rPr>
          <w:rtl w:val="true"/>
        </w:rPr>
        <w:t>القول بالتفصیل فی ثبوت الملازمة</w:t>
      </w:r>
      <w:bookmarkEnd w:id="98"/>
    </w:p>
    <w:p>
      <w:pPr>
        <w:pStyle w:val="BookText"/>
        <w:rPr/>
      </w:pPr>
      <w:r>
        <w:rPr>
          <w:rFonts w:ascii="IRNazanin" w:hAnsi="IRNazanin" w:eastAsia="IRNazanin"/>
          <w:color w:val="111111"/>
          <w:sz w:val="28"/>
          <w:sz w:val="28"/>
          <w:szCs w:val="28"/>
          <w:rtl w:val="true"/>
          <w:lang w:bidi="fa-IR"/>
        </w:rPr>
        <w:t>قد یفصّل فی ثبوت الملازمة بین حکم العقل والشرع بین ما إذا تطابقت آراء العقلاء علی مصلحة أو مفسدة وبین ما إذا لم تتطابق آراؤهم، واستدلّ علی ذلک بأنّ العقلاء إذا تطابقت آراؤهم جمیعاً بما هم عقلاء علی حسن شی‌ء، فلابدّ أن یحکم الشارع بحکمهم لأنّه منهم بل رئیسهم فهو بما هو من العقلاء بل خالق العقل لابدّ أن یحکم بما یحکمون ولو فرضنا أنّه لم یشارکهم فی حکمهم لما کان ذلک الحکم حاصل رأی الجمیع وهذا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دخل لتطابق آراء العقلاء فی حکم العقل، بل الملاک کلّ الملاک فی ذلک هو القطع الحاصل ببداهة العقل أو النظر والاستدلال وکلّ إنسان من هذه الناحیة تابع لعقله ویقینه، فلو قطع أحد بوجوب المقدّمة فی مبحث وجود الملازمة بین وجوب المقدّمة ووجوب ذی المقدّمة یکون قطعه هذا حجّة علیه ولو خالفه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القول باعتبار تطابق آراء العقلاء واتفاقهم فی حکم العقل بالملازمة أشبه بالتمسّک بدلیل الاستقراء الذی یرجع إلی استنباط حکم عامّ من مشاهدة الجزئیّات والمصادیق، مع أنّ الدلیل العقلی فی المقام قیاس یتشکّل من صغری وکبری، وعبارة عن الحرکة من الکلّی إلی الجزئی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الاستقراء هنا استقراءً ناقصاً لا یوجب القطع بالمصلحة</w:t>
      </w:r>
    </w:p>
    <w:p>
      <w:pPr>
        <w:pStyle w:val="BookText"/>
        <w:rPr/>
      </w:pPr>
      <w:r>
        <w:rPr>
          <w:rFonts w:ascii="IRNazanin" w:hAnsi="IRNazanin" w:eastAsia="IRNazanin"/>
          <w:color w:val="111111"/>
          <w:sz w:val="28"/>
          <w:sz w:val="28"/>
          <w:szCs w:val="28"/>
          <w:rtl w:val="true"/>
          <w:lang w:bidi="fa-IR"/>
        </w:rPr>
        <w:t>أو المفسدة فلا فائدة فیه ولا یستکشف منه الحکم الشرعی، وإن کان استقراء تامّاً یشمل حکم الشارع أیضاً، فحینئذٍ یکون الملاک ما استکشفناه من حکم الشرع، فلا دخل لتطابق آراء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التفصیل نشأ ممّا اشتهر بین الفلاسفة من أنّ الحسن والقبح من المشهورات المبنیّة علی التدریب والتربیة</w:t>
      </w:r>
      <w:r>
        <w:rPr>
          <w:rStyle w:val="FootnoteAnchor"/>
          <w:rtl w:val="true"/>
        </w:rPr>
        <w:footnoteReference w:id="44"/>
      </w:r>
      <w:r>
        <w:rPr>
          <w:rFonts w:ascii="IRNazanin" w:hAnsi="IRNazanin" w:eastAsia="IRNazanin"/>
          <w:color w:val="111111"/>
          <w:sz w:val="28"/>
          <w:sz w:val="28"/>
          <w:szCs w:val="28"/>
          <w:rtl w:val="true"/>
          <w:lang w:bidi="fa-IR"/>
        </w:rPr>
        <w:t>، مع أنّه فی کثیر من مصادیقهما من الامور الواقعیّة البدیهیة أو ما یقرب من البداهة ولا دخل للتربیة فیها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العدالة والظلم لهما آثار فی المجتمع الانسانی بل فی الأفراد من الصلاح والفساد لا یقدر أحد علی إنکارها، لا بمعنی أنّه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لأنّها تدرک بأدنی تأمّل، فمن ذا الذی لا یدرک المفاسد الحاصلة من الظلم، والمصالح الحاصلة من العدل، ولو کان هناک اختلاف فإنّما هو فی موضوعاته ومصادیقه لا فی أصله</w:t>
      </w:r>
      <w:r>
        <w:rPr>
          <w:rFonts w:eastAsia="IRNazanin" w:cs="IRNazanin"/>
          <w:color w:val="111111"/>
          <w:sz w:val="28"/>
          <w:szCs w:val="28"/>
          <w:rtl w:val="true"/>
          <w:lang w:bidi="fa-IR"/>
        </w:rPr>
        <w:t>.</w:t>
      </w:r>
      <w:bookmarkStart w:id="99" w:name="pg16922_187561"/>
    </w:p>
    <w:p>
      <w:pPr>
        <w:pStyle w:val="Heading3"/>
        <w:numPr>
          <w:ilvl w:val="2"/>
          <w:numId w:val="1"/>
        </w:numPr>
        <w:rPr/>
      </w:pPr>
      <w:bookmarkStart w:id="100" w:name="__RefHeading___Toc141651_3244359995"/>
      <w:bookmarkStart w:id="101" w:name="_Toc39"/>
      <w:bookmarkEnd w:id="99"/>
      <w:bookmarkEnd w:id="100"/>
      <w:r>
        <w:rPr>
          <w:rtl w:val="true"/>
        </w:rPr>
        <w:t>المرحلة الثانیة</w:t>
      </w:r>
      <w:r>
        <w:rPr>
          <w:rtl w:val="true"/>
        </w:rPr>
        <w:t xml:space="preserve">: </w:t>
      </w:r>
      <w:r>
        <w:rPr>
          <w:rtl w:val="true"/>
        </w:rPr>
        <w:t>معلولات الاحکام</w:t>
      </w:r>
      <w:bookmarkEnd w:id="101"/>
    </w:p>
    <w:p>
      <w:pPr>
        <w:pStyle w:val="BookText"/>
        <w:rPr/>
      </w:pPr>
      <w:r>
        <w:rPr>
          <w:rFonts w:ascii="IRNazanin" w:hAnsi="IRNazanin" w:eastAsia="IRNazanin"/>
          <w:color w:val="111111"/>
          <w:sz w:val="28"/>
          <w:sz w:val="28"/>
          <w:szCs w:val="28"/>
          <w:rtl w:val="true"/>
          <w:lang w:bidi="fa-IR"/>
        </w:rPr>
        <w:t>ممّا تقدّم فی المرحلة السابقة یظهر الکلام فی هذه المرحلة، وهی کشف العقل عن حکم الشرع من ناحیة معلولات الأحکام، أی من ناحیة ثبوت العقاب وعدمه، فنحکم بالملازمة بین الحکمین نظیر حکم العقل فی الاصول العملیّة العقلیّة، 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العقلیّة، الاحتیاط العقلی والتخییر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مبنیة علی کون قاعدة قبح العقاب بلا بیان قاعدة عقلیّة لا عقلائیّة، فیستکشف من حکم العقل بقبح العقاب حکم الشارع بعدم فعلیّة الوجوب والحرمة الواقعیین لو کانا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الاحتیاط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حکم العقل بصحّة العقاب فی صورة وجود العلم الإجمالی فی الشبهات المحصورة، وکذلک فی الشبهات البدویة قبل الفحص، فیحکم العقل بفعلیة الحکم الواقعی فی أطراف الشبهة فی الشبهات المحصورة، ویحکم فی الشبهات قبل الفحص بأنّه لو کان هناک حکم واقعی کان فعلیّاً یؤخذ العبد 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الأمر بین الوجوب والحرمة یحکم العقل بقبح العقاب لمن ارتکب الفعل أو ترکه، ویکشف من هذا الطریق عدم فعلیّة الحکم الواقعی الشرعی، ففی تمام موارد جریان الاصول العقلیّة یکشف العقل عن حکم الشرع من طریق نتیجة الحکم، وهی ثبوت العقاب وعدمه</w:t>
      </w:r>
      <w:r>
        <w:rPr>
          <w:rFonts w:eastAsia="IRNazanin" w:cs="IRNazanin"/>
          <w:color w:val="111111"/>
          <w:sz w:val="28"/>
          <w:szCs w:val="28"/>
          <w:rtl w:val="true"/>
          <w:lang w:bidi="fa-IR"/>
        </w:rPr>
        <w:t>.</w:t>
      </w:r>
      <w:bookmarkStart w:id="102" w:name="pg16922_187563"/>
    </w:p>
    <w:p>
      <w:pPr>
        <w:pStyle w:val="Heading3"/>
        <w:numPr>
          <w:ilvl w:val="2"/>
          <w:numId w:val="1"/>
        </w:numPr>
        <w:rPr/>
      </w:pPr>
      <w:bookmarkStart w:id="103" w:name="__RefHeading___Toc141653_3244359995"/>
      <w:bookmarkStart w:id="104" w:name="_Toc40"/>
      <w:bookmarkEnd w:id="102"/>
      <w:bookmarkEnd w:id="103"/>
      <w:r>
        <w:rPr>
          <w:rtl w:val="true"/>
        </w:rPr>
        <w:t>المرحلة الثالثة</w:t>
      </w:r>
      <w:r>
        <w:rPr>
          <w:rtl w:val="true"/>
        </w:rPr>
        <w:t xml:space="preserve">: </w:t>
      </w:r>
      <w:r>
        <w:rPr>
          <w:rtl w:val="true"/>
        </w:rPr>
        <w:t>الاستلزامات الاحکام</w:t>
      </w:r>
      <w:bookmarkEnd w:id="104"/>
    </w:p>
    <w:p>
      <w:pPr>
        <w:pStyle w:val="Heading4"/>
        <w:numPr>
          <w:ilvl w:val="3"/>
          <w:numId w:val="1"/>
        </w:numPr>
        <w:rPr/>
      </w:pPr>
      <w:bookmarkStart w:id="105" w:name="__RefHeading___Toc141655_3244359995"/>
      <w:bookmarkStart w:id="106" w:name="_Toc41"/>
      <w:bookmarkEnd w:id="105"/>
      <w:r>
        <w:rPr>
          <w:rtl w:val="true"/>
        </w:rPr>
        <w:t>الفصل الأول</w:t>
      </w:r>
      <w:r>
        <w:rPr>
          <w:rtl w:val="true"/>
        </w:rPr>
        <w:t xml:space="preserve">: </w:t>
      </w:r>
      <w:r>
        <w:rPr>
          <w:rtl w:val="true"/>
        </w:rPr>
        <w:t>الإجزاء</w:t>
      </w:r>
      <w:bookmarkEnd w:id="106"/>
    </w:p>
    <w:p>
      <w:pPr>
        <w:pStyle w:val="Heading5"/>
        <w:numPr>
          <w:ilvl w:val="4"/>
          <w:numId w:val="1"/>
        </w:numPr>
        <w:rPr/>
      </w:pPr>
      <w:bookmarkStart w:id="107" w:name="__RefHeading___Toc141657_3244359995"/>
      <w:bookmarkStart w:id="108" w:name="_Toc42"/>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والمراد منها أن یکشف العقل عن حکم شرعی مجهول من ناحیة حکم شرعی آخر معلوم بسبب وجود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الشرعی مستلزماً لحکم شرعی آخر بدلالة العقل وقد یعبّر عنها بغیر المستقلّات العقلیّة لأخذ مقدّماته من الشرع فی قبال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التحسین و التقبیح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یحکم العقل بها مستقلّاً ومن دون أخذ مقدّماته من الشرع، ونبحث عنها فی ضمن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عنونه کثیر من الاصولیین بهذا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الإتیان بالمأمور به علی وجهه هل یقتضی الإجزاء، أم لا؟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قبل الورود فی أصل البحث تقدیم امور لتبیین المقصود من القیود المأخوذة فی 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من المباحث الاصولیة العقلیّة، فإنّ الاقتضاء المأخوذ فی العنوان یکون بمعنی العلّیة؛ لأنّه نسب إلی الإتیان دون صیغة الأمر، فالبحث یقع فی أنّ العقل هل یحکم بالإجزاء بعد الإتیان بالمأمور به بتمام أجزائه وشرائطه أو لا؟</w:t>
      </w:r>
    </w:p>
    <w:p>
      <w:pPr>
        <w:pStyle w:val="BookText"/>
        <w:rPr/>
      </w:pPr>
      <w:r>
        <w:rPr>
          <w:rFonts w:ascii="IRNazanin" w:hAnsi="IRNazanin" w:eastAsia="IRNazanin"/>
          <w:color w:val="111111"/>
          <w:sz w:val="28"/>
          <w:sz w:val="28"/>
          <w:szCs w:val="28"/>
          <w:rtl w:val="true"/>
          <w:lang w:bidi="fa-IR"/>
        </w:rPr>
        <w:t>نعم یظهر من بعض الاصولیین أنّ البحث لفظی حیث قالوا فی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بالشی‌ء هل یقتضی الإجزاء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فنسبوا الاقتضاء إلی الأمر وهیئته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إتیان المأمور به مع جمیع الشرائط المأخوذة فیه من ناحیة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قلنا بمقالة من یری عدم إمکان أخذ قصد القربة فی المأمور به شرعاً، یکون قید علی وجهه احترازیاً لئلّا یستلزم خروج التعبّدیات عن حریم النزاع بناءً علی ما اختار بعضهم من عدم إمکان اعتبار قصد القربة فی العبادات إلّابحکم العقل؛ لوضوح عدم کون الإتیان بها علی الکیفیة المعتبرة فیها شرعاً، مجزیاً من دون مراعاة ما اعتبر فیها عقلًا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إلی أنّ لفظ الإجزاء المأخوذ فی العنوان بمعنی الکفایة</w:t>
      </w:r>
      <w:r>
        <w:rPr>
          <w:rStyle w:val="FootnoteAnchor"/>
          <w:rtl w:val="true"/>
        </w:rPr>
        <w:footnoteReference w:id="47"/>
      </w:r>
      <w:r>
        <w:rPr>
          <w:rFonts w:ascii="IRNazanin" w:hAnsi="IRNazanin" w:eastAsia="IRNazanin"/>
          <w:color w:val="111111"/>
          <w:sz w:val="28"/>
          <w:sz w:val="28"/>
          <w:szCs w:val="28"/>
          <w:rtl w:val="true"/>
          <w:lang w:bidi="fa-IR"/>
        </w:rPr>
        <w:t>، أی معناه اللغوی، فلا یکون حقیقة شرعیّة، وذهب بعض آخر إلی أنّه حقیقة شرعیّة وضع فی لسان الشرع لإسقاط الإعادة</w:t>
      </w:r>
      <w:r>
        <w:rPr>
          <w:rStyle w:val="FootnoteAnchor"/>
          <w:rtl w:val="true"/>
        </w:rPr>
        <w:footnoteReference w:id="48"/>
      </w:r>
      <w:r>
        <w:rPr>
          <w:rFonts w:ascii="IRNazanin" w:hAnsi="IRNazanin" w:eastAsia="IRNazanin"/>
          <w:color w:val="111111"/>
          <w:sz w:val="28"/>
          <w:sz w:val="28"/>
          <w:szCs w:val="28"/>
          <w:rtl w:val="true"/>
          <w:lang w:bidi="fa-IR"/>
        </w:rPr>
        <w:t>، والظاهر رجوع أحد المعنیین إلی الآخر، لأنّ من لوازم الکفایة الإسقاط فلا یکون حقیقة شرعیّة بل هو بمعناه اللغوی، وحیث إنّ من مصادیق الکفایة فی الفقه إسقاط الإعادة استعمل فیه استعمال الکلّی فی بعض مصادیقه</w:t>
      </w:r>
      <w:r>
        <w:rPr>
          <w:rFonts w:eastAsia="IRNazanin" w:cs="IRNazanin"/>
          <w:color w:val="111111"/>
          <w:sz w:val="28"/>
          <w:szCs w:val="28"/>
          <w:rtl w:val="true"/>
          <w:lang w:bidi="fa-IR"/>
        </w:rPr>
        <w:t>.</w:t>
      </w:r>
      <w:bookmarkStart w:id="109" w:name="pg16922_187565"/>
    </w:p>
    <w:p>
      <w:pPr>
        <w:pStyle w:val="BookText"/>
        <w:rPr/>
      </w:pPr>
      <w:bookmarkEnd w:id="109"/>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أنّه لا فرق بین هذه المسألة ومسألة دلالة الأمر علی المرّة و التکرار؛ لأنّ لازم الإجزاء هو إتیان المأمور به مرّة واحدة، ولازم عدم الإجزاء هو إتیانه مکرّراً، وعلیه فلا وجه لعقدهما مسألتین مستقلّتین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الفرق بینهما واضح، لأنّ البحث فی مسألة المرّة والتکرار یکون فی مفاد صیغة الأمر ومقدار داعویة الأمر، وأمّا فی مسألة الإجزاء یکون فی اقتضاء الإتیان والإمتثال للمأمور به بما له من الدعوة الإجزاء؛ سواء کان المأمور به واحداً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البحث یقع فی مقامات 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الإتیان بالمأمور به الواقعی أو الظاهریّ أو الاضطراری عن أمر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الإتیان بالمأمور به الاضطراری عن الأمر الواقعی الاختیاری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الإتیان بالمأمور به الظاهری الشرعی عن الأمر الواقعی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الإتیان بالمأمور به الظاهری العقلی عن الأمر الواقعی</w:t>
      </w:r>
      <w:r>
        <w:rPr>
          <w:rFonts w:eastAsia="IRNazanin" w:cs="IRNazanin"/>
          <w:color w:val="111111"/>
          <w:sz w:val="28"/>
          <w:szCs w:val="28"/>
          <w:rtl w:val="true"/>
          <w:lang w:bidi="fa-IR"/>
        </w:rPr>
        <w:t>.</w:t>
      </w:r>
    </w:p>
    <w:p>
      <w:pPr>
        <w:pStyle w:val="Heading5"/>
        <w:numPr>
          <w:ilvl w:val="4"/>
          <w:numId w:val="1"/>
        </w:numPr>
        <w:rPr/>
      </w:pPr>
      <w:bookmarkStart w:id="110" w:name="__RefHeading___Toc141659_3244359995"/>
      <w:bookmarkStart w:id="111" w:name="_Toc43"/>
      <w:bookmarkEnd w:id="110"/>
      <w:r>
        <w:rPr>
          <w:rtl w:val="true"/>
        </w:rPr>
        <w:t>المقام الأوّل</w:t>
      </w:r>
      <w:r>
        <w:rPr>
          <w:rtl w:val="true"/>
        </w:rPr>
        <w:t xml:space="preserve">: </w:t>
      </w:r>
      <w:r>
        <w:rPr>
          <w:rtl w:val="true"/>
        </w:rPr>
        <w:t>إجزاء المأمور به عن أمر نفسه</w:t>
      </w:r>
      <w:bookmarkEnd w:id="111"/>
    </w:p>
    <w:p>
      <w:pPr>
        <w:pStyle w:val="Heading6"/>
        <w:numPr>
          <w:ilvl w:val="5"/>
          <w:numId w:val="1"/>
        </w:numPr>
        <w:rPr/>
      </w:pPr>
      <w:bookmarkStart w:id="112" w:name="__RefHeading___Toc141661_3244359995"/>
      <w:bookmarkStart w:id="113" w:name="_Toc44"/>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والحقّ أنّه لا إشکال فی کون إتیان المأمور به فیها مجزیاً عنها، والدلیل علیه هو العقل؛ لأنّ الإمتثال بعد الإمتثال مع حصول الغرض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خالف فیه أبو هاشم وعبدالجبّار من قدماء المتکلّمین من أهل السنّة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القول بعدم الإجزاء فیها</w:t>
      </w:r>
      <w:r>
        <w:rPr>
          <w:rStyle w:val="FootnoteAnchor"/>
          <w:rtl w:val="true"/>
        </w:rPr>
        <w:footnoteReference w:id="49"/>
      </w:r>
      <w:r>
        <w:rPr>
          <w:rFonts w:ascii="IRNazanin" w:hAnsi="IRNazanin" w:eastAsia="IRNazanin"/>
          <w:color w:val="111111"/>
          <w:sz w:val="28"/>
          <w:sz w:val="28"/>
          <w:szCs w:val="28"/>
          <w:rtl w:val="true"/>
          <w:lang w:bidi="fa-IR"/>
        </w:rPr>
        <w:t>، ولعلّ منشأ خطأهما وجود بعض الأمثلة فی الفقه الّتی قد امر فیها بإتمام العمل مع الأمر بإعادته کالحجّ الفاسد الذی أمر الشارع بإتمام مناسکه مع إیجابه الإعادة فی السنة القابلة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عندنا ممّا لا إشکال فیها ولا غبار علیها لما مرّ من حکم العقل بالإجزاء وأمّا ما اشیر إلیه من مثال الحجّ ونحوه فالمستفاد من جملة من الروایات</w:t>
      </w:r>
      <w:bookmarkStart w:id="114" w:name="pg16922_187566"/>
    </w:p>
    <w:p>
      <w:pPr>
        <w:pStyle w:val="BookText"/>
        <w:rPr/>
      </w:pPr>
      <w:bookmarkEnd w:id="114"/>
      <w:r>
        <w:rPr>
          <w:rFonts w:ascii="IRNazanin" w:hAnsi="IRNazanin" w:eastAsia="IRNazanin"/>
          <w:color w:val="111111"/>
          <w:sz w:val="28"/>
          <w:sz w:val="28"/>
          <w:szCs w:val="28"/>
          <w:rtl w:val="true"/>
          <w:lang w:bidi="fa-IR"/>
        </w:rPr>
        <w:t>الواردة عن طریق أئمّة أهل البیت علیهم السلام أنّها لیست من قبیل الإمتثال بعد الإمتثال بالنسبة إلی أمر واحد، بل هناک أمران یطلب کلّ واحد منهما من المکلّف امتثالًا یخصّ به، أمر واقعی أوّلی وأمر واقعی ثانوی من باب العقوبة مثلًا</w:t>
      </w:r>
      <w:r>
        <w:rPr>
          <w:rStyle w:val="FootnoteAnchor"/>
          <w:rtl w:val="true"/>
        </w:rPr>
        <w:footnoteReference w:id="50"/>
      </w:r>
      <w:r>
        <w:rPr>
          <w:rFonts w:ascii="IRNazanin" w:hAnsi="IRNazanin" w:eastAsia="IRNazanin"/>
          <w:color w:val="111111"/>
          <w:sz w:val="28"/>
          <w:sz w:val="28"/>
          <w:szCs w:val="28"/>
          <w:rtl w:val="true"/>
          <w:lang w:bidi="fa-IR"/>
        </w:rPr>
        <w:t>، فلا تکون من باب الإمتثال بعد الإمتثال بالنسبة إلی أمر واحد حتّی یستفاد منها عدم إجزاء الإتیان بالمأمور به عن الأمر الأوّل</w:t>
      </w:r>
      <w:r>
        <w:rPr>
          <w:rFonts w:eastAsia="IRNazanin" w:cs="IRNazanin"/>
          <w:color w:val="111111"/>
          <w:sz w:val="28"/>
          <w:szCs w:val="28"/>
          <w:rtl w:val="true"/>
          <w:lang w:bidi="fa-IR"/>
        </w:rPr>
        <w:t>.</w:t>
      </w:r>
    </w:p>
    <w:p>
      <w:pPr>
        <w:pStyle w:val="Heading6"/>
        <w:numPr>
          <w:ilvl w:val="5"/>
          <w:numId w:val="1"/>
        </w:numPr>
        <w:rPr/>
      </w:pPr>
      <w:bookmarkStart w:id="115" w:name="__RefHeading___Toc141663_3244359995"/>
      <w:bookmarkStart w:id="116" w:name="_Toc45"/>
      <w:bookmarkEnd w:id="115"/>
      <w:r>
        <w:rPr>
          <w:rtl w:val="true"/>
        </w:rPr>
        <w:t>تنبیه حول جواز الإمتثال بعد الإمتثال</w:t>
      </w:r>
      <w:bookmarkEnd w:id="116"/>
    </w:p>
    <w:p>
      <w:pPr>
        <w:pStyle w:val="BookText"/>
        <w:rPr/>
      </w:pPr>
      <w:r>
        <w:rPr>
          <w:rFonts w:ascii="IRNazanin" w:hAnsi="IRNazanin" w:eastAsia="IRNazanin"/>
          <w:color w:val="111111"/>
          <w:sz w:val="28"/>
          <w:sz w:val="28"/>
          <w:szCs w:val="28"/>
          <w:rtl w:val="true"/>
          <w:lang w:bidi="fa-IR"/>
        </w:rPr>
        <w:t xml:space="preserve">ذهب جمع إلی جواز الإمتثال بعد الإمتثال ومنعه آخرون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جوازه؛ لأنّ الغرض المترتّب علی الأمر یکون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یترتّب علی فعل المکلّف وهو غرض ابتدائی کإتیان الماء ووضعه بین یدی المولی، وغرض نهائی یترتّب علی فعل المولی وهو رفع العطش الذی یترتّب علی شرب المولی الماء، وما لم یحصل الثانی کان المحلّ باقیاً لتبدیل الإمتثال ویقوم الإمتثال الثانی مقام الإمتثال الأوّل، فالإتیان الأوّل یعدّ إمتثالًا لأنّه یوجب سقوط الأمر، ویکون الإتیان الثانی إمتثالًا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الإمتثال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محصّل للغرض الذی لم یحصل بالإمتثال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الثبوت، أمّا فی مقام الإثبات فیشهد له مثل ما رواه حفص بن البختری عن أبی عبداللَّه علیه السلام فی الرجل یصلّی الصلاة وحده ثمّ یجد جماعة،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معهم ویجعلها الفریضة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فإنّ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ویجعلها الفریضة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أنّ الجماعة تقوم مقام الفرادی ویتقبّل اللَّه الجماعة بعنوان الفریضة مقام الفرادی، وأنّ الإمتثال بالفرادی یتبدّل إلی الإمتثال بالجماعة</w:t>
      </w:r>
      <w:r>
        <w:rPr>
          <w:rFonts w:eastAsia="IRNazanin" w:cs="IRNazanin"/>
          <w:color w:val="111111"/>
          <w:sz w:val="28"/>
          <w:szCs w:val="28"/>
          <w:rtl w:val="true"/>
          <w:lang w:bidi="fa-IR"/>
        </w:rPr>
        <w:t>.</w:t>
      </w:r>
      <w:bookmarkStart w:id="117" w:name="pg16922_187567"/>
    </w:p>
    <w:p>
      <w:pPr>
        <w:pStyle w:val="Heading5"/>
        <w:numPr>
          <w:ilvl w:val="4"/>
          <w:numId w:val="1"/>
        </w:numPr>
        <w:rPr/>
      </w:pPr>
      <w:bookmarkStart w:id="118" w:name="__RefHeading___Toc141665_3244359995"/>
      <w:bookmarkStart w:id="119" w:name="_Toc46"/>
      <w:bookmarkEnd w:id="117"/>
      <w:bookmarkEnd w:id="118"/>
      <w:r>
        <w:rPr>
          <w:rtl w:val="true"/>
        </w:rPr>
        <w:t>المقام الثانی</w:t>
      </w:r>
      <w:r>
        <w:rPr>
          <w:rtl w:val="true"/>
        </w:rPr>
        <w:t xml:space="preserve">: </w:t>
      </w:r>
      <w:r>
        <w:rPr>
          <w:rtl w:val="true"/>
        </w:rPr>
        <w:t>إجزاء المأمور به الاضطراری عن الاختیاری</w:t>
      </w:r>
      <w:bookmarkEnd w:id="119"/>
    </w:p>
    <w:p>
      <w:pPr>
        <w:pStyle w:val="Heading6"/>
        <w:numPr>
          <w:ilvl w:val="5"/>
          <w:numId w:val="1"/>
        </w:numPr>
        <w:rPr/>
      </w:pPr>
      <w:bookmarkStart w:id="120" w:name="__RefHeading___Toc141667_3244359995"/>
      <w:bookmarkStart w:id="121" w:name="_Toc47"/>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وله ثبوتاً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المأمور به الاضطراری فی حال الاضطرار مشتملًا علی تمام مصلحة المأمور به الواقعی، فیجزی عنه بلا کلام لاشتماله علی تمام مصلحته، وأمّا جواز البدار فیها وعدمه فیدور مدار کون الاضطراری بمجرّد الاضطرار مشتملًا علی تمام مصلحة الواقعی أو بشرط الانتظار إلی آخر الوقت أو بشرط طروّ الیأس من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الاضطراری مشتملًا علی تمام مصلحة الواقعی وکان الباقی ممّا یلزم تدارکه وأمکن التدارک، فلا یجزی قطعاً، وأمّا البدار فیها فیجوز، غایته أنّه یتخیّر بین البدار والإتیان بعملین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الاضطراری قبل ضیق الوقت والعمل الاختیاری بعد رفع الاضطرار، وبین الانتظار والاقتصار بإتیان ما هو تکلیف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الاضطراری مشتملًا علی تمام مصلحة الواقعی ولا یمکن تدارک الباقی فیجزی أیضاً بعد فرض عدم إمکان التدارک أصلًا، کما لا یجوز له البدار فی هذه الصورة إلّالمصلحةٍ؛ لما فیه من نقض الغرض وتفویت مقدار من المصلحة لولا مراعاة ما هو الأهمّ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 مقام الثبوت</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41669_3244359995"/>
      <w:bookmarkStart w:id="123" w:name="_Toc48"/>
      <w:bookmarkEnd w:id="122"/>
      <w:r>
        <w:rPr>
          <w:rtl w:val="true"/>
        </w:rPr>
        <w:t>مقتضی الأدلّة بحسب مقام الإثبات</w:t>
      </w:r>
      <w:bookmarkEnd w:id="123"/>
    </w:p>
    <w:p>
      <w:pPr>
        <w:pStyle w:val="BookText"/>
        <w:rPr/>
      </w:pPr>
      <w:r>
        <w:rPr>
          <w:rFonts w:ascii="IRNazanin" w:hAnsi="IRNazanin" w:eastAsia="IRNazanin"/>
          <w:color w:val="111111"/>
          <w:sz w:val="28"/>
          <w:sz w:val="28"/>
          <w:szCs w:val="28"/>
          <w:rtl w:val="true"/>
          <w:lang w:bidi="fa-IR"/>
        </w:rPr>
        <w:t>وفی مقام الإثبات لها صورتان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ارتفع الاضطرار فی داخل الوقت، ولابدّ فیها من ملاحظة لسان الأدلّة الخاصّة وأنّه هل هو لسان التنویع والتقسیم، أی تنویع المکلّفین مثلًا إلی الواجدین للماء والفاقدین له کما فی آیة التمیّم </w:t>
      </w:r>
      <w:r>
        <w:rPr>
          <w:rStyle w:val="FootnoteAnchor"/>
          <w:rtl w:val="true"/>
        </w:rPr>
        <w:footnoteReference w:id="53"/>
      </w:r>
      <w:r>
        <w:rPr>
          <w:rFonts w:ascii="IRNazanin" w:hAnsi="IRNazanin" w:eastAsia="IRNazanin"/>
          <w:color w:val="111111"/>
          <w:sz w:val="28"/>
          <w:sz w:val="28"/>
          <w:szCs w:val="28"/>
          <w:rtl w:val="true"/>
          <w:lang w:bidi="fa-IR"/>
        </w:rPr>
        <w:t>، أو یکون لسانها لسان البدلیّة</w:t>
      </w:r>
    </w:p>
    <w:p>
      <w:pPr>
        <w:pStyle w:val="BookText"/>
        <w:rPr/>
      </w:pPr>
      <w:r>
        <w:rPr>
          <w:rFonts w:ascii="IRNazanin" w:hAnsi="IRNazanin" w:eastAsia="IRNazanin"/>
          <w:color w:val="111111"/>
          <w:sz w:val="28"/>
          <w:sz w:val="28"/>
          <w:szCs w:val="28"/>
          <w:rtl w:val="true"/>
          <w:lang w:bidi="fa-IR"/>
        </w:rPr>
        <w:t>حیث تجعل التیمّم مثلًا لفاقد الماء بدلًا عن الوضوء لواجد الماء؟</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المولی فی مقام بیان تمام وظیفة المضطرّ لا إشکال فی أنّ مقتضی الإطلاق المقامی هو الإجزاء، فإنّ المولی إذا قسّم المکلّفین إلی أقسام وجعل لکلّ قسم منهم وظیفته الخاصّة به، فأمر المکلّف الواجد للماء مثلًا بالصلاة مع الطهارة المائیة، وأمر المکلّف الفاقد للماء بالصلاة مع الطهارة الترابیة، ولم یحکم بالإعادة بعد رفع الاضطرار، یعلم من هذا التقسیم مع هذا الإطلاق وعدم الحکم بالإعادة کفایة الاضطراری عن الواقعی وإجزائه عنه، حیث إنّ المفروض أنّ المکلّف المضطرّ أیضاً کالمکلّف المختار أتی بوظیفته الخاصّة به، فلو کانت الإعادة واجبة علیه لحکم المولی بها قطعاً بعد فرض کونه فی مقام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لا إشکال فی أنّ مقتضی إطلاقها الأزمانی جواز البدار، فمقتضی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الزمان وکذلک إطلاق قوله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أحد الطهورین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أو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کون التیمّم کافیاً وطهوراً فی أیّ ساعة من ساعات الوقت، أوّله أو وسطه أو آخره، وهو معنی جواز البدار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کان ظاهر لسان الدلیل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المولی یقول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المأمور به فی باب الطهارة مثلًا إنّما هو الوضوء ولکن یقبل التیمّم حین الاضطرار بدلًا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 المأمور به إنّما هو الوضوء وأمّا التیمّم فهو فرع له وبدل عنه، فحینئذٍ یلاحظ نطاق البدلیّة، وأنّ التیمّم مثلًا هل هو بدل مطلقاً أو أنّ بدلیّته مقیّدة بعدم وجدان الماء فی تمام الوقت؟ فعلی الأوّل یکون الحکم هو الإجزاء، وعلی الثانی عدم الإجزاء، ولا یبعد کون ظاهره مطلقاً بالنسبة</w:t>
      </w:r>
      <w:bookmarkStart w:id="124" w:name="pg16922_187569"/>
    </w:p>
    <w:p>
      <w:pPr>
        <w:pStyle w:val="BookText"/>
        <w:rPr/>
      </w:pPr>
      <w:bookmarkEnd w:id="124"/>
      <w:r>
        <w:rPr>
          <w:rFonts w:ascii="IRNazanin" w:hAnsi="IRNazanin" w:eastAsia="IRNazanin"/>
          <w:color w:val="111111"/>
          <w:sz w:val="28"/>
          <w:sz w:val="28"/>
          <w:szCs w:val="28"/>
          <w:rtl w:val="true"/>
          <w:lang w:bidi="fa-IR"/>
        </w:rPr>
        <w:t>إلی أجزاء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حینئذٍ من ملاحظة لسان الدلیل وأنّه هل یستفاد منه البدلیّة فی تمام الملاک أو فی بعضه، والباقی هل هو مصلحة ملزمة یمکن تدارکها أو لا؟</w:t>
      </w:r>
    </w:p>
    <w:p>
      <w:pPr>
        <w:pStyle w:val="BookText"/>
        <w:rPr/>
      </w:pPr>
      <w:r>
        <w:rPr>
          <w:rFonts w:ascii="IRNazanin" w:hAnsi="IRNazanin" w:eastAsia="IRNazanin"/>
          <w:color w:val="111111"/>
          <w:sz w:val="28"/>
          <w:sz w:val="28"/>
          <w:szCs w:val="28"/>
          <w:rtl w:val="true"/>
          <w:lang w:bidi="fa-IR"/>
        </w:rPr>
        <w:t>فیؤخذ بمقتضی کلّ منها، ولو فرض عدم دلالة الدلیل علی شی‌ء من ذلک فالمرجع هو العمومات والإطلاقات ثمّ الاصول العملیّة، والأصل العملی هنا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مقتضی الأدلّة الخاصّة، وأمّا الإطلاقات والعمومات نظیر حدیث الرفع أعنی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العنوان المأخوذ فیها إنّما هو عنوان الاضطرار وهو یصدق فیما إذا استوعب الاضطرار تمام الوقت، وأمّا إذا فقد الماء مثلًا فی جزء من الوقت فقط فلا یصدق عنوان الاضطرار إلی التراب، فلا یمکن التمسّک بها للإجزاء فی داخل الوقت أو جواز البدار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ارتفع الاضطرار فی خارج الوقت، فالحقّ أنّ ظاهر الأدلّة أیضاً هو الإجزاء إذا کان لسانها التقسیم علی ما مرّ فی الصورة السابقة، وأمّا إذا کان لسانها البدلیّة فإمّا أن یکون له إطلاق یعنی هذا بدل عن ذاک إلی الأبد، فنأخذ به ونقول بالإجزاء، وأمّا إذا کان فی لسانه إهمال وإجمال فاللازم الرجوع إلی الاصول العملیّة، والأصل العملی فیه هو البراءة، لأنّ القضاء یحتاج إلی أمر جدید وهو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النتیجة هی الإجزاء مطلقاً سواء فی داخل الوقت أو خارجه فیما إذا کان ظاهر الأدلّة التقسیم، وعدم الإجزاء فی الجملة فیما إذا کان لسان الأدلّة البدلیّة، والمقامات مختلفة وتفصیله فی الفقه</w:t>
      </w:r>
      <w:r>
        <w:rPr>
          <w:rFonts w:eastAsia="IRNazanin" w:cs="IRNazanin"/>
          <w:color w:val="111111"/>
          <w:sz w:val="28"/>
          <w:szCs w:val="28"/>
          <w:rtl w:val="true"/>
          <w:lang w:bidi="fa-IR"/>
        </w:rPr>
        <w:t>.</w:t>
      </w:r>
    </w:p>
    <w:p>
      <w:pPr>
        <w:pStyle w:val="Heading5"/>
        <w:numPr>
          <w:ilvl w:val="4"/>
          <w:numId w:val="1"/>
        </w:numPr>
        <w:rPr/>
      </w:pPr>
      <w:bookmarkStart w:id="125" w:name="__RefHeading___Toc141671_3244359995"/>
      <w:bookmarkStart w:id="126" w:name="_Toc49"/>
      <w:bookmarkEnd w:id="125"/>
      <w:r>
        <w:rPr>
          <w:rtl w:val="true"/>
        </w:rPr>
        <w:t>المقام الثالث</w:t>
      </w:r>
      <w:r>
        <w:rPr>
          <w:rtl w:val="true"/>
        </w:rPr>
        <w:t xml:space="preserve">: </w:t>
      </w:r>
      <w:r>
        <w:rPr>
          <w:rtl w:val="true"/>
        </w:rPr>
        <w:t>إجزاء الأوامر الظاهریّة الشرعیّة</w:t>
      </w:r>
      <w:bookmarkEnd w:id="126"/>
    </w:p>
    <w:p>
      <w:pPr>
        <w:pStyle w:val="Heading6"/>
        <w:numPr>
          <w:ilvl w:val="5"/>
          <w:numId w:val="1"/>
        </w:numPr>
        <w:rPr/>
      </w:pPr>
      <w:bookmarkStart w:id="127" w:name="__RefHeading___Toc141673_3244359995"/>
      <w:bookmarkStart w:id="128" w:name="_Toc50"/>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ویبحث عنه فی مباحث الاجتهاد والتقلید أیضاً فی البحث عن تبدّل رأی المجتهد وله نتائج کثیرة فی الفقه، ولابدّ من البحث فیه من جهتین إجمالًا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من الاصول والأمارات الّتی تجری فی أجزاء</w:t>
      </w:r>
      <w:bookmarkStart w:id="129" w:name="pg16922_187570"/>
    </w:p>
    <w:p>
      <w:pPr>
        <w:pStyle w:val="BookText"/>
        <w:rPr/>
      </w:pPr>
      <w:bookmarkEnd w:id="129"/>
      <w:r>
        <w:rPr>
          <w:rFonts w:ascii="IRNazanin" w:hAnsi="IRNazanin" w:eastAsia="IRNazanin"/>
          <w:color w:val="111111"/>
          <w:sz w:val="28"/>
          <w:sz w:val="28"/>
          <w:szCs w:val="28"/>
          <w:rtl w:val="true"/>
          <w:lang w:bidi="fa-IR"/>
        </w:rPr>
        <w:t>واجب أو شرائطه وموانعه، أی تجری لتنقیح موضوع تکلیف آخر سواء کانت من الشبهات الموضوعیّة نظیر قاعدة الفراغ مثلًا بالنسبة إلی من شکّ فی إتیان جزء أو شرط أو مانع، ونظیر استصحاب العدم لمن شکّ فی إتیان جزء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الشبهات الحکمیّة نظیر حدیث الرفع الدالّ علی رفع جزئیّة السورة أو الاستعاذة، و مثل قاعدة الطهارة الدالّة علی طهارة الحیوان المتولّد من طاهر ونجس مثلًا المقتضیة لجواز الصلاة مع ملاقاة البدن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الّتی تجری لإثبات تکلیف مستقلّ، وتکون بالطبع جاریة فی الشبهات الحکمیّة فقط، ولا تتصوّر فی الشبهات الموضوعیّة نظیر ما إذا کان مفاد الأمارة أو الأصل وجوب صلاة الجمعة أو عدم وجوب الدعاء عند رؤیة الهلال أو حرمة شی‌ء أو عدم حرمته</w:t>
      </w:r>
      <w:r>
        <w:rPr>
          <w:rFonts w:eastAsia="IRNazanin" w:cs="IRNazanin"/>
          <w:color w:val="111111"/>
          <w:sz w:val="28"/>
          <w:szCs w:val="28"/>
          <w:rtl w:val="true"/>
          <w:lang w:bidi="fa-IR"/>
        </w:rPr>
        <w:t>:</w:t>
      </w:r>
    </w:p>
    <w:p>
      <w:pPr>
        <w:pStyle w:val="Heading6"/>
        <w:numPr>
          <w:ilvl w:val="5"/>
          <w:numId w:val="1"/>
        </w:numPr>
        <w:rPr/>
      </w:pPr>
      <w:bookmarkStart w:id="130" w:name="__RefHeading___Toc141675_3244359995"/>
      <w:bookmarkStart w:id="131" w:name="_Toc51"/>
      <w:bookmarkEnd w:id="130"/>
      <w:r>
        <w:rPr/>
        <w:t>1</w:t>
      </w:r>
      <w:r>
        <w:rPr>
          <w:rtl w:val="true"/>
        </w:rPr>
        <w:t xml:space="preserve">. </w:t>
      </w:r>
      <w:r>
        <w:rPr>
          <w:rtl w:val="true"/>
        </w:rPr>
        <w:t>الأحکام الظاهریّة الّتی تجری لتنقیح موضوع تکلیف آخر</w:t>
      </w:r>
      <w:bookmarkEnd w:id="131"/>
    </w:p>
    <w:p>
      <w:pPr>
        <w:pStyle w:val="BookText"/>
        <w:rPr/>
      </w:pPr>
      <w:r>
        <w:rPr>
          <w:rFonts w:ascii="IRNazanin" w:hAnsi="IRNazanin" w:eastAsia="IRNazanin"/>
          <w:color w:val="111111"/>
          <w:sz w:val="28"/>
          <w:sz w:val="28"/>
          <w:szCs w:val="28"/>
          <w:rtl w:val="true"/>
          <w:lang w:bidi="fa-IR"/>
        </w:rPr>
        <w:t>مقتضی ما ذکره المحقّق الخراسانی رحمه الله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إمّا هو مجعول فی ظرف الشکّ والجهل بالواقع حقیقة من دون نظر إلی الواقع أصلًا، فهو یجری فی تنقیح ما هو موضوع التکلیف وتحقیق متعلّقه، ویکون بلسان تحقّق ما هو شرطه أو شطره، وإمّا أن یکون ناظراً إلی الواقع وکاشفاً عنه ویکون بلسان أنّه بعینه هو الشرط واقعاً، والأوّل مفاد الاصول العملیّة کقاعدتی الطهارة والحلّیة أو استصحابهما، والثانی مفاد الأمارات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أنّ مقتضی کیفیة الجعل فی القسم الأوّل حکومة الاصول العملیّة علی الأدلّة الواقعیّة فی مرحلة الظاهر وتوسعة دائرتها؛ حیث إنّ ما دلّ علی شرطیّة الطهارة أو الحلّیة للصّلاة مثلًا ظاهر فی الطهارة أو الحلّیة الواقعیّة ولکنّها جعلت الشرط أعمّ منها ومن الطهارة أو الحلّیة الظاهریّة، ومقتضی هذه الحکومة أنّه کما أنّ المکلّف إذا کان واجداً للطهارة الواقعیّة کان واجداً للشرط حقیقة، فکذلک إذا کان</w:t>
      </w:r>
    </w:p>
    <w:p>
      <w:pPr>
        <w:pStyle w:val="BookText"/>
        <w:rPr/>
      </w:pPr>
      <w:r>
        <w:rPr>
          <w:rFonts w:ascii="IRNazanin" w:hAnsi="IRNazanin" w:eastAsia="IRNazanin"/>
          <w:color w:val="111111"/>
          <w:sz w:val="28"/>
          <w:sz w:val="28"/>
          <w:szCs w:val="28"/>
          <w:rtl w:val="true"/>
          <w:lang w:bidi="fa-IR"/>
        </w:rPr>
        <w:t>واجداً للطهارة الظاهریّة، فلو صلّی معها ثمّ انکشف الخلاف لم ینکشف أنّ العمل فاقد للشرط بل هو واجد له حقیقة فیجزی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کیفیة الجعل فی الأمارات هو عدم الإجزاء، فإنّ المجعول فیها إنّما هو حجّیتها بلحاظ نظرها إلی الواقع وإثباتها له علی ما هو علیه من دون جعل شی‌ء آخر فیها فی مقابل الواقع، فلو کانت خاطئة وغیر مطابقة له لم تؤدّ إلی حکم شرعی أصلًا لا واقعی ولا ظاهری، ونتیجته عدم الإجزاء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 بالنسبة إلی ما أفاده فی الاصول العملیّة أنّ غایة ما یستفاد من دلیل أصالة الطهارة مثلًا ثبوت أحکامها لموردها ما دام الشکّ موجوداً ولازمه عدم وجود تعمیم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 عدم ثبوت الإجزاء فی موارد الأمارات والاصول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المختار فی المسألة</w:t>
      </w:r>
    </w:p>
    <w:p>
      <w:pPr>
        <w:pStyle w:val="BookText"/>
        <w:rPr/>
      </w:pPr>
      <w:r>
        <w:rPr>
          <w:rFonts w:ascii="IRNazanin" w:hAnsi="IRNazanin" w:eastAsia="IRNazanin"/>
          <w:color w:val="111111"/>
          <w:sz w:val="28"/>
          <w:sz w:val="28"/>
          <w:szCs w:val="28"/>
          <w:rtl w:val="true"/>
          <w:lang w:bidi="fa-IR"/>
        </w:rPr>
        <w:t>والحقّ الحقیق بالتصدیق فی المسألة ما ذهب إلیه سیّدنا الاستاذ المحقّق البروجردی قدس سره من ثبوت الإجزاء مطلقاً سواء فی الاصول والأمارات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تسالم الفقهاء إلی زمن الشیخ رحمه الله علی ثبوت الإجزاء وإنّما وقع الخلاف فیه من زمنه حتّی أنّ بعضهم قد أفرط فادّعی استحالته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محلّ النزاع،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الأوامر الظاهریّة أوامر مولویة،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تقم قرینة علی عدم حصول غرض المولی بالمأمور به، أی علی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هو الظاهر عرفاً من أمر المولی بالمأمور به الظاهری، فإنّه إذا أمر المولی عبده بشی‌ء فی صورة الشکّ بالواقع أو الجهل 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المأمور به الواقعی أو جهلت به فاعمل کذا وکذا وإنّ هذا هو</w:t>
      </w:r>
      <w:bookmarkStart w:id="132" w:name="pg16922_187572"/>
    </w:p>
    <w:p>
      <w:pPr>
        <w:pStyle w:val="BookText"/>
        <w:rPr/>
      </w:pPr>
      <w:bookmarkEnd w:id="132"/>
      <w:r>
        <w:rPr>
          <w:rFonts w:ascii="IRNazanin" w:hAnsi="IRNazanin" w:eastAsia="IRNazanin"/>
          <w:color w:val="111111"/>
          <w:sz w:val="28"/>
          <w:sz w:val="28"/>
          <w:szCs w:val="28"/>
          <w:rtl w:val="true"/>
          <w:lang w:bidi="fa-IR"/>
        </w:rPr>
        <w:t>وظیفتک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العرف منه أنّ ذلک هو تکلیفه الفعلی وأنّ المولی لا یطلب منه شیئاً غیره، وأنّ الإتیان به یوجب استیفاء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المتبادر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أنّ المکلّف بعد إتیانه الصلاة فی الثوب المشکوک فیه قد أدّی وظیفته الصلاتیة وامتثل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عمل عملًا یمکن أن یکون صلاة وأن یکون لغواً، وتکون الصلاة باقیة فی ذمّته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عدم الإجزاء فی الاصول والأمارات یستلزم فساد أکثر أعمال المکلّفین وعدم حصولهم علی مصالح الأحکام الواقعیّة، لوجود العلم الإجمالی بأنّ کثیراً ممّا نحکم بطهارته مثلًا نجس فی الواقع ولازمه بطلان عدد کثیر من الصلوات الیومیّة بناءً علی اعتبار الطهارة الواقعیّة فی ماء الوضوء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الثوب والبدن فإنّ المعتبر فیهما أعمّ من الواقعیّة والظاهریّة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توضّأ أو اغتسل بالماء القلیل وکان فی الواقع نجساً کان لازمه بطلان الوضوء والغسل وما یترتّب علیهما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إلی أعمال من یقلّد مجتهداً تبدّل رأیه، أو مات وخالف رأیه قول المجتهد الحیّ، فهل یمکن أن یقال بأنّ الشارع وضع قانوناً لمصلحة خاصّة لا تصل إلیها أیدی أکثر المکلّفین؟</w:t>
      </w:r>
    </w:p>
    <w:p>
      <w:pPr>
        <w:pStyle w:val="Heading6"/>
        <w:numPr>
          <w:ilvl w:val="5"/>
          <w:numId w:val="1"/>
        </w:numPr>
        <w:rPr/>
      </w:pPr>
      <w:bookmarkStart w:id="133" w:name="__RefHeading___Toc141677_3244359995"/>
      <w:bookmarkStart w:id="134" w:name="_Toc52"/>
      <w:bookmarkEnd w:id="133"/>
      <w:r>
        <w:rPr/>
        <w:t>2</w:t>
      </w:r>
      <w:r>
        <w:rPr>
          <w:rtl w:val="true"/>
        </w:rPr>
        <w:t xml:space="preserve">. </w:t>
      </w:r>
      <w:r>
        <w:rPr>
          <w:rtl w:val="true"/>
        </w:rPr>
        <w:t>الأحکام الظاهریّة الّتی تجری لإثبات أصل التکلیف</w:t>
      </w:r>
      <w:bookmarkEnd w:id="1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أکثر الأعلام فیها إلی عدم الإجزاء، بل ذهب المحقّق الخراسانی رحمه الله إلی عدم الإجزاء حتّی علی مبنی السببیّة ببیان أنّ صلاة الجمعة وإن فرض إنّها صارت ذات مصلحة لأجل قیام الأمارة السببیّة علی وجوبها، ولکن لا ینافی ذلک بقاء صلاة الظهر علی ما هی علیه من المصلحة والوجوب، فبعد کشف الخلاف لابدّ من</w:t>
      </w:r>
    </w:p>
    <w:p>
      <w:pPr>
        <w:pStyle w:val="BookText"/>
        <w:rPr/>
      </w:pPr>
      <w:r>
        <w:rPr>
          <w:rFonts w:ascii="IRNazanin" w:hAnsi="IRNazanin" w:eastAsia="IRNazanin"/>
          <w:color w:val="111111"/>
          <w:sz w:val="28"/>
          <w:sz w:val="28"/>
          <w:szCs w:val="28"/>
          <w:rtl w:val="true"/>
          <w:lang w:bidi="fa-IR"/>
        </w:rPr>
        <w:t>الإتیان بصلاة الظهر أیضاً، إلّاإذا قام دلیل خاصّ من إجماع ونحوه علی عدم وجوب صلاتین فی یوم واحد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هی مسألة تبدّل رأی المجتهد، فنذکر هنا إجمالًا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استدلّ علی الإجزاء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وجود الإجماع کما لا یبعد، لکنّه لیس بحجّة فی أمثال المقام لاحتمال استنادهم إلی سائر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الإجزاء یستلزم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العسر والحرج قاعدة شخصیّة لا نوعیّة، أی لا یسقط الحکم ممّن لا یکون فی عسر وإن کان نوعاً مستلزماً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الثانی کالاجتهاد الأوّل، فإذا لم یکن الاجتهاد الأوّل مجزیاً عن الواقع لم یکن الاجتهاد الثانی أیضاً مجزیاً، لأنّه أیضاً أمارة ظنّیة الدلالة بالنسبة إلی الواقع وإن کان مجزیاً فکذا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فی المقام ما إذا انکشف فی الاجتهاد الثانی أنّ الأوّل کان علی خلاف الواقع ولو بحسب الموازین الظاهریّة، مع أنّه لم یحصل بالنسبة إلی الاجتهاد الثانی هذا الأمر، فهو نظیر ما إذا قام دلیل أقوی علی خلاف الدلیل الأوّل فی الموضوعات الخارجیّة، کما إذا قامت أمارة علی أنّ هذا الماء کان کرّاً أو قلیلًا من قبل، فیعمل بمقتضی الدلیل الثانی حتّی بالنسبة إلی ما سبق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الواقعة الواحدة لا تتحمّل اجتهادین بل الأعمال السابقة داخلة فی نطاق الاجتهاد الأوّل، والأعمال اللاحقة داخلة فی الاجتهاد الثانی، فلا یعمّ الاجتهاد الثانی ما سبق من الأعمال، ولازمه الإجزاء</w:t>
      </w:r>
      <w:r>
        <w:rPr>
          <w:rFonts w:eastAsia="IRNazanin" w:cs="IRNazanin"/>
          <w:color w:val="111111"/>
          <w:sz w:val="28"/>
          <w:szCs w:val="28"/>
          <w:rtl w:val="true"/>
          <w:lang w:bidi="fa-IR"/>
        </w:rPr>
        <w:t>.</w:t>
      </w:r>
      <w:bookmarkStart w:id="135" w:name="pg16922_187574"/>
    </w:p>
    <w:p>
      <w:pPr>
        <w:pStyle w:val="BookText"/>
        <w:rPr/>
      </w:pPr>
      <w:bookmarkEnd w:id="135"/>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منه عدم قبول الواقعة الواحدة الاجتهادین فی زمان واحد فهو صحیح وأمّا فی زمانین فهو دعوی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وجه آخر 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أدلّة جواز العدول إلی المجتهد الثانی فیما إذا عدل المقلّد من مجتهد إلی مجتهد آخر، وکذا أدلّة حجّیة الاجتهاد الثانی فیما إذا تبدّل رأی المجتهد، لا تشمل الأعمال السابقة وأنّه لا إطلاق لها بالنسبة إلی ما سبق، بل القدر المتیقّن منها الأعمال اللاحقة، والحاصل أنّ حجّیة الاجتهاد الثانی إنّما هی بالنسبة إلی أعماله فی الحال وفی المستقبل، أمّا بالنسبة إلی الماضی فلا یکشف عن فسادها؛ لعدم حجّیته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أعمال المجتهد بعد تبدّل رأیه</w:t>
      </w:r>
    </w:p>
    <w:p>
      <w:pPr>
        <w:pStyle w:val="BookText"/>
        <w:rPr/>
      </w:pPr>
      <w:r>
        <w:rPr>
          <w:rFonts w:ascii="IRNazanin" w:hAnsi="IRNazanin" w:eastAsia="IRNazanin"/>
          <w:color w:val="111111"/>
          <w:sz w:val="28"/>
          <w:sz w:val="28"/>
          <w:szCs w:val="28"/>
          <w:rtl w:val="true"/>
          <w:lang w:bidi="fa-IR"/>
        </w:rPr>
        <w:t>هذا حکم أعمال المقلّدین، وأمّا المجتهد نفسه فحکمه بالنسبة إلی أعماله السابقة من الإجزاء أو عدم الإجزاء فیها مبنی علی شمول أدلّة حجّیة الأمارات والاصول للأعمال السابقة، لأنّ المحکّم بالنسبة إلیه إنّما هو هذه الأدلّة لا أدلّة التقلید کما هو واضح، فإن استظهر عمومها بالنسبة إلیها فالحکم هو عدم الإجزاء ووجوب الإعادة أو القضاء، وإلّا یؤخذ بالقدر المتیقّن وهو الأعمال اللاحقة، ولازمه هو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بالنسبة إلی المجتهد إنّما هو وجود هذا الإطلاق وعدمه فی مقام الإثبات والاستظهار من الأدلّة، والإنصاف أنّها أیضاً لا إطلاق لها بالنسبة إلی الأعمال السابقة، والقدر المتیقّن هو حجّیتها بالنسبة إلی الأعمال اللاحقة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انکشف الخلاف بأمارة أو أصل، وأمّا إذا ظهر الخلاف بالقطع والیقین فالحکم بالإجزاء مشکل لعدم الدلیل علیه</w:t>
      </w:r>
      <w:r>
        <w:rPr>
          <w:rFonts w:eastAsia="IRNazanin" w:cs="IRNazanin"/>
          <w:color w:val="111111"/>
          <w:sz w:val="28"/>
          <w:szCs w:val="28"/>
          <w:rtl w:val="true"/>
          <w:lang w:bidi="fa-IR"/>
        </w:rPr>
        <w:t>.</w:t>
      </w:r>
    </w:p>
    <w:p>
      <w:pPr>
        <w:pStyle w:val="Heading5"/>
        <w:numPr>
          <w:ilvl w:val="4"/>
          <w:numId w:val="1"/>
        </w:numPr>
        <w:rPr/>
      </w:pPr>
      <w:bookmarkStart w:id="136" w:name="__RefHeading___Toc141679_3244359995"/>
      <w:bookmarkStart w:id="137" w:name="_Toc53"/>
      <w:bookmarkEnd w:id="136"/>
      <w:r>
        <w:rPr>
          <w:rtl w:val="true"/>
        </w:rPr>
        <w:t>المقام الرابع</w:t>
      </w:r>
      <w:r>
        <w:rPr>
          <w:rtl w:val="true"/>
        </w:rPr>
        <w:t xml:space="preserve">: </w:t>
      </w:r>
      <w:r>
        <w:rPr>
          <w:rtl w:val="true"/>
        </w:rPr>
        <w:t>فی إجزاء الأوامر الظاهریّة العقلیّة</w:t>
      </w:r>
      <w:bookmarkEnd w:id="137"/>
    </w:p>
    <w:p>
      <w:pPr>
        <w:pStyle w:val="Heading6"/>
        <w:numPr>
          <w:ilvl w:val="5"/>
          <w:numId w:val="1"/>
        </w:numPr>
        <w:rPr/>
      </w:pPr>
      <w:bookmarkStart w:id="138" w:name="__RefHeading___Toc141681_3244359995"/>
      <w:bookmarkStart w:id="139" w:name="_Toc54"/>
      <w:bookmarkEnd w:id="138"/>
      <w:r>
        <w:rPr>
          <w:rtl w:val="true"/>
        </w:rPr>
        <w:t>اشارة</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ویتصوّر ذلک فیما إذا قطع بالأمر ثمّ انکشف خلافه فقطع فی الشبهة الموضوعیّة</w:t>
      </w:r>
    </w:p>
    <w:p>
      <w:pPr>
        <w:pStyle w:val="BookText"/>
        <w:rPr/>
      </w:pPr>
      <w:r>
        <w:rPr>
          <w:rFonts w:ascii="IRNazanin" w:hAnsi="IRNazanin" w:eastAsia="IRNazanin"/>
          <w:color w:val="111111"/>
          <w:sz w:val="28"/>
          <w:sz w:val="28"/>
          <w:szCs w:val="28"/>
          <w:rtl w:val="true"/>
          <w:lang w:bidi="fa-IR"/>
        </w:rPr>
        <w:t>بدخول وقت الصلاة أو بجهة القبلة مثلًا ثمّ انکشف الخلاف، أو قطع فی موارد الأحکام بوجود الإجماع مثلًا علی وجوب صلاة الجمعة، ثمّ انکشف عدمه فیبحث فی أنّه هل یکون قطعه هذا مجزیاً عن الأعمال المأتیّ بها علی طبقه أو لا؟</w:t>
      </w:r>
    </w:p>
    <w:p>
      <w:pPr>
        <w:pStyle w:val="BookText"/>
        <w:rPr/>
      </w:pPr>
      <w:r>
        <w:rPr>
          <w:rFonts w:ascii="IRNazanin" w:hAnsi="IRNazanin" w:eastAsia="IRNazanin"/>
          <w:color w:val="111111"/>
          <w:sz w:val="28"/>
          <w:sz w:val="28"/>
          <w:szCs w:val="28"/>
          <w:rtl w:val="true"/>
          <w:lang w:bidi="fa-IR"/>
        </w:rPr>
        <w:t>والإنصاف أنّه لا إشکال فی عدم الإجزاء؛ لأنّ شیئاً من الوجوه المذکورة فی إثبات الإجزاء فیما سبق لا یأتی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اختاره صاحب الکفایة بالنسبة إلی خصوص الاصول العملیّة من حکومة أدلّتها علی الأوامر الواقعیّة فلأنّ المفروض فی المقام أنّه لم یقم أصل علی الحکم حتّی یکون دلیله حاکماً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ما اخترناه من أنّ الإجزاء من اللوازم العرفیّة لأمر المولی فلأنّه لا أمر من ناحیة الشارع فی المقام علی حجّیة القطع بل حجّیته ذاتیة وبحکم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ما مرّ فی تبدّل رأی المجتهد من أنّه لا إطلاق لأدلّة حجّیة رأی المجتهد بالنسبة إلی الأعمال السابقة حیث إنّه أیضاً یتصوّر فیما إذا قامت أمارة أو أصل علی الحجّیة وکان لها إطلاق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یستثنی منها موارد تکون خارجة عنها خروجاً موضوعیّاً علی نحو الاستثناء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الامور الخمسة الّتی وردت فی حدیث لا تعاد، فلا إعادة فیه بمقتضی عقد المستثنی منه، فإذا حصل العلم بإتیان سورة الحمد مثلًا ثمّ انکشف أنّه لم یأت بها لم تجب الإعادة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خروجه موضوعاً أنّ سبب الإجزاء فیه إنّما هو الجهل بالواقع الذی یکون موضوع 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القطع بعدم الإتیان حتّی یکون استثناء هذا المورد عن المقام استثناءً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مورد الحدیث هو الجاهل بالموضوع جهلًا مرکّباً أو بسیطاً عن قصور وکذا الناسی،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جزئیّة الحمد إنّما هو فی ظرف الالتفات والعلم فقط</w:t>
      </w:r>
      <w:r>
        <w:rPr>
          <w:rFonts w:eastAsia="IRNazanin" w:cs="IRNazanin"/>
          <w:color w:val="111111"/>
          <w:sz w:val="28"/>
          <w:szCs w:val="28"/>
          <w:rtl w:val="true"/>
          <w:lang w:bidi="fa-IR"/>
        </w:rPr>
        <w:t>.</w:t>
      </w:r>
      <w:bookmarkStart w:id="140" w:name="pg16922_187576"/>
    </w:p>
    <w:p>
      <w:pPr>
        <w:pStyle w:val="BookText"/>
        <w:rPr/>
      </w:pPr>
      <w:bookmarkEnd w:id="140"/>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 دلیل خاصّ علی حصول تمام مصلحة الواقع فی الجاهل بالحکم أو حصول بعض المصلحة مع عدم کون الباقی قابلًا للتدارک، کما إذا قطع بکون الواجب علیه هو الإتمام ثمّ انکشف أنّ علیه حکم المسافر، أو قطع بأنّ الوظیفة إتیان الصلاة عن إخفات مع کون الواجب إتیانها جهراً، فإنّ الإجزاء فی کلیهما ثبت بأدلّة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الإجزاء فیهما أیضاً لیس من خصوصّیات القطع بالخلاف بل الشارع حکم به فی مورد الجهل تعبّداً،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إنّما هی فی ظرف العلم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القطع مأخوذاً فی موضوع الحکم، کما أنّه کذلک فی باب الطهارة والنجاسة، فإنّ الشرط للصّلاة هو العلم بالطهارة الظاهریّة أو الواقعیّة، فلو قطع بطهارة ثوبه فی الصلاة فصلّی بالثوب النجس ثمّ علم بنجاسته لم تجب الإعادة، والسرّ فیه أنّ المعتبر لیس الطهارة الواقعیّة حتّی یتکلّم فی أنّ الحکم الظاهری الشرعی الحاصل من الأمارات والاصول أو الظاهری العقلی الحاصل من القطع هل یقوم مقام الواقع أو لا؟ لأنّ الشرط أعمّ منهما، وأیّهما حصل کان الشرط حاصلًا، فهو کالإتیان بالأوامر الواقعیّة، إلی غیر ذلک من أمثالها</w:t>
      </w:r>
      <w:r>
        <w:rPr>
          <w:rFonts w:eastAsia="IRNazanin" w:cs="IRNazanin"/>
          <w:color w:val="111111"/>
          <w:sz w:val="28"/>
          <w:szCs w:val="28"/>
          <w:rtl w:val="true"/>
          <w:lang w:bidi="fa-IR"/>
        </w:rPr>
        <w:t>.</w:t>
      </w:r>
    </w:p>
    <w:p>
      <w:pPr>
        <w:pStyle w:val="Heading6"/>
        <w:numPr>
          <w:ilvl w:val="5"/>
          <w:numId w:val="1"/>
        </w:numPr>
        <w:rPr/>
      </w:pPr>
      <w:bookmarkStart w:id="141" w:name="__RefHeading___Toc141683_3244359995"/>
      <w:bookmarkStart w:id="142" w:name="_Toc55"/>
      <w:bookmarkEnd w:id="141"/>
      <w:r>
        <w:rPr>
          <w:rtl w:val="true"/>
        </w:rPr>
        <w:t>تنبیه</w:t>
      </w:r>
      <w:r>
        <w:rPr>
          <w:rtl w:val="true"/>
        </w:rPr>
        <w:t xml:space="preserve">: </w:t>
      </w:r>
      <w:r>
        <w:rPr>
          <w:rtl w:val="true"/>
        </w:rPr>
        <w:t>الإجزاء ومسألة التصویب</w:t>
      </w:r>
      <w:bookmarkEnd w:id="142"/>
    </w:p>
    <w:p>
      <w:pPr>
        <w:pStyle w:val="BookText"/>
        <w:rPr/>
      </w:pPr>
      <w:r>
        <w:rPr>
          <w:rFonts w:ascii="IRNazanin" w:hAnsi="IRNazanin" w:eastAsia="IRNazanin"/>
          <w:color w:val="111111"/>
          <w:sz w:val="28"/>
          <w:sz w:val="28"/>
          <w:szCs w:val="28"/>
          <w:rtl w:val="true"/>
          <w:lang w:bidi="fa-IR"/>
        </w:rPr>
        <w:t>هل یوجب القول بالإجزاء التصویب المحال أو التصویب المجمع علی بطلانه، أو 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الإنصاف أنّه لا یوجب ذلک، لأنّ التصویب المحال وهو ما نسب إلی الأشاعرة من أنّه لم یجعل حکم فی الشریعة المقدّسة قبل تأدیة نظر المجتهد إلی شی‌ء وإنّما یدور جعله مدار نظره ورأیه، وهکذا التصویب المجمع علی بطلانه وهو المنسوب إلی المعتزلة، وحاصله أن یکون قیام الأمارة سبباً لتبدّل الحکم الواقعی إلی مؤدّاها</w:t>
      </w:r>
    </w:p>
    <w:p>
      <w:pPr>
        <w:pStyle w:val="BookText"/>
        <w:rPr/>
      </w:pPr>
      <w:r>
        <w:rPr>
          <w:rFonts w:ascii="IRNazanin" w:hAnsi="IRNazanin" w:eastAsia="IRNazanin"/>
          <w:color w:val="111111"/>
          <w:sz w:val="28"/>
          <w:sz w:val="28"/>
          <w:szCs w:val="28"/>
          <w:rtl w:val="true"/>
          <w:lang w:bidi="fa-IR"/>
        </w:rPr>
        <w:t>لحصول مصلحة أو مفسدة فی متعلّقه، لا دخل لهما بمسألة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التصویب علی کلّ حال هو إنکار الحکم الواقعی المشترک بین العالم والجاهل، والقول بالإجزاء لا یستلزم هذا الانکار، بل لازمه القول بوجود الحکم الواقعی المشترک، وهذا الحکم باقٍ علی مصالحه ومفاسده، أدّت إلیه الأمارة أو لم تؤدّ، نعم لا یکون هذا الحکم فعلیاً فی بعض الموارد، وهو ما إذا قامت الأمارة أو الأصل علی خلافه، وانکشاف الخلاف فیما بعد لا یوجب فعلیّته بعد أن لم یکن فعلیّاً حین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فی مسألة الإجزاء مختلفة، أمّا علی المختار فقد عرفت أنّ العمدة فی الإجزاء هو عدم شمول الاجتهاد اللاحق للقضایا السابقة لعدم إطلاق فی أدلّة حجّیتها، وأین هذا من مسألة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مبنی صاحب الکفایة ومن تبعه، فلأنّهم یرون أن أدلّة بعض الاصول توجب التوسعة فی مفاد أدلّة الشرائط والإجزاء، ومع توسعة الحکم الواقعی یکون العمل مطابقاً له بلا زیادة ولا نقصان، وأین هذا من التصویب لأنّه لیس هنا إلّاحکم واحد قد عمل به المکلّف لا حکمان، أحدهما واقعی والآخر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بالإجزاء من ناحیة القول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سببیّة قیام الأمارة لتحقّق المصلحة الّتی تفوق علی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المسألتین ربط ظاهر، ولکن القول بالسببیّة بهذا المعنی مطروح ممنوع من ناحیة المحقّقین من أصحابنا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الکلام عن مسألة التصویب وأقسامه والأقوال فیها فی مباحث الاجتهاد والتقلید</w:t>
      </w:r>
      <w:r>
        <w:rPr>
          <w:rFonts w:eastAsia="IRNazanin" w:cs="IRNazanin"/>
          <w:color w:val="111111"/>
          <w:sz w:val="28"/>
          <w:szCs w:val="28"/>
          <w:rtl w:val="true"/>
          <w:lang w:bidi="fa-IR"/>
        </w:rPr>
        <w:t>.</w:t>
      </w:r>
      <w:bookmarkStart w:id="143" w:name="pg16922_187579"/>
    </w:p>
    <w:p>
      <w:pPr>
        <w:pStyle w:val="Heading4"/>
        <w:numPr>
          <w:ilvl w:val="3"/>
          <w:numId w:val="1"/>
        </w:numPr>
        <w:rPr/>
      </w:pPr>
      <w:bookmarkStart w:id="144" w:name="__RefHeading___Toc141685_3244359995"/>
      <w:bookmarkStart w:id="145" w:name="_Toc56"/>
      <w:bookmarkEnd w:id="143"/>
      <w:bookmarkEnd w:id="144"/>
      <w:r>
        <w:rPr>
          <w:rtl w:val="true"/>
        </w:rPr>
        <w:t>الفصل الثانی</w:t>
      </w:r>
      <w:r>
        <w:rPr>
          <w:rtl w:val="true"/>
        </w:rPr>
        <w:t xml:space="preserve">: </w:t>
      </w:r>
      <w:r>
        <w:rPr>
          <w:rtl w:val="true"/>
        </w:rPr>
        <w:t>مقدمة الواجب</w:t>
      </w:r>
      <w:bookmarkEnd w:id="145"/>
    </w:p>
    <w:p>
      <w:pPr>
        <w:pStyle w:val="Heading5"/>
        <w:numPr>
          <w:ilvl w:val="4"/>
          <w:numId w:val="1"/>
        </w:numPr>
        <w:rPr/>
      </w:pPr>
      <w:bookmarkStart w:id="146" w:name="__RefHeading___Toc141687_3244359995"/>
      <w:bookmarkStart w:id="147" w:name="_Toc57"/>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والبحث عنها وما یرتبط بها یتمّ فی ضمن امور</w:t>
      </w:r>
      <w:r>
        <w:rPr>
          <w:rFonts w:eastAsia="IRNazanin" w:cs="IRNazanin"/>
          <w:color w:val="111111"/>
          <w:sz w:val="28"/>
          <w:szCs w:val="28"/>
          <w:rtl w:val="true"/>
          <w:lang w:bidi="fa-IR"/>
        </w:rPr>
        <w:t>:</w:t>
      </w:r>
    </w:p>
    <w:p>
      <w:pPr>
        <w:pStyle w:val="Heading5"/>
        <w:numPr>
          <w:ilvl w:val="4"/>
          <w:numId w:val="1"/>
        </w:numPr>
        <w:rPr/>
      </w:pPr>
      <w:bookmarkStart w:id="148" w:name="__RefHeading___Toc141689_3244359995"/>
      <w:bookmarkStart w:id="149" w:name="_Toc58"/>
      <w:bookmarkEnd w:id="148"/>
      <w:r>
        <w:rPr>
          <w:rtl w:val="true"/>
        </w:rPr>
        <w:t>الأمر الأوّل</w:t>
      </w:r>
      <w:r>
        <w:rPr>
          <w:rtl w:val="true"/>
        </w:rPr>
        <w:t xml:space="preserve">: </w:t>
      </w:r>
      <w:r>
        <w:rPr>
          <w:rtl w:val="true"/>
        </w:rPr>
        <w:t>حول مکانة البحث</w:t>
      </w:r>
      <w:bookmarkEnd w:id="149"/>
    </w:p>
    <w:p>
      <w:pPr>
        <w:pStyle w:val="BookText"/>
        <w:rPr/>
      </w:pPr>
      <w:r>
        <w:rPr>
          <w:rFonts w:ascii="IRNazanin" w:hAnsi="IRNazanin" w:eastAsia="IRNazanin"/>
          <w:color w:val="111111"/>
          <w:sz w:val="28"/>
          <w:sz w:val="28"/>
          <w:szCs w:val="28"/>
          <w:rtl w:val="true"/>
          <w:lang w:bidi="fa-IR"/>
        </w:rPr>
        <w:t>هذه المسألة من المسائل الاصولیّة نظراً إلی أنّ المهمّ المبحوث عنه فی هذه المسألة إنّما هی الملازمة العقلیّة بین وجوب الشی‌ء شرعاً ووجوب مقدّمته، فیترتّب علیها وجوب المقدّمة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شأن المسألة الاصولیّة حیث إنّها تقع فی طریق استنباط الأحکام الکلّیة الفرعیّة الإلهیّة أو الوظیفة العملیّة، ولا إشکال فی أنّ وجوب المقدّمة شرعاً حکم کلّی فرعی إلهی یستنبط من وجود الملازمة بین وجوب ذی المقدّمة ووجوب المقدّمة بناءً علی قبولها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ذکرنا یظهر أنّ الوجوب فیما نحن فیه لیس بمعنی اللابدیة العقلیّة، لأنّه لا نزاع فی لزوم المقدّمة عقلًا بهذا المعنی؛ لعدم إمکان الوصول إلی شی‌ء إلّابمقدّماته، بل المراد منه الوجوب الشرعی الالهی، وأنّه هل یکون العقل کاشفاً عن وجود الملازمة بین وجوب الشی‌ء شرعاً ووجوب مقدّمته کذلک حتّی تکون نتیجتها وجوب المقدّمة شرعاً أو لا؟</w:t>
      </w:r>
      <w:bookmarkStart w:id="150" w:name="pg16922_187580"/>
    </w:p>
    <w:p>
      <w:pPr>
        <w:pStyle w:val="BookText"/>
        <w:rPr/>
      </w:pPr>
      <w:bookmarkEnd w:id="150"/>
      <w:r>
        <w:rPr>
          <w:rFonts w:ascii="IRNazanin" w:hAnsi="IRNazanin" w:eastAsia="IRNazanin"/>
          <w:color w:val="111111"/>
          <w:sz w:val="28"/>
          <w:sz w:val="28"/>
          <w:szCs w:val="28"/>
          <w:rtl w:val="true"/>
          <w:lang w:bidi="fa-IR"/>
        </w:rPr>
        <w:t>نعم المراد من الوجوب الشرعی إنّما هو الوجوب الإجمالی الإرتکازی بحیث لو التفت المولی إلی المقدّمة وتوقّف ذیها علیها حکم بوجوب المقدّمة وجوباً تبعیاً غیریاً</w:t>
      </w:r>
      <w:r>
        <w:rPr>
          <w:rFonts w:eastAsia="IRNazanin" w:cs="IRNazanin"/>
          <w:color w:val="111111"/>
          <w:sz w:val="28"/>
          <w:szCs w:val="28"/>
          <w:rtl w:val="true"/>
          <w:lang w:bidi="fa-IR"/>
        </w:rPr>
        <w:t>.</w:t>
      </w:r>
    </w:p>
    <w:p>
      <w:pPr>
        <w:pStyle w:val="Heading5"/>
        <w:numPr>
          <w:ilvl w:val="4"/>
          <w:numId w:val="1"/>
        </w:numPr>
        <w:rPr/>
      </w:pPr>
      <w:bookmarkStart w:id="151" w:name="__RefHeading___Toc141691_3244359995"/>
      <w:bookmarkStart w:id="152" w:name="_Toc59"/>
      <w:bookmarkEnd w:id="151"/>
      <w:r>
        <w:rPr>
          <w:rtl w:val="true"/>
        </w:rPr>
        <w:t>الأمر الثانی</w:t>
      </w:r>
      <w:r>
        <w:rPr>
          <w:rtl w:val="true"/>
        </w:rPr>
        <w:t xml:space="preserve">: </w:t>
      </w:r>
      <w:r>
        <w:rPr>
          <w:rtl w:val="true"/>
        </w:rPr>
        <w:t>تقسیمات المقدّمة</w:t>
      </w:r>
      <w:bookmarkEnd w:id="152"/>
    </w:p>
    <w:p>
      <w:pPr>
        <w:pStyle w:val="Heading6"/>
        <w:numPr>
          <w:ilvl w:val="5"/>
          <w:numId w:val="1"/>
        </w:numPr>
        <w:rPr/>
      </w:pPr>
      <w:bookmarkStart w:id="153" w:name="__RefHeading___Toc141693_3244359995"/>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قد ذکروا للمقدّمة تقسیمات</w:t>
      </w:r>
      <w:r>
        <w:rPr>
          <w:rFonts w:eastAsia="IRNazanin" w:cs="IRNazanin"/>
          <w:color w:val="111111"/>
          <w:sz w:val="28"/>
          <w:szCs w:val="28"/>
          <w:rtl w:val="true"/>
          <w:lang w:bidi="fa-IR"/>
        </w:rPr>
        <w:t>:</w:t>
      </w:r>
    </w:p>
    <w:p>
      <w:pPr>
        <w:pStyle w:val="Heading6"/>
        <w:numPr>
          <w:ilvl w:val="5"/>
          <w:numId w:val="1"/>
        </w:numPr>
        <w:rPr/>
      </w:pPr>
      <w:bookmarkStart w:id="155" w:name="__RefHeading___Toc141695_3244359995"/>
      <w:bookmarkStart w:id="156" w:name="_Toc61"/>
      <w:bookmarkEnd w:id="155"/>
      <w:r>
        <w:rPr/>
        <w:t>1</w:t>
      </w:r>
      <w:r>
        <w:rPr>
          <w:rtl w:val="true"/>
        </w:rPr>
        <w:t xml:space="preserve">. </w:t>
      </w:r>
      <w:r>
        <w:rPr>
          <w:rtl w:val="true"/>
        </w:rPr>
        <w:t>المقدّمة الداخلیة والمقدّمة الخارجیّة</w:t>
      </w:r>
      <w:bookmarkEnd w:id="156"/>
    </w:p>
    <w:p>
      <w:pPr>
        <w:pStyle w:val="BookText"/>
        <w:rPr/>
      </w:pPr>
      <w:r>
        <w:rPr>
          <w:rFonts w:ascii="IRNazanin" w:hAnsi="IRNazanin" w:eastAsia="IRNazanin"/>
          <w:color w:val="111111"/>
          <w:sz w:val="28"/>
          <w:sz w:val="28"/>
          <w:szCs w:val="28"/>
          <w:rtl w:val="true"/>
          <w:lang w:bidi="fa-IR"/>
        </w:rPr>
        <w:t>والمراد من الداخلیة إنّما هی الأجزاء المأخوذة فی الماهیة المأمور بها، أی الأجزاء الّتی یترکّب منها المأمور به، والمراد من الخارجیّة ما کان خارجاً عن المأمور به وکان له دخل فی تحقّقه من الشرائط وعدم الموانع والمقتضی والأسباب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یستشکل فی کون الأجزاء مقدّمة للمأمور به بأنّ المقدّمة تجب أن تکون سابقة علی ذی المقدّمة کما هو مقتضی تسمیتها بها، والأجزاء لیست سابقة علیه بل أنّها نفس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تجب أن تکون غیر ذی المقدّمة لیترشّح الوجوب الغیری منه إلیها علی القول بالملازمة، والأجزاء لیست مبائنة مع ذی المقدّمة، بل هی عین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المقدّمة الداخلیة هی الأجزاء بما هی هی ولا بشرط، وأمّا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الأجزاء بشرط الاجتماع واتصال بعضها ببعض، فتکون المقدّمة سابقة علی ذیها ولو رتبة، ومغایرة معه ولو اعتباراً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التغایر الاعتباری فی المقام، فإنّه أمر ذهنی مجاله</w:t>
      </w:r>
    </w:p>
    <w:p>
      <w:pPr>
        <w:pStyle w:val="BookText"/>
        <w:rPr/>
      </w:pPr>
      <w:r>
        <w:rPr>
          <w:rFonts w:ascii="IRNazanin" w:hAnsi="IRNazanin" w:eastAsia="IRNazanin"/>
          <w:color w:val="111111"/>
          <w:sz w:val="28"/>
          <w:sz w:val="28"/>
          <w:szCs w:val="28"/>
          <w:rtl w:val="true"/>
          <w:lang w:bidi="fa-IR"/>
        </w:rPr>
        <w:t>الذهن، والمقدّمة وذو المقدّمة هما بمنزلة العلّة والمعلول فی الخارج العینی، ومجرّد المغایرة الذهنیّة غیر کافٍ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إمکان تصوّر المقدّمة الداخلیة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إمکان تصوّرها وقع البحث فی أنّها هل هی داخلة فی محلّ النزاع فی المقام أو لا؟</w:t>
      </w:r>
    </w:p>
    <w:p>
      <w:pPr>
        <w:pStyle w:val="BookText"/>
        <w:rPr/>
      </w:pPr>
      <w:r>
        <w:rPr>
          <w:rFonts w:ascii="IRNazanin" w:hAnsi="IRNazanin" w:eastAsia="IRNazanin"/>
          <w:color w:val="111111"/>
          <w:sz w:val="28"/>
          <w:sz w:val="28"/>
          <w:szCs w:val="28"/>
          <w:rtl w:val="true"/>
          <w:lang w:bidi="fa-IR"/>
        </w:rPr>
        <w:t xml:space="preserve">واستدلّ لخروجها عنه بأنّ الأجزاء هی عین الکلّ خارجاً وإن تغایرا اعتباراً وحینئذٍ تجب الأجزاء بعین وجوب الکلّ، غایته أنّه یجب الکلّ بوجوب نفسی استقلالی ویجب کلّ واحد من الأجزاء بوجوب نفسی ضمنی، أی فی ضمن وجوب الکلّ، ومن المعلوم أنّه بعد اتصاف کلّ واحد من الأجزاء بالوجوب النفسی الضمنی یکون اتصافه بالوجوب الغیری لغواً، بل غیر ممکن عقلًا وذلک لامتناع اجتماع المثلین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اجتماع المثلین بحکم العقل إنّما هو فی الامور التکوینیّة الحقیقیّة لا الامور الاعتباریّة کما فی ما نحن فیه، فلا یلزم من اجتماع المثلین فی المقام محذور غیر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المستحیل عقلًا إنّما هو اجتماع البیاضین مثلًا فی محلّ واحد لا اجتماع الوجوبین علی شی‌ء واحد مثل صلاة الظهر الواجبة بنفسها وواجبة لمقدّمیتها لصلاة العصر، وحینئذٍ لا مانع عقلًا من اجتماع وجوب نفسی ووجوب غیری فی الأجزاء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فی المسألة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الأجزاء لیس وجوباً مقدّمیاً وإن فرضنا مقدّمیتها للکلّ بنحو من التکلّف، بل وجوب کلّ واحد منها وجوب ضمنی فکأنّ الأمر بالکلّ انبسط علی الأجزاء، فکان کلّ جزء بعض المأمور به، وحینئذٍ لا تصل النوبة إلی الأمر المقدّمی الناشئ من الأمر بالکلّ</w:t>
      </w:r>
      <w:r>
        <w:rPr>
          <w:rFonts w:eastAsia="IRNazanin" w:cs="IRNazanin"/>
          <w:color w:val="111111"/>
          <w:sz w:val="28"/>
          <w:szCs w:val="28"/>
          <w:rtl w:val="true"/>
          <w:lang w:bidi="fa-IR"/>
        </w:rPr>
        <w:t>.</w:t>
      </w:r>
      <w:bookmarkStart w:id="157" w:name="pg16922_187582"/>
    </w:p>
    <w:p>
      <w:pPr>
        <w:pStyle w:val="BookText"/>
        <w:rPr/>
      </w:pPr>
      <w:bookmarkEnd w:id="157"/>
      <w:r>
        <w:rPr>
          <w:rFonts w:ascii="IRNazanin" w:hAnsi="IRNazanin" w:eastAsia="IRNazanin"/>
          <w:color w:val="111111"/>
          <w:sz w:val="28"/>
          <w:sz w:val="28"/>
          <w:szCs w:val="28"/>
          <w:rtl w:val="true"/>
          <w:lang w:bidi="fa-IR"/>
        </w:rPr>
        <w:t>فکما أنّ الحبّ المتعلّق مثلًا بدار أو کتاب أو طعام ینبسط علی کلّ جزء جزء منها ویکون کلّ جزء بعض المحبوب، کذلک الحال فی الأمر بالصلاة من ناحیة المولی، فالذی یتعلّق بجزء جزء من الصلاة هو نفس ما یتعلّق بمجموعها، ولا دلیل علی تعلّق إرادة اخری بکلّ جزء غیر الإرادة الّتی تعلّقت بالجمیع حتّی یکون للأجزاء وجوب تبعی غیری غیر الوجوب النفسی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تکون الشرائط من المقدّمات الداخلیّة أو الخارجیّة؟</w:t>
      </w:r>
    </w:p>
    <w:p>
      <w:pPr>
        <w:pStyle w:val="BookText"/>
        <w:rPr/>
      </w:pPr>
      <w:r>
        <w:rPr>
          <w:rFonts w:ascii="IRNazanin" w:hAnsi="IRNazanin" w:eastAsia="IRNazanin"/>
          <w:color w:val="111111"/>
          <w:sz w:val="28"/>
          <w:sz w:val="28"/>
          <w:szCs w:val="28"/>
          <w:rtl w:val="true"/>
          <w:lang w:bidi="fa-IR"/>
        </w:rPr>
        <w:t xml:space="preserve">لا إشکال فی أنّ ذات الشرط خارج عن المأمور به وإن کان التقیّد به داخلًا، کما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جزء وقید خارجی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وذلک نظیر المعجون الذی ترکّب من أجزاء مختلفة وکان حصول الترکیب التامّ فیه متوقّفاً علی أن یکون مائعاً حین عجنه، فإنّ مثل هذا الشرط خارج بذاته عن المعجون، ولکن التقیّد به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استعماله مع تلک الشرائط یوجب عروض حالة وکیفیّة به، والداخل فی المعجون إنّما هو هذه الکیفیّة لا ذات الشرائط، وهکذا الشرائط الشرعیّة فی المخترعات الشرعیّة فانّ الوضوء مثلًا یوجب عروض وصف علی المأمور به کوقوع الصلاة حال الطهارة الحاصلة منه، ویکون هذا الوصف داخلًا فی المأمور به لا ذات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الشرائط إن لوحظت بذواتها فانّها تعدّ من المقدّمات الخارجیّة، وإن لوحظ تقیّد المأمور به واتّصافه بها تکون من المقدّمات الداخلیّة</w:t>
      </w:r>
      <w:r>
        <w:rPr>
          <w:rFonts w:eastAsia="IRNazanin" w:cs="IRNazanin"/>
          <w:color w:val="111111"/>
          <w:sz w:val="28"/>
          <w:szCs w:val="28"/>
          <w:rtl w:val="true"/>
          <w:lang w:bidi="fa-IR"/>
        </w:rPr>
        <w:t>.</w:t>
      </w:r>
    </w:p>
    <w:p>
      <w:pPr>
        <w:pStyle w:val="Heading6"/>
        <w:numPr>
          <w:ilvl w:val="5"/>
          <w:numId w:val="1"/>
        </w:numPr>
        <w:rPr/>
      </w:pPr>
      <w:bookmarkStart w:id="158" w:name="__RefHeading___Toc141697_3244359995"/>
      <w:bookmarkStart w:id="159" w:name="_Toc62"/>
      <w:bookmarkEnd w:id="158"/>
      <w:r>
        <w:rPr/>
        <w:t>2</w:t>
      </w:r>
      <w:r>
        <w:rPr>
          <w:rtl w:val="true"/>
        </w:rPr>
        <w:t xml:space="preserve">. </w:t>
      </w:r>
      <w:r>
        <w:rPr>
          <w:rtl w:val="true"/>
        </w:rPr>
        <w:t>المقدّمة العقلیّة والشرعیّة والعادیة</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العقلیّة مثل العلّة بالنسبة إلی المعلول، والشرعیّة مثل الوضوء بالنسبة إلی الصلاة، والعادیة کنصب السلّم للکون علی السطح أو حفر البئر للوصول إلی</w:t>
      </w:r>
      <w:bookmarkStart w:id="160" w:name="pg16922_187583"/>
    </w:p>
    <w:p>
      <w:pPr>
        <w:pStyle w:val="BookText"/>
        <w:rPr/>
      </w:pPr>
      <w:bookmarkEnd w:id="160"/>
      <w:r>
        <w:rPr>
          <w:rFonts w:ascii="IRNazanin" w:hAnsi="IRNazanin" w:eastAsia="IRNazanin"/>
          <w:color w:val="111111"/>
          <w:sz w:val="28"/>
          <w:sz w:val="28"/>
          <w:szCs w:val="28"/>
          <w:rtl w:val="true"/>
          <w:lang w:bidi="fa-IR"/>
        </w:rPr>
        <w:t>الماء، والمهمّ فی هذا التقسیم هو أن نعلم أنّ جمیعها داخلة فی محلّ النزاع أم لا؟</w:t>
      </w:r>
    </w:p>
    <w:p>
      <w:pPr>
        <w:pStyle w:val="BookText"/>
        <w:rPr/>
      </w:pPr>
      <w:r>
        <w:rPr>
          <w:rFonts w:ascii="IRNazanin" w:hAnsi="IRNazanin" w:eastAsia="IRNazanin"/>
          <w:color w:val="111111"/>
          <w:sz w:val="28"/>
          <w:sz w:val="28"/>
          <w:szCs w:val="28"/>
          <w:rtl w:val="true"/>
          <w:lang w:bidi="fa-IR"/>
        </w:rPr>
        <w:t>وأنّه هل یکون لتوقّف ذی المقدّمة علی المقدّمة فی جمیع هذه الثلاثة معنی واحد، أو یکون له فی کلّ واحدة منها معنی علی حدة؟</w:t>
      </w:r>
    </w:p>
    <w:p>
      <w:pPr>
        <w:pStyle w:val="BookText"/>
        <w:rPr/>
      </w:pPr>
      <w:r>
        <w:rPr>
          <w:rFonts w:ascii="IRNazanin" w:hAnsi="IRNazanin" w:eastAsia="IRNazanin"/>
          <w:color w:val="111111"/>
          <w:sz w:val="28"/>
          <w:sz w:val="28"/>
          <w:szCs w:val="28"/>
          <w:rtl w:val="true"/>
          <w:lang w:bidi="fa-IR"/>
        </w:rPr>
        <w:t>والصحیح أنّ للتوقّف مفهوماً واحداً إلّاأنّ الکاشف عنه تارةً یکون هو العقل واخری الشرع وثالثة العادة، کما أنّ الصحیح دخول جمیعها فی محلّ النزاع، وذلک لأنّ المقدّمة الشرعیّة والعادیة ترجعان فی الواقع إلی المقدّمة العقلیّة، والتفاوت بینهما أنّ الشرعیّة کشف عنها الشارع، والعادیة یکون ممّا لابدّ منها بحسب العادة فهی من هذه الجهة عقلیّة</w:t>
      </w:r>
      <w:r>
        <w:rPr>
          <w:rFonts w:eastAsia="IRNazanin" w:cs="IRNazanin"/>
          <w:color w:val="111111"/>
          <w:sz w:val="28"/>
          <w:szCs w:val="28"/>
          <w:rtl w:val="true"/>
          <w:lang w:bidi="fa-IR"/>
        </w:rPr>
        <w:t>.</w:t>
      </w:r>
    </w:p>
    <w:p>
      <w:pPr>
        <w:pStyle w:val="Heading6"/>
        <w:numPr>
          <w:ilvl w:val="5"/>
          <w:numId w:val="1"/>
        </w:numPr>
        <w:rPr/>
      </w:pPr>
      <w:bookmarkStart w:id="161" w:name="__RefHeading___Toc141699_3244359995"/>
      <w:bookmarkStart w:id="162" w:name="_Toc63"/>
      <w:bookmarkEnd w:id="161"/>
      <w:r>
        <w:rPr/>
        <w:t>3</w:t>
      </w:r>
      <w:r>
        <w:rPr>
          <w:rtl w:val="true"/>
        </w:rPr>
        <w:t xml:space="preserve">. </w:t>
      </w:r>
      <w:r>
        <w:rPr>
          <w:rtl w:val="true"/>
        </w:rPr>
        <w:t>مقدّمة الوجود ومقدّمةالصحّة ومقدّمة الوجوب ومقدّمة العلم</w:t>
      </w:r>
      <w:bookmarkEnd w:id="162"/>
    </w:p>
    <w:p>
      <w:pPr>
        <w:pStyle w:val="BookText"/>
        <w:rPr/>
      </w:pPr>
      <w:r>
        <w:rPr>
          <w:rFonts w:ascii="IRNazanin" w:hAnsi="IRNazanin" w:eastAsia="IRNazanin"/>
          <w:color w:val="111111"/>
          <w:sz w:val="28"/>
          <w:sz w:val="28"/>
          <w:szCs w:val="28"/>
          <w:rtl w:val="true"/>
          <w:lang w:bidi="fa-IR"/>
        </w:rPr>
        <w:t>وتعریف کلّ واحد منها واضح وکذلک مثاله الشرعی أو العرفی، إنّما الکلام فی دخول کلّ منها فی محلّ النزاع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مقدّمة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القدر المتیقّن منها، حیث إنّ أصل النزاع فی مقدّمة الواجب إنّما هو فیما یتوقّف علی وجوده وجود ذی المقدّمة، فکیف لا تکون مقدّمة الوجود داخلة فیه؟</w:t>
      </w:r>
    </w:p>
    <w:p>
      <w:pPr>
        <w:pStyle w:val="BookText"/>
        <w:rPr/>
      </w:pPr>
      <w:r>
        <w:rPr>
          <w:rFonts w:ascii="IRNazanin" w:hAnsi="IRNazanin" w:eastAsia="IRNazanin"/>
          <w:color w:val="111111"/>
          <w:sz w:val="28"/>
          <w:sz w:val="28"/>
          <w:szCs w:val="28"/>
          <w:rtl w:val="true"/>
          <w:lang w:bidi="fa-IR"/>
        </w:rPr>
        <w:t>وأمّا مقدّمة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داخلة فی محلّ النزاع أیضاً؛ لرجوعها إلی مقدّمة الوجود حتّی علی القول بالأعمّ، لأنّ الواجب والمأمور به بأمر المولی إنّما هو الصحیح من العمل ولا إشکال فی توقّفه علی مقدّمة الصحّة وإن لم یتوقّف المسمّی علیها، بناء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مقدّمة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خروجها عن محل النزاع، إذ قبل تحقّق مقدّمة الوجوب لا وجوب للواجب حتّی یقع البحث فی ترشّح الوجوب منه إلی مقدّماته، وبعد تحقّقها لا معنی لترشّح الوجوب من الواجب إلیها لأنّه تحصیل للحاصل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مقدّمة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وجوبها لیس من باب الملازمة وترشّح الأمر</w:t>
      </w:r>
      <w:bookmarkStart w:id="163" w:name="pg16922_187584"/>
    </w:p>
    <w:p>
      <w:pPr>
        <w:pStyle w:val="BookText"/>
        <w:rPr/>
      </w:pPr>
      <w:bookmarkEnd w:id="163"/>
      <w:r>
        <w:rPr>
          <w:rFonts w:ascii="IRNazanin" w:hAnsi="IRNazanin" w:eastAsia="IRNazanin"/>
          <w:color w:val="111111"/>
          <w:sz w:val="28"/>
          <w:sz w:val="28"/>
          <w:szCs w:val="28"/>
          <w:rtl w:val="true"/>
          <w:lang w:bidi="fa-IR"/>
        </w:rPr>
        <w:t>الغیری من ذی المقدّمة إلی المقدّمة، وذلک لعدم توقّف وجود الواجب علیها کی یستقلّ العقل بالملازمة بین وجوب الشی‌ء ووجوب ما یتوقّف علیه وجوده، بل المتوقّف علیها هو العلم بحصول الواجب، وذلک لإمکان حصول الواجب بدونها، کما إذا غسل یده فی الوضوء ولم یغسل شیئاً ممّا فوق المرفق وصادف المقدار الواجب، أو صلّی إلی إحدی الجهات وصادف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وجوبها کان من باب استقلال العقل به تحصیلًا للأمن من العقوبة لا من باب الملازمة یظهر خروجها عن محلّ النزاع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الظاهر أنّها داخلة فی محلّ النزاع وذلک لرجوعها أیضاً إلی مقدّمة الوجود، فإنّ المکلّف فی المثال المزبور لا یکون قادراً علی إتیان الواجب وإیجاده فی الخارج إلّابإتیان جمیع أطراف العلم الإجمالی، فإنّ المکلّف بالصلاة فی المثال المزبور لا یکون قادراً علی إتیانها إلّابإیجادها إلی الجهات الأربع، ویکون إتیان الصلاة إلی جمیع هذه الجهات مقدّمة للإتیان بالصلاة المأمور بها فی الخارج، وکذلک فی الوضوء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تصادف الصلاة الاولی للقبلة ولکن هذا أمر خارج عن اختیار المکلّف لا یتعلّق به التکلیف، ولذا لا یمکن للمولی أمره بخصوص ما یصادف فی أوّل مرّة، فلا یمکن تکلیف العبد بتحصیل المأمور به إلّامن طریق أربع صلوات، أو من طریق غسل شی‌ء ممّا فوق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مآل المقدّمة العلمیة إلی مقدّمة الوجود، أی أنّها تعدّ مقدّمة العلم بلحاظ ومقدّمة الوجود بلحاظ آخر، فتکون حینئذٍ داخلة فی محلّ النزاع</w:t>
      </w:r>
      <w:r>
        <w:rPr>
          <w:rFonts w:eastAsia="IRNazanin" w:cs="IRNazanin"/>
          <w:color w:val="111111"/>
          <w:sz w:val="28"/>
          <w:szCs w:val="28"/>
          <w:rtl w:val="true"/>
          <w:lang w:bidi="fa-IR"/>
        </w:rPr>
        <w:t>.</w:t>
      </w:r>
    </w:p>
    <w:p>
      <w:pPr>
        <w:pStyle w:val="Heading6"/>
        <w:numPr>
          <w:ilvl w:val="5"/>
          <w:numId w:val="1"/>
        </w:numPr>
        <w:rPr/>
      </w:pPr>
      <w:bookmarkStart w:id="164" w:name="__RefHeading___Toc141701_3244359995"/>
      <w:bookmarkStart w:id="165" w:name="_Toc64"/>
      <w:bookmarkEnd w:id="164"/>
      <w:r>
        <w:rPr/>
        <w:t>4</w:t>
      </w:r>
      <w:r>
        <w:rPr>
          <w:rtl w:val="true"/>
        </w:rPr>
        <w:t xml:space="preserve">. </w:t>
      </w:r>
      <w:r>
        <w:rPr>
          <w:rtl w:val="true"/>
        </w:rPr>
        <w:t>الشرط المتقدّم والمقارن والمتأخّر</w:t>
      </w:r>
      <w:bookmarkEnd w:id="1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المتقدّم نظیر عقد الوصیّة بالنسبة إلی ملک الموصی له، والمقارن نظیر</w:t>
      </w:r>
    </w:p>
    <w:p>
      <w:pPr>
        <w:pStyle w:val="BookText"/>
        <w:rPr/>
      </w:pPr>
      <w:r>
        <w:rPr>
          <w:rFonts w:ascii="IRNazanin" w:hAnsi="IRNazanin" w:eastAsia="IRNazanin"/>
          <w:color w:val="111111"/>
          <w:sz w:val="28"/>
          <w:sz w:val="28"/>
          <w:szCs w:val="28"/>
          <w:rtl w:val="true"/>
          <w:lang w:bidi="fa-IR"/>
        </w:rPr>
        <w:t>القبلة والطهارة بالنسبة إلی الصلاة، والمتأخّر کالأغسال اللیلیّة بالنسبة إلی صحّة صیام المستحاضة فی الیوم الماضی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فی المتأخّر والمتقدّم بأنّ العلّة التامّة یجب عقلًا أن تکون مقارنة للمعلول زماناً وإن کانت متقدّمة علیه رتبة، إذ لا یعقل التفکیک بینهما فی الزمان، هذا من جانب، ومن جانب آخر إنّا نشاهد أمثلة لهما فی الشرع کالأمثلة المزبورة، کما نشاهدها فی العرفیّات نظیر ما إذا أمر المولی عبده باستقبال زید وإعداد مقدّمات الاستقبال قبل قدومه من السفر، فقدوم زید فی المستقبل شرط لوجوب الاستقبال وتهیئة مقدّماته فی الحال، إذن لابدّ لدفع الإشکال من وجدان طریق لحلّ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مقامنا هذا یکون من موارد الخلط بین الامور التکوینیّة والاعتباریّة، فإنّ الأحکام الشرعیّة امور اعتباریّة لا واقع لها إلّااعتبار الشارع، وقضیّة استحالة التفکیک بین العلّة والمعلول تختصّ بالتکوینیّات، وأمّا الاعتباریّات فأمر وضعها ورفعها وجعل الشرائط فیها مقارنة أو متأخّرة أو متقدّمة إنّما هو بید الشارع المعتبر، فإنّ الشارع کما یمکن له اعتبار شرط مقارن للواجب یمکن له اعتبار شرط متقدّم علیه أو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للشرائط الشرعیّة دخلًا فی تحقّق المصالح المترتّبة علی الواجبات، ولا إشکال فی أنّها مصالح واقعیّة تکوینیّة، إذن کیف یمکن أن یؤثّر شرط اعتباری متأخّر فی مصلحة تکوینیّة متقدّمة؟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المصالح التکوینیّة المترتّبة علی الواجبات الشرعیّة الاعتباریّة إنّما تتحقّق فی الخارج بعد تحقّق الواجب الاعتباری بجمیع أجزائه وشرائطه المقارنة والمتأخّرة والمتقدّمة، فمصلحة صیام المستحاضة مثلًا تتحقّق فی الخارج بعد تحقّق الصیام بجمیع شرائطه ومنها الغسل اللیلی المتأخّر ولم یدّع أحد تحقّق المصلحة بمجرّد تحقّق الشرط المتقدّم أو المتأخّر فحسب، حتّی یلزم التفکیک بین العلّة والمعلول</w:t>
      </w:r>
      <w:r>
        <w:rPr>
          <w:rFonts w:eastAsia="IRNazanin" w:cs="IRNazanin"/>
          <w:color w:val="111111"/>
          <w:sz w:val="28"/>
          <w:szCs w:val="28"/>
          <w:rtl w:val="true"/>
          <w:lang w:bidi="fa-IR"/>
        </w:rPr>
        <w:t>.</w:t>
      </w:r>
      <w:bookmarkStart w:id="166" w:name="pg16922_187586"/>
    </w:p>
    <w:p>
      <w:pPr>
        <w:pStyle w:val="BookText"/>
        <w:rPr/>
      </w:pPr>
      <w:bookmarkEnd w:id="166"/>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العبادات الشرعیّة تعبّر عن نهایة الخضوع للشارع المقدّس، وکما أنّ الاحترامات العرفیّة کالقیام عند ورود الوالدین أو الاستاذ أو المولی إذا اشترطت بشروط متأخّرة، تنتزع منها عناوینها الخاصة وتترتّب علیها مصالحها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تحقّقت تلک الشروط فی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العبادات الشرعیّة حیث ینتزع منها هذا العنوان وتترتّب علیها مصالحها الخاصّة بعد تحقّق جمیع الأجزاء والشرائط، فقبل تحقّق الشرط المتأخّر لا تتحقّق مصلحة حتّی یستلزم انخرام قاعدة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إمکان الشرط المتأخّر أو المتقدّم عقلًا فی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جمیع الشروط المذکورة فی هذا التقسیم إنّما هی داخلة فی محلّ النزاع فیما إذا کانت شروطاً للمکلّف به لا التکلیف کما لا یخفی فیحکم بوجوبها بناءً علی وجوب المقدّمة</w:t>
      </w:r>
      <w:r>
        <w:rPr>
          <w:rFonts w:eastAsia="IRNazanin" w:cs="IRNazanin"/>
          <w:color w:val="111111"/>
          <w:sz w:val="28"/>
          <w:szCs w:val="28"/>
          <w:rtl w:val="true"/>
          <w:lang w:bidi="fa-IR"/>
        </w:rPr>
        <w:t>.</w:t>
      </w:r>
    </w:p>
    <w:p>
      <w:pPr>
        <w:pStyle w:val="Heading5"/>
        <w:numPr>
          <w:ilvl w:val="4"/>
          <w:numId w:val="1"/>
        </w:numPr>
        <w:rPr/>
      </w:pPr>
      <w:bookmarkStart w:id="167" w:name="__RefHeading___Toc141703_3244359995"/>
      <w:bookmarkStart w:id="168" w:name="_Toc65"/>
      <w:bookmarkEnd w:id="167"/>
      <w:r>
        <w:rPr>
          <w:rtl w:val="true"/>
        </w:rPr>
        <w:t>الأمر الثالث</w:t>
      </w:r>
      <w:r>
        <w:rPr>
          <w:rtl w:val="true"/>
        </w:rPr>
        <w:t xml:space="preserve">: </w:t>
      </w:r>
      <w:r>
        <w:rPr>
          <w:rtl w:val="true"/>
        </w:rPr>
        <w:t>ثمرة القول بوجوب المقدّمة</w:t>
      </w:r>
      <w:bookmarkEnd w:id="168"/>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بأنّ المسألة اصولیّة وأنّ البحث فیها فی ثبوت الملازمة بین وجوب المقدّمة ووجوب ذیها وعدمها لا إشکال فی أنّ الثمرة هی ثبوت الملازمة بین وجوب کلّ واجب ووجوب مقدّماته، وهی ثمرة لمسألة اصولیّة تقع کبری قیاس استنباط الأحکام الفرعیّة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ثابتة بین وجوب المقدّمة ووجوب ذیها، والصلاة واجبة فتجب جمیع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بوجوب المقدّمة لا یجوز أخذ الاجرة علی المقدّمة لحرمة أخذ الاجرة علی الواجبات، بخلاف ما إذ لم نقل بوجوبها فیجوز أخذها علیها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ثمرة اصولیّة، فإنّ جواز أخذ الاجرة علی المقدّمة أو عدمه حکم جزئی یستنبط من کبری فقهیّة، وهی عدم جواز أخذ الاجرة علی الواجبات</w:t>
      </w:r>
      <w:r>
        <w:rPr>
          <w:rFonts w:eastAsia="IRNazanin" w:cs="IRNazanin"/>
          <w:color w:val="111111"/>
          <w:sz w:val="28"/>
          <w:szCs w:val="28"/>
          <w:rtl w:val="true"/>
          <w:lang w:bidi="fa-IR"/>
        </w:rPr>
        <w:t>.</w:t>
      </w:r>
      <w:bookmarkStart w:id="169" w:name="pg16922_187587"/>
    </w:p>
    <w:p>
      <w:pPr>
        <w:pStyle w:val="BookText"/>
        <w:rPr/>
      </w:pPr>
      <w:bookmarkEnd w:id="169"/>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الأمر والنهی فی المقدّمات المحرّمة بناءً علی وجوب المقدّمة، فعدم جواز إتیان المقدّمة حینئذٍ متوقّف علی القول بامتناع الاجتماع وترجیح جانب الحرمة بخلاف ما إذا قلنا بعدم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ثمرة لمسألة اصولیة، لأنّ البحث عن أنّ المقدّمة هل هی مجمع لعنوانی الأمر والنهی أو لا، بحث عن موضوع لمسألة اصولیة، فهو من مبادئ مسائل علم الاصول لا من نفسها ولا من المسائل الفقهیّة؟</w:t>
      </w:r>
    </w:p>
    <w:p>
      <w:pPr>
        <w:pStyle w:val="BookText"/>
        <w:rPr/>
      </w:pPr>
      <w:r>
        <w:rPr>
          <w:rFonts w:ascii="IRNazanin" w:hAnsi="IRNazanin" w:eastAsia="IRNazanin"/>
          <w:color w:val="111111"/>
          <w:sz w:val="28"/>
          <w:sz w:val="28"/>
          <w:szCs w:val="28"/>
          <w:rtl w:val="true"/>
          <w:lang w:bidi="fa-IR"/>
        </w:rPr>
        <w:t>وقد اورد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ومسألة اجتماع الأمر والنهی مختلفان موضوعاً، فإنّ موضوع مسألة الاجتماع هو ما له جهتان تقییدیتان یتعلّق الأمر بإحداهما والنهی بالاخری، وهذا بخلاف مقدّمة الواجب فإنّ عنوان المقدّمیة لیس من الجهات التقییدیّة بل التعلیلیّة، لأنّ معروض الوجوب المقدّمی هو ذات المقدّمة، والمقدّمیة علّة لعروض الوجوب علی الذات، وعلیه فلا یتصوّر فی المقدّمة جهتان تقییدیتان حتّی یتعلّق الأمر بإحداهما والنهی بالاخری، نعم أنّها تندرج فی مسألة النهی عن العبادة إن کانت المقدّمة عبادة، وفی مسألة النهی عن المعاملة إن کانت معاملة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الحیثیّات التعلیلیّة فی الأحکام العقلیّة ترجع فی الواقع إلی الحیثیّات التقییدیّة، فإذا حکم العقل بوجوب المقدّمة شرعاً لأنّها مقدّمة کان الواجب حینئذ هو عنوان المقدّمة لا ذاتها بدون عنوان المقدّمیة</w:t>
      </w:r>
      <w:r>
        <w:rPr>
          <w:rFonts w:eastAsia="IRNazanin" w:cs="IRNazanin"/>
          <w:color w:val="111111"/>
          <w:sz w:val="28"/>
          <w:szCs w:val="28"/>
          <w:rtl w:val="true"/>
          <w:lang w:bidi="fa-IR"/>
        </w:rPr>
        <w:t>.</w:t>
      </w:r>
    </w:p>
    <w:p>
      <w:pPr>
        <w:pStyle w:val="Heading5"/>
        <w:numPr>
          <w:ilvl w:val="4"/>
          <w:numId w:val="1"/>
        </w:numPr>
        <w:rPr/>
      </w:pPr>
      <w:bookmarkStart w:id="170" w:name="__RefHeading___Toc141705_3244359995"/>
      <w:bookmarkStart w:id="171" w:name="_Toc66"/>
      <w:bookmarkEnd w:id="170"/>
      <w:r>
        <w:rPr>
          <w:rtl w:val="true"/>
        </w:rPr>
        <w:t>الأمر الرابع</w:t>
      </w:r>
      <w:r>
        <w:rPr>
          <w:rtl w:val="true"/>
        </w:rPr>
        <w:t xml:space="preserve">: </w:t>
      </w:r>
      <w:r>
        <w:rPr>
          <w:rtl w:val="true"/>
        </w:rPr>
        <w:t>تأسیس الأصل فی المسألة</w:t>
      </w:r>
      <w:bookmarkEnd w:id="171"/>
    </w:p>
    <w:p>
      <w:pPr>
        <w:pStyle w:val="BookText"/>
        <w:rPr/>
      </w:pPr>
      <w:r>
        <w:rPr>
          <w:rFonts w:ascii="IRNazanin" w:hAnsi="IRNazanin" w:eastAsia="IRNazanin"/>
          <w:color w:val="111111"/>
          <w:sz w:val="28"/>
          <w:sz w:val="28"/>
          <w:szCs w:val="28"/>
          <w:rtl w:val="true"/>
          <w:lang w:bidi="fa-IR"/>
        </w:rPr>
        <w:t>وفائدة هذا البحث هو تعیین من یجب علیه إقامة الدلیل ویکون قوله مخالفاً للأصل فی المقام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لا معنی للأصل العملی فیما نحن فیه إذا کانت المسألة اصولیّة، أی کان المبحوث عنه فیها وجود الملازمة بین وجوب المقدّمة شرعاً ووجوب ذیها،</w:t>
      </w:r>
    </w:p>
    <w:p>
      <w:pPr>
        <w:pStyle w:val="BookText"/>
        <w:rPr/>
      </w:pPr>
      <w:r>
        <w:rPr>
          <w:rFonts w:ascii="IRNazanin" w:hAnsi="IRNazanin" w:eastAsia="IRNazanin"/>
          <w:color w:val="111111"/>
          <w:sz w:val="28"/>
          <w:sz w:val="28"/>
          <w:szCs w:val="28"/>
          <w:rtl w:val="true"/>
          <w:lang w:bidi="fa-IR"/>
        </w:rPr>
        <w:t>وذلک لأنّ الملازمة ممّا لیست لها حالة سابقة عدمیّة کی تستصحب إلّاعلی القول باستصحاب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 المسألة فقهیّة أی کون النزاع فی وجوب المقدّمة وعدمه، فمقتضی الاستصحاب عدم وجوبها، لأنّ وجوب المقدّمة شرعاً لو قیل به أمر حادث مسبوق بالعدم، فإذا شکّ فیه 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الاستصحاب وإن کان تامّاً إلّاأنّه لا أثر له بعد استقلال العقل بلزوم الإتیان بها لأجل لابدّیة الإتیان بها علی کلّ تقدیر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المفروض فی المقام حصول الشکّ فی وجوب المقدّمة بعد أن کان جعله معقولًا وعدم کونه لغواً، فإذا فرضنا أنّ إیجاب المقدّمة شرعاً لا یکون لغواً مع وجود اللابدّیة العقلیّة وفرضنا حصول الشکّ فی إیجابها، فلا إشکال فی جواز استصحاب عدمه؛ لأنّ الوجوب بنفسه أثر شرعی ولیس المستصحب موضوعاً حتّی یحتاج إلی أثر شرعی یترتّب علیه، هذا بالنسبة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فقد یقال بعدم جریانها بکلا 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العقلیّة فلأنّها واردة لنفی المؤاخذة والعقاب، والمفروض أنّه لا عقاب علی ترک المقدّمة وإن قلنا بوجوبها، والعقاب إنّما هو علی 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الشرعیّة فبما أنّها وردت مورد الامتنان فیختصّ موردها بما إذا کانت فیه کلفة علی المکلّف لیکون فی رفعها بها امتناناً، والمفروض أنّه لا کلفة فی وجوب المقدّمة حیث لا عقاب علی ترکها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عنه بالنسبة إلی البراءة الشرعیّة بأنّ دلیلها لا ینحصر فی حدیث الرفع حتّی یحتاج فی جریانها إلی صدق الامتنان، بل هناک وجوه اخری تدلّ علیها کما تأتی فی محلّها</w:t>
      </w:r>
      <w:r>
        <w:rPr>
          <w:rFonts w:eastAsia="IRNazanin" w:cs="IRNazanin"/>
          <w:color w:val="111111"/>
          <w:sz w:val="28"/>
          <w:szCs w:val="28"/>
          <w:rtl w:val="true"/>
          <w:lang w:bidi="fa-IR"/>
        </w:rPr>
        <w:t>.</w:t>
      </w:r>
      <w:bookmarkStart w:id="172" w:name="pg16922_187589"/>
    </w:p>
    <w:p>
      <w:pPr>
        <w:pStyle w:val="Heading5"/>
        <w:numPr>
          <w:ilvl w:val="4"/>
          <w:numId w:val="1"/>
        </w:numPr>
        <w:rPr/>
      </w:pPr>
      <w:bookmarkStart w:id="173" w:name="__RefHeading___Toc141707_3244359995"/>
      <w:bookmarkStart w:id="174" w:name="_Toc67"/>
      <w:bookmarkEnd w:id="172"/>
      <w:bookmarkEnd w:id="173"/>
      <w:r>
        <w:rPr>
          <w:rtl w:val="true"/>
        </w:rPr>
        <w:t>الأمر الخامس</w:t>
      </w:r>
      <w:r>
        <w:rPr>
          <w:rtl w:val="true"/>
        </w:rPr>
        <w:t xml:space="preserve">: </w:t>
      </w:r>
      <w:r>
        <w:rPr>
          <w:rtl w:val="true"/>
        </w:rPr>
        <w:t>أدلّة القائلین بوجوب المقدّمة</w:t>
      </w:r>
      <w:bookmarkEnd w:id="174"/>
    </w:p>
    <w:p>
      <w:pPr>
        <w:pStyle w:val="BookText"/>
        <w:rPr/>
      </w:pPr>
      <w:r>
        <w:rPr>
          <w:rFonts w:ascii="IRNazanin" w:hAnsi="IRNazanin" w:eastAsia="IRNazanin"/>
          <w:color w:val="111111"/>
          <w:sz w:val="28"/>
          <w:sz w:val="28"/>
          <w:szCs w:val="28"/>
          <w:rtl w:val="true"/>
          <w:lang w:bidi="fa-IR"/>
        </w:rPr>
        <w:t>ذهب المشهور إلی القول بوجوب المقدّمة واستدلّوا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تخلّف إرادة المقدّمة عند إرادة ذیها بعد الإلتفات إلی کون الشی‌ء مقدّمة وأنّه لا یمکن التوصّل إلی المطلوب إلّابها، ویظهر ذلک بقیاس إرادة الآمر بإرادة الفاعل، فهل تری أنّک لو أردت شیئاً وکان ذلک الشی‌ء یتوقّف علی مقدّمات یمکنک أن لا ترید تلک المقدّمات؟ لا، بل لابدّ من أن تتولّد إرادة المقدّمات من إرادة ذلک الشی‌ء قهراً علیک، بحیث لا یمکنک أن لا تریدها بعد الإلتفات إلی المقدّمات، وإلّا یلزم أن لا ترید ذا المقدّمة، وهذا واضح وجداناً، وإرادة الآمر حالها حال إرادة الفاعل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لم یقم علی التطابق بین التشریع والتکوین من جمیع الجهات، لو لم نقل بقیامه علی خلافه، وتوضیح الفرق أنّ تعلّق الإرادة بالمقدّمات من الفاعل الذی أراد الوصول إلی شی‌ء أنّه یری أنّ الوصول إلی الغایة المطلوبة لا یحصل إلّابإیجاد مقدّماته، فلا محالة یریده مستقلًاّ بعد تمامیّة مقدّماتها، وأمّا الآمر غیر المباشر فالذی یلزم علیه هو البعث نحو المطلوب وإظهار ما تعلّقت به إرادته ببیان وافٍ، بحیث یمکن الاحتجاج به علی العبد، ویقف العبد به علی مراده حتّی یمتثله، وأمّا إرادة المقدّمات فلا موجب له بعد حکم العقل بلزوم إتیانها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فرق بین المباشر والآمر فإنّه لا مناص فی الأوّل عن تعدّد الإرادة، لأنّ المفروض إنّه المباشر للأعمال برمّتها فلا محالة تتعلّق الإرادة بکلّ ما یوجده بنفسه، وأمّا الآمر فیکفی فی حصول غرضه بیان ما هو الموضوع لأمره وبعثه، بأن یأمر به ویبعث نحوه، والمفروض أنّ مقدّمات المطلوب غیر خفی علی المأمور، وعقله یرشد إلی لزوم إتیانها، فحینئذٍ لأیّ ملاک تنقدح إرادة اخری متعلّقة</w:t>
      </w:r>
    </w:p>
    <w:p>
      <w:pPr>
        <w:pStyle w:val="BookText"/>
        <w:rPr/>
      </w:pPr>
      <w:r>
        <w:rPr>
          <w:rFonts w:ascii="IRNazanin" w:hAnsi="IRNazanin" w:eastAsia="IRNazanin"/>
          <w:color w:val="111111"/>
          <w:sz w:val="28"/>
          <w:sz w:val="28"/>
          <w:szCs w:val="28"/>
          <w:rtl w:val="true"/>
          <w:lang w:bidi="fa-IR"/>
        </w:rPr>
        <w:t>بالمقدّمات؟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ترشّح إرادة من إرادة اخری بمعنی کون إرادة الواجب علّة فاعلیّة لإرادتها من غیر حاجة إلی مبادئ اخر کالتصوّر والتصدیق بالفائدة ممّا لا أصل له، لأنّ الحاکم بوجوب المقدّمة علی الفرض هو الشارع الفاعل المرید المختار، وأنّ سبب الوجوب إنّما هو نفس المولی وإرادته، فتوقّف ذی المقدّمة علی المقدّمة یکون حینئذٍ داعیاً لایجابه المقدّمة، لا أن یکون سبباً بنفسه لوجوبها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الجواب عن الإشکال بکلا 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یمکن أن یقال بأنّ المراد من الترشّح إنّما هو أنّ المولی الحکیم یرید المقدّمات عند إرادة ذیها لا محالة، أی إذا تعلّقت الإرادة بذی المقدّمة تعلّقت بمقدّماتها أیضاً، غایة الأمر أنّها إرادة غیریّة تبعیّة، مع کونها فی نفس الوقت مولویّة لا إرشادیّة، فلیس المقصود من الترشّح التولّد القهری غیر الإرادی حتّی یقال بأنّه لا أصل له، بل المراد منه التلازم بین الإرادتین، بمعنی أنّ المولی الحکیم إذا التفت إلی توقّف ذی المقدّمة علی مقدّماتها یتولّد فی نفسه مبدء إرادتها بمقتضی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الکلام فی الإرادة وتولّدها فی نفس المولی بل الکلام فی جعل قانون واعتبار حکم علی المقدّمة، والإرادة لا تکفی فیه، بل یکون جعل الحکم لغواً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حکم العقل فی مورد لا یوجب لغویة حکم الشارع فی ذلک المورد، کما نلاحظه فی حکم الشارع بوجوب الإحسان أو استحبابه وحرمة الظلم ونحوهما، ولذلک قیل ونعم 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الواجبات الشرعیّة ألطاف فی الواجبات العقلیّة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فی موارد حکم العقل یکون تأکیداً لحکم</w:t>
      </w:r>
    </w:p>
    <w:p>
      <w:pPr>
        <w:pStyle w:val="BookText"/>
        <w:rPr/>
      </w:pPr>
      <w:r>
        <w:rPr>
          <w:rFonts w:ascii="IRNazanin" w:hAnsi="IRNazanin" w:eastAsia="IRNazanin"/>
          <w:color w:val="111111"/>
          <w:sz w:val="28"/>
          <w:sz w:val="28"/>
          <w:szCs w:val="28"/>
          <w:rtl w:val="true"/>
          <w:lang w:bidi="fa-IR"/>
        </w:rPr>
        <w:t>العقل ولا لغویة فی التأکید،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وجوب المقدّمة إلی جعل واعتبار فعلی من طریق الخطابات الأصلیّة، بل یمکن کشف حکم الشارع من ناحیة کشف الإرادة، أی من ناحیة کشف مبادئ الحکم ووجود ملاکه فإنّه یساوق الحکم نفسه، کما سیأتی بناءً علی قول المنکرین للترتّب من أنّ تزاحم المهمّ مع الأمر بالأهمّ یوجب عدم فعلیّة الأمر بالمهم، ولکنّه مع ذلک لا یوجب بطلان المهمّ العبادی بعد ترک الأهمّ لوجود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إشکال فی أنّ الفعل التسبیبی أیضاً یعدّ فعلًا للمولی کالفعل المباشری ویستند إلی المولی، وإذن کیف یمکن أن یتسامح الفاعل فی مقدّمات فعله، فإن أراد المولی صعود العبد إلی السطح جدّاً فلا محالة یرید نصب السلّم وغیره من المقدّمات أیضاً، نعم قد یکون وضوح الإتیان بالمقدّمات بحیث لا یحتاج المولی إلی مزید بیان، ولکن لا بمعنی أنّه لا یریدها بل بمعنی وضوح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الوجه الأوّل، وقد ظهر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أقوی شاهد علی أنّ المولی إذا أراد شیئاً له مقدّمات، أراد تلک المقدّمات لو التفت إلیها بحیث ربّما یجعلها فی قالب الطلب، ویقول مولویاً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بداهة أنّ الطلب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بعثاً مولویاً، فحیث تعلّقت إرادته بشراء اللحم ترشّحت منها له إرادة اخری بدخول عبده السوق بعد الإلتفات إلیه وأنّه یکون مقدّمة له کما لا یخفی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تامّ أیضاً ولا یرد علیه الإشکال بلزوم اللغویّة، لما مرّ من أنّ الأوامر الشرعیّة کثیراً ما تکون تأکیداً للواجبات العقلیّة وأنّ عدم الحاجة إلی البیان فی بعض الموارد ووضوحه لا یکون دلیلًا علی عدم إرادة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لسان الشارع من الأوامر الغیریّة الّتی تعلّقت ببعض المقدّمات فإنّها صدرت من جانب الشارع، إمّا لوجوب خصوصیّة فی تلک المقدّمات غیر کونها مقدّمة، أو من باب أنّها مقدّمة لبعض الواجبات، والأوّل ممنوع بالاتفاق، فلا إشکال فی أنّ وجوبها إنّما هو بملاک المقدّمیة، فنتعدّی منها إلی سائر المقدّمات من باب تنقیح 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الأوامر، قوله تعالی فی باب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باب التیمّم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باب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آیة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باب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الأوامر الغیریة الواردة فی الکتاب الکریم، ففی جمیع ذلک وأشباهها أمر اللَّه تعالی بالواجبات الغیریة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توهّم بعض انحصار هذا النوع من الأوامر بالطهارات الثلاث ثمّ استشکل علی الاستدلال بها فی المقام بأنّها لیست أوامر مولویّة بل إرشادیّة ترشد إلی شرطیّة الطهارات الثلاث فقط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قد ظهر عدم انحصارها فی ذلک؛ لورودها فی غیرها کثیراً، مضافاً إلی أنّ</w:t>
      </w:r>
      <w:bookmarkStart w:id="175" w:name="pg16922_187593"/>
    </w:p>
    <w:p>
      <w:pPr>
        <w:pStyle w:val="BookText"/>
        <w:rPr/>
      </w:pPr>
      <w:bookmarkEnd w:id="175"/>
      <w:r>
        <w:rPr>
          <w:rFonts w:ascii="IRNazanin" w:hAnsi="IRNazanin" w:eastAsia="IRNazanin"/>
          <w:color w:val="111111"/>
          <w:sz w:val="28"/>
          <w:sz w:val="28"/>
          <w:szCs w:val="28"/>
          <w:rtl w:val="true"/>
          <w:lang w:bidi="fa-IR"/>
        </w:rPr>
        <w:t>الشرطیّة أو الجزئیّة متأخّرة عن الأمر رتبة، وهی تنتزع من الأمر المولوی المتعلّق بالمأمور به، فکیف یمکن أن یکون الأمر إرشاداً إلیها؟ فتدبّر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أدلّة القائلین بوجوب المقدّمة، وقد عرفت تمامیة الوجوه الثلاثة، نعم، هنا وجوه قاصرة الدلالة لایهمّنا التعرّض لها، کما أنّ المناقشة فیما استدلّ به علی عدم الوجوب من لزوم اللغویة مع وجود اللابدّیة العقلیّة، تظهر ممّا قدّمناه</w:t>
      </w:r>
      <w:r>
        <w:rPr>
          <w:rFonts w:eastAsia="IRNazanin" w:cs="IRNazanin"/>
          <w:color w:val="111111"/>
          <w:sz w:val="28"/>
          <w:szCs w:val="28"/>
          <w:rtl w:val="true"/>
          <w:lang w:bidi="fa-IR"/>
        </w:rPr>
        <w:t>.</w:t>
      </w:r>
    </w:p>
    <w:p>
      <w:pPr>
        <w:pStyle w:val="Heading5"/>
        <w:numPr>
          <w:ilvl w:val="4"/>
          <w:numId w:val="1"/>
        </w:numPr>
        <w:rPr/>
      </w:pPr>
      <w:bookmarkStart w:id="176" w:name="__RefHeading___Toc141709_3244359995"/>
      <w:bookmarkStart w:id="177" w:name="_Toc68"/>
      <w:bookmarkEnd w:id="176"/>
      <w:r>
        <w:rPr>
          <w:rtl w:val="true"/>
        </w:rPr>
        <w:t>الأمر السادس</w:t>
      </w:r>
      <w:r>
        <w:rPr>
          <w:rtl w:val="true"/>
        </w:rPr>
        <w:t xml:space="preserve">: </w:t>
      </w:r>
      <w:r>
        <w:rPr>
          <w:rtl w:val="true"/>
        </w:rPr>
        <w:t>کیفیّة وجوب المقدّمة</w:t>
      </w:r>
      <w:bookmarkEnd w:id="177"/>
    </w:p>
    <w:p>
      <w:pPr>
        <w:pStyle w:val="Heading6"/>
        <w:numPr>
          <w:ilvl w:val="5"/>
          <w:numId w:val="1"/>
        </w:numPr>
        <w:rPr/>
      </w:pPr>
      <w:bookmarkStart w:id="178" w:name="__RefHeading___Toc141711_3244359995"/>
      <w:bookmarkStart w:id="179" w:name="_Toc69"/>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بعد ما قلنا بوجوب المقدّمة، فیقع الکلام فی أنّها هل هی واجبة مطلقاً أو مشروطة بشرط؟ وفیه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وجوب المقدّمة بناءً علی الملازمة یتّبع فی الإطلاق والاشتراط وجوب ذی المقدّمة، فإن کان وجوب ذی المقدّمة مطلقاً کان وجوب المقدّمة أیضاً مطلقاً، ولا یعتبر فیه أیّة خصوصیّة، وإن کان مشروطاً کان وجوب المقدّمة أیضاً مشروطاً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یلوح من کلام صاحب المعالم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اشتراط وجوب المقدّمة علی القول به بإرادة ذی المقدّمة، فإن أراد المکلّف الإتیان بذی المقدّمة وجبت المقدّمة وإلّا فلا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شیخنا العلّامة الأنصاری رحمه الله من أنّ الواجب هو المقدّمة المقصود بها التوصّل إلی ذیها، فإن أتی بها ولم یقصد بها التوصّل فلا تقع علی صفة الوجوب أصلًا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صاحب الفصول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الواجب إنّما هو خصوص</w:t>
      </w:r>
    </w:p>
    <w:p>
      <w:pPr>
        <w:pStyle w:val="BookText"/>
        <w:rPr/>
      </w:pPr>
      <w:r>
        <w:rPr>
          <w:rFonts w:ascii="IRNazanin" w:hAnsi="IRNazanin" w:eastAsia="IRNazanin"/>
          <w:color w:val="111111"/>
          <w:sz w:val="28"/>
          <w:sz w:val="28"/>
          <w:szCs w:val="28"/>
          <w:rtl w:val="true"/>
          <w:lang w:bidi="fa-IR"/>
        </w:rPr>
        <w:t>المقدّمة الموصلة، أی أنّ الواجب خصوص المقدّمة الّتی یترتّب علیها ذو المقدّمة، وأمّا إذا لم یترتّب علیها ذو المقدّمة فلا تقع علی صفة الوجوب سواء قصد بها التوصّل إلی ذی المقدّمة أو لم یقصد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عدّة من الأعلام رحمهم الله من أنّ الواجب هو المقدّمة حال إرادة الإتیان بذی المقدّمة علی نهج القضیّة الحینیّة لا مقیّداً بها علی نهج القضیّة الشرطیّة، کما تقدّم فی القول الثانی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ذکر من الأقوال فی المسألة وکثرة الأقوال وشدّة النزاع فی المسألة ترشدنا إلی وجود معضلة مهمّة فیها، وهی معضلة المقدّمة الّتی حرام ذاتاً ولکن تشرع للإتیان بذی المقدّمة، کالدخول فی الأرض المغصوبة الذی هو مقدّمة لإنقاذ الغریق، حیث إنّ لازم القول بوجوب المقدّمة مطلقاً من دون أی قید وخصوصیّة هو جواز الورود فی الأرض المغصوبة ولو لم یقصد به إنقاذ الغریق، وسواء تحقّق بعد ذلک إنقاذ الغریق أو لم یتحقّق مع أنّه مخالف للوجدان الفقهی والإرتکاز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فلحلّ هذه المعضلة والتخلّص عنها تمسّک کلّ واحد من المحقّقین بذیل قید کما لاحظت فی بیان الأقوال المذکورة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هاهنا مشکلة اخری؛ حیث إنّ القول بوجوب المقدّمة مطلقاً لازمه بطلان الضدّ الخاصّ الذی یکون ترکه مقدّمة لإتیان واجب أهمّ فیما إذا کان الضدّ أمراً عبادیاً کالصلاة بالنسبة إلی إزالة النجاسة عن المسجد، فحیث إنّ ترک الصلاة مقدّمة لفعل الإزالة فبناءً علی وجوب المقدّمة مطلقاً یجوز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وجب علیه إزالة النجاسة سواءً قصد به التوصّل إلیها أو لم یقصد، وسواء تحقّق بعد ذلک الإزالة أو لم تتحقّق، وسواء أراد الإزالة أو لم یردها مع أنّه أیضاً مخالف للوجدان وإرتکاز المتشرّعة</w:t>
      </w:r>
      <w:r>
        <w:rPr>
          <w:rFonts w:eastAsia="IRNazanin" w:cs="IRNazanin"/>
          <w:color w:val="111111"/>
          <w:sz w:val="28"/>
          <w:szCs w:val="28"/>
          <w:rtl w:val="true"/>
          <w:lang w:bidi="fa-IR"/>
        </w:rPr>
        <w:t>.</w:t>
      </w:r>
      <w:bookmarkStart w:id="180" w:name="pg16922_187595"/>
    </w:p>
    <w:p>
      <w:pPr>
        <w:pStyle w:val="Heading6"/>
        <w:numPr>
          <w:ilvl w:val="5"/>
          <w:numId w:val="1"/>
        </w:numPr>
        <w:rPr/>
      </w:pPr>
      <w:bookmarkStart w:id="181" w:name="__RefHeading___Toc141713_3244359995"/>
      <w:bookmarkStart w:id="182" w:name="_Toc70"/>
      <w:bookmarkEnd w:id="180"/>
      <w:bookmarkEnd w:id="181"/>
      <w:r>
        <w:rPr>
          <w:rtl w:val="true"/>
        </w:rPr>
        <w:t>المختار فی المسألة هو وجوب المقدّمة الموصلة</w:t>
      </w:r>
      <w:bookmarkEnd w:id="182"/>
    </w:p>
    <w:p>
      <w:pPr>
        <w:pStyle w:val="BookText"/>
        <w:rPr/>
      </w:pPr>
      <w:r>
        <w:rPr>
          <w:rFonts w:ascii="IRNazanin" w:hAnsi="IRNazanin" w:eastAsia="IRNazanin"/>
          <w:color w:val="111111"/>
          <w:sz w:val="28"/>
          <w:sz w:val="28"/>
          <w:szCs w:val="28"/>
          <w:rtl w:val="true"/>
          <w:lang w:bidi="fa-IR"/>
        </w:rPr>
        <w:t>وهو ما ذهب إلیه صاحب الفصول من وجوب خصوص المقدّمة الّتی تنتهی إلی ذی المقدّمة، واستدلّ له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یدرک أزید من الملازمة بین طلب شی‌ء وطلب مقدّماته الّتی فی سلسلة علّة وجود ذلک الشی‌ء فی الخارج بحیث یکون وجودها فیه توأماً وملازماً لوجود الواجب، وأمّا ما لا یقع فی سلسلة علله ویکون وجوده خارجاً مفارقاً عن وجود الواجب فالعقل لا یدرک الملازمة بین إیجابه وإیجاب ذلک أبداً، ونتیجته وجوب خصوص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تقیید المقدّمة بقید الإیصال من جانب المولی وجداناً لأنّه بنفسه دلیل علی انحصار حکم العقل فی المقدّمة الموصلة، وإلّا لو کانت دائرة حکم العقل أوسع منها لم یمکن تقیید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 المکلّف إنّما هو تحصیل غرض المولی فحسب، ولا إشکال فی أنّ غرضه من إیجاب المقدّمة هو الوصول إلی ذی المقدّمة، فیکون الواجب خصوص ما یوصله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یفرّق بین الموصل وغیره لأنّ ما یتوقّف علیه الواجب خارجاً إنّما هو ذات المقدّمة، والملازمة ثابتة فی الخارج بین وجود ذاتها ووجود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إیجاب المقدّمة لیس هو الوصول إلی ذی المقدّمة بل إنّما هو التمکّن من الوصول، ومن المعلوم أنّ التمکّن من الوصول یترتّب علی المقدّمة مطلقاً لا خصوص الموصلة منها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المتوقّع من کلّ شی‌ء ما یکون صدوره منه ممکناً، فالمتوقّع من نصب السلّم مثلًا لیس هو الوصول إلی السطح لأنّه بمجرّده لا یوجب الوصول</w:t>
      </w:r>
    </w:p>
    <w:p>
      <w:pPr>
        <w:pStyle w:val="BookText"/>
        <w:rPr/>
      </w:pPr>
      <w:r>
        <w:rPr>
          <w:rFonts w:ascii="IRNazanin" w:hAnsi="IRNazanin" w:eastAsia="IRNazanin"/>
          <w:color w:val="111111"/>
          <w:sz w:val="28"/>
          <w:sz w:val="28"/>
          <w:szCs w:val="28"/>
          <w:rtl w:val="true"/>
          <w:lang w:bidi="fa-IR"/>
        </w:rPr>
        <w:t>إلیه بل یتوقّع منه إمکان الوصول إلی السطح، کما أنّ المتوقّع من الوضوء إنّما هو التمکّن من الإتیان بالصلاة، ولا إشکال فی أنّ هذا التمکّن یوجد فی جمیع المقدّمات فإنّ المکلّف بالوضوء یصیر قادراً علی الصلاة، سواء أتی به بنیّة إتیان الصلاة أو لا؟</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بالمقدّمة ولم یأت بذی المقدّمة بعد فإمّا أن یسقط الأمر الغیری المتعلّق بها أو لا یسقط، لا مجال للثانی لأنّ بقاء الأمر الغیری علی حاله مع حصول المقدّمة فی الخارج تحصیل للحاصل، وسقوط الأمر هنا لا یکون إلّا لحصول الإمتثال ولو کان الواجب هو خصوص المقدّمة الموصلة لم یسقط الأمر الغیری، فالسقوط کاشف عن أنّ الواجب هو مطلق المقدّمة ولو لم توصل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الدفاع عن صاحب الفصول،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المتوقّع من کلّ شی‌ء وإن کان لابدّ أن یکون خصوص ما یترتّب علیه من الأثر وما یمکن صدوره منه، وأنّ المترتّب علی إیجاد المقدّمة إنّما هو التمکّن من الوصول لا نفس الوصول، ولکن لا إشکال فی أنّ الوصول به إلی ذی المقدّمة یکون مقدوراً للمکلّف، فللمولی أن یطلب من المکلّف خصوص مقدّمة توصله إلی ذی المقدّمة، لأنّ ملاک صحّة التکلیف بشی‌ء إنّما هو کونه مقدوراً للمکلّف وهو حاصل فی المقام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نوافق سقوط الأمر بإیجاد مطلق المقدّمة مع عدم ترتّب ذی المقدّمة علیه، بل إنّه باقٍ علی فعلیّته وداعویته ما لم یأت بذی المقدّمة، علی نحو الشرط المتأخّر، فإن أتی بذی المقدّمة یسقط الأمر بالمقدّمة عن داعویته، وما دام لم یأت بذی المقدّمة تکون الداعویّة باقیة علی حالها، کما أنّه کذلک فی أجزاء الواجب النفسی بالنسبه إلی الأمر النفسی الضمنی المتعلّق بکلّ جزء جزء، فسقوطه عن الفعلیّة والداعویّة مشروطة بنحو الشرط المتأخّر بإتیان سائر الأجزاء وإن کان لا یجب تحصیل الحاصل، فما نحن فیه من هذه الجهة أشبه شی‌ء بأجزاء الواجب النفسی</w:t>
      </w:r>
      <w:r>
        <w:rPr>
          <w:rFonts w:eastAsia="IRNazanin" w:cs="IRNazanin"/>
          <w:color w:val="111111"/>
          <w:sz w:val="28"/>
          <w:szCs w:val="28"/>
          <w:rtl w:val="true"/>
          <w:lang w:bidi="fa-IR"/>
        </w:rPr>
        <w:t>.</w:t>
      </w:r>
      <w:bookmarkStart w:id="183" w:name="pg16922_187597"/>
    </w:p>
    <w:p>
      <w:pPr>
        <w:pStyle w:val="BookText"/>
        <w:rPr/>
      </w:pPr>
      <w:bookmarkEnd w:id="183"/>
      <w:r>
        <w:rPr>
          <w:rFonts w:ascii="IRNazanin" w:hAnsi="IRNazanin" w:eastAsia="IRNazanin"/>
          <w:color w:val="111111"/>
          <w:sz w:val="28"/>
          <w:sz w:val="28"/>
          <w:szCs w:val="28"/>
          <w:rtl w:val="true"/>
          <w:lang w:bidi="fa-IR"/>
        </w:rPr>
        <w:t>وعلی کلّ حال، الحقّ فی المسألة هذا القول، والعمدة فی الاستدلال علیه مضافاً إلی ما سبق هو الوجدان، فإنّ الوجدان الفقهی حاکم بأنّ تبدیل حکم حرمة المقدّمة إلی جوازها بل وجوبها منحصر فیما إذا أوصل المکلّف إلی ذی المقدّمة، فمن دخل الدار المغصوبة ولم ینقذ الغریق فقد عصی، ومن دخلها وأنقذ الغریق فقد أطاع وإمتثل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الوجوه الثلاثة لإثبات وجوب المقدّمة آنفاً لا ینافی ما اخترناه من وجوب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الوجدان فلأنّه حاکم علی أنّ الإنسان المرید لإتیان ذی المقدّمة إنّما یرید مقدّماته لإیصالها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مقایسة التشریع بالتکوین فکذلک، لأنّ المباشر لذی المقدّمة فی الإرادة التکوینیّة إنّما یرید المقدّمات الّتی توصل إلی ذیها، فلیکن کذلک فی الإرادة التشریعیّة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الأوامر الغیریّة الواردة فی لسان الشرع فالقدر المتیقّن منها أیضاً وجوب الموصل من المقدّمات، فالقدر المتیقّن من مفاد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وجوب السعی الموصل إلی ذکر اللَّه لا مطلق السعی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ما مرّ بالنسبة إلی مقدّمة الواجب المحرّمة ذاتاً؛ حیث قلنا إنّ حرمة المقدّمة إنّما ترتفع فیما إذا کانت المقدّمة موصلة فقط، فکذلک فی غیرها</w:t>
      </w:r>
      <w:r>
        <w:rPr>
          <w:rFonts w:eastAsia="IRNazanin" w:cs="IRNazanin"/>
          <w:color w:val="111111"/>
          <w:sz w:val="28"/>
          <w:szCs w:val="28"/>
          <w:rtl w:val="true"/>
          <w:lang w:bidi="fa-IR"/>
        </w:rPr>
        <w:t>.</w:t>
      </w:r>
    </w:p>
    <w:p>
      <w:pPr>
        <w:pStyle w:val="Heading6"/>
        <w:numPr>
          <w:ilvl w:val="5"/>
          <w:numId w:val="1"/>
        </w:numPr>
        <w:rPr/>
      </w:pPr>
      <w:bookmarkStart w:id="184" w:name="__RefHeading___Toc141715_3244359995"/>
      <w:bookmarkStart w:id="185" w:name="_Toc71"/>
      <w:bookmarkEnd w:id="184"/>
      <w:r>
        <w:rPr>
          <w:rtl w:val="true"/>
        </w:rPr>
        <w:t>ثمرة القول بوجوب المقدّمة الموصلة</w:t>
      </w:r>
      <w:bookmarkEnd w:id="185"/>
    </w:p>
    <w:p>
      <w:pPr>
        <w:pStyle w:val="BookText"/>
        <w:rPr/>
      </w:pPr>
      <w:r>
        <w:rPr>
          <w:rFonts w:ascii="IRNazanin" w:hAnsi="IRNazanin" w:eastAsia="IRNazanin"/>
          <w:color w:val="111111"/>
          <w:sz w:val="28"/>
          <w:sz w:val="28"/>
          <w:szCs w:val="28"/>
          <w:rtl w:val="true"/>
          <w:lang w:bidi="fa-IR"/>
        </w:rPr>
        <w:t>وقد ذکر لها عدّة ثمرات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المقدّمات المحرّمة کالدخول فی الأرض المغصوبة لإنقاذ الغریق؛ حیث إنّه إن قلنا بوجوب المقدّمة مطلقاً یصیر الدخول فیها مباحاً وإن لم یقصد به الإنقاذ ولم یتحقّق بعده الإنقاذ، وأمّا إن قلنا بوجوب خصوص</w:t>
      </w:r>
      <w:bookmarkStart w:id="186" w:name="pg16922_187598"/>
    </w:p>
    <w:p>
      <w:pPr>
        <w:pStyle w:val="BookText"/>
        <w:rPr/>
      </w:pPr>
      <w:bookmarkEnd w:id="186"/>
      <w:r>
        <w:rPr>
          <w:rFonts w:ascii="IRNazanin" w:hAnsi="IRNazanin" w:eastAsia="IRNazanin"/>
          <w:color w:val="111111"/>
          <w:sz w:val="28"/>
          <w:sz w:val="28"/>
          <w:szCs w:val="28"/>
          <w:rtl w:val="true"/>
          <w:lang w:bidi="fa-IR"/>
        </w:rPr>
        <w:t>المقدّمة الموصلة فلا یصیر الدخول مباحاً إلّافی صورة تحقّق الإنقاذ خارجاً، نعم أنّه لا یعاقب علی الدخول إذا قصد به الإنقاذ ولم یقدر علیه 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المقدّمات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أتی به ولم یأت بالصلاة بعده بناءً علی عدم کون الوضوء مطلوباً نفسیاً واعتبار قصد الأمر فی العبادة، لأنّه إن قلنا بوجوب خصوص المقدّمة الموصلة فحیث إنّ هذا الوضوء لم یکن موصلًا فلم یکن مأموراً به فوقع باطلًا، بخلاف ما إذا کان الواجب مطلق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بوجوب المقدّمة مطلقاً تکون عبادة تارک الواجب الأهمّ باطلة کصلاة تارک الإزالة بناءً علی أن یکون ترک الضدّ مقدّمة لإتیان الضدّ الآخر، فیکون ترک الصلاة واجباً لکونه مقدّمة للإزالة الواجبة فوراً، فیکون فعلها حراماً لأنّ الأمر بالشی‌ء یقتضی النهی عن ضدّه العامّ، والضدّ العامّ للترک الواجب هو الفعل، فتکون العبادة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القول بوجوب المقدّمة الموصلة تقع الصلاة صحیحة، لأنّ اشتغال المکلّف بالصلاة فی صورة ترک الإزالة کاشف عن وجود صارف عن الإزالة وعن عدم إرادتها، فلم یکن ترک الصلاة موصلًا إلی الإزالة لوجود هذا الصارف، فلم یکن واجباً، فلا یکون فعلها حراماً، ونتیجته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الصارف الاختیاری لا یمنع عن وجوب المقدّمة الموصلة علی المکلّف، فلا تصحّ الصلاة معه، مضافاً إلی ما ذکرنا فی محلّه من أنّ ترک أحد الضدّین لیس مقدّمة لفعل الضدّ الآخر</w:t>
      </w:r>
      <w:r>
        <w:rPr>
          <w:rFonts w:eastAsia="IRNazanin" w:cs="IRNazanin"/>
          <w:color w:val="111111"/>
          <w:sz w:val="28"/>
          <w:szCs w:val="28"/>
          <w:rtl w:val="true"/>
          <w:lang w:bidi="fa-IR"/>
        </w:rPr>
        <w:t>.</w:t>
      </w:r>
    </w:p>
    <w:p>
      <w:pPr>
        <w:pStyle w:val="Heading5"/>
        <w:numPr>
          <w:ilvl w:val="4"/>
          <w:numId w:val="1"/>
        </w:numPr>
        <w:rPr/>
      </w:pPr>
      <w:bookmarkStart w:id="187" w:name="__RefHeading___Toc141717_3244359995"/>
      <w:bookmarkStart w:id="188" w:name="_Toc72"/>
      <w:bookmarkEnd w:id="187"/>
      <w:r>
        <w:rPr>
          <w:rtl w:val="true"/>
        </w:rPr>
        <w:t>الأمر السابع</w:t>
      </w:r>
      <w:r>
        <w:rPr>
          <w:rtl w:val="true"/>
        </w:rPr>
        <w:t xml:space="preserve">: </w:t>
      </w:r>
      <w:r>
        <w:rPr>
          <w:rtl w:val="true"/>
        </w:rPr>
        <w:t>فی مقدّمة المستحبّ</w:t>
      </w:r>
      <w:bookmarkEnd w:id="1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بعض الوجوه المزبورة الّتی استدلّ بها لوجوب مقدّمة الواجب تعمّ مقدّمة المستحبّ أیضاً، فتدلّ علی ثبوت الملازمة بین المستحبّ ومقدّمته، وهو</w:t>
      </w:r>
      <w:bookmarkStart w:id="189" w:name="pg16922_187599"/>
    </w:p>
    <w:p>
      <w:pPr>
        <w:pStyle w:val="BookText"/>
        <w:rPr/>
      </w:pPr>
      <w:bookmarkEnd w:id="189"/>
      <w:r>
        <w:rPr>
          <w:rFonts w:ascii="IRNazanin" w:hAnsi="IRNazanin" w:eastAsia="IRNazanin"/>
          <w:color w:val="111111"/>
          <w:sz w:val="28"/>
          <w:sz w:val="28"/>
          <w:szCs w:val="28"/>
          <w:rtl w:val="true"/>
          <w:lang w:bidi="fa-IR"/>
        </w:rPr>
        <w:t>ظاهر بالنسبة إلی دلیل الوجدان ودلیل تطابق الإرادتین التکوینیّة والتشریعیّة، فإنّ الوجدان حاکم بأنّ المولی إذا تعلّقت إرادته غیر الإلزامیّة بشی‌ء تعلّقت بمقدّماته لا محالة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العقل أیضاً یحکم بأنّ الإرادة التشریعیّة المتعلّقة بالمستحبّات کالإرادة التکوینیّة الّتی تتعلّق بعمل راجح غیر إلزامی، فکما أنّ المباشر لإتیان عمل راجح یرید مقدّماته علی حدّ الرجحان، فکذلک غیر المباشر الذی أراد إتیان عمل بالتسبیب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الوجه الثالث من الوجوه السابقة فی المقام، وهو الأوامر الّتی وردت فی لسان الشارع وتعلّقت ببعض المقدّمات المستحبّة کالذهاب إلی المسجد والجلوس فیه منتظراً لإقامة الصلاة جماعة وغیرهما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41719_3244359995"/>
      <w:bookmarkStart w:id="191" w:name="_Toc73"/>
      <w:bookmarkEnd w:id="190"/>
      <w:r>
        <w:rPr>
          <w:rtl w:val="true"/>
        </w:rPr>
        <w:t>الأمر الثامن</w:t>
      </w:r>
      <w:r>
        <w:rPr>
          <w:rtl w:val="true"/>
        </w:rPr>
        <w:t xml:space="preserve">: </w:t>
      </w:r>
      <w:r>
        <w:rPr>
          <w:rtl w:val="true"/>
        </w:rPr>
        <w:t>فی مقدّمة الحرام</w:t>
      </w:r>
      <w:bookmarkEnd w:id="191"/>
    </w:p>
    <w:p>
      <w:pPr>
        <w:pStyle w:val="BookText"/>
        <w:rPr/>
      </w:pPr>
      <w:r>
        <w:rPr>
          <w:rFonts w:ascii="IRNazanin" w:hAnsi="IRNazanin" w:eastAsia="IRNazanin"/>
          <w:color w:val="111111"/>
          <w:sz w:val="28"/>
          <w:sz w:val="28"/>
          <w:szCs w:val="28"/>
          <w:rtl w:val="true"/>
          <w:lang w:bidi="fa-IR"/>
        </w:rPr>
        <w:t>وهی تنقسم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الأسباب التولیدیّة، سواء کانت العلّة التامّة أو الجزء الأخیر منها کالإلقاء فی النار بالنسبة إلی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العلّة الناقصة لایجاد ذی المقدّمة ولکن المکلّف یقصد بإتیانها التوصّل إلی الحرام وتکون موصلة إلی الحرام فی الخارج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القسم الثانی مع عدم الإیصال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القسم الثانی أیضاً مع عدم قصد التوصّل بها إلی الحرام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حرمة القسم الأوّل والثانی بناءً علی مبنی وجوب مقدّمة الواجب لنفس ما مرّ هناک، أمّا دلیل الوجدان ودلیل تطابق الإرادتین فهما واضحان، وأمّا النواهی الواردة فی لسان الشارع المتعلّقة بالمقدّمات المحرّمة فهی کثیرة جدّاً،</w:t>
      </w:r>
    </w:p>
    <w:p>
      <w:pPr>
        <w:pStyle w:val="BookText"/>
        <w:rPr/>
      </w:pPr>
      <w:r>
        <w:rPr>
          <w:rFonts w:ascii="IRNazanin" w:hAnsi="IRNazanin" w:eastAsia="IRNazanin"/>
          <w:color w:val="111111"/>
          <w:sz w:val="28"/>
          <w:sz w:val="28"/>
          <w:szCs w:val="28"/>
          <w:rtl w:val="true"/>
          <w:lang w:bidi="fa-IR"/>
        </w:rPr>
        <w:t>والعجب من فتوی بعض الفقهاء بعدم حرمة مقدّمة الحرام مع أنّا نعلم بأنّ ملاک النهی فی هذه الروایات إنّما هو مقدّمیة متعلّقاتها للحرام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هذه النواهی ما ورد بالنسبة إلی الخمر ولعن غارسها وحارثها وغیرهما من العناوین العشرة الّتی هی من مقدّمات شرب الخمر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 ذلک ما ورد فی باب صلاة المسافر وتدلّ علی وجوب القصر لمن کان سفره حراماً</w:t>
      </w:r>
      <w:r>
        <w:rPr>
          <w:rStyle w:val="FootnoteAnchor"/>
          <w:rtl w:val="true"/>
        </w:rPr>
        <w:footnoteReference w:id="83"/>
      </w:r>
      <w:r>
        <w:rPr>
          <w:rFonts w:ascii="IRNazanin" w:hAnsi="IRNazanin" w:eastAsia="IRNazanin"/>
          <w:color w:val="111111"/>
          <w:sz w:val="28"/>
          <w:sz w:val="28"/>
          <w:szCs w:val="28"/>
          <w:rtl w:val="true"/>
          <w:lang w:bidi="fa-IR"/>
        </w:rPr>
        <w:t>، وقد أفتی بها الفقهاء بالاتفاق، بل لم یکتفوا بالأمثلة الواردة فی هذه الروایات وتعدّوا إلی غیرها من أشباهها</w:t>
      </w:r>
      <w:r>
        <w:rPr>
          <w:rStyle w:val="FootnoteAnchor"/>
          <w:rtl w:val="true"/>
        </w:rPr>
        <w:footnoteReference w:id="84"/>
      </w:r>
      <w:r>
        <w:rPr>
          <w:rFonts w:ascii="IRNazanin" w:hAnsi="IRNazanin" w:eastAsia="IRNazanin"/>
          <w:color w:val="111111"/>
          <w:sz w:val="28"/>
          <w:sz w:val="28"/>
          <w:szCs w:val="28"/>
          <w:rtl w:val="true"/>
          <w:lang w:bidi="fa-IR"/>
        </w:rPr>
        <w:t>، ولا إشکال فی أنّ السفر فی کثیر من هذه الأمثلة مقدّمة للحرام ولیس الحرام نفسه، مثل السفر للصید الحرام و السرقة والسعایة والضرر علی المسلمین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إذا کانت المقدّمة فی هذه الروایات حراماً لمقدّمیتها لا لخصوصیة اخری یستکشف من ذلک حرمة سائر مقدّمات الحرام أیضاً لوجود الملاک وإلغاء الخصوصیّة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حرمتها إلّامن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حرمتها واضح؛ لأنّ المفروض أنّه لم یقصد بها التوصّل إلی الحرام فهی لیست حراماً بالنسبة إلیه لا واقعاً ولا ظاهراً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إذا لم تکن موصلة إلی الحرام، وأمّا مع فرض الإیصال وبناءً علی قبول مبنی المقدّمة الموصلة کما هو المختار، فلا إشکال فی أنّها مصداق من مصادیق الحرام الواقعی حینئذٍ وأنّ من أتی بها ارتکب حراماً واقعاً، إلّاأنّه لا یعاقب علی ذلک لعدم قصده التوصّل بها إلی الحرام وعدم فعلیّة الحرمة بالنسبة إلیه</w:t>
      </w:r>
      <w:r>
        <w:rPr>
          <w:rFonts w:eastAsia="IRNazanin" w:cs="IRNazanin"/>
          <w:color w:val="111111"/>
          <w:sz w:val="28"/>
          <w:szCs w:val="28"/>
          <w:rtl w:val="true"/>
          <w:lang w:bidi="fa-IR"/>
        </w:rPr>
        <w:t>.</w:t>
      </w:r>
      <w:bookmarkStart w:id="192" w:name="pg16922_187601"/>
    </w:p>
    <w:p>
      <w:pPr>
        <w:pStyle w:val="Heading4"/>
        <w:numPr>
          <w:ilvl w:val="3"/>
          <w:numId w:val="1"/>
        </w:numPr>
        <w:rPr/>
      </w:pPr>
      <w:bookmarkStart w:id="193" w:name="__RefHeading___Toc141721_3244359995"/>
      <w:bookmarkStart w:id="194" w:name="_Toc74"/>
      <w:bookmarkEnd w:id="192"/>
      <w:bookmarkEnd w:id="193"/>
      <w:r>
        <w:rPr>
          <w:rtl w:val="true"/>
        </w:rPr>
        <w:t>الفصل الثالث</w:t>
      </w:r>
      <w:r>
        <w:rPr>
          <w:rtl w:val="true"/>
        </w:rPr>
        <w:t xml:space="preserve">: </w:t>
      </w:r>
      <w:r>
        <w:rPr>
          <w:rtl w:val="true"/>
        </w:rPr>
        <w:t>مسألة الضد</w:t>
      </w:r>
      <w:bookmarkEnd w:id="194"/>
    </w:p>
    <w:p>
      <w:pPr>
        <w:pStyle w:val="Heading5"/>
        <w:numPr>
          <w:ilvl w:val="4"/>
          <w:numId w:val="1"/>
        </w:numPr>
        <w:rPr/>
      </w:pPr>
      <w:bookmarkStart w:id="195" w:name="__RefHeading___Toc141723_3244359995"/>
      <w:bookmarkStart w:id="196" w:name="_Toc75"/>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عنوان هذا البحث فی کلمات أکثر الاصولیین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الأمر بالشی‌ء یقتضی النهی عن ضدّه؟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والمعنون فی کلمات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الملازمة ثابتة بین وجوب شی‌ء وحرمة ضدّه أو لا؟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المسألة اصولیة عند من جعل العنوان ثبوت الملازمة وعدمه، وظاهر من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 کونها فقهیّة، لأنّ الکلام حینئذٍ فی حرمة الضدّ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القول بکونها من المسائل الاصولیّة فالظاهر عدم إرتباطه بباب الألفاظ، وإن استدلّ بعض فی المقام بالدلالات اللّفظیة</w:t>
      </w:r>
      <w:r>
        <w:rPr>
          <w:rStyle w:val="FootnoteAnchor"/>
          <w:rtl w:val="true"/>
        </w:rPr>
        <w:footnoteReference w:id="87"/>
      </w:r>
      <w:r>
        <w:rPr>
          <w:rFonts w:ascii="IRNazanin" w:hAnsi="IRNazanin" w:eastAsia="IRNazanin"/>
          <w:color w:val="111111"/>
          <w:sz w:val="28"/>
          <w:sz w:val="28"/>
          <w:szCs w:val="28"/>
          <w:rtl w:val="true"/>
          <w:lang w:bidi="fa-IR"/>
        </w:rPr>
        <w:t>، لجریان النزاع فیها وإن ثبت الأمر من غیر طریق اللفظ،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الکلام فی هذه المسألة یقع فی مقامین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الضدّ العامّ وهو ترک المأمور 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97" w:name="pg16922_187602"/>
    </w:p>
    <w:p>
      <w:pPr>
        <w:pStyle w:val="BookText"/>
        <w:rPr/>
      </w:pPr>
      <w:bookmarkEnd w:id="197"/>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الضدّ الخاصّ، والمراد منه أمر وجودی یزاحم الفعل المأمور به</w:t>
      </w:r>
      <w:r>
        <w:rPr>
          <w:rFonts w:eastAsia="IRNazanin" w:cs="IRNazanin"/>
          <w:color w:val="111111"/>
          <w:sz w:val="28"/>
          <w:szCs w:val="28"/>
          <w:rtl w:val="true"/>
          <w:lang w:bidi="fa-IR"/>
        </w:rPr>
        <w:t>.</w:t>
      </w:r>
    </w:p>
    <w:p>
      <w:pPr>
        <w:pStyle w:val="Heading5"/>
        <w:numPr>
          <w:ilvl w:val="4"/>
          <w:numId w:val="1"/>
        </w:numPr>
        <w:rPr/>
      </w:pPr>
      <w:bookmarkStart w:id="198" w:name="__RefHeading___Toc141725_3244359995"/>
      <w:bookmarkStart w:id="199" w:name="_Toc76"/>
      <w:bookmarkEnd w:id="198"/>
      <w:r>
        <w:rPr>
          <w:rtl w:val="true"/>
        </w:rPr>
        <w:t>المقام الأوّل</w:t>
      </w:r>
      <w:r>
        <w:rPr>
          <w:rtl w:val="true"/>
        </w:rPr>
        <w:t xml:space="preserve">: </w:t>
      </w:r>
      <w:r>
        <w:rPr>
          <w:rtl w:val="true"/>
        </w:rPr>
        <w:t>فی الضدّ العامّ</w:t>
      </w:r>
      <w:bookmarkEnd w:id="199"/>
    </w:p>
    <w:p>
      <w:pPr>
        <w:pStyle w:val="BookText"/>
        <w:rPr/>
      </w:pPr>
      <w:r>
        <w:rPr>
          <w:rFonts w:ascii="IRNazanin" w:hAnsi="IRNazanin" w:eastAsia="IRNazanin"/>
          <w:color w:val="111111"/>
          <w:sz w:val="28"/>
          <w:sz w:val="28"/>
          <w:szCs w:val="28"/>
          <w:rtl w:val="true"/>
          <w:lang w:bidi="fa-IR"/>
        </w:rPr>
        <w:t>والأقوال فیه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بنحو العینیة والمطابقة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بنحو التضمّن والجزئیّة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بنحو الدلالة الالتزامیّة إجمالًا؛ أعمّ من أن یکون اللزوم لفظیّاً علی نحو یکون النهی عن الضدّ من اللوازم البیّنة بالمعنی الأخصّ للأمر بالشی‌ء، أو عقلیّاً علی نحو یکون من اللوازم البیّنة بالمعنی الأعمّ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الاقتضاء مطلقاً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فساده؛ لأنّ المفروض أنّ الصلاة مثلًا وترکها اثنان، وأنّ الأمر دعوة إلی الشی‌ء والنهی زجر عن الشی‌ء، ولا معنی حینئذٍ للعینیّة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إثباتاً، وأمّا ثبوتاً فلأنّ ملاک الحرمة هو وجود مفسدة فی متعلّقها، کما أنّ ملاک الوجوب وجود مصلحة فی متعلّقه، فما لا مفسدة فیه لا حرمة له، وما لا مصلحة فیه لا وجوب له، ولا شکّ فی أنّه لیس کلّ ما کان ذا مصلحة فی فعله کان فی ترکه مفسدة، بل کثیراً ما یساوق ترکه فقدان المصلحة فقط، وهذا واضح جدّاً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متفرّع علی قبول ترکّب الوجوب من طلب الفعل والمنع من الترک وهو ممنوع جدّاً، لأنّ الوجوب له معنی بسیط، وهو البعث الشدید نحو</w:t>
      </w:r>
      <w:bookmarkStart w:id="200" w:name="pg16922_187603"/>
    </w:p>
    <w:p>
      <w:pPr>
        <w:pStyle w:val="BookText"/>
        <w:rPr/>
      </w:pPr>
      <w:bookmarkEnd w:id="200"/>
      <w:r>
        <w:rPr>
          <w:rFonts w:ascii="IRNazanin" w:hAnsi="IRNazanin" w:eastAsia="IRNazanin"/>
          <w:color w:val="111111"/>
          <w:sz w:val="28"/>
          <w:sz w:val="28"/>
          <w:szCs w:val="28"/>
          <w:rtl w:val="true"/>
          <w:lang w:bidi="fa-IR"/>
        </w:rPr>
        <w:t>الفعل، فی مقابل الحرمة الّتی هی الزجر الشدید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تامّ لنفس ما مرّ فی الجواب عن القول الأوّل، لأنّ وجود الملازمة بین وجوب شی‌ء وحرمة ضدّه العامّ یستلزم وجود الملازمة بین وجود المصلحة فی فعل ووجود المفسدة فی ترکه مطلقاً، فیکون فی ترک کلّ ذی مصلحة مفسدة، وهو ممنوع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المتعیّن هو القول الرابع، وهو عدم الاقتضاء مطلقاً، نعم قد یعبّر بالاقتضاء مسامحة عن التلازم الاتفاقی بأن تکون المصلحة فی الفعل مقارنة للمفسدة فی الترک، کما هو کذلک فی مثل الصلاة والزکاة وبعض الواجبات الاخر</w:t>
      </w:r>
      <w:r>
        <w:rPr>
          <w:rFonts w:eastAsia="IRNazanin" w:cs="IRNazanin"/>
          <w:color w:val="111111"/>
          <w:sz w:val="28"/>
          <w:szCs w:val="28"/>
          <w:rtl w:val="true"/>
          <w:lang w:bidi="fa-IR"/>
        </w:rPr>
        <w:t>.</w:t>
      </w:r>
    </w:p>
    <w:p>
      <w:pPr>
        <w:pStyle w:val="Heading5"/>
        <w:numPr>
          <w:ilvl w:val="4"/>
          <w:numId w:val="1"/>
        </w:numPr>
        <w:rPr/>
      </w:pPr>
      <w:bookmarkStart w:id="201" w:name="__RefHeading___Toc141727_3244359995"/>
      <w:bookmarkStart w:id="202" w:name="_Toc77"/>
      <w:bookmarkEnd w:id="201"/>
      <w:r>
        <w:rPr>
          <w:rtl w:val="true"/>
        </w:rPr>
        <w:t>المقام الثانی</w:t>
      </w:r>
      <w:r>
        <w:rPr>
          <w:rtl w:val="true"/>
        </w:rPr>
        <w:t xml:space="preserve">: </w:t>
      </w:r>
      <w:r>
        <w:rPr>
          <w:rtl w:val="true"/>
        </w:rPr>
        <w:t>فی الضدّ الخاصّ</w:t>
      </w:r>
      <w:bookmarkEnd w:id="202"/>
    </w:p>
    <w:p>
      <w:pPr>
        <w:pStyle w:val="Heading6"/>
        <w:numPr>
          <w:ilvl w:val="5"/>
          <w:numId w:val="1"/>
        </w:numPr>
        <w:rPr/>
      </w:pPr>
      <w:bookmarkStart w:id="203" w:name="__RefHeading___Toc141729_3244359995"/>
      <w:bookmarkStart w:id="204" w:name="_Toc78"/>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کالصلاة فی سعة الوقت بالنسبة إلی إزالة النجاسة عن المسجد مثلًا، وفیه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بالشی‌ء یقتضی النهی عن ضدّه الخاصّ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کثیر من المحقّقین وهو عدم الاقتضاء</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الأوّل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مبنی علی مقدّمیة ترک الضدّ للفعل المأمور به، فیقال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ترک الضدّ مقدّمة للفعل المأمور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مقدّمة الواجب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بالشی‌ء یقتضی النهی عن ترکه الذی هو الضدّ العامّ، فلازم المقدّمة الاولی والثانیة وجوب ترک الصلاة لإزالة النجاسة عن المسجد فی المثال المعروف،</w:t>
      </w:r>
    </w:p>
    <w:p>
      <w:pPr>
        <w:pStyle w:val="BookText"/>
        <w:rPr/>
      </w:pPr>
      <w:r>
        <w:rPr>
          <w:rFonts w:ascii="IRNazanin" w:hAnsi="IRNazanin" w:eastAsia="IRNazanin"/>
          <w:color w:val="111111"/>
          <w:sz w:val="28"/>
          <w:sz w:val="28"/>
          <w:szCs w:val="28"/>
          <w:rtl w:val="true"/>
          <w:lang w:bidi="fa-IR"/>
        </w:rPr>
        <w:t>ولازم المقدّمة الثالثة حرمة فعل الصلاة ونتیجتها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هذا البرهان إنّما هی المقدّمة الاولی وقد ذکر لإثباتها، أنّ عدم المانع من أجزاء العلّة التامّة، وحیث إنّ العلّة مقدّمة علی معلولها فیکون عدم المانع أیضاً مقدّماً علی وجود المعلول، والمعلول فیما نحن فیه فعل الواجب المأمور به کالإزالة فی المثال، والمانع هو الصلاة، فیصیر ترک الصلاة مقدّمة لفعل الإزالة،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مقدّمیة عدم أحد الضدّین یستلزم الدور، لأنّه بناءً علی المقدّمیة یکون عدم أحد الضدّین مقدّمة لوجود الضدّ الآخر، ومن جانب آخر وجود أحد الضدّین مقدّمة لعدم الآخر، فعدم القیام مثلًا مقدّمة لفعل الجلوس، وفعل الجلوس أیضاً مقدّمة لعدم القیام، وفی المثال المذکور یکون عدم الصلاة مقدّمة لفعل الإزالة وفعل الإزالة أیضاً سبب لترک الصلاة، وهذا دور محال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وجود أحد الضدّین مع عدم الآخر شأن وجود أحد النقیضین مع ارتفاع الأخر، فکما لا ترتّب ولا توقّف وجداناً بین وجود الإنسان مثلًا وارتفاع اللاإنسان بل إذا حصل سبب وجود الإنسان حصل الإنسان وارتفع اللاإنسان فی رتبة واحدة من دون أن یرتفع اللاإنسان أوّلًا ثمّ یحصل الإنسان فی المرتبة المتأخّرة، کذلک إذا حصلت إرادة المأمور به حصل هناک أمران فی عرض واحد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المأمور به وترک ضدّه، فیکونان إذن معلولین لعلّة واحدة لا تقدّم لأحدهما علی الآخر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مفهوم اعتباری یصنعه الذهن إذا تصوّر شیئاً ولم یجده شیئاً حین رجوعه إلی الخارج، فهو مسلوب عنه أحکام الوجود والثبوت، إذ لا شیئیّة له،</w:t>
      </w:r>
    </w:p>
    <w:p>
      <w:pPr>
        <w:pStyle w:val="BookText"/>
        <w:rPr/>
      </w:pPr>
      <w:r>
        <w:rPr>
          <w:rFonts w:ascii="IRNazanin" w:hAnsi="IRNazanin" w:eastAsia="IRNazanin"/>
          <w:color w:val="111111"/>
          <w:sz w:val="28"/>
          <w:sz w:val="28"/>
          <w:szCs w:val="28"/>
          <w:rtl w:val="true"/>
          <w:lang w:bidi="fa-IR"/>
        </w:rPr>
        <w:t>فلاتقدّم له ولا تأخّر ولا مقارنة، بل کلّ الحیثیّات مسلوبة عنه سلباً تحصیلیّاً لا بمعنی سلب شی‌ء عن شی‌ء، بل السلب عنه من قبیل الإخبار عن المعدوم المطلق بأنّه لا یخبر عنه، فما تکرّر فی کلمات مشاهیر الفنّ من عدّ عدم المانع من أجزاء العلّة</w:t>
      </w:r>
      <w:r>
        <w:rPr>
          <w:rStyle w:val="FootnoteAnchor"/>
          <w:rtl w:val="true"/>
        </w:rPr>
        <w:footnoteReference w:id="97"/>
      </w:r>
      <w:r>
        <w:rPr>
          <w:rFonts w:ascii="IRNazanin" w:hAnsi="IRNazanin" w:eastAsia="IRNazanin"/>
          <w:color w:val="111111"/>
          <w:sz w:val="28"/>
          <w:sz w:val="28"/>
          <w:szCs w:val="28"/>
          <w:rtl w:val="true"/>
          <w:lang w:bidi="fa-IR"/>
        </w:rPr>
        <w:t>، مرجعه إلی أنّ وجوده مانع عن تحقّق المعلول لا أنّ عدمه دخیل، إذ العدم مطلقه ومضافه أقصر شأناً من أن یحوم حوله التوقّف لأنّه البطلان واللاشیئیّة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التلازم واتّحاد المتلازمین فی الحکم، وهو أیضاً یتوقّف علی ثلاث 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أحد الضدّین ملازم لعدم الآخر وإلّا یستلزم ارتفاع النقیضین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إنّ‌المتلازمین متساویان فی‌الحکم فتتساوی مثلًاالإزالة وترک‌الصلاة فی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وجوب ترک فعل یقتضی النهی عن ضدّه وهو وجوده بمقتضی ما سبق فی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فیستنتج من هذه الثلاثة أنّ الأمر بالإزالة یقتضی حرمة فعل الصلاة من دون حاجة إلی إثبات مقدّمیة ترک الصلاة لفعل الإزالة کما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المحقّق الخراسانی رحمه الله بالنقاش فی 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غایة عدم اختلاف المتلازمین عدم اختلافهما فی الحکم بحیث یکون کلّ واحد منهما محکوماً بحکم فعلی مغایر لحکم الآخر لا أن یکونا متّحدین فی الحکم بل یجوز أن یکون الملازم محکوماً إنشاءاً بحکم مخالف لحکم ملازمه لکن قد سقط فعلیّته بفعلیة الأهمّ الملازم له، کما إذا وجب إنقاذ الغریق وحرم إنشاءاً ترک الصلاة الملازم له لکن قد سقطت حرمته الفعلیّة لأهمّیة الإنقاذ</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یجب أن یکون الملازم محکوماً بحکم ملازمه لزم خلوّه عن الحکم</w:t>
      </w:r>
      <w:r>
        <w:rPr>
          <w:rFonts w:eastAsia="IRNazanin" w:cs="IRNazanin"/>
          <w:color w:val="111111"/>
          <w:sz w:val="28"/>
          <w:szCs w:val="28"/>
          <w:rtl w:val="true"/>
          <w:lang w:bidi="fa-IR"/>
        </w:rPr>
        <w:t>.</w:t>
      </w:r>
      <w:bookmarkStart w:id="205" w:name="pg16922_187606"/>
    </w:p>
    <w:p>
      <w:pPr>
        <w:pStyle w:val="BookText"/>
        <w:rPr/>
      </w:pPr>
      <w:bookmarkEnd w:id="205"/>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خلوّ الواقعة عن الحکم إنّما هو بالنسبة إلی الحکم الواقعی ولو کان إنشائیّاً لا الحکم الفعلی، والملازم وإن لم یکن محکوماً فعلًا بحکم ملازمه، ولکنّه محکوم واقعاً بحکم إنشائی ولو کان مخالفاً لحکم ملازمه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جعل الوجوب لترک الصلاة الملازم لفعل الإزالة لغو لا حاجة إلیه مع وجوب الإزالة لأنّه یحصل بفعل الإزالة قهراً سواء أراده المکلّف أو لم یرده وسواء کان واجباً أو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المناقشة فی هذا الوجه بالنسبة إلی المقدّمة الثالثة أیضاً حیث إنّها مبنیة علی اقتضاء الأمر بالشی‌ء النهی عن ضدّه العامّ، لأنّ ترک الصلاة ضدّ عام لفعل الصلاة، وقد مرّ فی المقام الأوّل عدم نهوض دلیل علی ذلک</w:t>
      </w:r>
      <w:r>
        <w:rPr>
          <w:rFonts w:eastAsia="IRNazanin" w:cs="IRNazanin"/>
          <w:color w:val="111111"/>
          <w:sz w:val="28"/>
          <w:szCs w:val="28"/>
          <w:rtl w:val="true"/>
          <w:lang w:bidi="fa-IR"/>
        </w:rPr>
        <w:t>.</w:t>
      </w:r>
    </w:p>
    <w:p>
      <w:pPr>
        <w:pStyle w:val="Heading6"/>
        <w:numPr>
          <w:ilvl w:val="5"/>
          <w:numId w:val="1"/>
        </w:numPr>
        <w:rPr/>
      </w:pPr>
      <w:bookmarkStart w:id="206" w:name="__RefHeading___Toc141731_3244359995"/>
      <w:bookmarkStart w:id="207" w:name="_Toc79"/>
      <w:bookmarkEnd w:id="206"/>
      <w:r>
        <w:rPr>
          <w:rtl w:val="true"/>
        </w:rPr>
        <w:t>تفصیل فی المقام بین صور المسألة</w:t>
      </w:r>
      <w:bookmarkEnd w:id="207"/>
    </w:p>
    <w:p>
      <w:pPr>
        <w:pStyle w:val="BookText"/>
        <w:rPr/>
      </w:pPr>
      <w:r>
        <w:rPr>
          <w:rFonts w:ascii="IRNazanin" w:hAnsi="IRNazanin" w:eastAsia="IRNazanin"/>
          <w:color w:val="111111"/>
          <w:sz w:val="28"/>
          <w:sz w:val="28"/>
          <w:szCs w:val="28"/>
          <w:rtl w:val="true"/>
          <w:lang w:bidi="fa-IR"/>
        </w:rPr>
        <w:t>قد ظهر إلی هنا أنّه لا یمکن إثبات أنّ الأمر بالشی‌ء یقتضی النهی عن ضدّه الخاصّ لا من طریق مقدّمیة ترک أحد الضدّین للضدّ الآخر ولا من طریق وجود التلازم بینهما، ولکن لنا فی المسألة بالنسبة إلی مسلک المقدّمیة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أنّه ربما یکون الضدّان فعلین قائمین بشخص واحد، فلا إشکال فی أنّ ترک أحدهما لیس مقدّمة لوجود الآخر بل إرادة أحدهما یلازم ترک الآخر قهراً، فمثلًا حصول الجلوس لیس متوقّفاً علی ترک القیام بل یحصل الجلوس وینعدم القیام فی عرض واحد وفی رتبة واحدة بإرادة الجلوس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الداعی لأحدهما یحصل الصارف عن غیره فی رتبة واحدة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کان الضدّان فعلین قائمین بشخصین کإشغال محلّ خاصّ من المسجد، فإنّه لا یمکن إشغال زید له إلّابترک إشغال عمرو له، أو کانا فعلین قائمین</w:t>
      </w:r>
      <w:bookmarkStart w:id="208" w:name="pg16922_187607"/>
    </w:p>
    <w:p>
      <w:pPr>
        <w:pStyle w:val="BookText"/>
        <w:rPr/>
      </w:pPr>
      <w:bookmarkEnd w:id="208"/>
      <w:r>
        <w:rPr>
          <w:rFonts w:ascii="IRNazanin" w:hAnsi="IRNazanin" w:eastAsia="IRNazanin"/>
          <w:color w:val="111111"/>
          <w:sz w:val="28"/>
          <w:sz w:val="28"/>
          <w:szCs w:val="28"/>
          <w:rtl w:val="true"/>
          <w:lang w:bidi="fa-IR"/>
        </w:rPr>
        <w:t>بشخص واحد ولکن المحلّ واحد، مثلًا لا یمکن أن یملأ الإناء من اللّبن بدون فراغه من الماء، وهکذا کتابة شیئین فی لوح واحد، فلا یمکن کتابة أحدهما إلّابعد محو الآخر، فهنا یکون عدم أحدهما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الأمثلة المتداولة فی کلمات القوم فی المقام کمثال الصلاة والإزالة إنّما هی من القسم الأوّل، ولعلّ ملاحظة هذه الأمثلة أوجبت إنکار المحقّقین للمقدّمیة فی مطلق الأضداد، فتدبّر جیّداً حتّی تعرف الفرق بین الموردین فإنّه دقیق</w:t>
      </w:r>
      <w:r>
        <w:rPr>
          <w:rFonts w:eastAsia="IRNazanin" w:cs="IRNazanin"/>
          <w:color w:val="111111"/>
          <w:sz w:val="28"/>
          <w:szCs w:val="28"/>
          <w:rtl w:val="true"/>
          <w:lang w:bidi="fa-IR"/>
        </w:rPr>
        <w:t>.</w:t>
      </w:r>
    </w:p>
    <w:p>
      <w:pPr>
        <w:pStyle w:val="Heading6"/>
        <w:numPr>
          <w:ilvl w:val="5"/>
          <w:numId w:val="1"/>
        </w:numPr>
        <w:rPr/>
      </w:pPr>
      <w:bookmarkStart w:id="209" w:name="__RefHeading___Toc141733_3244359995"/>
      <w:bookmarkStart w:id="210" w:name="_Toc80"/>
      <w:bookmarkEnd w:id="209"/>
      <w:r>
        <w:rPr>
          <w:rtl w:val="true"/>
        </w:rPr>
        <w:t>ثمرة البحث فی مسألة الضدّ</w:t>
      </w:r>
      <w:bookmarkEnd w:id="210"/>
    </w:p>
    <w:p>
      <w:pPr>
        <w:pStyle w:val="BookText"/>
        <w:rPr/>
      </w:pPr>
      <w:r>
        <w:rPr>
          <w:rFonts w:ascii="Amiri" w:hAnsi="Amiri" w:eastAsia="Amiri" w:cs="Amiri"/>
          <w:color w:val="111111"/>
          <w:sz w:val="28"/>
          <w:sz w:val="28"/>
          <w:szCs w:val="28"/>
          <w:rtl w:val="true"/>
          <w:lang w:bidi="ar-SA"/>
        </w:rPr>
        <w:t>للمسألة ثمرتان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الحکم بحرمة الضدّ فی صورة الاقتضاء، فإنّه حکم فقهی ینشأ من النهی عن الضدّ، ویوجب فعله العصیان والعقاب کما یوجب ترکه بقصد الإمتثال الثواب، بناءً علی أنّ الأمر الغیری أو النهی الغیری یوجب الثواب أو العقاب إذا أتی بالمأمور به أو المنهیّ عنه بقصد التوصّل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الضدّ إذا کان عبادة، لأنّ النهی یدلّ علی الفساد، فتصیر الصلاة فی المثال المزبور باطلة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یناقش فیه بأنّه مبنی علی کون متعلّق النهی مبغوضاً، والنهی المقدّمی لا یوجب مبغوضیّة متعلّقه، فلا یلزم منه فساده، ولکن قد عرفت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المناقشة فی المثال المعروف، لأنّ بطلان الصلاة مبنی علی فوریّة وجوب الإزالة أو أداء الدَین، ولا إشکال فی أنّها عرفیّة لا تنافی إتیان الصلاة بسرعة ثمّ الإزالة أو أداء الدَین من دون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المناقشة فی بعض الأمثلة لا تقدح فی أصل الحکم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شیخنا البهائی رحمه الله أورد علی هذه الثمرة بشی‌ء انتهی إلی بحث الترتّب، وهو أنّ بطلان الضدّ لیس متوقّفاً علی اقتضاء الأمر بالشی‌ء النهی عن ضدّه، بل أنّه ثابت</w:t>
      </w:r>
    </w:p>
    <w:p>
      <w:pPr>
        <w:pStyle w:val="BookText"/>
        <w:rPr/>
      </w:pPr>
      <w:r>
        <w:rPr>
          <w:rFonts w:ascii="IRNazanin" w:hAnsi="IRNazanin" w:eastAsia="IRNazanin"/>
          <w:color w:val="111111"/>
          <w:sz w:val="28"/>
          <w:sz w:val="28"/>
          <w:szCs w:val="28"/>
          <w:rtl w:val="true"/>
          <w:lang w:bidi="fa-IR"/>
        </w:rPr>
        <w:t>بناءً علی عدم الاقتضاء أیضاً، لأنّ الأمر بالشی‌ء لو لم یقتض النهی عن ضدّه فلا أقلّ من اقتضائه عدم الأمر بضدّه وإلّا یلزم التکلیف بالمحال؛ لامتناع الجمع بین الضدّین، فإذا لم یکن الضدّ مأموراً به بطل إذا کان عبادة، لأنّ صحّتها متوقّفة علی تعلّق الطلب بها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صحّة العبادة مجرّد قصد الملاک والمصلحة والرجحان الذاتی، ولا ینحصر قصد القربة المعتبرة فی العبادات بقصد الأمر فقط کی إذا سقط الأمر بطلت العبادة، کما مرّ بیانه فی مبحث التعبّدی والتوصّلی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الوجوب فی الصلاة مثلًا إنّما هو طبیعة الصلاة، وخصوصیّة الأفراد خارجة عن دائرة الأمر، ولا إشکال فی أنّ تکلیف العباد بإیجاد ماهیّة لا یتوقّف علی کون جمیع أفرادها مقدورة، وحینئذٍ سقوط الأمر بالنسبة إلی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الفرد المزاحَم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سقوط الأمر بالطبیعة مطلقاً، وإذا کان الأمر بالطبیعة باقیاً علی حاله أمکن الإتیان بذاک الفرد المزاحَم بقصد ذلک الأمر المتعلّق بکلّی الصلاة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الالتزام بوجود أمر خاصّ بالضدّ إذا کان أحدهما مهمّاً والآخر أهمّ، بأن یکون الأمر بالمهمّ علی فرض عصیان الأمر بالأهمّ ومشروطاً بعدم إمتثاله، وحینئذٍ یکون الأمر بالأهمّ مطلقاً، وأمّا الأمر بالمهمّ فهو مشروط بعصیان الأمر بالأهمّ علی نحو الشرط المتأخّر، أو مشروط بالبناء علی المعصیة أو إرادة المعصیة علی نحو الشرط المتقدّم أو المقارن، وهذا هو المراد من الأمر بالضدّین علی نحو الترتّب، وقد وقع البحث فی أنّه هل یجوز الأمر بالضدّین علی نحو الترتّب، أو لا؟</w:t>
      </w:r>
      <w:bookmarkStart w:id="211" w:name="pg16922_187609"/>
    </w:p>
    <w:p>
      <w:pPr>
        <w:pStyle w:val="Heading6"/>
        <w:numPr>
          <w:ilvl w:val="5"/>
          <w:numId w:val="1"/>
        </w:numPr>
        <w:rPr/>
      </w:pPr>
      <w:bookmarkStart w:id="212" w:name="__RefHeading___Toc141735_3244359995"/>
      <w:bookmarkStart w:id="213" w:name="_Toc81"/>
      <w:bookmarkEnd w:id="211"/>
      <w:bookmarkEnd w:id="212"/>
      <w:r>
        <w:rPr>
          <w:rtl w:val="true"/>
        </w:rPr>
        <w:t>الکلام فی الترتّب</w:t>
      </w:r>
      <w:bookmarkEnd w:id="213"/>
    </w:p>
    <w:p>
      <w:pPr>
        <w:pStyle w:val="BookText"/>
        <w:rPr/>
      </w:pPr>
      <w:r>
        <w:rPr>
          <w:rFonts w:ascii="IRNazanin" w:hAnsi="IRNazanin" w:eastAsia="IRNazanin"/>
          <w:color w:val="111111"/>
          <w:sz w:val="28"/>
          <w:sz w:val="28"/>
          <w:szCs w:val="28"/>
          <w:rtl w:val="true"/>
          <w:lang w:bidi="fa-IR"/>
        </w:rPr>
        <w:t xml:space="preserve">استدلّ القائلون بجواز الترتّب بوجوه </w:t>
      </w:r>
      <w:r>
        <w:rPr>
          <w:rStyle w:val="FootnoteAnchor"/>
          <w:rtl w:val="true"/>
        </w:rPr>
        <w:footnoteReference w:id="101"/>
      </w:r>
      <w:r>
        <w:rPr>
          <w:rFonts w:ascii="IRNazanin" w:hAnsi="IRNazanin" w:eastAsia="IRNazanin"/>
          <w:color w:val="111111"/>
          <w:sz w:val="28"/>
          <w:sz w:val="28"/>
          <w:szCs w:val="28"/>
          <w:rtl w:val="true"/>
          <w:lang w:bidi="fa-IR"/>
        </w:rPr>
        <w:t>عمدتها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فی الأمر بالضدّین إنّما هو التزاحم الموجود بین المهمّ والأهمّ، ولا إشکال فی أنّ التزاحم إنّما یتصوّر فیما إذا کان کلا الأمرین مطلقاً وفی عرض واحد، وأمّا إذا کان أحدهما مطلقاً والآخر مشروطاً بعصیانه فلا مضادّة ولا مطاردة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الوجدان حاکم بجواز الأمر الترتّبی ووقوعه فی الخارج، من قبیل أمر الوالد ولده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الفقه وإلّا فتعلّم الطبّ، وهکذا فی أوامر الموالی العرفیّة لعبیدهم،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الدار فی الساعة الفلانیّة وإن عصیتنی وخرجت من الدار فکن علی جانبه حتّی لو قصدنی عدو بسوء تسمع ندائی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اجیب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التزاحم والمضادّة وإن لم تکن بین الأمرین فی مرحلة الأمر بالأهمّ، ولکنّها موجودة بینهما فی مرحلة الأمر بالمهمّ، بداهة أنّ فعلیّة الأمر بالأهمّ باقیّة علی قوّتها ولا تسقط بإرادة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بالأهمّ وإن کان فعلیّاً بعد، ولکن لا یمنع عن الأمر بالمهمّ إذا کان ترک الأهمّ ناشئاً عن سوء اختیار المکلّف کما فیما نحن فیه، فهو بسوء اختیاره أوجب الجمع بین الأمر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الضدّین محال ولا یمکن صدور الأمر به من جانب المولی الحکیم، من دون فرق بین سوء اختیار المکلّف وحسن اختیاره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المزاحمة والمضادّة موجودة بین الأمرین المتعلّقین بضدّین إذا کانا فی عرض واحد لا ما إذا کان أحدهما فی طول الآخر، لأنّ الأمر بالمهمّ حینئذٍ یکون متوقّفاً علی إرادة عصیان الأمر بالأهمّ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المزاحمة والمطاردة وإن لم تکن موجودة فی مرتبة المهمّ، بالنسبة إلی</w:t>
      </w:r>
      <w:bookmarkStart w:id="214" w:name="pg16922_187610"/>
    </w:p>
    <w:p>
      <w:pPr>
        <w:pStyle w:val="BookText"/>
        <w:rPr/>
      </w:pPr>
      <w:bookmarkEnd w:id="214"/>
      <w:r>
        <w:rPr>
          <w:rFonts w:ascii="IRNazanin" w:hAnsi="IRNazanin" w:eastAsia="IRNazanin"/>
          <w:color w:val="111111"/>
          <w:sz w:val="28"/>
          <w:sz w:val="28"/>
          <w:szCs w:val="28"/>
          <w:rtl w:val="true"/>
          <w:lang w:bidi="fa-IR"/>
        </w:rPr>
        <w:t xml:space="preserve">الأهمّ ولکنّها موجودة من جانب الأهمّ بالنسبة إلی المهمّ والمزاحمة من جانب واحد أیضاً محال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 الوجه الثانی بتوجیه الأمر بالمهمّ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نظره ورفع یده عن الأمر بالأهمّ بعد عصیان العبد وبدّله بالأمر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المولی بالمهمّ لیس مولویاً بل إنّه إرشاد إلی بقاء محبوبیّته وملاکه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41737_3244359995"/>
      <w:bookmarkStart w:id="216" w:name="_Toc82"/>
      <w:bookmarkEnd w:id="215"/>
      <w:r>
        <w:rPr>
          <w:rtl w:val="true"/>
        </w:rPr>
        <w:t>بیان المختار فی المسألة</w:t>
      </w:r>
      <w:bookmarkEnd w:id="216"/>
    </w:p>
    <w:p>
      <w:pPr>
        <w:pStyle w:val="BookText"/>
        <w:rPr/>
      </w:pPr>
      <w:r>
        <w:rPr>
          <w:rFonts w:ascii="IRNazanin" w:hAnsi="IRNazanin" w:eastAsia="IRNazanin"/>
          <w:color w:val="111111"/>
          <w:sz w:val="28"/>
          <w:sz w:val="28"/>
          <w:szCs w:val="28"/>
          <w:rtl w:val="true"/>
          <w:lang w:bidi="fa-IR"/>
        </w:rPr>
        <w:t>الإنصاف عدم تمامیّة الجواب فی کلا الوجهین، أمّا الأوّل فلأنّ المستحیل إنّما هو الجمع بین الأهمّ والمهمّ فی مقام الإمتثال لا فی مقام الإنشاء، وفیما نحن فیه لم یجمع المولی بین طلب الأهمّ وطلب المهمّ فی مقام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للحکم مراتب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المصلحة والاستعداد والاقتضاء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الإنشاء من قبیل تصویب القانون فی مجالس التقنین فی یومنا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الفعلیّة والإبلاغ وهی مرحلة التنجیز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الإمتثال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المرحلة الاولی خارجة عن حقیقة الحکم کالمرحلة الرابعة، فإنّه لا إشکال فی أنّ المصلحة من مبادئ الحکم لا من مراتب نفس الحکم، کما أنّ الإمتثال مرحلة متأخّرة عن الحکم، فالمراتب الحقیقیّة للحکم عبارة عن مرحلة الإنشاء ومرحلة الفعلیّة، وعدّ غیرهما من مراتبه إنّما هو من باب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لا معنی للمضادّة والمطاردة بین الضدّین بالنسبة إلی المرحلة الاولی؛ لأنّه یمکن أن یکون لکلّ من الضدّین مصلحة غیر مصلحة الآخر، فکما أنّ إنقاذ ابن المولی یکون ذا مصلحة، یکون إنقاذ عبده أیضاً ذا مصلحة إلّاأنّ الاولی أهمّ والثانیة مهمّ، بل إنّه لازم معنی التزاحم بین الأمرین، فلو لم یکن لکلّ منهما مصلحة لم یقع بینهما تزاحم، بل أکثر الامور مشتملة علی مصالح متزاحمة، بعضها أهمّ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المرحلة الثانیة؛ أی مرحلة الإنشاء، فإنّ إنشاء الأمر بالأهمّ لا ینافی إنشاء الأمر بالمهمّ مع قطع النظر عن مرحلة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مرحلة الفعلیّة؛ لأنّه ما دام المولی لم یأمر فی مرحلة الإنشاء بالجمع بین الحکمین فی آنٍ واحد لم یلزم مضادّة فی مرحلة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بالواجب الفوری ینحلّ إلی أوامر متعدّدة بتعدّد الآنات، ففی کلّ آن إذا فرض العصیان کان الأمر بالأهمّ ساقطاً وصار المهمّ منجّزاً، وهکذا فی الآن الثانی والثالث إلی آخر الآنات، وعلیه فلا یجتمع فی آنٍ من الآنات أمران منجّزان بفعلین متضادّین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الحکم بالنسبة إلی المرحلة الرابعة، لأنّ المولی إذا لم یأمر بالجمع بین الفعلین فی مرحلة الإنشاء والفعلیّة لم یجب علی المکلّف إتیانهما فی آنٍ واحد فی مقام الإمتثال فلا مضادّة بینهما فی هذه المرحلة أیضاً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وهو دلیل الوجدان، فإنّه قویّ جدّاً ومجرّد افتراض کون الأمر بالمهمّ إرشادیّاً فی بعض الموارد لا یستلزم أن یکون کذلک فی سائر الموارد، وهکذا رفع الید عن الأمر بالأهمّ فی بعض الموارد لا یستلزم رفع الید عنه فی الجمیع، فإنّا نجد بوجداننا فی کثیر من الموارد أنّ المولی یأمر بالمهمّ مولویاً مع بقاء أمره بالأهمّ علی قوّته بتصریحه بذلک، فیقول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الفقیر بهذا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علی ذلک بمرّات فإذا شاهد عصیان العبد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لک أطعم الفقیر بهذا الطعام</w:t>
      </w:r>
      <w:bookmarkStart w:id="217" w:name="pg16922_187612"/>
    </w:p>
    <w:p>
      <w:pPr>
        <w:pStyle w:val="BookText"/>
        <w:rPr/>
      </w:pPr>
      <w:bookmarkEnd w:id="217"/>
      <w:r>
        <w:rPr>
          <w:rFonts w:ascii="IRNazanin" w:hAnsi="IRNazanin" w:eastAsia="IRNazanin"/>
          <w:color w:val="111111"/>
          <w:sz w:val="28"/>
          <w:sz w:val="28"/>
          <w:szCs w:val="28"/>
          <w:rtl w:val="true"/>
          <w:lang w:bidi="fa-IR"/>
        </w:rPr>
        <w:t>وإن کنت لا تطعمه فکله بنفسک ولا تسرف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یأمر الوالد ولده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جماعة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تصلّ جماعة فصلّ فرادی فی الدار أو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الأوامر المتداولة بین الموالی والعبید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عدم المضادّة بین الأمر بالأهمّ والمهمّ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مقام الإثبات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الخطابین اللّذین تعلّقا بالأهمّ والمهمّ مطلق، ولا دلیل علی تقیید الأمر بالمهمّ بعصیان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إطلاق کلا الخطابین مستلزماً لطلب المحال فی مقام الإمتثال ولم یکن إشکال فی مقام الثبوت فی الأمر الترتّبی بحکم العقل یلزم تقیید أحد الخطابین بمقدار یوجب ارتفاع الاستحالة فحسب، فإنّ الضرورات تتقدّر بقدرها،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لتقیید الأهمّ بترک المهمّ لمکان أهمّیته فیتعیّن تقیید المهمّ بعصیان الأهمّ وهو المطلوب</w:t>
      </w:r>
      <w:r>
        <w:rPr>
          <w:rFonts w:eastAsia="IRNazanin" w:cs="IRNazanin"/>
          <w:color w:val="111111"/>
          <w:sz w:val="28"/>
          <w:szCs w:val="28"/>
          <w:rtl w:val="true"/>
          <w:lang w:bidi="fa-IR"/>
        </w:rPr>
        <w:t>.</w:t>
      </w:r>
    </w:p>
    <w:p>
      <w:pPr>
        <w:pStyle w:val="Heading6"/>
        <w:numPr>
          <w:ilvl w:val="5"/>
          <w:numId w:val="1"/>
        </w:numPr>
        <w:rPr/>
      </w:pPr>
      <w:bookmarkStart w:id="218" w:name="__RefHeading___Toc141739_3244359995"/>
      <w:bookmarkStart w:id="219" w:name="_Toc83"/>
      <w:bookmarkEnd w:id="218"/>
      <w:r>
        <w:rPr>
          <w:rtl w:val="true"/>
        </w:rPr>
        <w:t>بقی هنا امور</w:t>
      </w:r>
      <w:r>
        <w:rPr>
          <w:rtl w:val="true"/>
        </w:rPr>
        <w:t>:</w:t>
      </w:r>
      <w:bookmarkEnd w:id="219"/>
    </w:p>
    <w:p>
      <w:pPr>
        <w:pStyle w:val="Heading6"/>
        <w:numPr>
          <w:ilvl w:val="5"/>
          <w:numId w:val="1"/>
        </w:numPr>
        <w:rPr/>
      </w:pPr>
      <w:bookmarkStart w:id="220" w:name="__RefHeading___Toc141741_3244359995"/>
      <w:bookmarkStart w:id="221" w:name="_Toc84"/>
      <w:bookmarkEnd w:id="220"/>
      <w:r>
        <w:rPr/>
        <w:t>1</w:t>
      </w:r>
      <w:r>
        <w:rPr>
          <w:rtl w:val="true"/>
        </w:rPr>
        <w:t xml:space="preserve">. </w:t>
      </w:r>
      <w:r>
        <w:rPr>
          <w:rtl w:val="true"/>
        </w:rPr>
        <w:t>المناقشة فی بعض الأمثلة المذکورة للأمرین المترتّبین</w:t>
      </w:r>
      <w:bookmarkEnd w:id="221"/>
    </w:p>
    <w:p>
      <w:pPr>
        <w:pStyle w:val="BookText"/>
        <w:rPr/>
      </w:pPr>
      <w:r>
        <w:rPr>
          <w:rFonts w:ascii="IRNazanin" w:hAnsi="IRNazanin" w:eastAsia="IRNazanin"/>
          <w:color w:val="111111"/>
          <w:sz w:val="28"/>
          <w:sz w:val="28"/>
          <w:szCs w:val="28"/>
          <w:rtl w:val="true"/>
          <w:lang w:bidi="fa-IR"/>
        </w:rPr>
        <w:t>قد تبیّن ممّا ذکرنا أنّه لا حاجة إلی دلیل فی مقام الإثبات بل یکفی إمکانه العقلی ثبوتاً، لأنّه إذا کان للشارع أمران مطلقان أحدهما بالإزالة مثلًا والآخر بالصلاة، فلا إشکال فی أنّ لازم بقائهما علی إطلاقهما فی صورة التزاحم طلب المحال، ولابدّ من تقیید أحدهما لرفع هذا المحذور، وحیث إنّ المفروض أنّ أحدهما أهمّ من الآخر لفوریته فلا یمکن تقییده، فیتعیّن تقیید المهمّ وهو الصلاة فی المثال بعصیان الأهمّ، ونتیجته بقاء الأهمّ علی إطلاقه وتقیید المهمّ بعصیان الأهمّ، ولا دلیل علی رفع الید من الدلیلین بأکثر من هذا المقدار، لأنّ الضرورات تتقدّر بقدرها، ولیس المقصود من الترتّب إلّاهذا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بوقوع موارد من الأمر الترتّبی فی لسان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حرمت الإقامة علی المسافر فی مکان مخصوص، فإنّه مع کونه مکلّفاً فعلًا بترک الإقامة وهدم موضوع وجوب الصوم مکلّف بالصوم قطعاً علی تقدیر عصیانه لهذا الخطاب وقصده الإقامة، ولا یمکن لأحدٍ الالتزام بعدم وجوب الصوم علیه علی تقدیر قصده الإقامة عصیاناً ولیس ذلک إلّاللترتّب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وجوب الإقامة علی المسافر من أوّل الزوال فیکون وجوب القصر علیه مترتّباً علی عصیان وجوب الإقامة، حیث إنّه لو عصی ولم یقصد الإقامة توجّه خطاب القصر، وکذا لو فرض حرمة الإقامة فإنّ وجوب التمام یکون مترتّباً علی عصیان حرمة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المترتّب علی عصیان خطاب أداء الدَین إذا لم یکن الدَین من عام الربح، وأمّا إذا کان من عام الربح فیکون خطاب أداء الدَین بنفس وجوده رافعاً لخطاب الخمس لا بإمتثاله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الإنصاف أنّ جمیع هذه الموارد خارجة عن مسألة الترتّب بل إنّها من قبیل تبدّل الموضوع، فإنّ وجوب القصر علی المسافر فی صورة عدم قصده الإقامة فی المورد الثانی یکون من باب بقاء موضوع المسافر علی حاله ومن باب صدق عنوان المسافر علیه، ووجوب الصیام علیه فی صورة قصده الإقامة مع حرمته علیه فی المورد الأوّل یکون أیضاً من باب تبدّل موضوع المسافر إلی الحاضر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المورد الثالث؛ لأنّه لعصیانه وعدم أدائه الدَین بربحه یصیر مشمولًا لآیة الغنیمة إذا کان الدَین من السنین السابقة، ویتحقّق موضوع الغنیمة والفائدة، فیجب علیه التخمیس، وهذا بخلاف وجوب الصلاة فی صورة عدم الإزالة؛ لأنّه بعصیانه وجوب الإزالة لم یتغیّر موضوع الإزالة إلی موضوع آخر، بل أنّها باقیّة علی وجوبها وإنّما هی مزاحمة للصّلاة فقط لا أکثر، فقیاس ما نحن فیه بتلک الموارد مع الفارق ولا ربط بین المسألتین</w:t>
      </w:r>
      <w:r>
        <w:rPr>
          <w:rFonts w:eastAsia="IRNazanin" w:cs="IRNazanin"/>
          <w:color w:val="111111"/>
          <w:sz w:val="28"/>
          <w:szCs w:val="28"/>
          <w:rtl w:val="true"/>
          <w:lang w:bidi="fa-IR"/>
        </w:rPr>
        <w:t>.</w:t>
      </w:r>
      <w:bookmarkStart w:id="222" w:name="pg16922_187614"/>
    </w:p>
    <w:p>
      <w:pPr>
        <w:pStyle w:val="Heading6"/>
        <w:numPr>
          <w:ilvl w:val="5"/>
          <w:numId w:val="1"/>
        </w:numPr>
        <w:rPr/>
      </w:pPr>
      <w:bookmarkStart w:id="223" w:name="__RefHeading___Toc141743_3244359995"/>
      <w:bookmarkStart w:id="224" w:name="_Toc85"/>
      <w:bookmarkEnd w:id="222"/>
      <w:bookmarkEnd w:id="223"/>
      <w:r>
        <w:rPr/>
        <w:t>2</w:t>
      </w:r>
      <w:r>
        <w:rPr>
          <w:rtl w:val="true"/>
        </w:rPr>
        <w:t xml:space="preserve">. </w:t>
      </w:r>
      <w:r>
        <w:rPr>
          <w:rtl w:val="true"/>
        </w:rPr>
        <w:t>عدم تعدّد العقاب فی صورة مخالفة الأمر الترتّبی</w:t>
      </w:r>
      <w:bookmarkEnd w:id="224"/>
    </w:p>
    <w:p>
      <w:pPr>
        <w:pStyle w:val="BookText"/>
        <w:rPr/>
      </w:pPr>
      <w:r>
        <w:rPr>
          <w:rFonts w:ascii="IRNazanin" w:hAnsi="IRNazanin" w:eastAsia="IRNazanin"/>
          <w:color w:val="111111"/>
          <w:sz w:val="28"/>
          <w:sz w:val="28"/>
          <w:szCs w:val="28"/>
          <w:rtl w:val="true"/>
          <w:lang w:bidi="fa-IR"/>
        </w:rPr>
        <w:t>ممّا اورد علی القول بجواز الترتّب ما ذکره المحقّق الخراسانی رحمه الله من أنّه بناءً علی جواز الترتّب لا إشکال فی تعدّد الأمر، واقتضاء کلّ واحد منهما عقاباً علی ترکه علی تقدیر ترکهما فیتعدّد العقاب، مع أنّ لازمه هو العقاب علی أمر غیر مقدور لأنّ المفروض أنّ المکلّف کان قادراً علی الإتیان بأحد الضدّین فقط</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نلتزم بتعدّد العقاب بل لا مناص منه لأنّ المستحیل إنّما هو کون العقاب علی ترک الجمع بین الواجبین، لا کونه علی الجمع فی الترک، بمعنی أنّه یعاقب علی ترک کلّ منهما فی حال ترک الآخر، والجمع بین ترکی الأهمّ والمهمّ خارجاً مقدور للمکلّف فلا یکون العقاب علیه عقاباً علی غیر مقدور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وإن کان متعدّداً ولکن علی نحو الترتّب فیکون المطلوب علی کلّ تقدیر شی‌ء واحد، فیکون العقاب واحداً ولکنّه یعاقب بمقدار العقاب علی ترک الأهمّ بناءً علی ترک کلیهما، وبمقدار ما به التفاوت بین عقاب الأهمّ وعقاب المهمّ بناءً علی ترک الأهمّ وإتیان المهمّ،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لا یمکنه إرادة کلیهما معاً، فکیف یعاقب علی ترکهما معاً؟ والظاهر أنّ منشأ الاشتباه هو الخلط بین الأوامر المطلقة والمترتّبة</w:t>
      </w:r>
      <w:r>
        <w:rPr>
          <w:rFonts w:eastAsia="IRNazanin" w:cs="IRNazanin"/>
          <w:color w:val="111111"/>
          <w:sz w:val="28"/>
          <w:szCs w:val="28"/>
          <w:rtl w:val="true"/>
          <w:lang w:bidi="fa-IR"/>
        </w:rPr>
        <w:t>.</w:t>
      </w:r>
    </w:p>
    <w:p>
      <w:pPr>
        <w:pStyle w:val="Heading6"/>
        <w:numPr>
          <w:ilvl w:val="5"/>
          <w:numId w:val="1"/>
        </w:numPr>
        <w:rPr/>
      </w:pPr>
      <w:bookmarkStart w:id="225" w:name="__RefHeading___Toc141745_3244359995"/>
      <w:bookmarkStart w:id="226" w:name="_Toc86"/>
      <w:bookmarkEnd w:id="225"/>
      <w:r>
        <w:rPr/>
        <w:t>3</w:t>
      </w:r>
      <w:r>
        <w:rPr>
          <w:rtl w:val="true"/>
        </w:rPr>
        <w:t xml:space="preserve">. </w:t>
      </w:r>
      <w:r>
        <w:rPr>
          <w:rtl w:val="true"/>
        </w:rPr>
        <w:t>ثمرات البحث عن الترتّب</w:t>
      </w:r>
      <w:bookmarkEnd w:id="22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العمل إذا کان من العبادات من طریق قصد الأمر، فإنّ لازم جواز الترتّب کون الصلاة مثلًا فی المثال المعروف مأموراً بها فیمکن إتیانها بقصد هذا الأمر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إذا أتی بالصلاة إخفاتاً بدل إتیانها جهراً وبالعکس، أو أتی بالصلاة</w:t>
      </w:r>
    </w:p>
    <w:p>
      <w:pPr>
        <w:pStyle w:val="BookText"/>
        <w:rPr/>
      </w:pPr>
      <w:r>
        <w:rPr>
          <w:rFonts w:ascii="IRNazanin" w:hAnsi="IRNazanin" w:eastAsia="IRNazanin"/>
          <w:color w:val="111111"/>
          <w:sz w:val="28"/>
          <w:sz w:val="28"/>
          <w:szCs w:val="28"/>
          <w:rtl w:val="true"/>
          <w:lang w:bidi="fa-IR"/>
        </w:rPr>
        <w:t xml:space="preserve">قصراً بدل إتیانها تماماً وبالعکس، فقد ذهب المشهور إلی صحّة الصلاة إذا کان جاهلًا مقصّراً مع ترتّب العقاب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استشکل علیهم بأنّه کیف یترتّب العقاب مع صحّة الصلاة، فمن الوجوه الّتی ذکرت لحلّ هذا الإشکال ما ذکره الشیخ الکبیر کاشف الغطاء رحمه الله من أنّه داخل فی باب الترتّب، وأنّ المکلّف مأمور أوّلًا بإتیان الصلاة جهراً مثلًا، وعلی فرض عصیانه بترک التعلّم مأمور به إخفاتاً، فهو یثاب علی إتیان المهمّ وهو الصلاة عن إخفات، ویعاقب علی ترک الأهمّ وهو الصلاة عن جهرٍ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وتحقیق المسألة موکول إلی الفقه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کشف الأمر بالمهمّ مع ترک الأهمّ، لأنّ وجوب المهمّ أی وجوب الصلاة فیما إذا ترک الإزالة حکم من الأحکام الخمسة وفرع من الفروعات الفقهیّة، والمسألة الاصولیّة هی ما یستنبط منها حکم من الأحکام الفقهیّة</w:t>
      </w:r>
      <w:r>
        <w:rPr>
          <w:rFonts w:eastAsia="IRNazanin" w:cs="IRNazanin"/>
          <w:color w:val="111111"/>
          <w:sz w:val="28"/>
          <w:szCs w:val="28"/>
          <w:rtl w:val="true"/>
          <w:lang w:bidi="fa-IR"/>
        </w:rPr>
        <w:t>.</w:t>
      </w:r>
      <w:bookmarkStart w:id="227" w:name="pg16922_187617"/>
    </w:p>
    <w:p>
      <w:pPr>
        <w:pStyle w:val="Heading4"/>
        <w:numPr>
          <w:ilvl w:val="3"/>
          <w:numId w:val="1"/>
        </w:numPr>
        <w:rPr/>
      </w:pPr>
      <w:bookmarkStart w:id="228" w:name="__RefHeading___Toc141747_3244359995"/>
      <w:bookmarkStart w:id="229" w:name="_Toc87"/>
      <w:bookmarkEnd w:id="227"/>
      <w:bookmarkEnd w:id="228"/>
      <w:r>
        <w:rPr>
          <w:rtl w:val="true"/>
        </w:rPr>
        <w:t>الفصل الرابع</w:t>
      </w:r>
      <w:r>
        <w:rPr>
          <w:rtl w:val="true"/>
        </w:rPr>
        <w:t xml:space="preserve">: </w:t>
      </w:r>
      <w:r>
        <w:rPr>
          <w:rtl w:val="true"/>
        </w:rPr>
        <w:t>اجتماع الامر والنهی</w:t>
      </w:r>
      <w:bookmarkEnd w:id="229"/>
    </w:p>
    <w:p>
      <w:pPr>
        <w:pStyle w:val="Heading5"/>
        <w:numPr>
          <w:ilvl w:val="4"/>
          <w:numId w:val="1"/>
        </w:numPr>
        <w:rPr/>
      </w:pPr>
      <w:bookmarkStart w:id="230" w:name="__RefHeading___Toc141749_3244359995"/>
      <w:bookmarkStart w:id="231" w:name="_Toc88"/>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والبحث عنه ومایرتبط به یقع فی ضمن امور</w:t>
      </w:r>
      <w:r>
        <w:rPr>
          <w:rFonts w:eastAsia="IRNazanin" w:cs="IRNazanin"/>
          <w:color w:val="111111"/>
          <w:sz w:val="28"/>
          <w:szCs w:val="28"/>
          <w:rtl w:val="true"/>
          <w:lang w:bidi="fa-IR"/>
        </w:rPr>
        <w:t>:</w:t>
      </w:r>
    </w:p>
    <w:p>
      <w:pPr>
        <w:pStyle w:val="Heading5"/>
        <w:numPr>
          <w:ilvl w:val="4"/>
          <w:numId w:val="1"/>
        </w:numPr>
        <w:rPr/>
      </w:pPr>
      <w:bookmarkStart w:id="232" w:name="__RefHeading___Toc141751_3244359995"/>
      <w:bookmarkStart w:id="233" w:name="_Toc89"/>
      <w:bookmarkEnd w:id="232"/>
      <w:r>
        <w:rPr/>
        <w:t>1</w:t>
      </w:r>
      <w:r>
        <w:rPr>
          <w:rtl w:val="true"/>
        </w:rPr>
        <w:t xml:space="preserve">. </w:t>
      </w:r>
      <w:r>
        <w:rPr>
          <w:rtl w:val="true"/>
        </w:rPr>
        <w:t>هذه المسألة من المسائل الاصولیّة العقلیّة</w:t>
      </w:r>
      <w:bookmarkEnd w:id="233"/>
    </w:p>
    <w:p>
      <w:pPr>
        <w:pStyle w:val="BookText"/>
        <w:rPr/>
      </w:pPr>
      <w:r>
        <w:rPr>
          <w:rFonts w:ascii="IRNazanin" w:hAnsi="IRNazanin" w:eastAsia="IRNazanin"/>
          <w:color w:val="111111"/>
          <w:sz w:val="28"/>
          <w:sz w:val="28"/>
          <w:szCs w:val="28"/>
          <w:rtl w:val="true"/>
          <w:lang w:bidi="fa-IR"/>
        </w:rPr>
        <w:t xml:space="preserve">المشهور فی عنوان المسألة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الأمر والنهی فی واحد أو لا؟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وإن کان الأولی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الأمر والنهی علی عنوانین متصادقین علی واحد أحیاناً،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المسألة عقلیّة حیث إنّ من الواضح أنّ قضیّة جواز اجتماع الأمر والنهی المتعلّقین بعنوانین متصادقین علی فعل واحد وعدمه لا یدور مدار الألفاظ قطعاً، مثل ما إذا ثبت الوجوب والحرمة بالإجماع و نحوه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المسألة من المبادئ التصدیقیّة لعلم الاصول ولیست من مسائله، لأنّها لا تقع فی طریق استنباط الحکم الکلّی الشرعی بلا واسطة ضمّ کبری اصولیّة، والضابط لکون المسألة اصولیّة هو وقوعها فی طریق الاستنباط بلا واسطة، والمفروض أنّ هذه المسألة لیست کذلک، فإنّ فساد العبادة لا یترتّب علی القول بالامتناع فحسب، بل لابدّ من ضمّ کبری اصولیّة إلیه، وهی قواعد مسألة</w:t>
      </w:r>
      <w:bookmarkStart w:id="234" w:name="pg16922_187618"/>
    </w:p>
    <w:p>
      <w:pPr>
        <w:pStyle w:val="BookText"/>
        <w:rPr/>
      </w:pPr>
      <w:bookmarkEnd w:id="234"/>
      <w:r>
        <w:rPr>
          <w:rFonts w:ascii="IRNazanin" w:hAnsi="IRNazanin" w:eastAsia="IRNazanin"/>
          <w:color w:val="111111"/>
          <w:sz w:val="28"/>
          <w:sz w:val="28"/>
          <w:szCs w:val="28"/>
          <w:rtl w:val="true"/>
          <w:lang w:bidi="fa-IR"/>
        </w:rPr>
        <w:t xml:space="preserve">التعارض، فإنّ هذه المسألة علی القول بالامتناع تدخل فی کبری تلک المسألة وتکون من إحدی صغریاتها، فیترتّب فساد العبادة بعد إعمال قواعد التعارض وتطبیقها فی المسألة لا مطلقاً، وهذا شأن کون المسألة من المبادئ التصدیقیّة لمسائل علم الاصول دون المسائل الاصولیّة نفسها، کما أنّها علی القول بالجواز تدخل فی کبری مسألة التزاحم فتدخل فی مبادئ بحث التزاحم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المسألة الاصولیّة وقوعها فی طریق استنباط الحکم الشرعی سواء کان بضمّ ضمیمة أم لا، وإلّا یلزم خروج عدّة من المسائل الهامّة لعلم الاصول عن کونها اصولیة کمسألة حجّیة خبر الواحد الّتی یستنتج منها الحکم الشرعی بعد ضمّ مسألة حجّیة الظواهر إلیها</w:t>
      </w:r>
      <w:r>
        <w:rPr>
          <w:rFonts w:eastAsia="IRNazanin" w:cs="IRNazanin"/>
          <w:color w:val="111111"/>
          <w:sz w:val="28"/>
          <w:szCs w:val="28"/>
          <w:rtl w:val="true"/>
          <w:lang w:bidi="fa-IR"/>
        </w:rPr>
        <w:t>.</w:t>
      </w:r>
    </w:p>
    <w:p>
      <w:pPr>
        <w:pStyle w:val="Heading5"/>
        <w:numPr>
          <w:ilvl w:val="4"/>
          <w:numId w:val="1"/>
        </w:numPr>
        <w:rPr/>
      </w:pPr>
      <w:bookmarkStart w:id="235" w:name="__RefHeading___Toc141753_3244359995"/>
      <w:bookmarkStart w:id="236" w:name="_Toc90"/>
      <w:bookmarkEnd w:id="235"/>
      <w:r>
        <w:rPr/>
        <w:t>2</w:t>
      </w:r>
      <w:r>
        <w:rPr>
          <w:rtl w:val="true"/>
        </w:rPr>
        <w:t xml:space="preserve">. </w:t>
      </w:r>
      <w:r>
        <w:rPr>
          <w:rtl w:val="true"/>
        </w:rPr>
        <w:t>اعتبار قید المندوحة ولزوم أخذه فی محلّ النزاع</w:t>
      </w:r>
      <w:bookmarkEnd w:id="236"/>
    </w:p>
    <w:p>
      <w:pPr>
        <w:pStyle w:val="BookText"/>
        <w:rPr/>
      </w:pPr>
      <w:r>
        <w:rPr>
          <w:rFonts w:ascii="IRNazanin" w:hAnsi="IRNazanin" w:eastAsia="IRNazanin"/>
          <w:color w:val="111111"/>
          <w:sz w:val="28"/>
          <w:sz w:val="28"/>
          <w:szCs w:val="28"/>
          <w:rtl w:val="true"/>
          <w:lang w:bidi="fa-IR"/>
        </w:rPr>
        <w:t>والمراد من المندوحة کون المکلّف فی فسحة من إتیان المأمور به فی غیر مورد الاجتماع، کما إذا وجد أرضاً مباحة لإتیان الصلاة فیها ولکن صلّی فی الدار المغصوبة، وقد وقع الکلام فی أنّه هل یجری النزاع فی خصوص موارد وجود المندوحة أو یجری عند عدمها أیضاً؟</w:t>
      </w:r>
    </w:p>
    <w:p>
      <w:pPr>
        <w:pStyle w:val="BookText"/>
        <w:rPr/>
      </w:pPr>
      <w:r>
        <w:rPr>
          <w:rFonts w:ascii="IRNazanin" w:hAnsi="IRNazanin" w:eastAsia="IRNazanin"/>
          <w:color w:val="111111"/>
          <w:sz w:val="28"/>
          <w:sz w:val="28"/>
          <w:szCs w:val="28"/>
          <w:rtl w:val="true"/>
          <w:lang w:bidi="fa-IR"/>
        </w:rPr>
        <w:t>والأقوال فی اعتبارها وعدمه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الاعتبار وعلیه أکثر الأعلام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حصل الاجتماع بسوء الاختیار کمن أوقع نفسه عمداً</w:t>
      </w:r>
    </w:p>
    <w:p>
      <w:pPr>
        <w:pStyle w:val="BookText"/>
        <w:rPr/>
      </w:pPr>
      <w:r>
        <w:rPr>
          <w:rFonts w:ascii="IRNazanin" w:hAnsi="IRNazanin" w:eastAsia="IRNazanin"/>
          <w:color w:val="111111"/>
          <w:sz w:val="28"/>
          <w:sz w:val="28"/>
          <w:szCs w:val="28"/>
          <w:rtl w:val="true"/>
          <w:lang w:bidi="fa-IR"/>
        </w:rPr>
        <w:t>فی الأرض المغصوبة فی ضیق الوقت فلا یکون معتبراً، بل یجری النزاع مع عدم وجودها أیضاً، وما إذا لم یکن بسوء الاختیار فیکون معتبراً، أی یجری النزاع حینئذٍ فی خصوص ما إذا کانت المندوحة موجودة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المحقّق الخراسانی رحمه الله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المهمّ المبحوث عنه فی المقام هو استحالة اجتماع الأمر والنهی من ناحیة وحدة المتعلّق وتعدّده وأنّه هل یستلزم الاجتماع، التکلیف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تمشّی الإرادة من المولی بالإضافة إلی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وهو غیر التکلیف بالمحال الذی معناه التکلیف بما لا یطاق، واعتبار وجود المندوحة وعدمه مرتبط بالتکلیف بالمحال؛ حیث إنّه إذا لم توجد المندوحة یلزم التکلیف بما لا یطاق وإذا وجدت المندوحة فلا یلزم ذلک، فاعتبار هذا القید غیر لازم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اختصاص محلّ النزاع بلزوم التکلیف المحال، فإنّ عنوان البحث یعمّ الإمکان من ناحیة التکلیف المحال، ومن ناحیة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اعترف به المحقّق الخراسانی رحمه الله أیضاً فی ذیل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لابدّ من اعتبارها فی الحکم بالجواز فعلًا لمن یری التکلیف بالمحال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المعنون فی عنوان المسألة إنّما هو جواز اجتماع الأمر والنهی الفعلیین، ولا إشکال فی عدم کون أحد الحکمین فعلیاً فی صورة فقدان المندوحة ووقوع التزاحم، لأنّه تکلیف بالمحال، فالحقّ اعتبار قید المندوحة فی محلّ النزاع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الخلل فی القول بالتفصیل؛ لأنّ المولی لا یکلّف بما لا یطاق سواء کان عدم الطاقة والقدرة بسوء اختیار المکلّف أو لم یکن</w:t>
      </w:r>
      <w:r>
        <w:rPr>
          <w:rFonts w:eastAsia="IRNazanin" w:cs="IRNazanin"/>
          <w:color w:val="111111"/>
          <w:sz w:val="28"/>
          <w:szCs w:val="28"/>
          <w:rtl w:val="true"/>
          <w:lang w:bidi="fa-IR"/>
        </w:rPr>
        <w:t>.</w:t>
      </w:r>
      <w:bookmarkStart w:id="237" w:name="pg16922_187620"/>
    </w:p>
    <w:p>
      <w:pPr>
        <w:pStyle w:val="Heading5"/>
        <w:numPr>
          <w:ilvl w:val="4"/>
          <w:numId w:val="1"/>
        </w:numPr>
        <w:rPr/>
      </w:pPr>
      <w:bookmarkStart w:id="238" w:name="__RefHeading___Toc141755_3244359995"/>
      <w:bookmarkStart w:id="239" w:name="_Toc91"/>
      <w:bookmarkEnd w:id="237"/>
      <w:bookmarkEnd w:id="238"/>
      <w:r>
        <w:rPr/>
        <w:t>3</w:t>
      </w:r>
      <w:r>
        <w:rPr>
          <w:rtl w:val="true"/>
        </w:rPr>
        <w:t xml:space="preserve">. </w:t>
      </w:r>
      <w:r>
        <w:rPr>
          <w:rtl w:val="true"/>
        </w:rPr>
        <w:t>فی اعتبار وجود الملاکین فی المجمع</w:t>
      </w:r>
      <w:bookmarkEnd w:id="239"/>
    </w:p>
    <w:p>
      <w:pPr>
        <w:pStyle w:val="BookText"/>
        <w:rPr/>
      </w:pPr>
      <w:r>
        <w:rPr>
          <w:rFonts w:ascii="IRNazanin" w:hAnsi="IRNazanin" w:eastAsia="IRNazanin"/>
          <w:color w:val="111111"/>
          <w:sz w:val="28"/>
          <w:sz w:val="28"/>
          <w:szCs w:val="28"/>
          <w:rtl w:val="true"/>
          <w:lang w:bidi="fa-IR"/>
        </w:rPr>
        <w:t>یعتبر فی باب الاجتماع أن یکون کلّ واحد من الأمر والنهی واجداً للملاک والمناط، فلو کان کلّ من المناطین موجوداً فی المجمع فهو من باب اجتماع الأمر والنهی فی شی‌ء واحد، وحینئذٍ یکون المجمع محکوماً بکلا الحکمین بناءً علی مبنی الجواز، ویدخل فی باب التزاحم بناءً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أحدهما واجداً للملاک فی نفس الأمر دون الآخر، فهو داخل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 وأمّا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ما أفاده المحقّق الخراسانی رحمه الله فیه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أنّ المناط من قبیل الثانی، بمعنی أنّ أحد المناطین بلا تعیین موجود فیه دون الآخر، وفی هذه الصورة الدلیلان یتعارضان بالنسبة إلی المجمع علی کلّ من الجواز والامتناع، ولابدّ من علاج المعارضة حینئذٍ بینهما بالترجیح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أنّ کلًاّ من المناطین موجود فی المجمع، وفی هذه الصورة یکون الدلیلان متزاحمین بالنسبة إلی المجمع، فربّما کان الترجیح مع ما هو أضعف دلیلًا لکونه أقوی مناطاً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مسألتنا هذه لا یرتکز علی وجهة نظر مذهب الإمامیّة القائلین بتبعیّة الأحکام للملاکات الواقعیّة والجهات النفس الأمریة، بل یعمّ وجهة نظر جمیع المذاهب حتّی مذهب الأشعری المنکر للتبعیّة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اعتبار ما اعتبره المحقّق الخراسانی رحمه الله من وجود الملاکین فی المجمع، حیث إنّ مراده من وجود الملاک إنّما هو کون کلّ واحد من الدلیلین تامّ الاقتضاء بالنسبة إلی المجمع، أی لم یکن لفعلیته فی المجمع أیّ نقصان، سواء قلنا بوجود</w:t>
      </w:r>
      <w:bookmarkStart w:id="240" w:name="pg16922_187621"/>
    </w:p>
    <w:p>
      <w:pPr>
        <w:pStyle w:val="BookText"/>
        <w:rPr/>
      </w:pPr>
      <w:bookmarkEnd w:id="240"/>
      <w:r>
        <w:rPr>
          <w:rFonts w:ascii="IRNazanin" w:hAnsi="IRNazanin" w:eastAsia="IRNazanin"/>
          <w:color w:val="111111"/>
          <w:sz w:val="28"/>
          <w:sz w:val="28"/>
          <w:szCs w:val="28"/>
          <w:rtl w:val="true"/>
          <w:lang w:bidi="fa-IR"/>
        </w:rPr>
        <w:t>المصالح والمفاسد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واحد من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اجتماعهما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 لجمیع شرائط الفعلیّة، ولا إشکال فی أنّ النزاع فی باب الاجتماع إنّما هو فی جواز اجتماع الحکمین الفعلیین لا غیر</w:t>
      </w:r>
      <w:r>
        <w:rPr>
          <w:rFonts w:eastAsia="IRNazanin" w:cs="IRNazanin"/>
          <w:color w:val="111111"/>
          <w:sz w:val="28"/>
          <w:szCs w:val="28"/>
          <w:rtl w:val="true"/>
          <w:lang w:bidi="fa-IR"/>
        </w:rPr>
        <w:t>.</w:t>
      </w:r>
    </w:p>
    <w:p>
      <w:pPr>
        <w:pStyle w:val="Heading5"/>
        <w:numPr>
          <w:ilvl w:val="4"/>
          <w:numId w:val="1"/>
        </w:numPr>
        <w:rPr/>
      </w:pPr>
      <w:bookmarkStart w:id="241" w:name="__RefHeading___Toc141757_3244359995"/>
      <w:bookmarkStart w:id="242" w:name="_Toc92"/>
      <w:bookmarkEnd w:id="241"/>
      <w:r>
        <w:rPr/>
        <w:t>4</w:t>
      </w:r>
      <w:r>
        <w:rPr>
          <w:rtl w:val="true"/>
        </w:rPr>
        <w:t xml:space="preserve">. </w:t>
      </w:r>
      <w:r>
        <w:rPr>
          <w:rtl w:val="true"/>
        </w:rPr>
        <w:t>فی بیان ما یحرز به الملاکان فی المجمع</w:t>
      </w:r>
      <w:bookmarkEnd w:id="242"/>
    </w:p>
    <w:p>
      <w:pPr>
        <w:pStyle w:val="BookText"/>
        <w:rPr/>
      </w:pPr>
      <w:r>
        <w:rPr>
          <w:rFonts w:ascii="IRNazanin" w:hAnsi="IRNazanin" w:eastAsia="IRNazanin"/>
          <w:color w:val="111111"/>
          <w:sz w:val="28"/>
          <w:sz w:val="28"/>
          <w:szCs w:val="28"/>
          <w:rtl w:val="true"/>
          <w:lang w:bidi="fa-IR"/>
        </w:rPr>
        <w:t>یمکن إحراز الملاک وکشف المناط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إذا قام الإجماع علی عدم استثناء مورد من موارد الغصب وأنّه حرام حتّی بالنسبة إلی مکان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الدلیلین، فإنّ ظاهرهما وجود الملاک حتّی فی مورد الاجتماع، وفیه تفصیل من المحقّق الخراسانی رحمه الله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الإطلاقین إن کانا لبیان الحکم الاقتضائی فهما محرزان للملاکین فی المجمع، وإن کانا بصدد بیان الحکمین الفعلیین فإن قلنا بجواز الاجتماع فهما أیضاً محرزان لهما لعدم التنافی بینهما، وإن قلنا بالامتناع فالإطلاقان متنافیان، أی متعارضان فیسقط کلاهما عن الفعلیّة، فلا یثبت بهما المناطان جمیعاً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عدم تلائمهما فی مقام الفعلیّة قرینة علی أنّ کلیهما فی مقام بیان الحکم الاقتضائی فیثبت بهما المناطان فی هذه الصورة أیضاً، والمقصود من اقتضائیة الحکم هو حال الحکم مع قطع النظر عن حال الاجتماع فی المجمع</w:t>
      </w:r>
      <w:r>
        <w:rPr>
          <w:rFonts w:eastAsia="IRNazanin" w:cs="IRNazanin"/>
          <w:color w:val="111111"/>
          <w:sz w:val="28"/>
          <w:szCs w:val="28"/>
          <w:rtl w:val="true"/>
          <w:lang w:bidi="fa-IR"/>
        </w:rPr>
        <w:t>.</w:t>
      </w:r>
    </w:p>
    <w:p>
      <w:pPr>
        <w:pStyle w:val="Heading5"/>
        <w:numPr>
          <w:ilvl w:val="4"/>
          <w:numId w:val="1"/>
        </w:numPr>
        <w:rPr/>
      </w:pPr>
      <w:bookmarkStart w:id="243" w:name="__RefHeading___Toc141759_3244359995"/>
      <w:bookmarkStart w:id="244" w:name="_Toc93"/>
      <w:bookmarkEnd w:id="243"/>
      <w:r>
        <w:rPr/>
        <w:t>5</w:t>
      </w:r>
      <w:r>
        <w:rPr>
          <w:rtl w:val="true"/>
        </w:rPr>
        <w:t xml:space="preserve">. </w:t>
      </w:r>
      <w:r>
        <w:rPr>
          <w:rtl w:val="true"/>
        </w:rPr>
        <w:t>ثمرة بحث الاجتماع</w:t>
      </w:r>
      <w:bookmarkEnd w:id="244"/>
    </w:p>
    <w:p>
      <w:pPr>
        <w:pStyle w:val="BookText"/>
        <w:rPr/>
      </w:pPr>
      <w:r>
        <w:rPr>
          <w:rFonts w:ascii="IRNazanin" w:hAnsi="IRNazanin" w:eastAsia="IRNazanin"/>
          <w:color w:val="111111"/>
          <w:sz w:val="28"/>
          <w:sz w:val="28"/>
          <w:szCs w:val="28"/>
          <w:rtl w:val="true"/>
          <w:lang w:bidi="fa-IR"/>
        </w:rPr>
        <w:t>وقد ذکر لها المحقّق الخراسانی رحمه الله خمس صور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بالجواز، فلا إشکال حینئذٍ فی أنّ الإتیان بالمجمع</w:t>
      </w:r>
    </w:p>
    <w:p>
      <w:pPr>
        <w:pStyle w:val="BookText"/>
        <w:rPr/>
      </w:pPr>
      <w:r>
        <w:rPr>
          <w:rFonts w:ascii="IRNazanin" w:hAnsi="IRNazanin" w:eastAsia="IRNazanin"/>
          <w:color w:val="111111"/>
          <w:sz w:val="28"/>
          <w:sz w:val="28"/>
          <w:szCs w:val="28"/>
          <w:rtl w:val="true"/>
          <w:lang w:bidi="fa-IR"/>
        </w:rPr>
        <w:t>یوجب سقوط الأمر وحصول الإمتثال سواء کان العمل تعبّدیاً أو توصّلیاً وسواء کان الفاعل عالماً أو جاهلًا، نعم إتیان العالم عصیان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بالامتناع مع ترجیح جانب الأمر، فلا إشکال أیضاً فی وقوع الإمتثال بالنسبة إلی الأمر والعصیان بالنسبة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بالامتناع مع ترجیح جانب النهی وکان الواجب توصّلیاً فیکون العمل حینئذٍ صحیحاً مع حصول العصیان کغسل ثوبه بالماء الغصبی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بالامتناع مع ترجیح جانب النهی وکان الواجب تعبّدیاً مع کون الفاعل جاهلًا معذوراً کالجاهل فی الموضوعات مطلقاً لعدم وجوب الفحص فیها وکالجاهل القاصر فی الحکم، ففی هذه الصورة یقع العمل أیضاً صحیحاً لأنّه لا فعلیّة للنهی بالنسبة إلی الجاهل المعذور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قلنا بالامتناع مع ترجیح جانب النهی وکان الفعل تعبّدیاً مع کون الفاعل عالماً أو جاهلًا مقصّراً، ففی هذه الصورة یقع العمل باطلًا؛ لأنّه مع تعمّده أو تقصیره لا یحصل التقرّب بالعمل، ومعه لا یکاد یحصل به الغرض المطلوب من العبادة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یقال بفساد العمل فی الصورة الاولی أیضاً لأنّه وإن کان العنوان متعدّداً، وبتعدّده یتعدّد المعنون علی مبنی الجواز ولکن لا حسن للعمل العبادی إذا انطبق علیه عنوان محرّم، ومعه لا یحصل التقرّب ولا یسقط الأمر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عنوان الصلاة وعنوان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فی المجمع کمال الملازمة، فتسری مبغوضیّة أحدهما إلی الآخر عند العرف والعقلاء، فلا یمکن التقرّب به عرفاً، بل هذا ثابت حتّی فی بعض المقارنات الخارجیّة مثل ما إذا کان أمام المصلّی امرأة أجنبیّة مکشوفة عاریة وهو ینظر إلیها من التکبیر إلی التسلیم، فإنّ العرف والعقلاء یحکمون بعدم إمکان التقرّب بهذه الصلاة</w:t>
      </w:r>
      <w:r>
        <w:rPr>
          <w:rFonts w:eastAsia="IRNazanin" w:cs="IRNazanin"/>
          <w:color w:val="111111"/>
          <w:sz w:val="28"/>
          <w:szCs w:val="28"/>
          <w:rtl w:val="true"/>
          <w:lang w:bidi="fa-IR"/>
        </w:rPr>
        <w:t>.</w:t>
      </w:r>
      <w:bookmarkStart w:id="245" w:name="pg16922_187623"/>
    </w:p>
    <w:p>
      <w:pPr>
        <w:pStyle w:val="BookText"/>
        <w:rPr/>
      </w:pPr>
      <w:bookmarkEnd w:id="245"/>
      <w:r>
        <w:rPr>
          <w:rFonts w:ascii="IRNazanin" w:hAnsi="IRNazanin" w:eastAsia="IRNazanin"/>
          <w:color w:val="111111"/>
          <w:sz w:val="28"/>
          <w:sz w:val="28"/>
          <w:szCs w:val="28"/>
          <w:rtl w:val="true"/>
          <w:lang w:bidi="fa-IR"/>
        </w:rPr>
        <w:t>وهذا ما ندرکه بوجداننا العرفی العقلائی فإنّ المبعّد لا یمکن أن یکون مقرّباً، ولذلک قلنا فی محلّه ببطلان الصلاة إذا تقارنت مع المعاصی الکبیرة الّتی یحکم العرف بعدم کونها مقرّبة إلی اللَّه فی ذلک الحال حتّی علی مبنی جواز الاجتماع بحسب حکم العقل، فإنّ الدقّة العقلیّة غیر کافیة فی هذه المباحث</w:t>
      </w:r>
      <w:r>
        <w:rPr>
          <w:rFonts w:eastAsia="IRNazanin" w:cs="IRNazanin"/>
          <w:color w:val="111111"/>
          <w:sz w:val="28"/>
          <w:szCs w:val="28"/>
          <w:rtl w:val="true"/>
          <w:lang w:bidi="fa-IR"/>
        </w:rPr>
        <w:t>.</w:t>
      </w:r>
    </w:p>
    <w:p>
      <w:pPr>
        <w:pStyle w:val="Heading5"/>
        <w:numPr>
          <w:ilvl w:val="4"/>
          <w:numId w:val="1"/>
        </w:numPr>
        <w:rPr/>
      </w:pPr>
      <w:bookmarkStart w:id="246" w:name="__RefHeading___Toc141761_3244359995"/>
      <w:bookmarkStart w:id="247" w:name="_Toc94"/>
      <w:bookmarkEnd w:id="246"/>
      <w:r>
        <w:rPr/>
        <w:t>6</w:t>
      </w:r>
      <w:r>
        <w:rPr>
          <w:rtl w:val="true"/>
        </w:rPr>
        <w:t xml:space="preserve">. </w:t>
      </w:r>
      <w:r>
        <w:rPr>
          <w:rtl w:val="true"/>
        </w:rPr>
        <w:t>الأقوال فی المسألة</w:t>
      </w:r>
      <w:bookmarkEnd w:id="247"/>
    </w:p>
    <w:p>
      <w:pPr>
        <w:pStyle w:val="BookText"/>
        <w:rPr/>
      </w:pPr>
      <w:r>
        <w:rPr>
          <w:rFonts w:ascii="IRNazanin" w:hAnsi="IRNazanin" w:eastAsia="IRNazanin"/>
          <w:color w:val="111111"/>
          <w:sz w:val="28"/>
          <w:sz w:val="28"/>
          <w:szCs w:val="28"/>
          <w:rtl w:val="true"/>
          <w:lang w:bidi="fa-IR"/>
        </w:rPr>
        <w:t>بعد الفراغ عن مقدّمات البحث نذکر الأهمّ من الأقوال فی المسألة وهو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بالامتناع مطلقاً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بالجواز مطلقاً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المحقّق الخراسانی رحمه الله علی الامتناع بما یتوقّف علی مقدّمات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متضادّة فی مقام الفعلیّة وهی مقام البعث والزجر، وإن لم یکن بینها تضادّ فی مقام الاقتضاء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الأحکام هو فعل المکلّف الخارجی لا ما هو اسمه وعنوانه لأنّ الأحکام إنّما تتعلّق بحقیقة الشی‌ء وواقعه وما یترتّب علیه الخواص والآثار، والاسم والعنوان إنّما یؤخذ فی لسان الدلیل لأجل الإشارة بهما إلی المسمّی والمعنون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لا یوجب تعدّد المعنون ولا تنثلم وحدة المعنون، بتعدّد العنوان والشاهد علی ذلک صدق الصفات المتعدّدة علی الواجب تبارک وتعالی مثل کونه حیّاً عالماً قادراً إلی غیر ذلک من الصفات مع أنّه واحد أحد بسیط</w:t>
      </w:r>
    </w:p>
    <w:p>
      <w:pPr>
        <w:pStyle w:val="BookText"/>
        <w:rPr/>
      </w:pPr>
      <w:r>
        <w:rPr>
          <w:rFonts w:ascii="IRNazanin" w:hAnsi="IRNazanin" w:eastAsia="IRNazanin"/>
          <w:color w:val="111111"/>
          <w:sz w:val="28"/>
          <w:sz w:val="28"/>
          <w:szCs w:val="28"/>
          <w:rtl w:val="true"/>
          <w:lang w:bidi="fa-IR"/>
        </w:rPr>
        <w:t>من جمیع الجهات، فإذا کانت الصفات المتعدّدة تصدق علی الواحد البسیط من جمیع الجهات ولا ینافی ذلک وحدته وعدم تعدّده، فبطریق أولی تصدق علی غیره ممّا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لوجود واحد إلّاماهیة واحدة ویستحیل تغایر الوجود وماهیّته فی الوحدة والتعدّد، فالمجمع وإن تصادق علیه متعلّقا الأمر والنهی إلّاأنّه کما یکون واحداً وجوداً یکون واحداً ماهیة وذاتاً، فلا فرق فی امتناع الاجتماع بین القول بأصالة الوجود والقول بأصالة الماهیة، کما أنّ العنوانین المتصادقین علی المجمع لیسا من قبیل الجنس والفصل کی یبتنی الجواز والامتناع علی تمایزهما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استنتج من هذه المقدّمات أنّ المجمع حیث کان واحداً وجوداً وذاتاً کان تعلّق الأمر والنهی به محالًا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المقدّمة الرابعة مع وجود المقدّمة الثالثة، لأنّه مع کون المتعلّق هو المعنون الخارجی وکون المعنون هو الوجود لا الماهیة فالمهمّ حینئذٍ فی إثبات الامتناع إنّما هو کون الوجود فی المجمع واحداً، ولا أثر فیه لوحدة ماهیته وتعدّدها،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أصالة الماهیة أو الوجود وعن وحدة الماهیة وتعدّدها إنّما یتصوّر فی الماهیات المتأصّلة الخارجیّة بینما تکون العناوین المبحوث عنها فی المقام ماهیات اعتباریّة انتزاعیّة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المقدّمة الثالثة أیضاً لوضوحها بعد ملاحظة العناوین الانتزاعیّة لأنّ من الواضح أنّ تعدّد أمر انتزاعی ذهنی لا یوجب تعدّد منشأ الانتزاع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إنّما هی المقدّمتان الاولیان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بالجواز فقد استدلّ له فی تهذیب الاصول بما یبتنی علی أربع مقدّمات ترجع إلی إنکار المقدّمة الثانیة فی استدلال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یمتنع أن یتجاوز من متعلّقه إلی مقارناته الاتفاقیّة ولوازمه الوجودیة، واستدلّ له بقیاس الإرادة التشریعیّة بالإرادة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الإطلاق هی حذف القیود ورفضها لا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الماهیة اللا بشرط مع ألف شرط فی الوجود الخارجی لا یلزم منه حکایة المعروض عن عارضه إذا کان خارجاً من ذاتها ولاحقاً بها لأنّ حکایة اللفظ دائرة مدار الوضع منوطة بالعلقة الاعتباریّة وهو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أنّ متعلّق الأحکام هو الطبیعة اللابشرط المنسلخة عن کافّة العوارض واللواحق، لا الوجود الخارجی أو الإیجاد بالحمل الشائع؛ لأنّ تعلّق الحکم بالموجود لا یمکن إلّافی ظرف تحقّقه، والبعث إلی إیجاد الموجود بعث إلی تحصیل الحاصل، وقس علیه الزجر لأنّ الزجر عمّا تحقّق خارجاً أمر ممتنع، ولا الوجود الذهنی الموجود فی ذهن الآمر لأنّه بقید کونه فی الذهن لا ینطبق علی الخارج، بل متعلّق الأحکام هو نفس الطبیعة غیر المقیّدة بأحد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یظهر لک أنّ الحقّ هو جواز الاجتماع؛ لأنّ الواجب هو نفس عنوان الصلاة، دون ما یقارنها من اللواحق واللوازم، ولا یمکن أن یتجاوز الأمر عن متعلّقه إلی ما هو خارج منه ومثله النهی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والطلب وهکذا الزجر والکراهة یتعلّق بالخارج من طریق العنوان، أی أنّ العنوان قنطرة للعبور بها إلی الخارج، فإنّ متعلّق الکراهة وتنفّر المولی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الخمر الخارجی لا الخمر الذهنی ولا</w:t>
      </w:r>
      <w:bookmarkStart w:id="248" w:name="pg16922_187626"/>
    </w:p>
    <w:p>
      <w:pPr>
        <w:pStyle w:val="BookText"/>
        <w:rPr/>
      </w:pPr>
      <w:bookmarkEnd w:id="248"/>
      <w:r>
        <w:rPr>
          <w:rFonts w:ascii="IRNazanin" w:hAnsi="IRNazanin" w:eastAsia="IRNazanin"/>
          <w:color w:val="111111"/>
          <w:sz w:val="28"/>
          <w:sz w:val="28"/>
          <w:szCs w:val="28"/>
          <w:rtl w:val="true"/>
          <w:lang w:bidi="fa-IR"/>
        </w:rPr>
        <w:t>الطبیعة من حیث هی هی، فإنّ الوجود الخارجی مبدأ الآثار ومنشأ المصالح والمفاسد، مع أنّه بمعناه المصدری لیس تحصیلًا للحاصل، نعم إنّه کذلک بمعناه 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المفاهیم الذهنیّة لا أثر لها وکذا الطبیعة لا بشرط ما لم یلبس لباس الوجود، فلا تکون متعلّقة للحبّ والبغض والأمر والنهی إلّامن باب الإشارة إلی الخارج</w:t>
      </w:r>
      <w:r>
        <w:rPr>
          <w:rFonts w:eastAsia="IRNazanin" w:cs="IRNazanin"/>
          <w:color w:val="111111"/>
          <w:sz w:val="28"/>
          <w:szCs w:val="28"/>
          <w:rtl w:val="true"/>
          <w:lang w:bidi="fa-IR"/>
        </w:rPr>
        <w:t>.</w:t>
      </w:r>
    </w:p>
    <w:p>
      <w:pPr>
        <w:pStyle w:val="Heading5"/>
        <w:numPr>
          <w:ilvl w:val="4"/>
          <w:numId w:val="1"/>
        </w:numPr>
        <w:rPr/>
      </w:pPr>
      <w:bookmarkStart w:id="249" w:name="__RefHeading___Toc141763_3244359995"/>
      <w:bookmarkStart w:id="250" w:name="_Toc95"/>
      <w:bookmarkEnd w:id="249"/>
      <w:r>
        <w:rPr/>
        <w:t>7</w:t>
      </w:r>
      <w:r>
        <w:rPr>
          <w:rtl w:val="true"/>
        </w:rPr>
        <w:t xml:space="preserve">. </w:t>
      </w:r>
      <w:r>
        <w:rPr>
          <w:rtl w:val="true"/>
        </w:rPr>
        <w:t>المختار فی المسألة</w:t>
      </w:r>
      <w:bookmarkEnd w:id="250"/>
    </w:p>
    <w:p>
      <w:pPr>
        <w:pStyle w:val="Heading6"/>
        <w:numPr>
          <w:ilvl w:val="5"/>
          <w:numId w:val="1"/>
        </w:numPr>
        <w:rPr/>
      </w:pPr>
      <w:bookmarkStart w:id="251" w:name="__RefHeading___Toc141765_3244359995"/>
      <w:bookmarkStart w:id="252" w:name="_Toc96"/>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والمختار فی المسألة امتناع الاجتماع، وهو مبنی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التکلیفیّة متضادّة لکن لا بذواتها؛ لأنّها اعتباریّة من هذه الجهة والاعتبار خفیف المؤونة، بل من حیث المبادئ، أی الکراهة والشوق فی نفس المولی، ومن حیث الغایات ومقام الإمتثال، أی مقام الإتیان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الأحکام هو الخارج لکن من طریق الصور والمفاهیم الذهنیّة، فإنّ وزانها وزان العلم الحصولی، فکما أنّ متعلّقه والمعلوم فیه إنّما هو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بواسطة الصور الذهنیة لعدم إمکان حلول الخارج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الأحکام فی الإخباریّات والإنشائیّات، فإنّها من قبیل العلم الحصولی تتعلّق بالخارج ویکون موضوعها هو الخارج لکن بواسطة العناوین المتصوّرة فی الذهن ومن طریق استخدام تلک العناوین، فالحکم بأنّ الشمس موجودة مثلًا تعلّق بالشمس المتصوّرة فی الذهن ابتداءً ولکن لینتقل منه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باب العلم الحصولی أنّ المعلوم بالذات إنّما هو الصور الذهنیّة، وأمّا الخارج فهو معلوم بالعرض وبتبع الصور الذهنیّة، فلیکن المطلوب بالذات أیضاً فی ما نحن فیه هو الصورة الذهنیّة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المعلوم بالذات هو ما حضر فی الذهن، ولا شکّ أنّ الحاضر</w:t>
      </w:r>
      <w:bookmarkStart w:id="253" w:name="pg16922_187627"/>
    </w:p>
    <w:p>
      <w:pPr>
        <w:pStyle w:val="BookText"/>
        <w:rPr/>
      </w:pPr>
      <w:bookmarkEnd w:id="253"/>
      <w:r>
        <w:rPr>
          <w:rFonts w:ascii="IRNazanin" w:hAnsi="IRNazanin" w:eastAsia="IRNazanin"/>
          <w:color w:val="111111"/>
          <w:sz w:val="28"/>
          <w:sz w:val="28"/>
          <w:szCs w:val="28"/>
          <w:rtl w:val="true"/>
          <w:lang w:bidi="fa-IR"/>
        </w:rPr>
        <w:t>فی الذهن هو الصور الذهنیّة، وأمّا الخارج فلا یحضر فی الذهن بذاته، ولکن الآثار المختلفة إنّما تترتّب علی الخارج لا علی الصور الذهنیّة، فالعقرب أو السبع الذی یخاف منه الإنسان إنّما هو الخارجی منه فإنّه منشأ للضرر والخطر لا الصورة الذهنیّة منه، وفی موارد الجهل المرکّب یکون الخوف من باب الخطأ فی التطبیق، وکذا الحبّ والبغض والإرادة والکراهة إنّما یتعلّقان بالوجودات الخارجیّة من طریق الصور الذهنیّة فهی مشیرة إلیها وطریقة لها</w:t>
      </w:r>
      <w:r>
        <w:rPr>
          <w:rFonts w:eastAsia="IRNazanin" w:cs="IRNazanin"/>
          <w:color w:val="111111"/>
          <w:sz w:val="28"/>
          <w:szCs w:val="28"/>
          <w:rtl w:val="true"/>
          <w:lang w:bidi="fa-IR"/>
        </w:rPr>
        <w:t>.</w:t>
      </w:r>
    </w:p>
    <w:p>
      <w:pPr>
        <w:pStyle w:val="Heading6"/>
        <w:numPr>
          <w:ilvl w:val="5"/>
          <w:numId w:val="1"/>
        </w:numPr>
        <w:rPr/>
      </w:pPr>
      <w:bookmarkStart w:id="254" w:name="__RefHeading___Toc141767_3244359995"/>
      <w:bookmarkStart w:id="255" w:name="_Toc97"/>
      <w:bookmarkEnd w:id="254"/>
      <w:r>
        <w:rPr>
          <w:rtl w:val="true"/>
        </w:rPr>
        <w:t>بحث صغروی حول الأمثلة المذکورة لمسألة الاجتماع</w:t>
      </w:r>
      <w:bookmarkEnd w:id="255"/>
    </w:p>
    <w:p>
      <w:pPr>
        <w:pStyle w:val="BookText"/>
        <w:rPr/>
      </w:pPr>
      <w:r>
        <w:rPr>
          <w:rFonts w:ascii="IRNazanin" w:hAnsi="IRNazanin" w:eastAsia="IRNazanin"/>
          <w:color w:val="111111"/>
          <w:sz w:val="28"/>
          <w:sz w:val="28"/>
          <w:szCs w:val="28"/>
          <w:rtl w:val="true"/>
          <w:lang w:bidi="fa-IR"/>
        </w:rPr>
        <w:t>وهاهنا بحث فی أنّ مثل الصلاة فی الدار المغصوبة أو فی ثوب مغصوب، والوضوء أو الغسل فی الدار المغصوبة والتیمّم علی تراب مغصوب، هل هی من صغریات مسألة الاجتماع و من مصادیق ذلک الکلّی أو لا؟</w:t>
      </w:r>
    </w:p>
    <w:p>
      <w:pPr>
        <w:pStyle w:val="BookText"/>
        <w:rPr/>
      </w:pPr>
      <w:r>
        <w:rPr>
          <w:rFonts w:ascii="IRNazanin" w:hAnsi="IRNazanin" w:eastAsia="IRNazanin"/>
          <w:color w:val="111111"/>
          <w:sz w:val="28"/>
          <w:sz w:val="28"/>
          <w:szCs w:val="28"/>
          <w:rtl w:val="true"/>
          <w:lang w:bidi="fa-IR"/>
        </w:rPr>
        <w:t>والحقّ هو التفصیل بین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مثل الوضوء والغسل بالماء المغصوب والتیمّم علی التراب المغصوب فلا إشکال فی أنّ الحرکة العبادیة فیها متّحدة مع التصرّف فی ملک الغیر فینطبق عنوان الغصب علی نفس ما ینطبق علیه الوضوء والغسل، وهکذا فی التیمّم بناءً علی کون ضرب الید علی الأرض أیضاً جزءً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الصلاة فی الدار المغصوبة فلا إشکال فی أنّ بعض أجزائها کالنیّة والذکر والقراءة لیست متّحدة مع عنوان الغصب عرفاً وإن کان إیجاد الموج فی الهواء بالذکر متّحداً مع نوع من التصرّف بالدقة العقلیّة، إنّما الکلام فی بعض الأجزاء الاخر کالرکوع والسجود، فإن قلنا بأنّ الهویّ إلی الرکوع والسجود والنهوض عنهما جزء لهما کما أنّه کذلک، أو قلنا باعتبار الاعتماد علی الأرض فی صدق السجدة فلا إشکال فی أنّ الصلاة متّحدة مع الغصب فتکون من صغریات تلک الکبری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الهویّ والنهوض فالأمر واضح؛ لأنّهما من أجزاء الرکوع والسجود علی الفرض، فتکون الصلاة حینئذٍ متّحدة مع الغصب فی الخارج</w:t>
      </w:r>
      <w:bookmarkStart w:id="256" w:name="pg16922_187628"/>
    </w:p>
    <w:p>
      <w:pPr>
        <w:pStyle w:val="BookText"/>
        <w:rPr/>
      </w:pPr>
      <w:bookmarkEnd w:id="256"/>
      <w:r>
        <w:rPr>
          <w:rFonts w:ascii="IRNazanin" w:hAnsi="IRNazanin" w:eastAsia="IRNazanin"/>
          <w:color w:val="111111"/>
          <w:sz w:val="28"/>
          <w:sz w:val="28"/>
          <w:szCs w:val="28"/>
          <w:rtl w:val="true"/>
          <w:lang w:bidi="fa-IR"/>
        </w:rPr>
        <w:t>ومصداقاً له، وأمّا بالنسبة إلی الاعتماد علی الأرض فلأنّ الاعتماد علی الأرض مأخوذ فی مفهوم السجدة ولا یکفی فی صدقها مجرّد مماسّة الجبهة علی الأرض وحینئذٍ تتّحد الصلاة أیضاً من هذه الجهة مع عنوان الغصب من دون فرق بین أن یکون ما یصحّ علیه السجود نفس أرض الغیر أو شیئاً آخر، فتصیر الصلاة حینئذٍ أیضاً من صغریات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العبادات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قسم منها تکون الأجزاء بأسرها غیر النیّة متّحدة مع عنوان الغصب کما فی الوضوء والغسل مع الماء المغصوب، وفی قسم آخر لا تکون الأجزاء بتمامها متّحدة مع الغصب کالصلاة إیماءً والصلاة علی المیّت، وفی قسم ثالث یکون بعض الأجزاء متّحداً کصلاة المختار</w:t>
      </w:r>
      <w:r>
        <w:rPr>
          <w:rFonts w:eastAsia="IRNazanin" w:cs="IRNazanin"/>
          <w:color w:val="111111"/>
          <w:sz w:val="28"/>
          <w:szCs w:val="28"/>
          <w:rtl w:val="true"/>
          <w:lang w:bidi="fa-IR"/>
        </w:rPr>
        <w:t>.</w:t>
      </w:r>
    </w:p>
    <w:p>
      <w:pPr>
        <w:pStyle w:val="Heading5"/>
        <w:numPr>
          <w:ilvl w:val="4"/>
          <w:numId w:val="1"/>
        </w:numPr>
        <w:rPr/>
      </w:pPr>
      <w:bookmarkStart w:id="257" w:name="__RefHeading___Toc141769_3244359995"/>
      <w:bookmarkStart w:id="258" w:name="_Toc98"/>
      <w:bookmarkEnd w:id="257"/>
      <w:r>
        <w:rPr/>
        <w:t>8</w:t>
      </w:r>
      <w:r>
        <w:rPr>
          <w:rtl w:val="true"/>
        </w:rPr>
        <w:t xml:space="preserve">. </w:t>
      </w:r>
      <w:r>
        <w:rPr>
          <w:rtl w:val="true"/>
        </w:rPr>
        <w:t>العبادات المکروهة</w:t>
      </w:r>
      <w:bookmarkEnd w:id="258"/>
    </w:p>
    <w:p>
      <w:pPr>
        <w:pStyle w:val="BookText"/>
        <w:rPr/>
      </w:pPr>
      <w:r>
        <w:rPr>
          <w:rFonts w:ascii="IRNazanin" w:hAnsi="IRNazanin" w:eastAsia="IRNazanin"/>
          <w:color w:val="111111"/>
          <w:sz w:val="28"/>
          <w:sz w:val="28"/>
          <w:szCs w:val="28"/>
          <w:rtl w:val="true"/>
          <w:lang w:bidi="fa-IR"/>
        </w:rPr>
        <w:t xml:space="preserve">ثمّ إنّه قد اورد النقض علی القول بالامتناع بالعبادات المکروهة ببیان أنّ أدلّ دلیل علی إمکان شی‌ء وقوعه، وقد وقع فی الشرع المقدّس موارد اجتمع فیها الأمر والنهی، کالصلاة فی مواضع التهمة، أو الصلاة فی الحمام، والنافلة المبتدئة حین طلوع الشمس أو عند غروبها، والصیام فی یوم عاشوراء، ونحوها من الموارد الّتی اجتمع الکراهة فیها مع الوجوب أو الاستحباب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العبادات المکروهة وإن کانت ظاهرة فی جواز الاجتماع ولکن لابدّ من توجیهها بعد أن أقمنا برهاناً عقلیاً قطعیاً علی الامتناع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النقض یرد علی القائل بالجواز أیضاً، فلابدّ له أیضاً من التخلّص عنه حیث إنّ مدّعاه جواز الاجتماع فیما إذا کان فی البین عنوانان وکانت</w:t>
      </w:r>
      <w:bookmarkStart w:id="259" w:name="pg16922_187629"/>
    </w:p>
    <w:p>
      <w:pPr>
        <w:pStyle w:val="BookText"/>
        <w:rPr/>
      </w:pPr>
      <w:bookmarkEnd w:id="259"/>
      <w:r>
        <w:rPr>
          <w:rFonts w:ascii="IRNazanin" w:hAnsi="IRNazanin" w:eastAsia="IRNazanin"/>
          <w:color w:val="111111"/>
          <w:sz w:val="28"/>
          <w:sz w:val="28"/>
          <w:szCs w:val="28"/>
          <w:rtl w:val="true"/>
          <w:lang w:bidi="fa-IR"/>
        </w:rPr>
        <w:t xml:space="preserve">النسبة بینهما العموم من وجه، مع أنّه لا إشکال فی أنّ العنوان فی مورد العبادات المکروهة واحد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بعنوان الصلاة، ولو قلنا بأنّ العنوان فی أحدهما مطلق الصلاة، وفی الآخر الصلاة فی الحمّام کانت النسبة بینهما العموم المطلق لا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اعتبار قید المندوحة فی محلّ النزاع بینما لا مندوحة فی بعض هذه العبادات المکروهة کصیام یوم عاشوراء حیث إنّ صیام یوم الحادی عشر مثلًا موضوع آخر للاستحباب بل علی القائل بالجواز أیضاً التفصّی عن هذا الإشکال لاعتبار أخذ قید المندوحة عنده أیضاً فی محلّ النزاع</w:t>
      </w:r>
      <w:r>
        <w:rPr>
          <w:rFonts w:eastAsia="IRNazanin" w:cs="IRNazanin"/>
          <w:color w:val="111111"/>
          <w:sz w:val="28"/>
          <w:szCs w:val="28"/>
          <w:rtl w:val="true"/>
          <w:lang w:bidi="fa-IR"/>
        </w:rPr>
        <w:t>.</w:t>
      </w:r>
    </w:p>
    <w:p>
      <w:pPr>
        <w:pStyle w:val="Heading5"/>
        <w:numPr>
          <w:ilvl w:val="4"/>
          <w:numId w:val="1"/>
        </w:numPr>
        <w:rPr/>
      </w:pPr>
      <w:bookmarkStart w:id="260" w:name="__RefHeading___Toc141771_3244359995"/>
      <w:bookmarkStart w:id="261" w:name="_Toc99"/>
      <w:bookmarkEnd w:id="260"/>
      <w:r>
        <w:rPr/>
        <w:t>9</w:t>
      </w:r>
      <w:r>
        <w:rPr>
          <w:rtl w:val="true"/>
        </w:rPr>
        <w:t xml:space="preserve">. </w:t>
      </w:r>
      <w:r>
        <w:rPr>
          <w:rtl w:val="true"/>
        </w:rPr>
        <w:t>تنبیهات مسألة الاجتماع</w:t>
      </w:r>
      <w:bookmarkEnd w:id="261"/>
    </w:p>
    <w:p>
      <w:pPr>
        <w:pStyle w:val="Heading6"/>
        <w:numPr>
          <w:ilvl w:val="5"/>
          <w:numId w:val="1"/>
        </w:numPr>
        <w:rPr/>
      </w:pPr>
      <w:bookmarkStart w:id="262" w:name="__RefHeading___Toc141773_3244359995"/>
      <w:bookmarkStart w:id="263" w:name="_Toc100"/>
      <w:bookmarkEnd w:id="262"/>
      <w:r>
        <w:rPr>
          <w:rtl w:val="true"/>
        </w:rPr>
        <w:t>التنبیه الأوّل</w:t>
      </w:r>
      <w:r>
        <w:rPr>
          <w:rtl w:val="true"/>
        </w:rPr>
        <w:t xml:space="preserve">: </w:t>
      </w:r>
      <w:r>
        <w:rPr>
          <w:rtl w:val="true"/>
        </w:rPr>
        <w:t>الاضطرار إلی المحرّم</w:t>
      </w:r>
      <w:bookmarkEnd w:id="263"/>
    </w:p>
    <w:p>
      <w:pPr>
        <w:pStyle w:val="Heading6"/>
        <w:numPr>
          <w:ilvl w:val="5"/>
          <w:numId w:val="1"/>
        </w:numPr>
        <w:rPr/>
      </w:pPr>
      <w:bookmarkStart w:id="264" w:name="__RefHeading___Toc141775_3244359995"/>
      <w:bookmarkStart w:id="265" w:name="_Toc101"/>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إذا اضطرّ الإنسان إلی ارتکاب الحرام کما إذا کان مضطرّاً إلی غصب دار الغیر فتارةً یضطرّ إلیه لا بسوء الاختیار کالمحبوس فی دار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یضطرّ إلیه بسوء الاختیار کمن دخل فی الدار المغصوبة باختیاره واضطرّ إلی الخروج للتخلّص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جماعة إلی صحّة صلاته ما لم تستلزم تصرّفاً زائداً فی الغصب مثل أن یأتی بها إیماءً، بل قال بعضهم أنّه یجب علیه إتیان الصلاة علی نفس الکیفیة الّتی کان علیها فی أوّل الدخول، فلو کان قائماً فقائماً ولو کان جالساً فجالساً، بل لا یجوز له الانتقال إلی حالة اخری فی غیر الصلاة أیضاً لما فیه من الحرکة الّتی هی تصرّف فی مال الغیر بغیر إذنه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حال القیام وحال القعود، أو حال السکون وحال</w:t>
      </w:r>
      <w:bookmarkStart w:id="266" w:name="pg16922_187630"/>
    </w:p>
    <w:p>
      <w:pPr>
        <w:pStyle w:val="BookText"/>
        <w:rPr/>
      </w:pPr>
      <w:bookmarkEnd w:id="266"/>
      <w:r>
        <w:rPr>
          <w:rFonts w:ascii="IRNazanin" w:hAnsi="IRNazanin" w:eastAsia="IRNazanin"/>
          <w:color w:val="111111"/>
          <w:sz w:val="28"/>
          <w:sz w:val="28"/>
          <w:szCs w:val="28"/>
          <w:rtl w:val="true"/>
          <w:lang w:bidi="fa-IR"/>
        </w:rPr>
        <w:t>الحرکة مثلًا فی مقدار ما یشغله من الحیّز والمکان فلا یتحیّز الإنسان حال القیام مکاناً أکثر من ما یتحیّزه حال القعود إلّامن ناحیة الطول والعرض،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الانتقال من حال إلی حال فی المکان الغصبی لا یعدّ عرفاً تصرّفاً زائداً علی أصل البقاء علی الکون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القول سقوط الصلاة عن الوجوب بناءً علی عدم وجوب الصلاة علی فاقد الطهورین؛ لأنّه لا إشکال فی أنّ کلّ واحد من الوضوء والتیمّم یستلزم تصرّفاً زائداً ممّا یستلزمه الرکوع أو السجود ولعلّه لم یقل به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فیه یقع من جهتین</w:t>
      </w:r>
      <w:r>
        <w:rPr>
          <w:rFonts w:eastAsia="IRNazanin" w:cs="IRNazanin"/>
          <w:color w:val="111111"/>
          <w:sz w:val="28"/>
          <w:szCs w:val="28"/>
          <w:rtl w:val="true"/>
          <w:lang w:bidi="fa-IR"/>
        </w:rPr>
        <w:t>:</w:t>
      </w:r>
    </w:p>
    <w:p>
      <w:pPr>
        <w:pStyle w:val="Heading6"/>
        <w:numPr>
          <w:ilvl w:val="5"/>
          <w:numId w:val="1"/>
        </w:numPr>
        <w:rPr/>
      </w:pPr>
      <w:bookmarkStart w:id="267" w:name="__RefHeading___Toc141777_3244359995"/>
      <w:bookmarkStart w:id="268" w:name="_Toc102"/>
      <w:bookmarkEnd w:id="267"/>
      <w:r>
        <w:rPr>
          <w:rtl w:val="true"/>
        </w:rPr>
        <w:t>الجهة الاولی</w:t>
      </w:r>
      <w:r>
        <w:rPr>
          <w:rtl w:val="true"/>
        </w:rPr>
        <w:t xml:space="preserve">: </w:t>
      </w:r>
      <w:r>
        <w:rPr>
          <w:rtl w:val="true"/>
        </w:rPr>
        <w:t>حکم الخروج فی نفسه</w:t>
      </w:r>
      <w:bookmarkEnd w:id="268"/>
    </w:p>
    <w:p>
      <w:pPr>
        <w:pStyle w:val="BookText"/>
        <w:rPr/>
      </w:pPr>
      <w:r>
        <w:rPr>
          <w:rFonts w:ascii="IRNazanin" w:hAnsi="IRNazanin" w:eastAsia="IRNazanin"/>
          <w:color w:val="111111"/>
          <w:sz w:val="28"/>
          <w:sz w:val="28"/>
          <w:szCs w:val="28"/>
          <w:rtl w:val="true"/>
          <w:lang w:bidi="fa-IR"/>
        </w:rPr>
        <w:t>وفیها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واجب وحرام بأمر فعلی وبنهی فعلی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الخروج واجباً ولا یکون منهیاً عنه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واجب فعلًا ولیس بحرام فعلًا ولکن یجری فیه حکم المعصیة لأجل ما تعلّق به من النهی سابقاً الساقط فعلًا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جریان حکم المعصیة وجود ملاک النهی فی المتعلّق، لا أنّ الخروج منهیّ عنه الآن بالنهی السابق، بمعنی أنّه مشمول للنهی السابق ویکون زمان تعلّق النهی مقدّماً علی زمان متعلّقه لأنّ تعلّق الحکمین بفعل واحد ممتنع ولو کان زمان الإیجاب مغایراً لزمان التحریم؛ فإنّ الاعتبار فی</w:t>
      </w:r>
      <w:bookmarkStart w:id="269" w:name="pg16922_187631"/>
    </w:p>
    <w:p>
      <w:pPr>
        <w:pStyle w:val="BookText"/>
        <w:rPr/>
      </w:pPr>
      <w:bookmarkEnd w:id="269"/>
      <w:r>
        <w:rPr>
          <w:rFonts w:ascii="IRNazanin" w:hAnsi="IRNazanin" w:eastAsia="IRNazanin"/>
          <w:color w:val="111111"/>
          <w:sz w:val="28"/>
          <w:sz w:val="28"/>
          <w:szCs w:val="28"/>
          <w:rtl w:val="true"/>
          <w:lang w:bidi="fa-IR"/>
        </w:rPr>
        <w:t>الاستحالة والإمکان إنّما هو باتّحاد زمان صدور الفعل وتعدّده لا باتّحاد زمان الإیجاب والتحریم وتعدّده من حیث أنفسهما</w:t>
      </w:r>
      <w:r>
        <w:rPr>
          <w:rFonts w:eastAsia="IRNazanin" w:cs="IRNazanin"/>
          <w:color w:val="111111"/>
          <w:sz w:val="28"/>
          <w:szCs w:val="28"/>
          <w:rtl w:val="true"/>
          <w:lang w:bidi="fa-IR"/>
        </w:rPr>
        <w:t>.</w:t>
      </w:r>
    </w:p>
    <w:p>
      <w:pPr>
        <w:pStyle w:val="Heading6"/>
        <w:numPr>
          <w:ilvl w:val="5"/>
          <w:numId w:val="1"/>
        </w:numPr>
        <w:rPr/>
      </w:pPr>
      <w:bookmarkStart w:id="270" w:name="__RefHeading___Toc141779_3244359995"/>
      <w:bookmarkStart w:id="271" w:name="_Toc103"/>
      <w:bookmarkEnd w:id="270"/>
      <w:r>
        <w:rPr>
          <w:rtl w:val="true"/>
        </w:rPr>
        <w:t>الجهة الثانیة</w:t>
      </w:r>
      <w:r>
        <w:rPr>
          <w:rtl w:val="true"/>
        </w:rPr>
        <w:t xml:space="preserve">: </w:t>
      </w:r>
      <w:r>
        <w:rPr>
          <w:rtl w:val="true"/>
        </w:rPr>
        <w:t>حکم الصلاة حین الخروج</w:t>
      </w:r>
      <w:bookmarkEnd w:id="271"/>
    </w:p>
    <w:p>
      <w:pPr>
        <w:pStyle w:val="BookText"/>
        <w:rPr/>
      </w:pPr>
      <w:r>
        <w:rPr>
          <w:rFonts w:ascii="IRNazanin" w:hAnsi="IRNazanin" w:eastAsia="IRNazanin"/>
          <w:color w:val="111111"/>
          <w:sz w:val="28"/>
          <w:sz w:val="28"/>
          <w:szCs w:val="28"/>
          <w:rtl w:val="true"/>
          <w:lang w:bidi="fa-IR"/>
        </w:rPr>
        <w:t>قد یقال فیه بالتفصیل بین الصور المختلفة من القول بجواز الاجتماع وعدمه، وکون الاضطرار بسوء الاختیار أو بغیر سوء الاختیار، وأنّ الخروج یکون واجباً من دون أن یکون حراماً أو أنّ الخروج منهیّ عنه کما یکون مأموراً به، إلی غیر ذلک من الفروض المتصوّرة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المقصود من الصلاة حین الخروج الصلاة التامّة الأجزاء والشرائط من الرکوع والسجود والاستقرار ونحوها فلا إشکال فی عدم إمکان إتیانها مطلقاً، لأنّ المفروض إتیانها حین الخروج وفی ضیق الوقت، فإنّ مع سعة الوقت وإمکان إتیانها خارج الدار المغصوبة لا یجوز إتیانها فی داخل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المقصود الصلاة إیماءً، فلا إشکال فی أنّها لا توجب تصرّفاً زائداً فی الغصب، ولذا لم یتعلّق بها النهی فتقع الصلاة صحیحة؛ سواء قلنا بالامتناع أو قلنا بالجواز، وسواء کان الاضطرار بسوء الاختیار أو بغیر 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الغاصب قد یکون تائباً عن فعله وحینئذٍ إن قلنا بأنّ التوبة تزیل حکم المعصیة وتوجب رفع الحرمة کما هو الحقّ فی مثل ما نحن فیه فتقع صلاته صحیحة مطلقاً، من دون اختصاص الصحّة بصورة دون صورة حیث إنّ الحکم حینئذٍ هو الأمر بالصلاة ولا نهی عنها حتّی یدخل فی باب الاجتماع</w:t>
      </w:r>
      <w:r>
        <w:rPr>
          <w:rFonts w:eastAsia="IRNazanin" w:cs="IRNazanin"/>
          <w:color w:val="111111"/>
          <w:sz w:val="28"/>
          <w:szCs w:val="28"/>
          <w:rtl w:val="true"/>
          <w:lang w:bidi="fa-IR"/>
        </w:rPr>
        <w:t>.</w:t>
      </w:r>
    </w:p>
    <w:p>
      <w:pPr>
        <w:pStyle w:val="Heading6"/>
        <w:numPr>
          <w:ilvl w:val="5"/>
          <w:numId w:val="1"/>
        </w:numPr>
        <w:rPr/>
      </w:pPr>
      <w:bookmarkStart w:id="272" w:name="__RefHeading___Toc141781_3244359995"/>
      <w:bookmarkStart w:id="273" w:name="_Toc104"/>
      <w:bookmarkEnd w:id="272"/>
      <w:r>
        <w:rPr>
          <w:rtl w:val="true"/>
        </w:rPr>
        <w:t>التنبیه الثانی</w:t>
      </w:r>
      <w:r>
        <w:rPr>
          <w:rtl w:val="true"/>
        </w:rPr>
        <w:t xml:space="preserve">: </w:t>
      </w:r>
      <w:r>
        <w:rPr>
          <w:rtl w:val="true"/>
        </w:rPr>
        <w:t>فی آثار باب التزاحم</w:t>
      </w:r>
      <w:bookmarkEnd w:id="2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باب اجتماع الأمر والنهی داخل فی باب التزاحم لا التعارض، أی</w:t>
      </w:r>
    </w:p>
    <w:p>
      <w:pPr>
        <w:pStyle w:val="BookText"/>
        <w:rPr/>
      </w:pPr>
      <w:r>
        <w:rPr>
          <w:rFonts w:ascii="IRNazanin" w:hAnsi="IRNazanin" w:eastAsia="IRNazanin"/>
          <w:color w:val="111111"/>
          <w:sz w:val="28"/>
          <w:sz w:val="28"/>
          <w:szCs w:val="28"/>
          <w:rtl w:val="true"/>
          <w:lang w:bidi="fa-IR"/>
        </w:rPr>
        <w:t>یکون کلّ واحد من الأمر والنهی تامّاً من ناحیة الملاک واجتماع جمیع شرائط الفعلیّة، وحینئذٍ لابدّ من لحاظ أقوی الملاکین ولا حاجة إلی ملاحظة المرجّحات السندیة والدلالیّة المعنونة فی باب التعارض، ویتفرّع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أحرز أقوی الملاکین یؤخذ به ویقدّم واجده علی فاقده ویستکشف من هذا الطریق فعلیّة الحکم الذی یکون ملاکه أقوی، وأمّا إذا لم یحرز الغالب منهما وکان الخطابان کلاهما بصدد بیان الحکم الفعلی، أی کانا متعارضین فی مقام الفعلیّة وإن کانا متزاحمین من ناحیة الملاک والاقتضاء، فالحکم فیه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المقام من باب التزاحم صحّة العمل من الجاهل والناسی والمضطرّ حتّی إذا قلنا بتقدیم جانب النهی، لثبوت الملاک والمقتضی فی کلا الحکمین، فإذا لم یؤثّر مقتضی حرمة الغصب مثلًا لاضطرار أو جهل أو نسیان یؤثّر مقتضی وجوب الصلاة فتقع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باب التعارض لأنّ لازم تقدیم النهی فیه علی الأمر مثلًا ثبوت الملاک فی خصوص النهی وکون الأمر کاذباً وعدم کونه واجداً للملاک ومعه لا وجه لصحّة المأمور به فی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شرط من شرائط الصلاة من اجتماع الأمر والنهی وتزاحمهما وامتناع اجتماعهما کإباحة مکان المصلّی الّتی لا دلیل علی اعتبارها فی الصلاة إلّاتزاحم الأمر بالصلاة والنهی عن الغصب وعدم إمکان اجتماعهما بناءً علی الامتناع، فهی لا تستفاد لا من آیة ولا من روایة، بل الکاشف عنها إنّما هو تزاحم الأمر والنهی وامتناع اجتماعهما، فلا إشکال حینئذٍ فی سقوط هذا الشرط عن الشرطیّة فی صورة الجهل والنسیان والاضطرار لعدم کون النهی فی هذه الحالات فعلیّاً ومعه لا یجتمع الأمر مع النهی حتّی یستفاد منه شرطیّة الإباحة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یستفاد الشرط من دلیل لفظی خاصّ فحینئذٍ مقتضی إطلاق الدلیل</w:t>
      </w:r>
      <w:bookmarkStart w:id="274" w:name="pg16922_187633"/>
    </w:p>
    <w:p>
      <w:pPr>
        <w:pStyle w:val="BookText"/>
        <w:rPr/>
      </w:pPr>
      <w:bookmarkEnd w:id="274"/>
      <w:r>
        <w:rPr>
          <w:rFonts w:ascii="IRNazanin" w:hAnsi="IRNazanin" w:eastAsia="IRNazanin"/>
          <w:color w:val="111111"/>
          <w:sz w:val="28"/>
          <w:sz w:val="28"/>
          <w:szCs w:val="28"/>
          <w:rtl w:val="true"/>
          <w:lang w:bidi="fa-IR"/>
        </w:rPr>
        <w:t>شرطیّة ذلک الشرط مطلقاً حتّی فی حال الجهل والنسیان والاضطرار نظیر شرطی القبلة والطهارة ونتیجته بطلان الصلاة مع فقد أحدهما حتّی فی تلک الحالات أیضاً</w:t>
      </w:r>
      <w:r>
        <w:rPr>
          <w:rFonts w:eastAsia="IRNazanin" w:cs="IRNazanin"/>
          <w:color w:val="111111"/>
          <w:sz w:val="28"/>
          <w:szCs w:val="28"/>
          <w:rtl w:val="true"/>
          <w:lang w:bidi="fa-IR"/>
        </w:rPr>
        <w:t>.</w:t>
      </w:r>
    </w:p>
    <w:p>
      <w:pPr>
        <w:pStyle w:val="Heading6"/>
        <w:numPr>
          <w:ilvl w:val="5"/>
          <w:numId w:val="1"/>
        </w:numPr>
        <w:rPr/>
      </w:pPr>
      <w:bookmarkStart w:id="275" w:name="__RefHeading___Toc141783_3244359995"/>
      <w:bookmarkStart w:id="276" w:name="_Toc105"/>
      <w:bookmarkEnd w:id="275"/>
      <w:r>
        <w:rPr>
          <w:rtl w:val="true"/>
        </w:rPr>
        <w:t>التنبیه الثالث</w:t>
      </w:r>
      <w:r>
        <w:rPr>
          <w:rtl w:val="true"/>
        </w:rPr>
        <w:t xml:space="preserve">: </w:t>
      </w:r>
      <w:r>
        <w:rPr>
          <w:rtl w:val="true"/>
        </w:rPr>
        <w:t>فی مرجّحات النهی علی الأمر</w:t>
      </w:r>
      <w:bookmarkEnd w:id="276"/>
    </w:p>
    <w:p>
      <w:pPr>
        <w:pStyle w:val="BookText"/>
        <w:rPr/>
      </w:pPr>
      <w:r>
        <w:rPr>
          <w:rFonts w:ascii="IRNazanin" w:hAnsi="IRNazanin" w:eastAsia="IRNazanin"/>
          <w:color w:val="111111"/>
          <w:sz w:val="28"/>
          <w:sz w:val="28"/>
          <w:szCs w:val="28"/>
          <w:rtl w:val="true"/>
          <w:lang w:bidi="fa-IR"/>
        </w:rPr>
        <w:t xml:space="preserve">قد تقدّم أنّ المتّبع فی باب التزاحم إنّما هو الأهمّ من الملاکین، فبناءً علی القول بالامتناع فی باب الاجتماع وفقد المندوحة حیث إنّ المقام یدخل فی باب التزاحم فلابدّ من ملاحظة المرجّحات وکشف الأهمّ من الحکمین بالرجوع إلی لسان الأدلّة وملاحظة مذاق الشارع المقدّس فی مجموع الأحکام، فإن کان الترجیح مع الأمر کان الواجب العمل به وإتیان المأمور به، وإن کان الترجیح مع النهی کان اللازم أیضاً العمل به وترک المنهیّ عنه، فمثلًا یستفاد من أدلّة وجوب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لا تترک بحال</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ولازمه کونها أهمّ من الغصب، فیقدّم الأمر علی النهی ویؤتی بالصلاة فی الدار المغصوبة بجمیع أجزائها إلّاما یکون له البدل کالرکوع والسجود فیؤتی بهما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إشکال فیه، إنّما الإشکال فیما إذا لم یمکن کشف الأهمّ من لسان الأدلّة الخاصّة فهل هناک ضابطة عامّة تدلّ علی ترجیح الأمر أو النهی أو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بترجیح جانب النهی إلّاما خرج بالدلیل، واستدلّ له بوجوه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ناظر إلی عالم الإثبات، وهو أنّ أدلّة النهی علی حرمة مورد الاجتماع شمولی ویکون بالعموم، ودلالة الأمر علی وجوبه بدلی ویکون بالإطلاق، والعامّ الشمولی أقوی دلالة منه، لأنّ الأوّل یستفاد من اللفظ والعموم، والثانی یستفاد من الإطلاق ومقدّمات الحکمة، ولا إشکال فی تقدیم العموم علی الإطلاق ووروده علیه لأنّ من مقدّمات الحکمة عدم البیان، وعموم العامّ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لا یوجب ترجیحاً للنهی علی الأمر، لأنّ المقصود من عدم البیان فی مقدّمات الحکمة لیس هو عدم البیان إلی الأبد حتّی یکون کلّ بیان وارداً ومقدّماً علیه، بل المقصود هو عدم البیان فی مقام التخاطب وفی زمان البیان، فإذا لم یرد بیان فی مقام البیان والتخاطب تمّت مقدّمات الحکمة وصار المطلق ظاهراً فی العموم البدلی، ولا فرق بینه وبین العامّ من حیث قوّة الدلالة وضعفها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ناظر إلی عالم الثبوت وهو أولویّة دفع المفسدة من جلب المنفعة، ولا إشکال فی أنّ ترک المنهیّ عنه دفع للمفسدة، والعمل بالمأمور به جلب للمنفعة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أیضاً غیر تامّ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فلأنّ الموارد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وجود الواجب سبباً لجلب المنفعة کأکثر الواجبات، واخری یکون سبباً لترک المفسدة کوجوب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الکبری فلأنّها لا دلیل علیها شرعاً ولا عقلًا ولا عقلائیّاً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شرعاً فلأنّا نشاهد موارد کثیرة فی لسان الشرع قدّم جلب المنفعة فیها علی دفع المفسدة، منها الجهاد فإنّه سبب لعزّ الإسلام مع ما فیه من الأضرار الکثیرة بالنسبة الی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عقلًا فلأنّ العقل ینظر إلی میزان الأهمّیة من دون فرق بین المصلحة والمفسدة، فإن رأی أنّ درجة أهمّیة المفسدة أکثر یقدّمها علی المصلحة وإن رأی أنّ درجة أهمّیة المنفعة أکثر یقدّمها علی المفسدة ولا خصوصیّة فی میزانه للمفسدة من حیث هی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عقلائیاً فلأنّا نشاهدهم‌أنّهم تارةً یقدّمون‌المفسدة علی‌المصلحة واخری بالعکس فیما إذا استهدفوا مصلحة عظیمة فإنّهم مثلًا فی الصناعات والتجارات یصرفون ثروة عظیمة بعنوان رأس المال ویستقبلون المضارّ الکثیرة لمنافع هامّة محتملة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دلیل علی قاعدة عامّة بعنوان أولویة دفع المفسدة من جلب المنفعة</w:t>
      </w:r>
      <w:r>
        <w:rPr>
          <w:rFonts w:eastAsia="IRNazanin" w:cs="IRNazanin"/>
          <w:color w:val="111111"/>
          <w:sz w:val="28"/>
          <w:szCs w:val="28"/>
          <w:rtl w:val="true"/>
          <w:lang w:bidi="fa-IR"/>
        </w:rPr>
        <w:t>.</w:t>
      </w:r>
      <w:bookmarkStart w:id="277" w:name="pg16922_187635"/>
    </w:p>
    <w:p>
      <w:pPr>
        <w:pStyle w:val="Heading4"/>
        <w:numPr>
          <w:ilvl w:val="3"/>
          <w:numId w:val="1"/>
        </w:numPr>
        <w:rPr/>
      </w:pPr>
      <w:bookmarkStart w:id="278" w:name="__RefHeading___Toc141785_3244359995"/>
      <w:bookmarkStart w:id="279" w:name="_Toc106"/>
      <w:bookmarkEnd w:id="277"/>
      <w:bookmarkEnd w:id="278"/>
      <w:r>
        <w:rPr>
          <w:rtl w:val="true"/>
        </w:rPr>
        <w:t>الفصل الخامس</w:t>
      </w:r>
      <w:r>
        <w:rPr>
          <w:rtl w:val="true"/>
        </w:rPr>
        <w:t xml:space="preserve">: </w:t>
      </w:r>
      <w:r>
        <w:rPr>
          <w:rtl w:val="true"/>
        </w:rPr>
        <w:t>النهی عن العبادات والمعاملات</w:t>
      </w:r>
      <w:bookmarkEnd w:id="279"/>
    </w:p>
    <w:p>
      <w:pPr>
        <w:pStyle w:val="Heading5"/>
        <w:numPr>
          <w:ilvl w:val="4"/>
          <w:numId w:val="1"/>
        </w:numPr>
        <w:rPr/>
      </w:pPr>
      <w:bookmarkStart w:id="280" w:name="__RefHeading___Toc141787_3244359995"/>
      <w:bookmarkStart w:id="281" w:name="_Toc107"/>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ولابدّ فیه من رسم امور</w:t>
      </w:r>
      <w:r>
        <w:rPr>
          <w:rFonts w:eastAsia="IRNazanin" w:cs="IRNazanin"/>
          <w:color w:val="111111"/>
          <w:sz w:val="28"/>
          <w:szCs w:val="28"/>
          <w:rtl w:val="true"/>
          <w:lang w:bidi="fa-IR"/>
        </w:rPr>
        <w:t>:</w:t>
      </w:r>
    </w:p>
    <w:p>
      <w:pPr>
        <w:pStyle w:val="Heading5"/>
        <w:numPr>
          <w:ilvl w:val="4"/>
          <w:numId w:val="1"/>
        </w:numPr>
        <w:rPr/>
      </w:pPr>
      <w:bookmarkStart w:id="282" w:name="__RefHeading___Toc141789_3244359995"/>
      <w:bookmarkStart w:id="283" w:name="_Toc108"/>
      <w:bookmarkEnd w:id="282"/>
      <w:r>
        <w:rPr/>
        <w:t>1</w:t>
      </w:r>
      <w:r>
        <w:rPr>
          <w:rtl w:val="true"/>
        </w:rPr>
        <w:t xml:space="preserve">. </w:t>
      </w:r>
      <w:r>
        <w:rPr>
          <w:rtl w:val="true"/>
        </w:rPr>
        <w:t>عدم کون المسألة من المسائل اللفظیّة</w:t>
      </w:r>
      <w:bookmarkEnd w:id="283"/>
    </w:p>
    <w:p>
      <w:pPr>
        <w:pStyle w:val="BookText"/>
        <w:rPr/>
      </w:pPr>
      <w:r>
        <w:rPr>
          <w:rFonts w:ascii="IRNazanin" w:hAnsi="IRNazanin" w:eastAsia="IRNazanin"/>
          <w:color w:val="111111"/>
          <w:sz w:val="28"/>
          <w:sz w:val="28"/>
          <w:szCs w:val="28"/>
          <w:rtl w:val="true"/>
          <w:lang w:bidi="fa-IR"/>
        </w:rPr>
        <w:t>قد عبّروا عن هذه المسألة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الشی‌ء هل یقتضی فساده أم لا؟</w:t>
      </w:r>
      <w:r>
        <w:rPr>
          <w:rStyle w:val="FootnoteAnchor"/>
          <w:rtl w:val="true"/>
        </w:rPr>
        <w:footnoteReference w:id="130"/>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هل یدلّ علی الفساد أم لا؟</w:t>
      </w:r>
      <w:r>
        <w:rPr>
          <w:rStyle w:val="FootnoteAnchor"/>
          <w:rtl w:val="true"/>
        </w:rPr>
        <w:footnoteReference w:id="131"/>
      </w:r>
      <w:r>
        <w:rPr>
          <w:rFonts w:ascii="IRNazanin" w:hAnsi="IRNazanin" w:eastAsia="IRNazanin"/>
          <w:color w:val="111111"/>
          <w:sz w:val="28"/>
          <w:sz w:val="28"/>
          <w:szCs w:val="28"/>
          <w:rtl w:val="true"/>
          <w:lang w:bidi="fa-IR"/>
        </w:rPr>
        <w:t>وثالثة بأنّ النهی هل یکشف عن الفساد أم لا؟</w:t>
      </w:r>
      <w:r>
        <w:rPr>
          <w:rStyle w:val="FootnoteAnchor"/>
          <w:rtl w:val="true"/>
        </w:rPr>
        <w:footnoteReference w:id="132"/>
      </w:r>
      <w:r>
        <w:rPr>
          <w:rFonts w:ascii="IRNazanin" w:hAnsi="IRNazanin" w:eastAsia="IRNazanin"/>
          <w:color w:val="111111"/>
          <w:sz w:val="28"/>
          <w:sz w:val="28"/>
          <w:szCs w:val="28"/>
          <w:rtl w:val="true"/>
          <w:lang w:bidi="fa-IR"/>
        </w:rPr>
        <w:t>والتعابیر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النزاع فی هذه المسألة ناظر إلی أنّ النهی عن العبادة أو المعاملة فی ذاته هل یلازم الفساد أو لا؟ سواء استفدناه من اللفظ أو من غیر اللفظ من عقل أو إجماع، فبطبیعة الحال لیست المسألة من المباحث اللفظیّة</w:t>
      </w:r>
      <w:r>
        <w:rPr>
          <w:rFonts w:eastAsia="IRNazanin" w:cs="IRNazanin"/>
          <w:color w:val="111111"/>
          <w:sz w:val="28"/>
          <w:szCs w:val="28"/>
          <w:rtl w:val="true"/>
          <w:lang w:bidi="fa-IR"/>
        </w:rPr>
        <w:t>.</w:t>
      </w:r>
    </w:p>
    <w:p>
      <w:pPr>
        <w:pStyle w:val="Heading5"/>
        <w:numPr>
          <w:ilvl w:val="4"/>
          <w:numId w:val="1"/>
        </w:numPr>
        <w:rPr/>
      </w:pPr>
      <w:bookmarkStart w:id="284" w:name="__RefHeading___Toc141791_3244359995"/>
      <w:bookmarkStart w:id="285" w:name="_Toc109"/>
      <w:bookmarkEnd w:id="284"/>
      <w:r>
        <w:rPr/>
        <w:t>2</w:t>
      </w:r>
      <w:r>
        <w:rPr>
          <w:rtl w:val="true"/>
        </w:rPr>
        <w:t xml:space="preserve">. </w:t>
      </w:r>
      <w:r>
        <w:rPr>
          <w:rtl w:val="true"/>
        </w:rPr>
        <w:t>بیان المراد من النهی</w:t>
      </w:r>
      <w:bookmarkEnd w:id="2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النهی فی المقام یختصّ بالنهی التحریمی أو یعمّ التنزیهی أیضاً؟ وهل هو</w:t>
      </w:r>
      <w:bookmarkStart w:id="286" w:name="pg16922_187636"/>
    </w:p>
    <w:p>
      <w:pPr>
        <w:pStyle w:val="BookText"/>
        <w:rPr/>
      </w:pPr>
      <w:bookmarkEnd w:id="286"/>
      <w:r>
        <w:rPr>
          <w:rFonts w:ascii="IRNazanin" w:hAnsi="IRNazanin" w:eastAsia="IRNazanin"/>
          <w:color w:val="111111"/>
          <w:sz w:val="28"/>
          <w:sz w:val="28"/>
          <w:szCs w:val="28"/>
          <w:rtl w:val="true"/>
          <w:lang w:bidi="fa-IR"/>
        </w:rPr>
        <w:t>یختّص بالنهی النفسی أو یعمّ النهی الغیری المقدّمی أیضاً؟</w:t>
      </w:r>
    </w:p>
    <w:p>
      <w:pPr>
        <w:pStyle w:val="BookText"/>
        <w:rPr/>
      </w:pPr>
      <w:r>
        <w:rPr>
          <w:rFonts w:ascii="IRNazanin" w:hAnsi="IRNazanin" w:eastAsia="IRNazanin"/>
          <w:color w:val="111111"/>
          <w:sz w:val="28"/>
          <w:sz w:val="28"/>
          <w:szCs w:val="28"/>
          <w:rtl w:val="true"/>
          <w:lang w:bidi="fa-IR"/>
        </w:rPr>
        <w:t xml:space="preserve">ذهب المحقّق الخراسانی رحمه الله إلی عموم النزاع، أمّا بالنسبة إلی التنزیهی فلعموم الملاک من عدم کون المنهیّ عنه مقرّباً إلی اللَّه تعالی، وأمّا بالنسبة إلی الغیری فلأنّ الفرق بینه وبین النفسی إنّما هو فی ترتّب العقوبة علی الأوّل دون الثانی ولا دخل لاستحقاق العقوبة علی المخالفة وعدمه فی کون النهی سبباً للفساد وعدمه، حیث إنّ الملاک علی القول به هو نفس الحرمة وهی موجودة بعینها فی النهی الغیری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أفاده بالنسبة إلی النهی الغیری غیر تامّ؛ لأنّ ما لا عقاب له لا یکون مبعّداً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أنّ محل الکلام فی المقام إنّما هو النهی المولوی لا الإرشادی؛ لأنّ النواهی الإرشادیّة سواء فی باب المعاملات أو العبادات إنّما ترشدنا إلی الشرطیّة أو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إرشاد إلی بطلان العبادة أو المعاملة إذا أتی بها بدون ذلک الشرط أو الجزء،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هو أنّه لا تصلّ لأنّها تبطل، وأکثر النواهی الواردة فی باب المعاملات تکون إرشادیة، کما أنّ غالب الأوامر والنواهی الّتی تعلّقت فی کلام الشارع بجزء أو شرط تکون کذلک</w:t>
      </w:r>
      <w:r>
        <w:rPr>
          <w:rFonts w:eastAsia="IRNazanin" w:cs="IRNazanin"/>
          <w:color w:val="111111"/>
          <w:sz w:val="28"/>
          <w:szCs w:val="28"/>
          <w:rtl w:val="true"/>
          <w:lang w:bidi="fa-IR"/>
        </w:rPr>
        <w:t>.</w:t>
      </w:r>
    </w:p>
    <w:p>
      <w:pPr>
        <w:pStyle w:val="Heading5"/>
        <w:numPr>
          <w:ilvl w:val="4"/>
          <w:numId w:val="1"/>
        </w:numPr>
        <w:rPr/>
      </w:pPr>
      <w:bookmarkStart w:id="287" w:name="__RefHeading___Toc141793_3244359995"/>
      <w:bookmarkStart w:id="288" w:name="_Toc110"/>
      <w:bookmarkEnd w:id="287"/>
      <w:r>
        <w:rPr/>
        <w:t>3</w:t>
      </w:r>
      <w:r>
        <w:rPr>
          <w:rtl w:val="true"/>
        </w:rPr>
        <w:t xml:space="preserve">. </w:t>
      </w:r>
      <w:r>
        <w:rPr>
          <w:rtl w:val="true"/>
        </w:rPr>
        <w:t>المراد من العبادة والمعاملة فی محلّ النزاع</w:t>
      </w:r>
      <w:bookmarkEnd w:id="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لایخفی أنّ العبادة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بالمعنی الأخصّ والعبادة بالمعنی الأعمّ، والعبادة بالمعنی الأخصّ ما یعتبر فیه قصد القربة بحیث تقع بدونه فاسدة، والعبادة بالمعنی الأعمّ ما یقصد فیه القربة، ویترتّب علیه الثواب من دون أن یکون قصد القربة شرطاً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المراد من العبادة فی المقام إنّما هو العبادة بالمعنی الأخصّ، کما لا إشکال فی أنّ المراد من العبادة فی ما نحن فیه ما یکون بنفسه عبادة موجبة بذاتها التقرّب إلی اللَّه تعالی لولا حرمته شرعاً، أی المراد منها العبادة الشأنیّة وما یتعلّق الأمر به مع قطع النظر عن کونه متعلّقاً للنهی، ولیس المراد بها ما یکون عبادة فعلًا ولو مع کونه متعلّقاً للنهی، فإنّه لا معنی لکون الشی‌ء عبادة فعلًا ومع ذلک تعلّق به النهی، لأنّ معنی کونه عبادة فعلًا أنّه محبوب فعلًا، ومعه لا یتعلّق به نهی ولا یکون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المتبادر من العبادة إنّما هو أعلی مراتب الخضوع، کما یظهر بملاحظة معناها بالفارسیة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المتبادر من هذه الکلمة فی اللغة الفارسیة إنّما هو نهایة الخضوع والتذلّل، ولا یسمّی کلّ نوع من الخضوع وکلّ مرتبة منه عند العرف بعبادة، بل إنّها اسم لأعلی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الأعمال العبادیة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قسم منها یکون التعبیر عن نهایة الخضوع ذاتیاً له ولا یحتاج فیه إلی اعتبار معتبر کالرکوع والسجود، وفی قسم آخر منها یکون التعبیر عن نهایة الخضوع باعتبار معتبر ووضع واضع وهو فی لسان الشرع نظیر الوقوف فی عرفات والمشعر أو السعی بین الصفا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المعاملة فلها أربعة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مترادفاً مع کلمة البیع وهذا هو أخصّ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یقع بین الاثنین وهو شامل لجمیع العقود أعمّ من البیع وغیره ولا یعمّ الإیقاعات، وهذا أعمّ من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یتوقّف علی القصد والإنشاء فیعمّ جمیع العقود والإیقاعات، فیکون أعمّ من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ما لا یعتبر فیه قصد القربة سواءً کان فیه الإنشاء أو لم یکن، فیعمّ مثل تطهیر الثیاب مثلًا، والذی یکون محلًاّ للنزاع فی ما نحن فیه إنّما هو المعنی الثالث</w:t>
      </w:r>
      <w:bookmarkStart w:id="289" w:name="pg16922_187638"/>
    </w:p>
    <w:p>
      <w:pPr>
        <w:pStyle w:val="BookText"/>
        <w:rPr/>
      </w:pPr>
      <w:bookmarkEnd w:id="289"/>
      <w:r>
        <w:rPr>
          <w:rFonts w:ascii="IRNazanin" w:hAnsi="IRNazanin" w:eastAsia="IRNazanin"/>
          <w:color w:val="111111"/>
          <w:sz w:val="28"/>
          <w:sz w:val="28"/>
          <w:szCs w:val="28"/>
          <w:rtl w:val="true"/>
          <w:lang w:bidi="fa-IR"/>
        </w:rPr>
        <w:t>الذی یتصوّر فیه الصحّة والفساد ویتضمّن المعنی الأوّل والثانی أیضاً ویکون أخصّ بالنسبة إلی المعنی الرابع</w:t>
      </w:r>
      <w:r>
        <w:rPr>
          <w:rFonts w:eastAsia="IRNazanin" w:cs="IRNazanin"/>
          <w:color w:val="111111"/>
          <w:sz w:val="28"/>
          <w:szCs w:val="28"/>
          <w:rtl w:val="true"/>
          <w:lang w:bidi="fa-IR"/>
        </w:rPr>
        <w:t>.</w:t>
      </w:r>
    </w:p>
    <w:p>
      <w:pPr>
        <w:pStyle w:val="Heading5"/>
        <w:numPr>
          <w:ilvl w:val="4"/>
          <w:numId w:val="1"/>
        </w:numPr>
        <w:rPr/>
      </w:pPr>
      <w:bookmarkStart w:id="290" w:name="__RefHeading___Toc141795_3244359995"/>
      <w:bookmarkStart w:id="291" w:name="_Toc111"/>
      <w:bookmarkEnd w:id="290"/>
      <w:r>
        <w:rPr/>
        <w:t>4</w:t>
      </w:r>
      <w:r>
        <w:rPr>
          <w:rtl w:val="true"/>
        </w:rPr>
        <w:t xml:space="preserve">. </w:t>
      </w:r>
      <w:r>
        <w:rPr>
          <w:rtl w:val="true"/>
        </w:rPr>
        <w:t>محلّ النزاع فی المسألة</w:t>
      </w:r>
      <w:bookmarkEnd w:id="291"/>
    </w:p>
    <w:p>
      <w:pPr>
        <w:pStyle w:val="BookText"/>
        <w:rPr/>
      </w:pPr>
      <w:r>
        <w:rPr>
          <w:rFonts w:ascii="IRNazanin" w:hAnsi="IRNazanin" w:eastAsia="IRNazanin"/>
          <w:color w:val="111111"/>
          <w:sz w:val="28"/>
          <w:sz w:val="28"/>
          <w:szCs w:val="28"/>
          <w:rtl w:val="true"/>
          <w:lang w:bidi="fa-IR"/>
        </w:rPr>
        <w:t>إنّ محلّ النزاع فی المقام هو ما یکون أمراً مرکّباً قابلًا للاتّصاف بالصحّة والفساد، أمّا ما لیس کذلک فهو خارج عن محلّ الکلام، وهو عبارة عمّا لا أثر له کما فی بعض المباحات کالتکلّم بکلام مباح، فلا إشکال فی أنّ النهی عنه یوجب حرمته من دون أن یدلّ علی الفساد لأنّه لم یکن له أثر حتّی یقع فاسداً بعد 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ما یکون ذا أثر ولکنّه من البسائط الّتی أمرها دائر بین الوجود والعدم کإتلاف مال الغیر، فإنّ له أثر وهو الضمان، ولکنّ الإتلاف أمر بسیط لا یتصوّر فیه الأجزاء والشرائط حتّی یتصوّر فیه الفساد ویدلّ النهی عنه علی الفساد، بل إنّه إمّا یوجد فی الخارج فیترتّب علیه أثره وهو الضمان أو لا یوجد فی الخارج فلا 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الصحیح ما یترتّب علیه الأثر المترقّب منه، والفاسد خلافه، والشاهد علیه العرف والتبادر العرفی علی ما مرّ فی مبحث الصحیح والأعمّ</w:t>
      </w:r>
      <w:r>
        <w:rPr>
          <w:rFonts w:eastAsia="IRNazanin" w:cs="IRNazanin"/>
          <w:color w:val="111111"/>
          <w:sz w:val="28"/>
          <w:szCs w:val="28"/>
          <w:rtl w:val="true"/>
          <w:lang w:bidi="fa-IR"/>
        </w:rPr>
        <w:t>.</w:t>
      </w:r>
    </w:p>
    <w:p>
      <w:pPr>
        <w:pStyle w:val="Heading5"/>
        <w:numPr>
          <w:ilvl w:val="4"/>
          <w:numId w:val="1"/>
        </w:numPr>
        <w:rPr/>
      </w:pPr>
      <w:bookmarkStart w:id="292" w:name="__RefHeading___Toc141797_3244359995"/>
      <w:bookmarkStart w:id="293" w:name="_Toc112"/>
      <w:bookmarkEnd w:id="292"/>
      <w:r>
        <w:rPr/>
        <w:t>5</w:t>
      </w:r>
      <w:r>
        <w:rPr>
          <w:rtl w:val="true"/>
        </w:rPr>
        <w:t xml:space="preserve">. </w:t>
      </w:r>
      <w:r>
        <w:rPr>
          <w:rtl w:val="true"/>
        </w:rPr>
        <w:t>الأصل فی المسألة</w:t>
      </w:r>
      <w:bookmarkEnd w:id="293"/>
    </w:p>
    <w:p>
      <w:pPr>
        <w:pStyle w:val="BookText"/>
        <w:rPr/>
      </w:pPr>
      <w:r>
        <w:rPr>
          <w:rFonts w:ascii="IRNazanin" w:hAnsi="IRNazanin" w:eastAsia="IRNazanin"/>
          <w:color w:val="111111"/>
          <w:sz w:val="28"/>
          <w:sz w:val="28"/>
          <w:szCs w:val="28"/>
          <w:rtl w:val="true"/>
          <w:lang w:bidi="fa-IR"/>
        </w:rPr>
        <w:t>والأصل إمّا لفظی مثل الإطلاق أو العموم، أو عملی وهو الاصول الأربعة المعروفة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عدم وجود أصل لفظی یستفاد منه دلالة النهی علی الفساد أو وجود الملازمة بین النهی والفساد، أو یستفاد منه عدم دلالته علیه أو عدم وجود الملازمة</w:t>
      </w:r>
      <w:r>
        <w:rPr>
          <w:rFonts w:eastAsia="IRNazanin" w:cs="IRNazanin"/>
          <w:color w:val="111111"/>
          <w:sz w:val="28"/>
          <w:szCs w:val="28"/>
          <w:rtl w:val="true"/>
          <w:lang w:bidi="fa-IR"/>
        </w:rPr>
        <w:t>.</w:t>
      </w:r>
      <w:bookmarkStart w:id="294" w:name="pg16922_187639"/>
    </w:p>
    <w:p>
      <w:pPr>
        <w:pStyle w:val="BookText"/>
        <w:rPr/>
      </w:pPr>
      <w:bookmarkEnd w:id="294"/>
      <w:r>
        <w:rPr>
          <w:rFonts w:ascii="IRNazanin" w:hAnsi="IRNazanin" w:eastAsia="IRNazanin"/>
          <w:color w:val="111111"/>
          <w:sz w:val="28"/>
          <w:sz w:val="28"/>
          <w:szCs w:val="28"/>
          <w:rtl w:val="true"/>
          <w:lang w:bidi="fa-IR"/>
        </w:rPr>
        <w:t>وأمّا الأصل العملی من استصحاب عدم وجود الملازمة بین النهی والفساد، فمن الواضح عدم جریانه؛ لأنّ عدم وجود الملازمة لیس من المتیقّن سابقاً إلّاأن یتمسّک بذیل العدم الأزلی، ولا إشکال فی أنّ استصحاب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قیل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جاریاً فی المقام لعدم ترتّب أثر شرعی علیه بلا واسطة، حیث إنّ عدم وجود الملازمة من الآثار العقلیّة فیکون الأصل حینئذٍ مثبتاً کما لا یخفی</w:t>
      </w:r>
      <w:r>
        <w:rPr>
          <w:rFonts w:eastAsia="IRNazanin" w:cs="IRNazanin"/>
          <w:color w:val="111111"/>
          <w:sz w:val="28"/>
          <w:szCs w:val="28"/>
          <w:rtl w:val="true"/>
          <w:lang w:bidi="fa-IR"/>
        </w:rPr>
        <w:t>.</w:t>
      </w:r>
    </w:p>
    <w:p>
      <w:pPr>
        <w:pStyle w:val="Heading5"/>
        <w:numPr>
          <w:ilvl w:val="4"/>
          <w:numId w:val="1"/>
        </w:numPr>
        <w:rPr/>
      </w:pPr>
      <w:bookmarkStart w:id="295" w:name="__RefHeading___Toc141799_3244359995"/>
      <w:bookmarkStart w:id="296" w:name="_Toc113"/>
      <w:bookmarkEnd w:id="295"/>
      <w:r>
        <w:rPr/>
        <w:t>6</w:t>
      </w:r>
      <w:r>
        <w:rPr>
          <w:rtl w:val="true"/>
        </w:rPr>
        <w:t xml:space="preserve">. </w:t>
      </w:r>
      <w:r>
        <w:rPr>
          <w:rtl w:val="true"/>
        </w:rPr>
        <w:t>أقسام تعلّق النهی بالعبادة</w:t>
      </w:r>
      <w:bookmarkEnd w:id="296"/>
    </w:p>
    <w:p>
      <w:pPr>
        <w:pStyle w:val="BookText"/>
        <w:rPr/>
      </w:pPr>
      <w:r>
        <w:rPr>
          <w:rFonts w:ascii="IRNazanin" w:hAnsi="IRNazanin" w:eastAsia="IRNazanin"/>
          <w:color w:val="111111"/>
          <w:sz w:val="28"/>
          <w:sz w:val="28"/>
          <w:szCs w:val="28"/>
          <w:rtl w:val="true"/>
          <w:lang w:bidi="fa-IR"/>
        </w:rPr>
        <w:t>إنّ متعلّق النهی تارةً یکون نفس العبادة کالنهی عن الصلاة فی أیّام الحیض أو النهی عن الصوم فی یوم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النهی جزء من أجزاء العبادة کالنهی عن قراءة العزائم فی الصلاة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النهی بشرط العبادة کالنهی عن لبس الحریر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النهی بوصف من أوصاف العبادة الملازمة لها کما إذا نهی عن الجهر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بوصف غیر ملازم کالنهی عن الصلاة فی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القسم الأوّل داخل فی محلّ النزاع، وهکذا القسم الثانی لأنّ جزء العبادة عبادة، نعم لابدّ من البحث فیه من جهة أنّ الفساد هل یسری من الجزء إلی الکلّ أو لا؟</w:t>
      </w:r>
    </w:p>
    <w:p>
      <w:pPr>
        <w:pStyle w:val="BookText"/>
        <w:rPr/>
      </w:pPr>
      <w:r>
        <w:rPr>
          <w:rFonts w:ascii="IRNazanin" w:hAnsi="IRNazanin" w:eastAsia="IRNazanin"/>
          <w:color w:val="111111"/>
          <w:sz w:val="28"/>
          <w:sz w:val="28"/>
          <w:szCs w:val="28"/>
          <w:rtl w:val="true"/>
          <w:lang w:bidi="fa-IR"/>
        </w:rPr>
        <w:t>قال المحقّق الخراسانی رحمه الله بعدم السرایة إلّافی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اکتفی بإتیان المنهیّ عنه ولم یأت بالجزء فی ضمن فرد آخر کما إذا أتی بسورة من سور العزائم واکتفی بها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یکتف بالمأتیّ به ولکن کان المبنی بطلان الصلاة بالزیادة</w:t>
      </w:r>
      <w:bookmarkStart w:id="297" w:name="pg16922_187640"/>
    </w:p>
    <w:p>
      <w:pPr>
        <w:pStyle w:val="BookText"/>
        <w:rPr/>
      </w:pPr>
      <w:bookmarkEnd w:id="297"/>
      <w:r>
        <w:rPr>
          <w:rFonts w:ascii="IRNazanin" w:hAnsi="IRNazanin" w:eastAsia="IRNazanin"/>
          <w:color w:val="111111"/>
          <w:sz w:val="28"/>
          <w:sz w:val="28"/>
          <w:szCs w:val="28"/>
          <w:rtl w:val="true"/>
          <w:lang w:bidi="fa-IR"/>
        </w:rPr>
        <w:t xml:space="preserve">مطلقاً سواء کانت من کلام الآدمی أو لم یکن </w:t>
      </w:r>
      <w:r>
        <w:rPr>
          <w:rStyle w:val="FootnoteAnchor"/>
          <w:rtl w:val="true"/>
        </w:rPr>
        <w:footnoteReference w:id="135"/>
      </w:r>
      <w:r>
        <w:rPr>
          <w:rFonts w:ascii="IRNazanin" w:hAnsi="IRNazanin" w:eastAsia="IRNazanin"/>
          <w:color w:val="111111"/>
          <w:sz w:val="28"/>
          <w:sz w:val="28"/>
          <w:szCs w:val="28"/>
          <w:rtl w:val="true"/>
          <w:lang w:bidi="fa-IR"/>
        </w:rPr>
        <w:t>، وهذا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تعلّق النهی بالشرط، فالصحیح دخوله فی محلّ البحث مطلقاً من دون فرق بین التعبّدی والتوصّلی؛ لأنّ الشرط وإن کانت ذاته خارجة عن المشروط، لکن التقیّد به جزء له ویکون کیفیة للعبادة، وحینئذٍ إذا کان الشرط مقارناً للعبادة کعدم التستّر بالحریر یوجب النهی عنه فساد العبادة المشروطة به؛ لأنّه إذا تستّر بالحریر، أی لم یأت بالشرط، فقد أتی بفعل محرّم وصارت عبادته مقیّدة به، والتقیّد بالحرام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الجهر أو الإخفات فی الصلاة؛ حیث إنّه وصف ملازم للقراءة ولا یمکن التفکیک بینهما، وإن کان تبدیل أحد الوصفین بالآخر ممکناً فهو أیضاً داخل فی محلّ النزاع، لأنّ من الممکن أن یسری النهی عرفاً من الوصف إلی الموصوف لعدم انفکاکهما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التمثیل له بالنهی عن النظر إلی الأجنبیّة حال الصلاة فإنّه وصف غیر ملازم للصّلاة، والتمثیل بالنهی عن الصلاة فی الدار المغصوبة فهو صحیح بناءً علی جواز الاجتماع لعدم اتّحاد الصلاة مع الغصب حینئذٍ فی الخارج، خلافاً علی مبنی الامتناع؛ لاتحاد الصلاة مع الغصب، ولذلک اعترف القوم بأنّ باب اجتماع الأمر والنهی تکون صغری باب النهی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المقام لا یسری قبح أحدهما إلی الآخر إلّافی بعض الموارد، کما أشرنا إلیه سابقاً</w:t>
      </w:r>
      <w:r>
        <w:rPr>
          <w:rFonts w:eastAsia="IRNazanin" w:cs="IRNazanin"/>
          <w:color w:val="111111"/>
          <w:sz w:val="28"/>
          <w:szCs w:val="28"/>
          <w:rtl w:val="true"/>
          <w:lang w:bidi="fa-IR"/>
        </w:rPr>
        <w:t>.</w:t>
      </w:r>
    </w:p>
    <w:p>
      <w:pPr>
        <w:pStyle w:val="Heading5"/>
        <w:numPr>
          <w:ilvl w:val="4"/>
          <w:numId w:val="1"/>
        </w:numPr>
        <w:rPr/>
      </w:pPr>
      <w:bookmarkStart w:id="298" w:name="__RefHeading___Toc141801_3244359995"/>
      <w:bookmarkStart w:id="299" w:name="_Toc114"/>
      <w:bookmarkEnd w:id="298"/>
      <w:r>
        <w:rPr>
          <w:rtl w:val="true"/>
        </w:rPr>
        <w:t>جریان الأقسام المتقدّمة فی المعاملات وعدمه</w:t>
      </w:r>
      <w:bookmarkEnd w:id="2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إذا کان المراد من المعاملة هو السبب؛ أی صیغة العقد فلا إشکال فی إمکان تصویر الأقسام المزبورة فی المعاملات أیضاً، لأنّ للعقد جزءً وشرطاً</w:t>
      </w:r>
      <w:bookmarkStart w:id="300" w:name="pg16922_187641"/>
    </w:p>
    <w:p>
      <w:pPr>
        <w:pStyle w:val="BookText"/>
        <w:rPr/>
      </w:pPr>
      <w:bookmarkEnd w:id="300"/>
      <w:r>
        <w:rPr>
          <w:rFonts w:ascii="IRNazanin" w:hAnsi="IRNazanin" w:eastAsia="IRNazanin"/>
          <w:color w:val="111111"/>
          <w:sz w:val="28"/>
          <w:sz w:val="28"/>
          <w:szCs w:val="28"/>
          <w:rtl w:val="true"/>
          <w:lang w:bidi="fa-IR"/>
        </w:rPr>
        <w:t>ووصفاً کالعبادات، نعم یشکل الظفر بمثال للنهی عن الجزء أو الشرط أو الوصف فیها فی مقام الإثبات، بل ینحصر النهی فی هذا المقام بما تعلّق بذات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منها المسبّب؛ أی النقل والانتقال فی مثل البیع والصلح والهبة وغیر ذلک، فالمتصوّر فیها حتّی فی مقام الثبوت إنّما هو النهی المتعلّق بذاته لا غیر، وذلک لأنّ المسبّب أمر بسیط لا یتصوّر فیه الجزء أو الشرط أو الوصف، بل أمره دائر دائماً بین الوجود والعدم</w:t>
      </w:r>
      <w:r>
        <w:rPr>
          <w:rFonts w:eastAsia="IRNazanin" w:cs="IRNazanin"/>
          <w:color w:val="111111"/>
          <w:sz w:val="28"/>
          <w:szCs w:val="28"/>
          <w:rtl w:val="true"/>
          <w:lang w:bidi="fa-IR"/>
        </w:rPr>
        <w:t>.</w:t>
      </w:r>
    </w:p>
    <w:p>
      <w:pPr>
        <w:pStyle w:val="Heading5"/>
        <w:numPr>
          <w:ilvl w:val="4"/>
          <w:numId w:val="1"/>
        </w:numPr>
        <w:rPr/>
      </w:pPr>
      <w:bookmarkStart w:id="301" w:name="__RefHeading___Toc141803_3244359995"/>
      <w:bookmarkStart w:id="302" w:name="_Toc115"/>
      <w:bookmarkEnd w:id="301"/>
      <w:r>
        <w:rPr/>
        <w:t>7</w:t>
      </w:r>
      <w:r>
        <w:rPr>
          <w:rtl w:val="true"/>
        </w:rPr>
        <w:t xml:space="preserve">. </w:t>
      </w:r>
      <w:r>
        <w:rPr>
          <w:rtl w:val="true"/>
        </w:rPr>
        <w:t>الأقوال فی المسألة وبیان المختار فیها</w:t>
      </w:r>
      <w:bookmarkEnd w:id="302"/>
    </w:p>
    <w:p>
      <w:pPr>
        <w:pStyle w:val="BookText"/>
        <w:rPr/>
      </w:pPr>
      <w:r>
        <w:rPr>
          <w:rFonts w:ascii="IRNazanin" w:hAnsi="IRNazanin" w:eastAsia="IRNazanin"/>
          <w:color w:val="111111"/>
          <w:sz w:val="28"/>
          <w:sz w:val="28"/>
          <w:szCs w:val="28"/>
          <w:rtl w:val="true"/>
          <w:lang w:bidi="fa-IR"/>
        </w:rPr>
        <w:t>والأقوال فی المسألة کثیرة جدّاً</w:t>
      </w:r>
      <w:r>
        <w:rPr>
          <w:rStyle w:val="FootnoteAnchor"/>
          <w:rtl w:val="true"/>
        </w:rPr>
        <w:footnoteReference w:id="136"/>
      </w:r>
      <w:r>
        <w:rPr>
          <w:rFonts w:ascii="Amiri" w:hAnsi="Amiri" w:eastAsia="Amiri" w:cs="Amiri"/>
          <w:color w:val="111111"/>
          <w:sz w:val="28"/>
          <w:sz w:val="28"/>
          <w:szCs w:val="28"/>
          <w:rtl w:val="true"/>
          <w:lang w:bidi="ar-SA"/>
        </w:rPr>
        <w:t>، والمهمّ منها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الفساد مطلقاً سواء کان المنهیّ عنه عبادة أو معاملة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مطلقاً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العبادة والمعاملة وأنّه یوجب الفساد فی الاولی دون الثانیة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بالفساد فی العبادة والتفصیل فی المعاملة بین النهی عن السبب والنهی عن المسبّب وأنّه یوجب الفساد فی الأوّل دون الثانی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النهی یوجب الفساد فی العبادات وذلک لأنّ العبادة تحتاج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الفعلی؛ أی صلاحیة ذات العمل للتقرّب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الفاعلی؛ أی قصد الفاعل التقرّب به إلی 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والنهی ینافیهما؛ لأنّه یکشف عن کون الفعل مبغوضاً للمولی وأنّه لا حسن له</w:t>
      </w:r>
      <w:bookmarkStart w:id="303" w:name="pg16922_187642"/>
    </w:p>
    <w:p>
      <w:pPr>
        <w:pStyle w:val="BookText"/>
        <w:rPr/>
      </w:pPr>
      <w:bookmarkEnd w:id="303"/>
      <w:r>
        <w:rPr>
          <w:rFonts w:ascii="IRNazanin" w:hAnsi="IRNazanin" w:eastAsia="IRNazanin"/>
          <w:color w:val="111111"/>
          <w:sz w:val="28"/>
          <w:sz w:val="28"/>
          <w:szCs w:val="28"/>
          <w:rtl w:val="true"/>
          <w:lang w:bidi="fa-IR"/>
        </w:rPr>
        <w:t>عنده، وعن عدم کون الفاعل متقرّباً به إلی اللَّه تعالی؛ لأنّه کیف یمکن للفاعل قصد التقرّب بما لا یصلح للتقرّب به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جاهلًا بتعلّق النهی أمکن حینئذٍ أن یصدر منه قصد التقرّب، ولکن هذا من ناحیة حسنه الفاعلی، وأمّا الحسن الفعلی وعدمه فلا إشکال فی أنّه لا ربط له بعلم المکلّف وجهله، فیوجب عدمه فی حال الجهل أیضاً بطلان العمل</w:t>
      </w:r>
      <w:r>
        <w:rPr>
          <w:rFonts w:eastAsia="IRNazanin" w:cs="IRNazanin"/>
          <w:color w:val="111111"/>
          <w:sz w:val="28"/>
          <w:szCs w:val="28"/>
          <w:rtl w:val="true"/>
          <w:lang w:bidi="fa-IR"/>
        </w:rPr>
        <w:t>.</w:t>
      </w:r>
    </w:p>
    <w:p>
      <w:pPr>
        <w:pStyle w:val="Heading5"/>
        <w:numPr>
          <w:ilvl w:val="4"/>
          <w:numId w:val="1"/>
        </w:numPr>
        <w:rPr/>
      </w:pPr>
      <w:bookmarkStart w:id="304" w:name="__RefHeading___Toc141805_3244359995"/>
      <w:bookmarkStart w:id="305" w:name="_Toc116"/>
      <w:bookmarkEnd w:id="304"/>
      <w:r>
        <w:rPr>
          <w:rtl w:val="true"/>
        </w:rPr>
        <w:t>النهی فی المعاملات</w:t>
      </w:r>
      <w:bookmarkEnd w:id="305"/>
    </w:p>
    <w:p>
      <w:pPr>
        <w:pStyle w:val="BookText"/>
        <w:rPr/>
      </w:pPr>
      <w:r>
        <w:rPr>
          <w:rFonts w:ascii="IRNazanin" w:hAnsi="IRNazanin" w:eastAsia="IRNazanin"/>
          <w:color w:val="111111"/>
          <w:sz w:val="28"/>
          <w:sz w:val="28"/>
          <w:szCs w:val="28"/>
          <w:rtl w:val="true"/>
          <w:lang w:bidi="fa-IR"/>
        </w:rPr>
        <w:t>ولابدّ من التفصیل بین أقسام النهی المتعلّق بالمعاملات فإنّه 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المتعلّق بالسبب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 وَذَرُوا الْبَیْعَ</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بناءً علی أنّ أسامی العقود وضعت للأسباب لا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المتعلّق بالمسبّب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 الکافر العبد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المنهیّ عنه المبغوض للشارع فیهما إنّما هو سلطة الکافر المسبّب عن بیع العبد المسلم، حیث إنّه لن یجعل اللَّه للکافرین علی المؤمنین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التسبّب الخاصّ، أی إیجاد المعاملة بسبب خاصّ وبآلة خاصّة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تتملّک شیئاً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 التملّک لیس مبغوضاً للشارع، بل المبغوض إنّما هو التملّک من طریق الأخذ بالربا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المتعلّق بالنتیجة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النهی تعلّق بالثمن الذی هو نتیجة للعقد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دلالة النهی فیه علی الفساد؛ لعدم وجود ملازمة بین النهی عن شی‌ء وفساده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علی الفساد، فإنّ صحّة المعاملة تتوقّف علی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 المتعاملین مالکاً للعین أو بحکمه لیکون أمر النقل بیده ولا یکون أجنبیاً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محجوراً عن التصرّف فیها من جهة تعلّق حقّ الغیر بها أو لغیر ذلک من أسباب الحجر لیکون له السلطنة الفعلیّة علی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إیجاد المعاملة بسبب خاصّ وآلة خاصّة، وعلی ذلک فإذا فرض تعلّق النهی بالمسبّب وبنفس الملکیّة المنشأة مثلًا کما فی النهی عن بیع المصحف والعبد المسلم من الکافر کان النهی معجزاً مولویاً للمکلّف عن الفعل ورافعاً لسلطنته علیه فیختلّ بذلک الشرط الثانی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فساد المعاملة فی هذا القسم هو مقتضی الحکمة العقلائیّة فی القوانین المجعولة عندهم؛ حیث إنّ المقنّن الحکیم لا یمضی عقداً یکون مسبّبه مبغوضاً عنده، والعقلاء یذمّون من أمضی عقداً ثمّ أجبر المشتری بالبیع ثانیاً، وهذا بخلاف القسم الأوّل، أی النهی عن السبب، فإنّه لا دلیل فیه علی الفساد لعدم کون المسبّب فیه مبغوضاً عند الشارع علی الفرض بل المبغوض فیه إنّما هو أمر آخر خارج عن المسبّب کوصف المزاحمة لصّلاة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فیه یدلّ علی الفساد أیضاً؛ لنفس ما مرّ فی القسم الثانی، فإنّ إمضاء الشارع الحکیم إیجاد معاملة بسبب خاصّ مع کون التسبّب به مبغوضاً عنده، ینافی حکمته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ولا خلاف فی دلالة النهی علی الفساد فیه أیضاً؛ لأنّ مبغوضیّة الأثر وکونه سحتاً مثلًا عند المولی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w:t>
      </w:r>
      <w:bookmarkStart w:id="306" w:name="pg16922_187644"/>
    </w:p>
    <w:p>
      <w:pPr>
        <w:pStyle w:val="BookText"/>
        <w:rPr/>
      </w:pPr>
      <w:bookmarkEnd w:id="306"/>
      <w:r>
        <w:rPr>
          <w:rFonts w:ascii="IRNazanin" w:hAnsi="IRNazanin" w:eastAsia="IRNazanin"/>
          <w:color w:val="111111"/>
          <w:sz w:val="28"/>
          <w:sz w:val="28"/>
          <w:szCs w:val="28"/>
          <w:rtl w:val="true"/>
          <w:lang w:bidi="fa-IR"/>
        </w:rPr>
        <w:t>یکشف عن الفساد عرفاً، فإنّ لازم حرمة الأثر والنتیجة عند العرف بقاء الثمن فی ملک المشتری، وهذا من قبیل قضایا الّتی قیاساتها معها، ولذلک نری کثیراً ما تعبیر الشارع عن بطلان معاملة لا خلاف فی بطلانها بلسان حرمة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البحث بحسب ما یقتضیه حکم العقل وبناء العقلاء، وهاهنا روایات ربما یستدلّ بها فی المقام</w:t>
      </w:r>
      <w:r>
        <w:rPr>
          <w:rFonts w:eastAsia="IRNazanin" w:cs="IRNazanin"/>
          <w:color w:val="111111"/>
          <w:sz w:val="28"/>
          <w:szCs w:val="28"/>
          <w:rtl w:val="true"/>
          <w:lang w:bidi="fa-IR"/>
        </w:rPr>
        <w:t>:</w:t>
      </w:r>
    </w:p>
    <w:p>
      <w:pPr>
        <w:pStyle w:val="Heading5"/>
        <w:numPr>
          <w:ilvl w:val="4"/>
          <w:numId w:val="1"/>
        </w:numPr>
        <w:rPr/>
      </w:pPr>
      <w:bookmarkStart w:id="307" w:name="__RefHeading___Toc141807_3244359995"/>
      <w:bookmarkStart w:id="308" w:name="_Toc117"/>
      <w:bookmarkEnd w:id="307"/>
      <w:r>
        <w:rPr>
          <w:rtl w:val="true"/>
        </w:rPr>
        <w:t>الاستدلال ببعض الروایات فی المقام</w:t>
      </w:r>
      <w:bookmarkEnd w:id="30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وإبراهیم النخعی وأصحابهما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ولا تحلّ إجازة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فاستُدلّ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یعص اللَّه وإنّما عصی 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الفساد، بدعوی أنّ مفهومه فساد النکاح لو کان عصی اللَّه ووجود الملازمة بین عصیان اللَّه فی المنهیّ عنه وفساده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بها أیضاً للصحّة ببیان أنّ عصیان السیّد ملازم لعصیان اللَّه تعالی، لأنّ طاعة السیّد واجب شرعاً، فإذا لم یوجب عصیان السیّد الفساد لم یوجبه عصیان اللَّه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منشأ الخلاف فی تفسیر الروایة إنّما هو أنّ العصیانین الواردین فی الروایة هل هما تکلیفیان، أو أنّهما وضعیان، أو أحدهما وضعی والآخر تکلیفی؟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القائل بدلالتها علی الفساد یری أنّ کلیهما تکلیفیان، والقائل بالصحّة یری عصیان السیّد تکلیفیاً فحسب وعصیان اللَّه المنفیّ فی الروایة وضعیاً، ولازمه أن</w:t>
      </w:r>
      <w:bookmarkStart w:id="309" w:name="pg16922_187645"/>
    </w:p>
    <w:p>
      <w:pPr>
        <w:pStyle w:val="BookText"/>
        <w:rPr/>
      </w:pPr>
      <w:bookmarkEnd w:id="309"/>
      <w:r>
        <w:rPr>
          <w:rFonts w:ascii="IRNazanin" w:hAnsi="IRNazanin" w:eastAsia="IRNazanin"/>
          <w:color w:val="111111"/>
          <w:sz w:val="28"/>
          <w:sz w:val="28"/>
          <w:szCs w:val="28"/>
          <w:rtl w:val="true"/>
          <w:lang w:bidi="fa-IR"/>
        </w:rPr>
        <w:t>یکون مدلول الروایة أنّ الذی یوجب بطلان النکاح وفساده إنّما هو العصیان الوضعی لا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النزاع فی المقام إنّما هو النواهی التکلیفیّة وإنّها هل تدلّ علی الفساد أو لا، لا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المراد من کلا العصیانین فی الحدیث هو العصیان الوضعی، أمّا بالنسبة إلی عصیان اللَّه فلأنّ جمیع المحرّمات فی باب النکاح محرّمات وضعیّة کما یظهر بالتتبّع فیها، وما ورد فیها من الوعید بالعذاب والعقاب فهو أیضاً ناشٍ من الحرمة الوضعیّة وما یترتّب علی بطلان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عصیان السیّد فلأنّه لا إشکال فی أنّه لیس لازم اعتبار الإذن من السیّد حرمة مجرّد إجراء صیغة النکاح تکلیفاً علی العبد، وإلّا یستلزم حرمة التکلّم وأشباهه أیضاً ممّا لا یعتبر فیه الإذن من السیّد قطعاً، بل غایة ما یقتضیه کون عقد النکاح فضولیاً وغیر تامّ بحسب الوضع، فیصیر صحیحاً بلحوق الإجازة، ولازم هذا هو الحرمة الوضعیّة فقط</w:t>
      </w:r>
      <w:r>
        <w:rPr>
          <w:rFonts w:eastAsia="IRNazanin" w:cs="IRNazanin"/>
          <w:color w:val="111111"/>
          <w:sz w:val="28"/>
          <w:szCs w:val="28"/>
          <w:rtl w:val="true"/>
          <w:lang w:bidi="fa-IR"/>
        </w:rPr>
        <w:t>.</w:t>
      </w:r>
    </w:p>
    <w:p>
      <w:pPr>
        <w:pStyle w:val="Heading5"/>
        <w:numPr>
          <w:ilvl w:val="4"/>
          <w:numId w:val="1"/>
        </w:numPr>
        <w:rPr/>
      </w:pPr>
      <w:bookmarkStart w:id="310" w:name="__RefHeading___Toc141809_3244359995"/>
      <w:bookmarkStart w:id="311" w:name="_Toc118"/>
      <w:bookmarkEnd w:id="310"/>
      <w:r>
        <w:rPr>
          <w:rtl w:val="true"/>
        </w:rPr>
        <w:t>تنبیه</w:t>
      </w:r>
      <w:r>
        <w:rPr>
          <w:rtl w:val="true"/>
        </w:rPr>
        <w:t>:</w:t>
      </w:r>
      <w:bookmarkEnd w:id="311"/>
    </w:p>
    <w:p>
      <w:pPr>
        <w:pStyle w:val="BookText"/>
        <w:rPr/>
      </w:pPr>
      <w:r>
        <w:rPr>
          <w:rFonts w:ascii="IRNazanin" w:hAnsi="IRNazanin" w:eastAsia="IRNazanin"/>
          <w:color w:val="111111"/>
          <w:sz w:val="28"/>
          <w:sz w:val="28"/>
          <w:szCs w:val="28"/>
          <w:rtl w:val="true"/>
          <w:lang w:bidi="fa-IR"/>
        </w:rPr>
        <w:t>حکی عن أبی حنیفة والشیبانی دلالة النهی علی الصحّة کما مرّ، وظاهره دلالته علیها مطلقاً سواء فی المعاملات والعبادات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 بأنّ النهی لا یصحّ إلّاعمّا یتعلّق به القدرة، والمنهیّ عنه هو وقوع المعاملة مؤثّرة صحیحة، فلو کان الزجر عن معاملة مقتضیاً للفساد للزم أن یکون سالباً لقدرة المکلّف، ومع عدم قدرته یکون لغواً، فلو کان صوم یوم النحر والنکاح فی العدّة مثلًا ممّا لا یتمکّن المکلّف من إتیانهما کان النهی عنهما لغواً لتعلّقه بأمر غیر مقدور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الفعل المنهیّ عنه حاصل لعدم القدرة علیه، فالنهی عنه حینئذٍ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ظاهر، فإنّ غایة ما یدلّ علیه إنّما هو صحّة العمل المنهیّ عنه لولا تعلّق النهی به، وهذا یکفی فی الخروج عن محذور تحصیل الحاصل ومحذور تعلّق النهی بأمر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الشارع یسلب القدرة عن المکلّف تعبّداً بنهیه عنه نظیر ما یلاحظ فی باب النذر فیما إذا تعلّق بترک عبادة مکروهة مثلًا، حیث إنّ الناذر یسلب القدرة عن نفسه تعبّداً وشرعاً لا تکویناً وخارجاً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 نحن فیه إذا نهی الشارع عن بیع المصحف من الکافر مثلًا فقد سلب عن المکلّف القدره الشرعیّة علی البیع الّتی کانت له قبل النهی، والذی تقتضیه حکمة الشارع الحکیم إنّما هو صحّة المعاملة لولا تعلّق النهی وقبل تعلّقه، وأمّا بعد تعلّقه فالحکمة تقتضی عقلًا أو عقلائیاً الفساد لوجود الملازمة بین المبغوضیة المستفادة من النهی والفساد عند العرف والعقلاء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النهی علی الفساد مستلزم للغویة لا أنّ عدم الفساد مستلزم لها، لاقتضاء الحکمة العقلائیّة أن یکون المبغوض فاسداً</w:t>
      </w:r>
      <w:r>
        <w:rPr>
          <w:rFonts w:eastAsia="IRNazanin" w:cs="IRNazanin"/>
          <w:color w:val="111111"/>
          <w:sz w:val="28"/>
          <w:szCs w:val="28"/>
          <w:rtl w:val="true"/>
          <w:lang w:bidi="fa-IR"/>
        </w:rPr>
        <w:t>.</w:t>
      </w:r>
      <w:bookmarkStart w:id="312" w:name="pg16922_187647"/>
    </w:p>
    <w:p>
      <w:pPr>
        <w:pStyle w:val="Heading2"/>
        <w:numPr>
          <w:ilvl w:val="1"/>
          <w:numId w:val="1"/>
        </w:numPr>
        <w:rPr/>
      </w:pPr>
      <w:bookmarkStart w:id="313" w:name="__RefHeading___Toc141811_3244359995"/>
      <w:bookmarkStart w:id="314" w:name="_Toc119"/>
      <w:bookmarkEnd w:id="312"/>
      <w:bookmarkEnd w:id="313"/>
      <w:r>
        <w:rPr>
          <w:rtl w:val="true"/>
        </w:rPr>
        <w:t>الأدلّة العقلیة الظنیة</w:t>
      </w:r>
      <w:bookmarkEnd w:id="314"/>
    </w:p>
    <w:p>
      <w:pPr>
        <w:pStyle w:val="Heading3"/>
        <w:numPr>
          <w:ilvl w:val="2"/>
          <w:numId w:val="1"/>
        </w:numPr>
        <w:rPr/>
      </w:pPr>
      <w:bookmarkStart w:id="315" w:name="__RefHeading___Toc141813_3244359995"/>
      <w:bookmarkStart w:id="316" w:name="_Toc120"/>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وهی عدیدة نذکر هنا أهمّها</w:t>
      </w:r>
      <w:r>
        <w:rPr>
          <w:rFonts w:eastAsia="IRNazanin" w:cs="IRNazanin"/>
          <w:color w:val="111111"/>
          <w:sz w:val="28"/>
          <w:szCs w:val="28"/>
          <w:rtl w:val="true"/>
          <w:lang w:bidi="fa-IR"/>
        </w:rPr>
        <w:t>:</w:t>
      </w:r>
    </w:p>
    <w:p>
      <w:pPr>
        <w:pStyle w:val="Heading3"/>
        <w:numPr>
          <w:ilvl w:val="2"/>
          <w:numId w:val="1"/>
        </w:numPr>
        <w:rPr/>
      </w:pPr>
      <w:bookmarkStart w:id="317" w:name="__RefHeading___Toc141815_3244359995"/>
      <w:bookmarkStart w:id="318" w:name="_Toc121"/>
      <w:bookmarkEnd w:id="317"/>
      <w:r>
        <w:rPr>
          <w:rtl w:val="true"/>
        </w:rPr>
        <w:t>الأوّل</w:t>
      </w:r>
      <w:r>
        <w:rPr>
          <w:rtl w:val="true"/>
        </w:rPr>
        <w:t xml:space="preserve">: </w:t>
      </w:r>
      <w:r>
        <w:rPr>
          <w:rtl w:val="true"/>
        </w:rPr>
        <w:t>القیاس</w:t>
      </w:r>
      <w:bookmarkEnd w:id="318"/>
    </w:p>
    <w:p>
      <w:pPr>
        <w:pStyle w:val="Heading4"/>
        <w:numPr>
          <w:ilvl w:val="3"/>
          <w:numId w:val="1"/>
        </w:numPr>
        <w:rPr/>
      </w:pPr>
      <w:bookmarkStart w:id="319" w:name="__RefHeading___Toc141817_3244359995"/>
      <w:bookmarkStart w:id="320" w:name="_Toc122"/>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وفیه امور</w:t>
      </w:r>
      <w:r>
        <w:rPr>
          <w:rFonts w:eastAsia="IRNazanin" w:cs="IRNazanin"/>
          <w:color w:val="111111"/>
          <w:sz w:val="28"/>
          <w:szCs w:val="28"/>
          <w:rtl w:val="true"/>
          <w:lang w:bidi="fa-IR"/>
        </w:rPr>
        <w:t>:</w:t>
      </w:r>
    </w:p>
    <w:p>
      <w:pPr>
        <w:pStyle w:val="Heading4"/>
        <w:numPr>
          <w:ilvl w:val="3"/>
          <w:numId w:val="1"/>
        </w:numPr>
        <w:rPr/>
      </w:pPr>
      <w:bookmarkStart w:id="321" w:name="__RefHeading___Toc141819_3244359995"/>
      <w:bookmarkStart w:id="322" w:name="_Toc123"/>
      <w:bookmarkEnd w:id="321"/>
      <w:r>
        <w:rPr/>
        <w:t>1</w:t>
      </w:r>
      <w:r>
        <w:rPr>
          <w:rtl w:val="true"/>
        </w:rPr>
        <w:t xml:space="preserve">. </w:t>
      </w:r>
      <w:r>
        <w:rPr>
          <w:rtl w:val="true"/>
        </w:rPr>
        <w:t>تعریف القیاس</w:t>
      </w:r>
      <w:bookmarkEnd w:id="322"/>
    </w:p>
    <w:p>
      <w:pPr>
        <w:pStyle w:val="BookText"/>
        <w:rPr/>
      </w:pPr>
      <w:r>
        <w:rPr>
          <w:rFonts w:ascii="IRNazanin" w:hAnsi="IRNazanin" w:eastAsia="IRNazanin"/>
          <w:color w:val="111111"/>
          <w:sz w:val="28"/>
          <w:sz w:val="28"/>
          <w:szCs w:val="28"/>
          <w:rtl w:val="true"/>
          <w:lang w:bidi="fa-IR"/>
        </w:rPr>
        <w:t>القیاس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قست الثوب بالذراع، والمقدار مقیاس،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قایست الأمرین مقایسة وقیاساً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الاصطلاح عرّفوه بتعاریف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معلوم علی معلوم فی إثبات حکم لهما أو نفیه عنهما بأمر جامع بینهما من حکم أو صفة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مساواة فرع لأصله فی علّة حکمه الشرعی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323" w:name="pg16922_187648"/>
    </w:p>
    <w:p>
      <w:pPr>
        <w:pStyle w:val="BookText"/>
        <w:rPr/>
      </w:pPr>
      <w:bookmarkEnd w:id="32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فرع بأصله فی الحکم لقیام علّته به عند المجتهد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الأخیر أدقّ وإن کان مآل الکلّ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للقیاس معنیین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مصطلح المنطق، وهو أنّه قضایا مستلزمة لذاتها قضیّة اخری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مصطلح الفقه وهو التماس العلل الواقعیّة للأحکام الشرعیّة من طریق العقل، أی وجدان دلیل عقلی للأحکام الشرعیّة، کما یقال إنّ حرمة الخمر موافق للقیاس لما یجده العقل فیه من الإسکار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للقیاس أرکاناً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الخمر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الفقّاع،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الإسکار</w:t>
      </w:r>
      <w:r>
        <w:rPr>
          <w:rFonts w:eastAsia="IRNazanin" w:cs="IRNazanin"/>
          <w:color w:val="111111"/>
          <w:sz w:val="28"/>
          <w:szCs w:val="28"/>
          <w:rtl w:val="true"/>
          <w:lang w:bidi="fa-IR"/>
        </w:rPr>
        <w:t>.</w:t>
      </w:r>
    </w:p>
    <w:p>
      <w:pPr>
        <w:pStyle w:val="Heading4"/>
        <w:numPr>
          <w:ilvl w:val="3"/>
          <w:numId w:val="1"/>
        </w:numPr>
        <w:rPr/>
      </w:pPr>
      <w:bookmarkStart w:id="324" w:name="__RefHeading___Toc141821_3244359995"/>
      <w:bookmarkStart w:id="325" w:name="_Toc124"/>
      <w:bookmarkEnd w:id="324"/>
      <w:r>
        <w:rPr/>
        <w:t>2</w:t>
      </w:r>
      <w:r>
        <w:rPr>
          <w:rtl w:val="true"/>
        </w:rPr>
        <w:t xml:space="preserve">. </w:t>
      </w:r>
      <w:r>
        <w:rPr>
          <w:rtl w:val="true"/>
        </w:rPr>
        <w:t>أقسام القیاس</w:t>
      </w:r>
      <w:bookmarkEnd w:id="325"/>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المنصوص العلّة، وهو ما نصّ فیه بالعلّة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القسم خارج عن التعریف لعدم تصوّر أصل وفرع فیه، بل کلّ من الخمر والنبیذ مثلًا أصل، لأنّ الحکم تعلّق فی الحقیقة بعنوان المسکر بدلالة مطابقیة، ویستفاد الحکم فی کلّ منهما من نصّ الشارع لا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الأولویّة، وهو أن یلحق شی‌ء بحکم الأصل بالأولویّة القطعیّة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أیضاً خارج عن محلّ البحث، وداخل فی مباحث القطع، مضافاً إلی أنّه فیه أیضاً لا یتصوّر أصل وفرع؛ لأنّ الدالّ فی کلا الفردین هو اللفظ، غایة الأمر أنّه فی أحدهما بالدلالة المطابقیّة، وفی الآخر بالدلالة الالتزامیّة، مثل دلالة قوله تعالی</w:t>
      </w:r>
      <w:r>
        <w:rPr>
          <w:rFonts w:eastAsia="IRNazanin" w:cs="IRNazanin"/>
          <w:color w:val="111111"/>
          <w:sz w:val="28"/>
          <w:szCs w:val="28"/>
          <w:rtl w:val="true"/>
          <w:lang w:bidi="fa-IR"/>
        </w:rPr>
        <w:t>:</w:t>
      </w:r>
      <w:bookmarkStart w:id="326" w:name="pg16922_187649"/>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علی عدم جواز شتمهما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المناط، ومورده ما إذا إقترن بالموضوع أوصاف وخصوصیّات لا مدخل لها فی الحکم عند العرف فهو یوسّع الحکم إلی ما یکون فاقداً لها، کما إذا سئل عن رجل شکّ بین الثلاث والأربع فی صلاة الظهر فاجیب بوجوب البناء علی الأکثر، ویعلم من القرائن أنّه لا خصوصیّة للرجولیّة ولکون الصلاة ظهراً، بل المناط والموضوع للحکم هو الشکّ بین الثلاث والأربع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فتنقیح المناط هو الأخذ بأصل الحکم وما انیط به، وحذف خصوصیّاته الّتی لا دخل لها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خارج عن القیاس المصطلح؛ لعدم تصوّر الأصل والفرع فیه، کما لا یوجد فیه الرکن الرابع من القیاس وهو العلّة، بل الکلام فیه فی کشف تمام الموضوع عن لسان الدلیل بإلغاء الخصوصیّات بحکم العرف فی فهم معانی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المستنبط العلّة، وهو أن تثبت العلّة باستنباط ظنّی، فیتصوّر فیه تمام أرکان القیاس، وینطبق علیه التعریف، وهو مورد النزاع فی المقام</w:t>
      </w:r>
      <w:r>
        <w:rPr>
          <w:rFonts w:eastAsia="IRNazanin" w:cs="IRNazanin"/>
          <w:color w:val="111111"/>
          <w:sz w:val="28"/>
          <w:szCs w:val="28"/>
          <w:rtl w:val="true"/>
          <w:lang w:bidi="fa-IR"/>
        </w:rPr>
        <w:t>.</w:t>
      </w:r>
    </w:p>
    <w:p>
      <w:pPr>
        <w:pStyle w:val="Heading4"/>
        <w:numPr>
          <w:ilvl w:val="3"/>
          <w:numId w:val="1"/>
        </w:numPr>
        <w:rPr/>
      </w:pPr>
      <w:bookmarkStart w:id="327" w:name="__RefHeading___Toc141823_3244359995"/>
      <w:bookmarkStart w:id="328" w:name="_Toc125"/>
      <w:bookmarkEnd w:id="327"/>
      <w:r>
        <w:rPr/>
        <w:t>3</w:t>
      </w:r>
      <w:r>
        <w:rPr>
          <w:rtl w:val="true"/>
        </w:rPr>
        <w:t xml:space="preserve">. </w:t>
      </w:r>
      <w:r>
        <w:rPr>
          <w:rtl w:val="true"/>
        </w:rPr>
        <w:t>الأقوال فی المسألة</w:t>
      </w:r>
      <w:bookmarkEnd w:id="328"/>
    </w:p>
    <w:p>
      <w:pPr>
        <w:pStyle w:val="BookText"/>
        <w:rPr/>
      </w:pPr>
      <w:r>
        <w:rPr>
          <w:rFonts w:ascii="IRNazanin" w:hAnsi="IRNazanin" w:eastAsia="IRNazanin"/>
          <w:color w:val="111111"/>
          <w:sz w:val="28"/>
          <w:sz w:val="28"/>
          <w:szCs w:val="28"/>
          <w:rtl w:val="true"/>
          <w:lang w:bidi="fa-IR"/>
        </w:rPr>
        <w:t>وهی تعود إلی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العقلیّة، وقد نسبها الغزالی فی المستصفی إلی الشیعة وبعض المعتزلة، ولکن لم یثبت هذا المعنی إلّابالنسبة إلی بعض المتقدّمین منّا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العقلی وهو منسوب إلی بعض أهل السنّة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العقلی مع عدم جوازه الشرعی، وذهب إلیه أهل الظاهر من أهل</w:t>
      </w:r>
    </w:p>
    <w:p>
      <w:pPr>
        <w:pStyle w:val="BookText"/>
        <w:rPr/>
      </w:pPr>
      <w:r>
        <w:rPr>
          <w:rFonts w:ascii="Amiri" w:hAnsi="Amiri" w:eastAsia="Amiri" w:cs="Amiri"/>
          <w:color w:val="111111"/>
          <w:sz w:val="28"/>
          <w:sz w:val="28"/>
          <w:szCs w:val="28"/>
          <w:rtl w:val="true"/>
          <w:lang w:bidi="ar-SA"/>
        </w:rPr>
        <w:t>السنّة</w:t>
      </w:r>
      <w:r>
        <w:rPr>
          <w:rStyle w:val="FootnoteAnchor"/>
          <w:rtl w:val="true"/>
        </w:rPr>
        <w:footnoteReference w:id="154"/>
      </w:r>
      <w:r>
        <w:rPr>
          <w:rFonts w:ascii="IRNazanin" w:hAnsi="IRNazanin" w:eastAsia="IRNazanin"/>
          <w:color w:val="111111"/>
          <w:sz w:val="28"/>
          <w:sz w:val="28"/>
          <w:szCs w:val="28"/>
          <w:rtl w:val="true"/>
          <w:lang w:bidi="fa-IR"/>
        </w:rPr>
        <w:t>وقاطبة الشیعة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العقلی وجوازه الشرعی، وذهب أکثرهم إلی ذلک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الأساسی فی اهتمام أهل السنّة بالقیاس، أنّهم لإعراضهم عن حدیث الثقلین وعدم اعتنائهم بروایات أهل بیت العصمة علیهم السلام وجدوا خلأ عظیماً فی موارد کثیرة ممّا لا نصّ فیه لانّ الأحادیث الصحیحة المرویة عن الرسول صلی الله علیه و آله عندهم قلیلة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عن أبی حنیفة أنّ الروایات الصحیحة عنده المنقولة عنه صلی الله علیه و آله لم تبلغ إلی ثلاثین حدیثاً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عدم إمکان تدوین الفقه فی مختلف أبوابه واصوله وفروعه بهذا المقدار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انضمّ إلیها آیات الکتاب الحکیم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ضمّ بعضهم أقوال الصحابة إلی الأحادیث النبویّة</w:t>
      </w:r>
      <w:r>
        <w:rPr>
          <w:rStyle w:val="FootnoteAnchor"/>
          <w:rtl w:val="true"/>
        </w:rPr>
        <w:footnoteReference w:id="158"/>
      </w:r>
      <w:r>
        <w:rPr>
          <w:rFonts w:ascii="IRNazanin" w:hAnsi="IRNazanin" w:eastAsia="IRNazanin"/>
          <w:color w:val="111111"/>
          <w:sz w:val="28"/>
          <w:sz w:val="28"/>
          <w:szCs w:val="28"/>
          <w:rtl w:val="true"/>
          <w:lang w:bidi="fa-IR"/>
        </w:rPr>
        <w:t xml:space="preserve">لکنّها مع عدم ثبوت حجّیتها حتّی عند کثیر منهم </w:t>
      </w:r>
      <w:r>
        <w:rPr>
          <w:rStyle w:val="FootnoteAnchor"/>
          <w:rtl w:val="true"/>
        </w:rPr>
        <w:footnoteReference w:id="159"/>
      </w:r>
      <w:r>
        <w:rPr>
          <w:rFonts w:ascii="IRNazanin" w:hAnsi="IRNazanin" w:eastAsia="IRNazanin"/>
          <w:color w:val="111111"/>
          <w:sz w:val="28"/>
          <w:sz w:val="28"/>
          <w:szCs w:val="28"/>
          <w:rtl w:val="true"/>
          <w:lang w:bidi="fa-IR"/>
        </w:rPr>
        <w:t>وردت أکثرها فی التاریخ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هذا الفراغ الکبیر مع ملاحظة المسائل المستحدثة الّتی توجد فی کلّ عصر، بل فی کلّ یوم، التمسوا أدّلة جدیدة لسدّ الفراغ، أهمّها القیاس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الإمامیة، فحیث إنّهم تمسّکوا بما ورد من روایات أهل بیت الوحی علیهم السلام وقالوا</w:t>
      </w:r>
      <w:bookmarkStart w:id="329" w:name="pg16922_187651"/>
    </w:p>
    <w:p>
      <w:pPr>
        <w:pStyle w:val="BookText"/>
        <w:rPr/>
      </w:pPr>
      <w:bookmarkEnd w:id="329"/>
      <w:r>
        <w:rPr>
          <w:rFonts w:ascii="IRNazanin" w:hAnsi="IRNazanin" w:eastAsia="IRNazanin"/>
          <w:color w:val="111111"/>
          <w:sz w:val="28"/>
          <w:sz w:val="28"/>
          <w:szCs w:val="28"/>
          <w:rtl w:val="true"/>
          <w:lang w:bidi="fa-IR"/>
        </w:rPr>
        <w:t>بحجّیة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حدیث الثقلین الذی جعلت العترة فیه قریناً للکتاب وغیر مفترق عنه، وبمقتضی ما ورد فی أنّ قولهم قول رسول اللَّه صلی الله علیه و آله وأنّهم علیهم السلام رواة أحادیثه صلی الله علیه و آله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لدیهم فراغ فی الفقه أصلًا، وذلک لکثرة النصوص الخاصّة الواردة عنهم علیهم السلام فی الفروع الفقهیّة ولما بیّنوه لشیعتهم من القواعد العامّة والاصول العملیّة عند فقدان النصوص الخاصّة</w:t>
      </w:r>
      <w:r>
        <w:rPr>
          <w:rFonts w:eastAsia="IRNazanin" w:cs="IRNazanin"/>
          <w:color w:val="111111"/>
          <w:sz w:val="28"/>
          <w:szCs w:val="28"/>
          <w:rtl w:val="true"/>
          <w:lang w:bidi="fa-IR"/>
        </w:rPr>
        <w:t>.</w:t>
      </w:r>
    </w:p>
    <w:p>
      <w:pPr>
        <w:pStyle w:val="Heading4"/>
        <w:numPr>
          <w:ilvl w:val="3"/>
          <w:numId w:val="1"/>
        </w:numPr>
        <w:rPr/>
      </w:pPr>
      <w:bookmarkStart w:id="330" w:name="__RefHeading___Toc141825_3244359995"/>
      <w:bookmarkStart w:id="331" w:name="_Toc126"/>
      <w:bookmarkEnd w:id="330"/>
      <w:r>
        <w:rPr/>
        <w:t>4</w:t>
      </w:r>
      <w:r>
        <w:rPr>
          <w:rtl w:val="true"/>
        </w:rPr>
        <w:t xml:space="preserve">. </w:t>
      </w:r>
      <w:r>
        <w:rPr>
          <w:rtl w:val="true"/>
        </w:rPr>
        <w:t>أدلّة النافین</w:t>
      </w:r>
      <w:bookmarkEnd w:id="331"/>
    </w:p>
    <w:p>
      <w:pPr>
        <w:pStyle w:val="BookText"/>
        <w:rPr/>
      </w:pPr>
      <w:r>
        <w:rPr>
          <w:rFonts w:ascii="Amiri" w:hAnsi="Amiri" w:eastAsia="Amiri" w:cs="Amiri"/>
          <w:color w:val="111111"/>
          <w:sz w:val="28"/>
          <w:sz w:val="28"/>
          <w:szCs w:val="28"/>
          <w:rtl w:val="true"/>
          <w:lang w:bidi="ar-SA"/>
        </w:rPr>
        <w:t>یدلّ علی بطلان القیاس الظنّی،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الناهیة عن العمل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البالغة حدّ التواتر الواردة من طرق أهل البیت علیهم السلام فی ذمّ القیاس والنهی عن العمل به وهی تنقسم إلی طوائف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طائفة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قاس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فیبیّن الإمام علیه السلام فیها علّة قیاس إبلیس، وقد ورد فی مرفوعة عیسی بن عبداللَّه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عبداللَّه علیه السلام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 فإنّ أوّل من قاس إبلیس حین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طائفة اخری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مصادیق من أحکام اللَّه الّتی تنفی القیاس وتبطله ومن جملتها ما رواه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حنیفة علی جعفر بن محمّد علیه السلام فقال لأبی حنیفة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ولا تقس فی الدین برأیک فإنّ أوّل من قاس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أیّهما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قد قبل فی قتل النفس شاهدین ولم یقبل فی الزنا إلّاأربعة، ثمّ 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الصیام ولا تقضی</w:t>
      </w:r>
    </w:p>
    <w:p>
      <w:pPr>
        <w:pStyle w:val="BookText"/>
        <w:rPr/>
      </w:pPr>
      <w:r>
        <w:rPr>
          <w:rFonts w:ascii="IRNazanin" w:hAnsi="IRNazanin" w:eastAsia="IRNazanin"/>
          <w:color w:val="111111"/>
          <w:sz w:val="28"/>
          <w:sz w:val="28"/>
          <w:szCs w:val="28"/>
          <w:rtl w:val="true"/>
          <w:lang w:bidi="fa-IR"/>
        </w:rPr>
        <w:t>الصلاة؟ فکیف یقوم لک القیاس؟ فاتّق اللَّه ولا تقس</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طائفة ثالثة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 اللَّه لا یقاس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آداب أمیر المؤمنین علیه السلام لا تقیس الدین فإنّ أمر اللَّه لا یقاس وسیأتی قوم یقیسون وهم أعداء الدین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الروایات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بهذه الروایات یستلزم حرمة العمل بالقیاس بأقسامه الأربعة والتالی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فی الأقسام الثلاثة الاخر لا یکون حقیقة إلّاعملًا بنفس السنّة ومفاد النصوص، فهی لا تتجاوز عن حدّ التسمیة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بنفس الروایات معنی القیاس الوارد فیها، لأنّ قیاسات أبی حنیفة وغیره الّتی وردت فی عدّة منها کانت قیاسات ظنّیة، کما أنّ قیاس إبلیس أیضاً کان قیاساً ظنّیاً مبنیّاً علی حدسه ورأیه وعدم اعتنائه إلی قوله تعالی فی حقّ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من طرق أهل السنّة أیضاً روایات فی ردّ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هذه الامّة برهة بالکتاب وبرهة بالسنّة وبرهة بالقیاس، فإذا فعلوا ذلک فقد ضلّوا وأضلّوا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امّتی علی بضع وسبعین فرقة أعظمها فتنة علی امتی</w:t>
      </w:r>
      <w:bookmarkStart w:id="332" w:name="pg16922_187653"/>
    </w:p>
    <w:p>
      <w:pPr>
        <w:pStyle w:val="BookText"/>
        <w:rPr/>
      </w:pPr>
      <w:bookmarkEnd w:id="332"/>
      <w:r>
        <w:rPr>
          <w:rFonts w:ascii="IRNazanin" w:hAnsi="IRNazanin" w:eastAsia="IRNazanin"/>
          <w:color w:val="111111"/>
          <w:sz w:val="28"/>
          <w:sz w:val="28"/>
          <w:szCs w:val="28"/>
          <w:rtl w:val="true"/>
          <w:lang w:bidi="fa-IR"/>
        </w:rPr>
        <w:t>قوم یقیسون الامور برأیهم فیحرّمون الحلال ویحلّلون الحرام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41827_3244359995"/>
      <w:bookmarkStart w:id="334" w:name="_Toc127"/>
      <w:bookmarkEnd w:id="333"/>
      <w:r>
        <w:rPr/>
        <w:t>5</w:t>
      </w:r>
      <w:r>
        <w:rPr>
          <w:rtl w:val="true"/>
        </w:rPr>
        <w:t xml:space="preserve">. </w:t>
      </w:r>
      <w:r>
        <w:rPr>
          <w:rtl w:val="true"/>
        </w:rPr>
        <w:t>أدلّة القائلین بالحجّیة</w:t>
      </w:r>
      <w:bookmarkEnd w:id="334"/>
    </w:p>
    <w:p>
      <w:pPr>
        <w:pStyle w:val="BookText"/>
        <w:rPr/>
      </w:pPr>
      <w:r>
        <w:rPr>
          <w:rFonts w:ascii="Amiri" w:hAnsi="Amiri" w:eastAsia="Amiri" w:cs="Amiri"/>
          <w:color w:val="111111"/>
          <w:sz w:val="28"/>
          <w:sz w:val="28"/>
          <w:szCs w:val="28"/>
          <w:rtl w:val="true"/>
          <w:lang w:bidi="ar-SA"/>
        </w:rPr>
        <w:t>واستدلّوا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الکتاب العزیز المستدلّ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ببیان أنّ القیاس أیضاً نوع إرجاع للأمر إلی سنّة الرسول حیث إنّ القائس یرجع فی استنباط حکم الفرع إلی الأصل الذی ثبت حکمه بالسنّة، أو یستنبطه من العلّة الّتی اکتشفها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هو فی صغری الردّ إلی اللَّه وکشف العلّة، وأنّ القیاس الظنّی واستنباط الحکم من العلّة الظنّیة لیسا من الردّ إلی اللَّه والرسول، لأنّ هذا هو موضع النزاع، وإلّا لو کانت العلّة قطعیّة وتامّة فلا کلام فی أنّ مقتضی حکمة الحکیم عدم التفریق بین الأصل والفرع وهو خارج عن محلّ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ببیان أنّ اللَّه عزّوجلّ استدلّ بالقیاس علی ما أنکره منکرو البعث، فقاس عزّوجلّ إعادة المخلوقات بعد فنائها علی إنشائها أوّل مرّة، وهذا الاستدلال بالقیاس یدلّ علی حجّیة القیاس وصحّة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حجّیة القیاس إلّابضرب من القیاس، وهو قیاس عمل الإنسان بفعل اللَّه تعالی فیلزم الدور المحال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خارج عن محلّ النزاع؛ لأنّه قیاس قطعی یقینی فإنّ العقل</w:t>
      </w:r>
    </w:p>
    <w:p>
      <w:pPr>
        <w:pStyle w:val="BookText"/>
        <w:rPr/>
      </w:pPr>
      <w:r>
        <w:rPr>
          <w:rFonts w:ascii="IRNazanin" w:hAnsi="IRNazanin" w:eastAsia="IRNazanin"/>
          <w:color w:val="111111"/>
          <w:sz w:val="28"/>
          <w:sz w:val="28"/>
          <w:szCs w:val="28"/>
          <w:rtl w:val="true"/>
          <w:lang w:bidi="fa-IR"/>
        </w:rPr>
        <w:t>حاکم بأنّ من قدر علی إبداء شی‌ء قادر علی أن یعیده، فهذا حکم قطعی لا ظنّی وهذا هو المراد ممّا اشتهر من أنّ حکم الأمثال فیما یجوز وما لا یجوز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السنّة، فقد حکیت روایات من طرقهم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معاذ بن جبل أنّه قال لمّا بعثه النبی صلی الله علیه و آله إلی الیمن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إذا عرض لک 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فی کتاب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فی سنّة رسول اللَّه ولا فی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رأیی ولا آلو،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صلی الله علیه و آله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للَّه‌الذی وفّق رسول رسول اللَّه لما یرضاه رسول اللَّه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للمناقشة سنداً ودلالة، أمّا السند فلأنّها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فتقریب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 الاجتهاد فیها بمعنی تقنین الفقیه وتشریعه من دون الإتکاء علی کتاب اللَّه وسنّة نبیّه صلی الله علیه و آله لأنّ المفروض أنّ الاجتهاد بالرأی فیها یکون بعد عدم ورود الکتاب والسنّة وهو شامل للقیاس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الاجتهاد غیر القیاس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قال لمعاذ وأبی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تقضیان؟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نجد الحکم فی الکتاب ولا السنّة قسنا الأمر بالأمر فما کان أقرب إلی الحقّ عملنا به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سنداً أیضاً فلا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الجاریة الخثعمیة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أبی أدرکته فریضة الحجّ شیخاً زمناً لا یستطیع أن یحجّ، إن حججت عنه أینفعه ذلک؟ فقال لها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کان علی أبیک دین فقضیته أکان ینفعه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w:t>
      </w:r>
    </w:p>
    <w:p>
      <w:pPr>
        <w:pStyle w:val="BookText"/>
        <w:rPr/>
      </w:pPr>
      <w:r>
        <w:rPr>
          <w:rFonts w:ascii="Amiri" w:hAnsi="Amiri" w:eastAsia="Amiri" w:cs="Amiri"/>
          <w:color w:val="111111"/>
          <w:sz w:val="28"/>
          <w:sz w:val="28"/>
          <w:szCs w:val="28"/>
          <w:rtl w:val="true"/>
          <w:lang w:bidi="ar-SA"/>
        </w:rPr>
        <w:t>اللَّه أحقّ بالقضاء</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دلالته أنّه صلی الله علیه و آله ألحق دین اللَّه بدین الآدمی فی وجوب القضاء ونفعه، وهو عین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لحجّیة قیاساتنا بقیاس النبی صلی الله علیه و آله نوع من القیاس، واعتباره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الحدیث تمسّکه صلی الله علیه و آله بالقیاس الأولویّة وهو خارج عن محلّ الکلام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أنّ هذه الروایات لو تمّت سنداً ودلالة لکانت معارضة بما هو أقوی وأظهر، أی الروایات السابقة الدالّة علی بطلان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الإجماع، فقد ادّعی اتفاق الصحابة علی حجّیة القیاس حیث إنّ طائفة منهم کانوا عاملین بالقیاس وطائفة اخری سکتوا عنه فلم ینکروا علیهم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الصغری لیست بثابتة لأنّ الکثیر من الصحابة لم یکونوا فی المدینة فی ذاک العصر بل کانوا فی مختلف بلاد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کون جمیع الصحابة داخلین فی إحدی هاتین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السکوت هو الخوف عن السوط والسیف أو عدم العلم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بالعقل، فمن وجوه والمهمّ منها وجهان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مستندة إلی مصالح، وهی الغایات المقصودة من تشریع الأحکام، فإذا ساوت الواقعة المسکوت عنها الواقعة المنصوص علیها فی</w:t>
      </w:r>
      <w:bookmarkStart w:id="335" w:name="pg16922_187656"/>
    </w:p>
    <w:p>
      <w:pPr>
        <w:pStyle w:val="BookText"/>
        <w:rPr/>
      </w:pPr>
      <w:bookmarkEnd w:id="335"/>
      <w:r>
        <w:rPr>
          <w:rFonts w:ascii="IRNazanin" w:hAnsi="IRNazanin" w:eastAsia="IRNazanin"/>
          <w:color w:val="111111"/>
          <w:sz w:val="28"/>
          <w:sz w:val="28"/>
          <w:szCs w:val="28"/>
          <w:rtl w:val="true"/>
          <w:lang w:bidi="fa-IR"/>
        </w:rPr>
        <w:t xml:space="preserve">علّة الحکم الّتی هی مظنّة للمصلحة قضت الحکمة والعدالة بتساویهما فی الحکم تحقیقاً للمصلحة الّتی هی مقصود الشارع من التشریع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یظهر ممّا ذکر، وهو أنّه إن کان استنباط العلّة استنباطاً ظنّیاً فلا دلیل علی حجّیته والأصل عدمها، وإن کان قطعیّاً فلا إشکال فی حجّیته لأنّه حینئذٍ إمّا أن یکون من قبیل إلغاء الخصوصیّة وتنقیح المناط أو من قبیل المفهوم الموافق أو المستقلّات العقلیّة، ولکنّها بأسرها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فی الحقیقة إلی مقدّمات الانسداد المذکورة سابقاً وقد عبّروا عنها ببیانات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الحوادث والوقائع فی العبادات والتصرّفات ممّا لا یقبل الحصر والعدّ، ونعلم قطعاً أنّه لم یرد فی کلّ حادثة نصّ، ولا یتصوّر ذلک أیضاً، فإذا کانت النصوص متناهیة، وما لا یتناهی لا یضبطه ما یتناهی، علم قطعاً أنّ الاجتهاد والقیاس معتبر حتّی یکون لکلّ حادثة اجتهاد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 ما مرّ سابقاً من أنّه لو فرضنا کون باب العلم مسدوداً إلّاأنّ باب العلمی مفتوح عندنا لأجل الروایات الواردة من ناحیة أهل بیت الوحی علیهم السلام عن رسول اللَّه صلی الله علیه و آله،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انسداد باب العلمی أیضاً لکن لا کلام فی بطلان خصوص القیاس للروایات الخاصّة الناهیة عنه</w:t>
      </w:r>
      <w:r>
        <w:rPr>
          <w:rFonts w:eastAsia="IRNazanin" w:cs="IRNazanin"/>
          <w:color w:val="111111"/>
          <w:sz w:val="28"/>
          <w:szCs w:val="28"/>
          <w:rtl w:val="true"/>
          <w:lang w:bidi="fa-IR"/>
        </w:rPr>
        <w:t>.</w:t>
      </w:r>
    </w:p>
    <w:p>
      <w:pPr>
        <w:pStyle w:val="Heading3"/>
        <w:numPr>
          <w:ilvl w:val="2"/>
          <w:numId w:val="1"/>
        </w:numPr>
        <w:rPr/>
      </w:pPr>
      <w:bookmarkStart w:id="336" w:name="__RefHeading___Toc141829_3244359995"/>
      <w:bookmarkStart w:id="337" w:name="_Toc128"/>
      <w:bookmarkEnd w:id="336"/>
      <w:r>
        <w:rPr>
          <w:rtl w:val="true"/>
        </w:rPr>
        <w:t>الثانی</w:t>
      </w:r>
      <w:r>
        <w:rPr>
          <w:rtl w:val="true"/>
        </w:rPr>
        <w:t xml:space="preserve">: </w:t>
      </w:r>
      <w:r>
        <w:rPr>
          <w:rtl w:val="true"/>
        </w:rPr>
        <w:t>الاستحسان</w:t>
      </w:r>
      <w:bookmarkEnd w:id="337"/>
    </w:p>
    <w:p>
      <w:pPr>
        <w:pStyle w:val="Heading4"/>
        <w:numPr>
          <w:ilvl w:val="3"/>
          <w:numId w:val="1"/>
        </w:numPr>
        <w:rPr/>
      </w:pPr>
      <w:bookmarkStart w:id="338" w:name="__RefHeading___Toc141831_3244359995"/>
      <w:bookmarkStart w:id="339" w:name="_Toc129"/>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وفیه جهات من البحث</w:t>
      </w:r>
      <w:r>
        <w:rPr>
          <w:rFonts w:eastAsia="IRNazanin" w:cs="IRNazanin"/>
          <w:color w:val="111111"/>
          <w:sz w:val="28"/>
          <w:szCs w:val="28"/>
          <w:rtl w:val="true"/>
          <w:lang w:bidi="fa-IR"/>
        </w:rPr>
        <w:t>:</w:t>
      </w:r>
    </w:p>
    <w:p>
      <w:pPr>
        <w:pStyle w:val="Heading4"/>
        <w:numPr>
          <w:ilvl w:val="3"/>
          <w:numId w:val="1"/>
        </w:numPr>
        <w:rPr/>
      </w:pPr>
      <w:bookmarkStart w:id="340" w:name="__RefHeading___Toc141833_3244359995"/>
      <w:bookmarkStart w:id="341" w:name="_Toc130"/>
      <w:bookmarkEnd w:id="340"/>
      <w:r>
        <w:rPr/>
        <w:t>1</w:t>
      </w:r>
      <w:r>
        <w:rPr>
          <w:rtl w:val="true"/>
        </w:rPr>
        <w:t xml:space="preserve">. </w:t>
      </w:r>
      <w:r>
        <w:rPr>
          <w:rtl w:val="true"/>
        </w:rPr>
        <w:t>تعریفه</w:t>
      </w:r>
      <w:bookmarkEnd w:id="3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الشی‌ء حسناً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وفی الاصطلاح عرّفوه بوجوه شتّی</w:t>
      </w:r>
      <w:r>
        <w:rPr>
          <w:rFonts w:eastAsia="IRNazanin" w:cs="IRNazanin"/>
          <w:color w:val="111111"/>
          <w:sz w:val="28"/>
          <w:szCs w:val="28"/>
          <w:rtl w:val="true"/>
          <w:lang w:bidi="fa-IR"/>
        </w:rPr>
        <w:t>:</w:t>
      </w:r>
      <w:bookmarkStart w:id="342" w:name="pg16922_187657"/>
    </w:p>
    <w:p>
      <w:pPr>
        <w:pStyle w:val="BookText"/>
        <w:rPr/>
      </w:pPr>
      <w:bookmarkEnd w:id="342"/>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الاستحسان ترک القیاس والأخذ بما هو أوفق للناس</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هذا التعریف أنّهم حاولوا أن یعدّوا الاستحسان کاستثناء من القیاس فخرجوا عن القیاس فیما إذا کان ترکه أوفق بحال الناس، ولذلک کثیراً ما یقولون بترک القیاس فی مورد الاستحسان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هو الإلتفات إلی المصلحة والعدل</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هذا التعریف یعدّ الاستحسان أصلًا مستقلًاّ للتشریع والتقنین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یستحسنه المجتهد بعقله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41835_3244359995"/>
      <w:bookmarkStart w:id="344" w:name="_Toc131"/>
      <w:bookmarkEnd w:id="343"/>
      <w:r>
        <w:rPr/>
        <w:t>2</w:t>
      </w:r>
      <w:r>
        <w:rPr>
          <w:rtl w:val="true"/>
        </w:rPr>
        <w:t xml:space="preserve">. </w:t>
      </w:r>
      <w:r>
        <w:rPr>
          <w:rtl w:val="true"/>
        </w:rPr>
        <w:t>الأقوال فیه</w:t>
      </w:r>
      <w:bookmarkEnd w:id="344"/>
    </w:p>
    <w:p>
      <w:pPr>
        <w:pStyle w:val="BookText"/>
        <w:rPr/>
      </w:pPr>
      <w:r>
        <w:rPr>
          <w:rFonts w:ascii="IRNazanin" w:hAnsi="IRNazanin" w:eastAsia="IRNazanin"/>
          <w:color w:val="111111"/>
          <w:sz w:val="28"/>
          <w:sz w:val="28"/>
          <w:szCs w:val="28"/>
          <w:rtl w:val="true"/>
          <w:lang w:bidi="fa-IR"/>
        </w:rPr>
        <w:t>لا یخفی أنّ الاستحسان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وظنّی، ولا کلام فی حجّیة القطعی منه، بناءً علی الحسن والقبح العقلیین وقاعدة الملازمة، والظنّی هو موضع البحث والنزاع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اختلفوا فی حجّیة الاستحسان وعدمها ونقل عن المالک فی مدح الاستحسان أنّه تسعة أعشار العلم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من مذهب أصحابنا نفیه مطلقاً</w:t>
      </w:r>
      <w:r>
        <w:rPr>
          <w:rStyle w:val="FootnoteAnchor"/>
          <w:rtl w:val="true"/>
        </w:rPr>
        <w:footnoteReference w:id="183"/>
      </w:r>
      <w:r>
        <w:rPr>
          <w:rFonts w:ascii="IRNazanin" w:hAnsi="IRNazanin" w:eastAsia="IRNazanin"/>
          <w:color w:val="111111"/>
          <w:sz w:val="28"/>
          <w:sz w:val="28"/>
          <w:szCs w:val="28"/>
          <w:rtl w:val="true"/>
          <w:lang w:bidi="fa-IR"/>
        </w:rPr>
        <w:t xml:space="preserve">، ونسب إلی الظاهریین من أهل السنّة إنکاره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345" w:name="pg16922_187658"/>
    </w:p>
    <w:p>
      <w:pPr>
        <w:pStyle w:val="BookText"/>
        <w:rPr/>
      </w:pPr>
      <w:bookmarkEnd w:id="345"/>
      <w:r>
        <w:rPr>
          <w:rFonts w:ascii="IRNazanin" w:hAnsi="IRNazanin" w:eastAsia="IRNazanin"/>
          <w:color w:val="111111"/>
          <w:sz w:val="28"/>
          <w:sz w:val="28"/>
          <w:szCs w:val="28"/>
          <w:rtl w:val="true"/>
          <w:lang w:bidi="fa-IR"/>
        </w:rPr>
        <w:t xml:space="preserve">وحکی عن الشافعی من استحسن فقد شرّع </w:t>
      </w:r>
      <w:r>
        <w:rPr>
          <w:rStyle w:val="FootnoteAnchor"/>
          <w:rtl w:val="true"/>
        </w:rPr>
        <w:footnoteReference w:id="185"/>
      </w:r>
      <w:r>
        <w:rPr>
          <w:rFonts w:ascii="IRNazanin" w:hAnsi="IRNazanin" w:eastAsia="IRNazanin"/>
          <w:color w:val="111111"/>
          <w:sz w:val="28"/>
          <w:sz w:val="28"/>
          <w:szCs w:val="28"/>
          <w:rtl w:val="true"/>
          <w:lang w:bidi="fa-IR"/>
        </w:rPr>
        <w:t xml:space="preserve">، واختلف فی المراد من هذه الجملة فحکی عن الفتوحات أنّ المراد منها أنّ للاستحسان مقاماً عالیاً کمقام الأنبیاء وتشریعاتهم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الإنصاف أنّ الواضح کونها فی مقام المذمّة، ولذا عدّوا الشافعی من نفاة الاستحسان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41837_3244359995"/>
      <w:bookmarkStart w:id="347" w:name="_Toc132"/>
      <w:bookmarkEnd w:id="346"/>
      <w:r>
        <w:rPr/>
        <w:t>3</w:t>
      </w:r>
      <w:r>
        <w:rPr>
          <w:rtl w:val="true"/>
        </w:rPr>
        <w:t xml:space="preserve">. </w:t>
      </w:r>
      <w:r>
        <w:rPr>
          <w:rtl w:val="true"/>
        </w:rPr>
        <w:t>أدلّة المثبتین</w:t>
      </w:r>
      <w:bookmarkEnd w:id="347"/>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فاستدلّوا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عِبَادِی 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أُنْزِلَ إِلَیْکُمْ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بتقریب أنّ مدح العباد علی اتباع أحسن القول فی الآیة الاولی وإلزامهم باتباع أحسن ما انزل إلیهم من ربّهم فی الآیة الثانیة أمارة علی جعل الحجّیة له بالنسبة إلی الأقوال، ومع إلغاء الخصوصیّة للأقوال تثبت الحجّیة للاستحسان فی الأفعال أیضاً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الإنصاف أنّه لا ربط للآیتین بالاستحسان الظنّی، فإنّهما ناظرتان إلی الأحسن الواقعی، والطریق إلی الواقع إنّما هو القطع أو الظنّ الثابت حجّیته کخبر الثقة؛ لأنّ الألفاظ وضعت للمعانی الواقعیّة ولم یؤخذ فیها العلم والجهل، فوضع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للدم والخمر الواقعیین، فإن قطعنا بالواقع فهو حجّة</w:t>
      </w:r>
    </w:p>
    <w:p>
      <w:pPr>
        <w:pStyle w:val="BookText"/>
        <w:rPr/>
      </w:pPr>
      <w:r>
        <w:rPr>
          <w:rFonts w:ascii="IRNazanin" w:hAnsi="IRNazanin" w:eastAsia="IRNazanin"/>
          <w:color w:val="111111"/>
          <w:sz w:val="28"/>
          <w:sz w:val="28"/>
          <w:szCs w:val="28"/>
          <w:rtl w:val="true"/>
          <w:lang w:bidi="fa-IR"/>
        </w:rPr>
        <w:t>لکون القطع نفس مشاهدة الواقع فیکون حجّة ذاتاً، وإن ظننّا فلا دلیل علی حجّیته ولیست الحجّیة ذاتیة للظنّ،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هو قول الناس،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آیات القرآن الکریم، فقد احتمل المعنی الثانی بعض المفسّرین ببیان أنّ القرآن مشتمل علی مستحبّات وواجبات ومکروهات ومباحات، والواجبات والمستحبّات أحسن من المکروهات والمباحات، وعباد اللَّه تعالی یتّبعون الواجبات والمستحبّات، وهذا هو المراد باتّباع الأحسن، فإن کان هذا هو المراد من الآیة فلا دخل لها بما نحن بصدده وهی أجنبیّة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الأوّل فلازمه أنّ عباد اللَّه یتّبعون أحسن أقوال الناس، فإنّها تنقسم إلی الحقّ والباطل، ومن الناس من یدعو إلی الجود والسخاء مثلًا، ومنهم من یدعو إلی البخل والإقتار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وعباد اللَّه یتّبعون الأحسن منهما وهو الجود والإیثار، وحینئذٍ إن قلنا بأنّ المراد من الأحسن هو الأحسن فی نظر الشارع فلا صلة للآیة أیضاً بمحلّ البحث، وإن کان المراد منه الأحسن فی نظر العقل فهو داخل فی المستقلّات العقلیّة ولا یمکن الاستدلال بالآیة لحجّیة الاستحسانات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فلها أیضاً تفسیران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الأحسن هو أحسن الآیات الّتی أُنزل إلیکم، وحینئذٍ لا ربط أیضاً لها بالمقام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القرآن وإنّه أحسن من التوراة والإنجیل وغیرهما من الکتب السماویّة وهذا أیضاً لا دخل له بما هو محلّ النزاع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مسعود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نظر فی قلوب العباد فوجد قلب محمّد صلی الله علیه و آله خیر قلوب العباد فاصطفاه لنفسه فبعثه برسالته ثمّ نظر فی قلوب العباد بعد قلب محمّد صلی الله علیه و آله فوجد قلوب أصحابه خیر قلوب العباد فجعلهم وزراء لنبیّه یقاتلون علی دینه، فما رأی المسلمون حسناً فهو عند اللَّه حسن، وما رأوا سیّئاً فهو عند اللَّه سیّئ</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غیر تامّة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موقوفة علی ابن مسعود ولم یروها أحد عن رسول اللَّه صلی الله علیه و آله فلیست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إنّما ترتبط بمحلّ الکلام إذا کان المراد من الرؤیة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الظنّیة، والحال أنّ نفس کلمة الرؤیة ظاهرة فی العلم والقطع ولا فرق فی هذه الجهة بین الرؤیة القلبیّة والرؤیة بالبصر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 التهافت بین صدر الحدیث وذیله، لأنّ الذیل ظاهر فی أنّ المسلمین إذا رأوا حسناً فهو عند اللَّه حسن مع أنّ صدره یختصّ بخصوص الصحابة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ادّعوا أنّه توجد مسائل لا دلیل علیها غیر الإجماع علی الاستحسان ولا تدخل تحت عنوان من العناوین الفقهیّة من العقود والإیقاعات کإجماع الامّة علی استحسانهم دخول الحمام وشرب الماء من أیدی السقّائین من غیر تقدیر لزمان المکث وتقدیر الماء بالاجرة، فلا یدخل شی‌ء منهما تحت العناوین المعروفة من العقود الشرعیّة</w:t>
      </w:r>
      <w:r>
        <w:rPr>
          <w:rStyle w:val="FootnoteAnchor"/>
          <w:rtl w:val="true"/>
        </w:rPr>
        <w:footnoteReference w:id="194"/>
      </w:r>
      <w:r>
        <w:rPr>
          <w:rFonts w:ascii="Amiri" w:hAnsi="Amiri" w:eastAsia="Amiri" w:cs="Amiri"/>
          <w:color w:val="111111"/>
          <w:sz w:val="28"/>
          <w:sz w:val="28"/>
          <w:szCs w:val="28"/>
          <w:rtl w:val="true"/>
          <w:lang w:bidi="ar-SA"/>
        </w:rPr>
        <w:t xml:space="preserve">، وقد مثّل له بمسألة الاستصناع </w:t>
      </w:r>
      <w:r>
        <w:rPr>
          <w:rStyle w:val="FootnoteAnchor"/>
          <w:rtl w:val="true"/>
        </w:rPr>
        <w:footnoteReference w:id="195"/>
      </w:r>
      <w:r>
        <w:rPr>
          <w:rFonts w:ascii="IRNazanin" w:hAnsi="IRNazanin" w:eastAsia="IRNazanin"/>
          <w:color w:val="111111"/>
          <w:sz w:val="28"/>
          <w:sz w:val="28"/>
          <w:szCs w:val="28"/>
          <w:rtl w:val="true"/>
          <w:lang w:bidi="fa-IR"/>
        </w:rPr>
        <w:t>، فیطلب من</w:t>
      </w:r>
    </w:p>
    <w:p>
      <w:pPr>
        <w:pStyle w:val="BookText"/>
        <w:rPr/>
      </w:pPr>
      <w:r>
        <w:rPr>
          <w:rFonts w:ascii="IRNazanin" w:hAnsi="IRNazanin" w:eastAsia="IRNazanin"/>
          <w:color w:val="111111"/>
          <w:sz w:val="28"/>
          <w:sz w:val="28"/>
          <w:szCs w:val="28"/>
          <w:rtl w:val="true"/>
          <w:lang w:bidi="fa-IR"/>
        </w:rPr>
        <w:t>النجّار أو الکفّاش مثلًا صنع باب أو نعلین من دون تقدیر للوزن أو القیمة، کما یمکن التمثیل لها فی عصرنا هذا برکوب السیارة من دون تقدیر للُاجرة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قام علی هذه الأحکام بالخصوص لا علی استحسانها، وهو فی الواقع لیس إجماعاً فی المصطلح، بل سیرة مستمرّة إلی زمن النبی صلی الله علیه و آله، لو ثبتت أنّ السیرة قامت علی هذه الأحکام، فهو دلیل علی حجّیة سیرة المسلمین إذا کانت فی عصره صلی الله علیه و آله ولم ینه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إدخال هذه الأحکام تحت عناوین معروفة فی فقهنا الثابتة بالأدلّة المعتبرة، فیدخل المثال الأوّل والثانی فی عنوان الإباحة مع الضمان الذی له مصادیق کثیرة فی الفقه وکذلک مثال رکوب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مثال الاستصناع، وهو أیضاً یدخل فی عنوان البیع، کما إذا اشتری الأبواب علی نحو الکلّی فی الذمّة إذا ذکر خصوصیّات الباب وقیمته، نعم أنّه لیس داخلًا فی عقد من العقود إذا ذکر للنجّار خصوصیّات للباب ووعده أن یشتری منه فیما بعد من دون تعیین القیمة، ولکن علیه اشتراؤه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ما استدلّوا به أنفسهم علی حجّیة الاستحسان، ویمکن أن یستدلّ لهم بدلیل الانسداد حیث إنّه فی صورة الانسداد لا یکون الظنّ القیاسی کافیاً لهم، بل لابدّ من التعدّی إلی الظنّ الاستحسانی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وهو ما مرّ من کفایة الکتاب والسنّة مع ملاحظة الروایات المرویة من طرق أهل البیت علیهم السلام، فکم من مشکلة حصلت لهم بسبب إعراضهم عن حدیث الثقلین وروایات العترة الطاهرة علیهم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إلی هنا أنّه إذا کان الاستحسان قطعیاً فلا إشکال فی حجّیته من باب کونها من المستقلّات العقلیّة أو من الیقینیّات، وإذا کان ظنّیاً یکون مشمولًا لأدلّة عدم حجّیة الظنّ</w:t>
      </w:r>
      <w:r>
        <w:rPr>
          <w:rFonts w:eastAsia="IRNazanin" w:cs="IRNazanin"/>
          <w:color w:val="111111"/>
          <w:sz w:val="28"/>
          <w:szCs w:val="28"/>
          <w:rtl w:val="true"/>
          <w:lang w:bidi="fa-IR"/>
        </w:rPr>
        <w:t>.</w:t>
      </w:r>
      <w:bookmarkStart w:id="348" w:name="pg16922_187662"/>
    </w:p>
    <w:p>
      <w:pPr>
        <w:pStyle w:val="Heading4"/>
        <w:numPr>
          <w:ilvl w:val="3"/>
          <w:numId w:val="1"/>
        </w:numPr>
        <w:rPr/>
      </w:pPr>
      <w:bookmarkStart w:id="349" w:name="__RefHeading___Toc141839_3244359995"/>
      <w:bookmarkStart w:id="350" w:name="_Toc133"/>
      <w:bookmarkEnd w:id="348"/>
      <w:bookmarkEnd w:id="349"/>
      <w:r>
        <w:rPr/>
        <w:t>4</w:t>
      </w:r>
      <w:r>
        <w:rPr>
          <w:rtl w:val="true"/>
        </w:rPr>
        <w:t xml:space="preserve">. </w:t>
      </w:r>
      <w:r>
        <w:rPr>
          <w:rtl w:val="true"/>
        </w:rPr>
        <w:t>أدلّة النافین</w:t>
      </w:r>
      <w:bookmarkEnd w:id="350"/>
    </w:p>
    <w:p>
      <w:pPr>
        <w:pStyle w:val="BookText"/>
        <w:rPr/>
      </w:pPr>
      <w:r>
        <w:rPr>
          <w:rFonts w:ascii="IRNazanin" w:hAnsi="IRNazanin" w:eastAsia="IRNazanin"/>
          <w:color w:val="111111"/>
          <w:sz w:val="28"/>
          <w:sz w:val="28"/>
          <w:szCs w:val="28"/>
          <w:rtl w:val="true"/>
          <w:lang w:bidi="fa-IR"/>
        </w:rPr>
        <w:t>وأمّا دلیل النافین، فهی أدلّة عدم حجّیة مطلق الظنّ کما أشرنا إلیه آنفاً، لکن حکی عن الشافعی دلیلًا لنفیه وهو أنّه لو قال المفتی فیما لا نصّ فیه ولا 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یزعم جواز استحسان خلافه لغیره، فیفتی کلّ حاکم فی بلد ومفت بما یستحسن، فیقال فی الشی‌ء الواحد بضروب من الحکم والفتیا فإن کان هذا جائزاً فقد أهملوا أنفسهم فحکموا حیث شاؤوا، وإن کان ضیّقاً فلا یجوز أن یدخلوا فیه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فی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الکلام غریب لانتهائه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حصر الاجتهاد مطلقاً مهما کانت مصادره، لأنّ الاختلاف واقع فی الاستنباط منها إلّانادراً ولا خصوصیّة للاستحسان فی ذلک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 أنّه فرق بین الاستحسان وغیره لأنّه فی غیره یوجد ضوابط معیّنة من شأنها أن تقلّل وقوع الاختلاف، بخلاف الاستحسان الذی لا ضابطة محدّدة فیه</w:t>
      </w:r>
      <w:r>
        <w:rPr>
          <w:rFonts w:eastAsia="IRNazanin" w:cs="IRNazanin"/>
          <w:color w:val="111111"/>
          <w:sz w:val="28"/>
          <w:szCs w:val="28"/>
          <w:rtl w:val="true"/>
          <w:lang w:bidi="fa-IR"/>
        </w:rPr>
        <w:t>.</w:t>
      </w:r>
    </w:p>
    <w:p>
      <w:pPr>
        <w:pStyle w:val="Heading3"/>
        <w:numPr>
          <w:ilvl w:val="2"/>
          <w:numId w:val="1"/>
        </w:numPr>
        <w:rPr/>
      </w:pPr>
      <w:bookmarkStart w:id="351" w:name="__RefHeading___Toc141841_3244359995"/>
      <w:bookmarkStart w:id="352" w:name="_Toc134"/>
      <w:bookmarkEnd w:id="351"/>
      <w:r>
        <w:rPr>
          <w:rtl w:val="true"/>
        </w:rPr>
        <w:t>الثالث</w:t>
      </w:r>
      <w:r>
        <w:rPr>
          <w:rtl w:val="true"/>
        </w:rPr>
        <w:t xml:space="preserve">: </w:t>
      </w:r>
      <w:r>
        <w:rPr>
          <w:rtl w:val="true"/>
        </w:rPr>
        <w:t>المصالح المرسلة</w:t>
      </w:r>
      <w:bookmarkEnd w:id="352"/>
    </w:p>
    <w:p>
      <w:pPr>
        <w:pStyle w:val="Heading4"/>
        <w:numPr>
          <w:ilvl w:val="3"/>
          <w:numId w:val="1"/>
        </w:numPr>
        <w:rPr/>
      </w:pPr>
      <w:bookmarkStart w:id="353" w:name="__RefHeading___Toc141843_3244359995"/>
      <w:bookmarkStart w:id="354" w:name="_Toc135"/>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وفیه جهات من البحث</w:t>
      </w:r>
      <w:r>
        <w:rPr>
          <w:rFonts w:eastAsia="IRNazanin" w:cs="IRNazanin"/>
          <w:color w:val="111111"/>
          <w:sz w:val="28"/>
          <w:szCs w:val="28"/>
          <w:rtl w:val="true"/>
          <w:lang w:bidi="fa-IR"/>
        </w:rPr>
        <w:t>:</w:t>
      </w:r>
    </w:p>
    <w:p>
      <w:pPr>
        <w:pStyle w:val="Heading4"/>
        <w:numPr>
          <w:ilvl w:val="3"/>
          <w:numId w:val="1"/>
        </w:numPr>
        <w:rPr/>
      </w:pPr>
      <w:bookmarkStart w:id="355" w:name="__RefHeading___Toc141845_3244359995"/>
      <w:bookmarkStart w:id="356" w:name="_Toc136"/>
      <w:bookmarkEnd w:id="355"/>
      <w:r>
        <w:rPr/>
        <w:t>1</w:t>
      </w:r>
      <w:r>
        <w:rPr>
          <w:rtl w:val="true"/>
        </w:rPr>
        <w:t xml:space="preserve">. </w:t>
      </w:r>
      <w:r>
        <w:rPr>
          <w:rtl w:val="true"/>
        </w:rPr>
        <w:t>المراد من المصالح المرسلة</w:t>
      </w:r>
      <w:bookmarkEnd w:id="3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من المصالح هی مصالح العباد ومضارّهم علی مذاق الشرع، والمراد من المرسلة هی المصالح الّتی لم یرد فیها نصّ خاصّ ولا عامّ، أی أنّها ارسلت واطلقت ولم یرد علیها شرع لا فی العمومات ولا فی الخصوصات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357" w:name="pg16922_187663"/>
    </w:p>
    <w:p>
      <w:pPr>
        <w:pStyle w:val="BookText"/>
        <w:rPr/>
      </w:pPr>
      <w:bookmarkEnd w:id="357"/>
      <w:r>
        <w:rPr>
          <w:rFonts w:ascii="IRNazanin" w:hAnsi="IRNazanin" w:eastAsia="IRNazanin"/>
          <w:color w:val="111111"/>
          <w:sz w:val="28"/>
          <w:sz w:val="28"/>
          <w:szCs w:val="28"/>
          <w:rtl w:val="true"/>
          <w:lang w:bidi="fa-IR"/>
        </w:rPr>
        <w:t>ومثّل لها فی کلمات الغزالی بتترّس الکفّار بجماعة من اساری المسلمین لو کففنا عنهم لصدمونا وغلبوا علی دار الإسلام وقتلوا کافّة المسلمین، ثمّ یقتلون الاساری أیضاً، ولو رمینا الترس لقتلنا مسلماً معصوماً لم یذنب ذنباً، وهذا لا عهد به فی الشرع، فیجوز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الأسیر مقتول علی کلّ حال فحفظ جمیع المسلمین أقرب إلی مقصود الشرع، فیحکم العقل هنا بوجوب رمی الترس من باب تقدیم الأهمّ علی المهمّ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هذا المثال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المصالح المرسلة هی المصالح علی مذاق الشرع، لأنّ المستفاد من مجموع الأحکام الشرعیّة أنّ حفظ کیان الإسلام أهمّ عند الشارع من حفظ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ولابدّ هنا من بیان أمرین مغفول عنهما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الاستحسان والمصالح المرسلة وإن استعملا فی بعض الکلمات فی معنی واحد، ولکن الظاهر أنّ الاستحسان حاصل بمجرّد أن یستحسنه الطبع والفطرة من دون أن یلحظ أنّ فیه مصلحة أو مفسدة، لأنّ الحسن والقبح فی الأفعال کالحسن والقبح فی الطبیعة له مبدأ فطری لا حاجة فیه إلی درک المصلحة أو المفسدة، بینما فی المصالح المرسلة الحاکم هو العقل والبرهان لا الطبع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 فی الاستحسان من تقسیمه إلی القطعی والظنّی یجری هنا أیضاً، فالمصالح المرسلة أیضاً تارةً یکون حکم العقل بها قطعیاً للقطع بوجود المقتضی وفقد المانع، فتکون حجّة بلا ریب کالمستقلّات العقلیّة، واخری یکون ظنّیاً فلا دلیل علی حجّیتها</w:t>
      </w:r>
      <w:r>
        <w:rPr>
          <w:rFonts w:eastAsia="IRNazanin" w:cs="IRNazanin"/>
          <w:color w:val="111111"/>
          <w:sz w:val="28"/>
          <w:szCs w:val="28"/>
          <w:rtl w:val="true"/>
          <w:lang w:bidi="fa-IR"/>
        </w:rPr>
        <w:t>.</w:t>
      </w:r>
    </w:p>
    <w:p>
      <w:pPr>
        <w:pStyle w:val="Heading4"/>
        <w:numPr>
          <w:ilvl w:val="3"/>
          <w:numId w:val="1"/>
        </w:numPr>
        <w:rPr/>
      </w:pPr>
      <w:bookmarkStart w:id="358" w:name="__RefHeading___Toc141847_3244359995"/>
      <w:bookmarkStart w:id="359" w:name="_Toc137"/>
      <w:bookmarkEnd w:id="358"/>
      <w:r>
        <w:rPr/>
        <w:t>2</w:t>
      </w:r>
      <w:r>
        <w:rPr>
          <w:rtl w:val="true"/>
        </w:rPr>
        <w:t xml:space="preserve">. </w:t>
      </w:r>
      <w:r>
        <w:rPr>
          <w:rtl w:val="true"/>
        </w:rPr>
        <w:t>الأقوال فی المسألة</w:t>
      </w:r>
      <w:bookmarkEnd w:id="3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العامّة فی حجّیتها، وعمدة الأقوال فیها ثلاثة</w:t>
      </w:r>
      <w:r>
        <w:rPr>
          <w:rFonts w:eastAsia="IRNazanin" w:cs="IRNazanin"/>
          <w:color w:val="111111"/>
          <w:sz w:val="28"/>
          <w:szCs w:val="28"/>
          <w:rtl w:val="true"/>
          <w:lang w:bidi="fa-IR"/>
        </w:rPr>
        <w:t>:</w:t>
      </w:r>
      <w:bookmarkStart w:id="360" w:name="pg16922_187664"/>
    </w:p>
    <w:p>
      <w:pPr>
        <w:pStyle w:val="BookText"/>
        <w:rPr/>
      </w:pPr>
      <w:bookmarkEnd w:id="36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الشافعی بإنکارها وحکی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استصلح فقد شرّع کمن استحسن، وأنّ الاستصلاح کالاستحسان متابعة الهوی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 بإثباتها وحکی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الاستصلاح طریق شرعی للاستنباط فیما لا نصّ فیه ولا إجماع</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الضروریات وبین الحاجیّات والتحسینیّات، وحجّیة الاستصلاح فی القسم الأوّل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الضروریات ما لا یمکن حیاة الإنسان إلّابه، والمراد من الحاجیات أنواع المعاملات الّتی توجب رفع بعض الحاجات وإن کانت حیاة الإنسان ممکنة بدونها، والمراد من التحسینیّات غیر الضروریّات والحاجیّات من أنواع اللذائذ المشروعة الّتی توجب الراحة والاشتغالات اللهویّة</w:t>
      </w:r>
      <w:r>
        <w:rPr>
          <w:rFonts w:eastAsia="IRNazanin" w:cs="IRNazanin"/>
          <w:color w:val="111111"/>
          <w:sz w:val="28"/>
          <w:szCs w:val="28"/>
          <w:rtl w:val="true"/>
          <w:lang w:bidi="fa-IR"/>
        </w:rPr>
        <w:t>.</w:t>
      </w:r>
    </w:p>
    <w:p>
      <w:pPr>
        <w:pStyle w:val="Heading4"/>
        <w:numPr>
          <w:ilvl w:val="3"/>
          <w:numId w:val="1"/>
        </w:numPr>
        <w:rPr/>
      </w:pPr>
      <w:bookmarkStart w:id="361" w:name="__RefHeading___Toc141849_3244359995"/>
      <w:bookmarkStart w:id="362" w:name="_Toc138"/>
      <w:bookmarkEnd w:id="361"/>
      <w:r>
        <w:rPr/>
        <w:t>3</w:t>
      </w:r>
      <w:r>
        <w:rPr>
          <w:rtl w:val="true"/>
        </w:rPr>
        <w:t xml:space="preserve">. </w:t>
      </w:r>
      <w:r>
        <w:rPr>
          <w:rtl w:val="true"/>
        </w:rPr>
        <w:t>أدلّة المثبتین</w:t>
      </w:r>
      <w:bookmarkEnd w:id="362"/>
    </w:p>
    <w:p>
      <w:pPr>
        <w:pStyle w:val="BookText"/>
        <w:rPr/>
      </w:pPr>
      <w:r>
        <w:rPr>
          <w:rFonts w:ascii="IRNazanin" w:hAnsi="IRNazanin" w:eastAsia="IRNazanin"/>
          <w:color w:val="111111"/>
          <w:sz w:val="28"/>
          <w:sz w:val="28"/>
          <w:szCs w:val="28"/>
          <w:rtl w:val="true"/>
          <w:lang w:bidi="fa-IR"/>
        </w:rPr>
        <w:t>استدلّ القائلون بالحجّیة بوجوه عمدتها الإجماع وبعض الوجوه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فی الواقع إلی دلیل الانسداد، وهو أنّ الحوادث الکثیرة متجدّدة والنصوص قلیلة، ولو اکتفینا بالنصوص ضاقت الشریعة الإسلامیّة مع أنّ الإسلام خاتم الأدیان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ظهر ممّا مرّ من أنّه إن کان المراد من الاستصلاح، الاستصلاح فی موارد القطع من قبیل المستقلّات العقلیّة کحسن العدل و قبح الظلم فلا ننکره، وإن کان المراد منه الاستصلاح فی موارد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حجّیته لعدم تمامیة مقدّمات الانسداد عندنا، ومنشأ الانسداد علی مذهبهم ناشٍ من قلّة</w:t>
      </w:r>
    </w:p>
    <w:p>
      <w:pPr>
        <w:pStyle w:val="BookText"/>
        <w:rPr/>
      </w:pPr>
      <w:r>
        <w:rPr>
          <w:rFonts w:ascii="IRNazanin" w:hAnsi="IRNazanin" w:eastAsia="IRNazanin"/>
          <w:color w:val="111111"/>
          <w:sz w:val="28"/>
          <w:sz w:val="28"/>
          <w:szCs w:val="28"/>
          <w:rtl w:val="true"/>
          <w:lang w:bidi="fa-IR"/>
        </w:rPr>
        <w:t>نصوصهم مع أنّ سنّة الأئمّة المعصومین علیهم السلام معتبرة عندنا کسنّة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جمیع روایتهم منقولة عنه صلی الله علیه و آله کما وردت به روایات مستفیضة صرّح فیها بذلک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تشتمل علی الاصول الکلّیة والأحکام الجزئیّة معاً، وتکون کافیة فی رفع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الشرعیّة إنّما شرّعت لتحقیق مصالح العباد وأنّ هذه المصالح الّتی بنیت علیها الأحکام الشرعیّة معقولة، أی ممّا یدرک العقل حسنها کما أنّه یدرک قبح ما نهی عنه فإذا حدثت واقعة لا نصّ فیها وبنی المجتهد حکمه فیها علی ما أدرکه عقله من نفع أو ضرر، کان حکمه علی أساس صحیح معتبر من الشارع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مبنی علی الحسن والقبح العقلیین وقاعدة الملازمة، وهی مقبولة عندنا فی موارد القطع بالمصلحة والمفسدة الّتی لیست بنادرة، لأنّ امّهات الأحکام الشرعیّة قابلة لأن تدرک بالعقل وإن لم یدرک تفاصیلها، ولذلک نری أنّه فی علل الشرائع ذکرت لأحکام الشرع علل یدرکه العقل تفاصیلها، فلا وجه لما ذکر من أنّ ما کان من قبیل الحسن والقبح الذاتیین فهو نادر جدّاً وأمثلته قد لا تتجاوز العدل والظلم وقلیلًا من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الاستحسان إذا بلغ حدّ المستقلّات العقلیّة وشبهها کان حجّة، ولکن الاستحسانات الظنّیة الّتی تدور علیها کلماتهم لا دلیل علی حجّیتها أصلًا، مضافاً إلی أنّ العدل والظلم لهما مصادیق عدیدة ربّما تشمل شیئاً کثیراً من أحکام الشرع کالزنا والسرقة والخیانة والکذب والغیبة والسبّ والجنایة علی الأنفس والأعضاء والغشّ فی المعاملة وغیر ذلک من أشباهها، فإنّها تدخل فی هذا المعنی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الاستحسان الظنّی لا یستقرّ علی شی‌ء، فکلّ واحد یدّعی شیئاً غیر الآخر، فتختلف الفتاوی بذلک اختلافاً عظیماً</w:t>
      </w:r>
      <w:r>
        <w:rPr>
          <w:rFonts w:eastAsia="IRNazanin" w:cs="IRNazanin"/>
          <w:color w:val="111111"/>
          <w:sz w:val="28"/>
          <w:szCs w:val="28"/>
          <w:rtl w:val="true"/>
          <w:lang w:bidi="fa-IR"/>
        </w:rPr>
        <w:t>.</w:t>
      </w:r>
      <w:bookmarkStart w:id="363" w:name="pg16922_187666"/>
    </w:p>
    <w:p>
      <w:pPr>
        <w:pStyle w:val="BookText"/>
        <w:rPr/>
      </w:pPr>
      <w:bookmarkEnd w:id="36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بسیرة الصحابة من زمن النبی صلی الله علیه و آله القائمة علی تشریعهم ما رأوا أنّ فیه تحقیق المصلحة، فأبو بکر حارب مانعی الزکاة، ودرأ القصاص عن خالد بن الولید، وعمر أوقع الطلاق الثلاث بکلمة واحدة ومنع عن حدّ السرقة فی عام المجاعة، وعثمان جدّد أذاناً ثانیاً لصلاة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لا تصل إلی زمن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السیرة من مجرّد نقل موارد شخصیة من أشخاص معدودین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المذکورة غالباً لیست من الاستصلاح فیما لا نصّ فیه، بل تکون من باب الاجتهاد فی مقابل النصّ مثل إیقاع الطلاق الثلاث بکلمة واحدة، وهکذا تعطیل الحدود الثابتة فی الشرع، ولو فتح هذا الباب لم تبق للإسلام دعامة وأمکن نسخ أحکامه لکلّ مجتهد والتزامهم بذلک من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أنّهم یدّعون الإجماع علیه مع أنّ أکثرهم من الأشاعرة المنکرین لحکم العقل، وکیف یجتمع إنکار حکم العقل مع دعوی الاستحسان بهذه السعة</w:t>
      </w:r>
      <w:r>
        <w:rPr>
          <w:rFonts w:eastAsia="IRNazanin" w:cs="IRNazanin"/>
          <w:color w:val="111111"/>
          <w:sz w:val="28"/>
          <w:szCs w:val="28"/>
          <w:rtl w:val="true"/>
          <w:lang w:bidi="fa-IR"/>
        </w:rPr>
        <w:t>.</w:t>
      </w:r>
    </w:p>
    <w:p>
      <w:pPr>
        <w:pStyle w:val="Heading3"/>
        <w:numPr>
          <w:ilvl w:val="2"/>
          <w:numId w:val="1"/>
        </w:numPr>
        <w:rPr/>
      </w:pPr>
      <w:bookmarkStart w:id="364" w:name="__RefHeading___Toc141851_3244359995"/>
      <w:bookmarkStart w:id="365" w:name="_Toc139"/>
      <w:bookmarkEnd w:id="364"/>
      <w:r>
        <w:rPr>
          <w:rtl w:val="true"/>
        </w:rPr>
        <w:t>الرابع</w:t>
      </w:r>
      <w:r>
        <w:rPr>
          <w:rtl w:val="true"/>
        </w:rPr>
        <w:t xml:space="preserve">: </w:t>
      </w:r>
      <w:r>
        <w:rPr>
          <w:rtl w:val="true"/>
        </w:rPr>
        <w:t>سدّ الذرائع</w:t>
      </w:r>
      <w:bookmarkEnd w:id="365"/>
    </w:p>
    <w:p>
      <w:pPr>
        <w:pStyle w:val="Heading4"/>
        <w:numPr>
          <w:ilvl w:val="3"/>
          <w:numId w:val="1"/>
        </w:numPr>
        <w:rPr/>
      </w:pPr>
      <w:bookmarkStart w:id="366" w:name="__RefHeading___Toc141853_3244359995"/>
      <w:bookmarkStart w:id="367" w:name="_Toc140"/>
      <w:bookmarkEnd w:id="366"/>
      <w:r>
        <w:rPr/>
        <w:t>1</w:t>
      </w:r>
      <w:r>
        <w:rPr>
          <w:rtl w:val="true"/>
        </w:rPr>
        <w:t xml:space="preserve">. </w:t>
      </w:r>
      <w:r>
        <w:rPr>
          <w:rtl w:val="true"/>
        </w:rPr>
        <w:t>بیان المراد منه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تطلق علی مطلق الآلة والوسیلة</w:t>
      </w:r>
      <w:r>
        <w:rPr>
          <w:rStyle w:val="FootnoteAnchor"/>
          <w:rtl w:val="true"/>
        </w:rPr>
        <w:footnoteReference w:id="205"/>
      </w:r>
      <w:r>
        <w:rPr>
          <w:rFonts w:ascii="IRNazanin" w:hAnsi="IRNazanin" w:eastAsia="IRNazanin"/>
          <w:color w:val="111111"/>
          <w:sz w:val="28"/>
          <w:sz w:val="28"/>
          <w:szCs w:val="28"/>
          <w:rtl w:val="true"/>
          <w:lang w:bidi="fa-IR"/>
        </w:rPr>
        <w:t>، وفی الاصطلاح تطلق علی وسیلة خاصّة، فتکون سدّ الذرائع بمعنی التوصّل بما هو مصلحة إلی دفع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سدّ الذرائع هو المنع عمّا یتوصّل به إلی الحرام، أی المنع عن مقدّمة الحرام، فالذریعة هی نفس ما یبحث عنه بعنوان مقدّمة الحرام وسدّه هو نفیه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عند بعض بمعنی مطلق المقدّمة، فتکون الذریعة حینئذٍ مطلق ما کان وسیلة وطریقاً إلی شی‌ء، ولذلک تجری فیه جمیع الأحکام الخمسة، ولأجله قال</w:t>
      </w:r>
      <w:bookmarkStart w:id="368" w:name="pg16922_187667"/>
    </w:p>
    <w:p>
      <w:pPr>
        <w:pStyle w:val="BookText"/>
        <w:rPr/>
      </w:pPr>
      <w:bookmarkEnd w:id="368"/>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کما یجب سدّها، یجب فتحها وتکره وتندب وتباح</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بأنّ المراد من سدّ الذرائع، سدّ الحیل وحرمة التوصّل بها، ومثّل له بما إذا باع شیئاً نسیئة بمبلغ ثمّ اشتراه منه بثمن أقلّ منه فأعطاه الأقلّ لکی یأخذ منه الأکثر عند الأجل، وهذا من الحیل للخروج عن الربا، وسدّه هو النهی عن مثل هذه المعاملة</w:t>
      </w:r>
      <w:r>
        <w:rPr>
          <w:rFonts w:eastAsia="IRNazanin" w:cs="IRNazanin"/>
          <w:color w:val="111111"/>
          <w:sz w:val="28"/>
          <w:szCs w:val="28"/>
          <w:rtl w:val="true"/>
          <w:lang w:bidi="fa-IR"/>
        </w:rPr>
        <w:t>.</w:t>
      </w:r>
    </w:p>
    <w:p>
      <w:pPr>
        <w:pStyle w:val="Heading4"/>
        <w:numPr>
          <w:ilvl w:val="3"/>
          <w:numId w:val="1"/>
        </w:numPr>
        <w:rPr/>
      </w:pPr>
      <w:bookmarkStart w:id="369" w:name="__RefHeading___Toc141855_3244359995"/>
      <w:bookmarkStart w:id="370" w:name="_Toc141"/>
      <w:bookmarkEnd w:id="369"/>
      <w:r>
        <w:rPr/>
        <w:t>2</w:t>
      </w:r>
      <w:r>
        <w:rPr>
          <w:rtl w:val="true"/>
        </w:rPr>
        <w:t xml:space="preserve">. </w:t>
      </w:r>
      <w:r>
        <w:rPr>
          <w:rtl w:val="true"/>
        </w:rPr>
        <w:t>ما یمکن أن یقال فی حجّیته</w:t>
      </w:r>
      <w:bookmarkEnd w:id="370"/>
    </w:p>
    <w:p>
      <w:pPr>
        <w:pStyle w:val="BookText"/>
        <w:rPr/>
      </w:pPr>
      <w:r>
        <w:rPr>
          <w:rFonts w:ascii="IRNazanin" w:hAnsi="IRNazanin" w:eastAsia="IRNazanin"/>
          <w:color w:val="111111"/>
          <w:sz w:val="28"/>
          <w:sz w:val="28"/>
          <w:szCs w:val="28"/>
          <w:rtl w:val="true"/>
          <w:lang w:bidi="fa-IR"/>
        </w:rPr>
        <w:t>استدلّوا لحجّیة سدّ الذرائع بروایات وآیات من الذکر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فأرادوا إثبات حرمة مقدّمة الحرام بالاستقراء، وهو تامّ فیما إذا حصل منه العلم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ولکنّهم قد خلطوا فی المقام بین ثلاث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یبحث عنه مستقلًاّ،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الإعانة علی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ربط له بمقدّمة الحرام بل هو عنوان مستقلّ محرّم بنفسه،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ربط له أیضاً بمقدّمة الحرام ولا معنی للمقدّمة وذی المقدّمة فیه، بل إذا وقع البیعان المزبوران مثلًا جامعین لأرکان البیع شرعاً ولو کان بداعی الفرار عن الربا فلا إشکال فی صحّتهما، وإذا وقعا فاسدین خالیین عن القصد الجدّی للبیع والشراء فلا إشکال أیضاً فی حرمتهما وبطلانهما سواء کانت مقدّمة الحرام حراماً أم لم تکن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العمدة فی باب الحیل هو عدم وجود القصد الجدّی إلی الإنشاء غالباً، بل لیس قول من یبیع علبة الکبریت بألف تومان مثلًا للفرار عن الربا إلّالعباً بالألفاظ ولقلقة باللسان</w:t>
      </w:r>
      <w:r>
        <w:rPr>
          <w:rFonts w:eastAsia="IRNazanin" w:cs="IRNazanin"/>
          <w:color w:val="111111"/>
          <w:sz w:val="28"/>
          <w:szCs w:val="28"/>
          <w:rtl w:val="true"/>
          <w:lang w:bidi="fa-IR"/>
        </w:rPr>
        <w:t>.</w:t>
      </w:r>
      <w:bookmarkStart w:id="371" w:name="pg16922_187669"/>
    </w:p>
    <w:p>
      <w:pPr>
        <w:pStyle w:val="Heading2"/>
        <w:numPr>
          <w:ilvl w:val="1"/>
          <w:numId w:val="1"/>
        </w:numPr>
        <w:rPr/>
      </w:pPr>
      <w:bookmarkStart w:id="372" w:name="__RefHeading___Toc141857_3244359995"/>
      <w:bookmarkStart w:id="373" w:name="_Toc142"/>
      <w:bookmarkEnd w:id="371"/>
      <w:bookmarkEnd w:id="372"/>
      <w:r>
        <w:rPr>
          <w:rtl w:val="true"/>
        </w:rPr>
        <w:t>المقصد الخامس</w:t>
      </w:r>
      <w:r>
        <w:rPr>
          <w:rtl w:val="true"/>
        </w:rPr>
        <w:t xml:space="preserve">: </w:t>
      </w:r>
      <w:r>
        <w:rPr>
          <w:rtl w:val="true"/>
        </w:rPr>
        <w:t>الأصول العملیّة</w:t>
      </w:r>
      <w:bookmarkEnd w:id="373"/>
    </w:p>
    <w:p>
      <w:pPr>
        <w:pStyle w:val="Heading3"/>
        <w:numPr>
          <w:ilvl w:val="2"/>
          <w:numId w:val="1"/>
        </w:numPr>
        <w:rPr/>
      </w:pPr>
      <w:bookmarkStart w:id="374" w:name="__RefHeading___Toc141859_3244359995"/>
      <w:bookmarkStart w:id="375" w:name="_Toc143"/>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البراءة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التخییر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الاشتغال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الاستصحاب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فی شرائط جریان الاصول</w:t>
      </w:r>
      <w:bookmarkStart w:id="376" w:name="pg16922_187671"/>
    </w:p>
    <w:p>
      <w:pPr>
        <w:pStyle w:val="BookText"/>
        <w:rPr/>
      </w:pPr>
      <w:bookmarkEnd w:id="376"/>
      <w:r>
        <w:rPr>
          <w:rFonts w:ascii="IRNazanin" w:hAnsi="IRNazanin" w:eastAsia="IRNazanin"/>
          <w:color w:val="111111"/>
          <w:sz w:val="28"/>
          <w:sz w:val="28"/>
          <w:szCs w:val="28"/>
          <w:rtl w:val="true"/>
          <w:lang w:bidi="fa-IR"/>
        </w:rPr>
        <w:t>إلی هنا قد فرغنا عن أحکام الأدلّة الاجتهادیّة والظنون المعتبرة، وحینئذٍ تصل النوبة إلی البحث عن الأدلّة الفقاهتیة والاصول العملیّة، وینبغی هنا تقدیم امور</w:t>
      </w:r>
      <w:r>
        <w:rPr>
          <w:rFonts w:eastAsia="IRNazanin" w:cs="IRNazanin"/>
          <w:color w:val="111111"/>
          <w:sz w:val="28"/>
          <w:szCs w:val="28"/>
          <w:rtl w:val="true"/>
          <w:lang w:bidi="fa-IR"/>
        </w:rPr>
        <w:t>:</w:t>
      </w:r>
    </w:p>
    <w:p>
      <w:pPr>
        <w:pStyle w:val="Heading3"/>
        <w:numPr>
          <w:ilvl w:val="2"/>
          <w:numId w:val="1"/>
        </w:numPr>
        <w:rPr/>
      </w:pPr>
      <w:bookmarkStart w:id="377" w:name="__RefHeading___Toc141861_3244359995"/>
      <w:bookmarkStart w:id="378" w:name="_Toc144"/>
      <w:bookmarkEnd w:id="377"/>
      <w:r>
        <w:rPr/>
        <w:t>1</w:t>
      </w:r>
      <w:r>
        <w:rPr>
          <w:rtl w:val="true"/>
        </w:rPr>
        <w:t xml:space="preserve">. </w:t>
      </w:r>
      <w:r>
        <w:rPr>
          <w:rtl w:val="true"/>
        </w:rPr>
        <w:t>تعریف الاصول العملیّة</w:t>
      </w:r>
      <w:bookmarkEnd w:id="378"/>
    </w:p>
    <w:p>
      <w:pPr>
        <w:pStyle w:val="BookText"/>
        <w:rPr/>
      </w:pPr>
      <w:r>
        <w:rPr>
          <w:rFonts w:ascii="IRNazanin" w:hAnsi="IRNazanin" w:eastAsia="IRNazanin"/>
          <w:color w:val="111111"/>
          <w:sz w:val="28"/>
          <w:sz w:val="28"/>
          <w:szCs w:val="28"/>
          <w:rtl w:val="true"/>
          <w:lang w:bidi="fa-IR"/>
        </w:rPr>
        <w:t xml:space="preserve">والصحیح فی ذلک ما أفاده المحقّق الخراسانی رحمه الله من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ینتهی إلیها المجتهد بعد الفحص والیأس عن الظفر بالدلیل</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أی الدلیل القطعی والظنون المعتبرة، ومع هذا القید یتمّ التعریف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وتمامیّة هذا التعریف مبنی علی مذهب أصحابنا الإمامیّة من عدم الفراغ القانونی فی الشریعة وعدم خلوّ موضوع من الموضوعات الخارجیّة عن الحکم الواقعی، وإن لم تصل أیدینا إلیها أحیاناً، وأمّا بناءً علی مذهب طائفة من العامّة من عدم وجود حکم واقعی لبعض الوقائع وأنّ ما لا نصّ فیه لا حکم فیه، فلا معنی للشکّ فی الحکم الواقعی الذی اخذ الشکّ فیه فی موضوع الاصول العملیّة فی التعریف المزبور</w:t>
      </w:r>
      <w:r>
        <w:rPr>
          <w:rFonts w:eastAsia="IRNazanin" w:cs="IRNazanin"/>
          <w:color w:val="111111"/>
          <w:sz w:val="28"/>
          <w:szCs w:val="28"/>
          <w:rtl w:val="true"/>
          <w:lang w:bidi="fa-IR"/>
        </w:rPr>
        <w:t>.</w:t>
      </w:r>
      <w:bookmarkStart w:id="379" w:name="pg16922_187672"/>
    </w:p>
    <w:p>
      <w:pPr>
        <w:pStyle w:val="Heading3"/>
        <w:numPr>
          <w:ilvl w:val="2"/>
          <w:numId w:val="1"/>
        </w:numPr>
        <w:rPr/>
      </w:pPr>
      <w:bookmarkStart w:id="380" w:name="__RefHeading___Toc141863_3244359995"/>
      <w:bookmarkStart w:id="381" w:name="_Toc145"/>
      <w:bookmarkEnd w:id="379"/>
      <w:bookmarkEnd w:id="380"/>
      <w:r>
        <w:rPr/>
        <w:t>2</w:t>
      </w:r>
      <w:r>
        <w:rPr>
          <w:rtl w:val="true"/>
        </w:rPr>
        <w:t xml:space="preserve">. </w:t>
      </w:r>
      <w:r>
        <w:rPr>
          <w:rtl w:val="true"/>
        </w:rPr>
        <w:t>حصر الاصول العملیّة فی الأربعة</w:t>
      </w:r>
      <w:bookmarkEnd w:id="381"/>
    </w:p>
    <w:p>
      <w:pPr>
        <w:pStyle w:val="BookText"/>
        <w:rPr/>
      </w:pPr>
      <w:r>
        <w:rPr>
          <w:rFonts w:ascii="IRNazanin" w:hAnsi="IRNazanin" w:eastAsia="IRNazanin"/>
          <w:color w:val="111111"/>
          <w:sz w:val="28"/>
          <w:sz w:val="28"/>
          <w:szCs w:val="28"/>
          <w:rtl w:val="true"/>
          <w:lang w:bidi="fa-IR"/>
        </w:rPr>
        <w:t>یستفاد من کلمات المحقّق الخراسانی رحمه الله نفی انحصارها العقلی فی الأربعة، وأنّ مثل قاعدة الطهارة وإن کان ممّا ینتهی إلیها فیما لا حجّة علی طهارته ولا علی نجاسته، إلّاأنّ البحث عنها لیس بمهمّ لأنّها ثابتة بلا کلام، بخلاف الأربعة فإنّها محلّ الخلاف بین الأصحاب، ویحتاج تنقیح مجاریها وتوضیح ما هو حکم العقل أو مقتضی عموم النقل فیها إلی مزید بحث وبیان، ومؤونة حجّة وبرهان، هذا مع جریانها فی کلّ الأبواب واختصاص تلک القاعدة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شیخنا الأعظم رحمه الله فی موضعین من رسائله بحصرها فی الأربعة عقلًا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المختار، لأنّ مثل قاعدة الطهارة لیست أساساً من الاصول العملیّة حتّی تصل النوبة إلی البحث عن وضوحها وعدم وضوحها، بل هی من القواعد الفقهیّة لکونها حکماً کلّیاً وضعیّاً یستفاد منها الأحکام الجزئیّة الفقهیّة بتطبیقها علی موارد الشکّ فی الطهارة، مضافاً إلی أنّ الاعتذار بأنّها واضحة فی غیر محلّه، لأنّها أیضاً تحتاج إلی البحث والدراسة کما یظهر لمن راجعها، فالوجه فی عدم ذکرها فی الاصول العملیّة هو دخولها فی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أحسن ما قیل فی بیان حصر مجاری الاصول العملیّة فی الأربعة هو ما أفاده شیخنا الأعظم رحمه الله، وحاصله أنّ المشکوک إمّا له حالة سابقة ملحوظة أو لا، والأوّل مورد الاستصحاب،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لم تکن له حالة سابقة أو کانت ولم تکن 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الاحتیاط فیه ممکناً أو لا، الثانی مورد التخییر، والأوّل إمّا قام دلیل عقلی أو نقلی علی ثبوت العقاب بمخالفة الواقع المجهول أو لا، والأوّل مورد الاحتیاط، والثانی مورد البراءة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أدقّ ما افید فی هذا المجال، ولکنّه فی نفس الحال لیس سلیماً</w:t>
      </w:r>
      <w:bookmarkStart w:id="382" w:name="pg16922_187673"/>
    </w:p>
    <w:p>
      <w:pPr>
        <w:pStyle w:val="BookText"/>
        <w:rPr/>
      </w:pPr>
      <w:bookmarkEnd w:id="382"/>
      <w:r>
        <w:rPr>
          <w:rFonts w:ascii="IRNazanin" w:hAnsi="IRNazanin" w:eastAsia="IRNazanin"/>
          <w:color w:val="111111"/>
          <w:sz w:val="28"/>
          <w:sz w:val="28"/>
          <w:szCs w:val="28"/>
          <w:rtl w:val="true"/>
          <w:lang w:bidi="fa-IR"/>
        </w:rPr>
        <w:t>عن الإشکال، وعمدة الإشکال أنّ ظاهره أنّ مجری قاعدة التخییر هو عدم إمکان الاحتیاط مطلقاً، أی کلّ ما کان الاحتیاط فیه غیر ممکن یکون مجری للتخییر مع أنّه لیس کذلک دائماً، کما إذا دار الأمر مثلًا بین الوجوب والحرمة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العید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هو البراءة مع عدم إمکان الاحتیاط فیه، فلو جعل مجری التخییر ما إذا دار الأمر بین الوجوب والحرمة کان التقسیم تامّاً</w:t>
      </w:r>
      <w:r>
        <w:rPr>
          <w:rFonts w:eastAsia="IRNazanin" w:cs="IRNazanin"/>
          <w:color w:val="111111"/>
          <w:sz w:val="28"/>
          <w:szCs w:val="28"/>
          <w:rtl w:val="true"/>
          <w:lang w:bidi="fa-IR"/>
        </w:rPr>
        <w:t>.</w:t>
      </w:r>
    </w:p>
    <w:p>
      <w:pPr>
        <w:pStyle w:val="Heading3"/>
        <w:numPr>
          <w:ilvl w:val="2"/>
          <w:numId w:val="1"/>
        </w:numPr>
        <w:rPr/>
      </w:pPr>
      <w:bookmarkStart w:id="383" w:name="__RefHeading___Toc141865_3244359995"/>
      <w:bookmarkStart w:id="384" w:name="_Toc146"/>
      <w:bookmarkEnd w:id="383"/>
      <w:r>
        <w:rPr/>
        <w:t>3</w:t>
      </w:r>
      <w:r>
        <w:rPr>
          <w:rtl w:val="true"/>
        </w:rPr>
        <w:t xml:space="preserve">. </w:t>
      </w:r>
      <w:r>
        <w:rPr>
          <w:rtl w:val="true"/>
        </w:rPr>
        <w:t>حکومة الأمارات والأدلّة الاجتهادیّة علی الاصول العملیّة</w:t>
      </w:r>
      <w:bookmarkEnd w:id="384"/>
    </w:p>
    <w:p>
      <w:pPr>
        <w:pStyle w:val="BookText"/>
        <w:rPr/>
      </w:pPr>
      <w:r>
        <w:rPr>
          <w:rFonts w:ascii="IRNazanin" w:hAnsi="IRNazanin" w:eastAsia="IRNazanin"/>
          <w:color w:val="111111"/>
          <w:sz w:val="28"/>
          <w:sz w:val="28"/>
          <w:szCs w:val="28"/>
          <w:rtl w:val="true"/>
          <w:lang w:bidi="fa-IR"/>
        </w:rPr>
        <w:t>لا إشکال فی تقدّم الأمارات والأدلّة الاجتهادیّة علی الاصول العملیّة لأنّ أدلّتها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دلیل علی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تفصیله فی مباحث تعارض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حالات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 وهو خروج مورد عن موضوع دلیل خروجاً ذاتیاً بلا حاجة إلی دلیل مخرج، کخروج زید الجاهل عن دلیل وجوب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وهو إخراج مورد من موضوع دلیل إخراجاً حکمیّاً بواسطة دلیل، کاخراج العالم الفاسق بقول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وهو عبارة عن الخروج الموضوعی کالتخصّص لکنّه خروج بسبب ورود دلیل یوجب نفی موضوع الدلیل السابق حقیقة، نظیر ورود أدلّة الأمارات علی الاصول العملیّة العقلیّة، فیکون دلیل حجّیة خبر الواحد مثلًا وارداً علی قاعدة قبح العقاب بلا بیان؛ لأنّ موضوع تلک القاعدة هو عدم البیان، ودلیل حجّیة خبر الواحد یجعل مفاد الخبر بیاناً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وهی کون أحد الدلیلین مفسّراً لدلیل آخر، وناظراً إلیه نظر تفسیرٍ بالمطابقة أو التضمّن أو الالتزام، بالتصرّف فی موضوعه أو حکمه أو متعلّقه،</w:t>
      </w:r>
    </w:p>
    <w:p>
      <w:pPr>
        <w:pStyle w:val="BookText"/>
        <w:rPr/>
      </w:pPr>
      <w:r>
        <w:rPr>
          <w:rFonts w:ascii="IRNazanin" w:hAnsi="IRNazanin" w:eastAsia="IRNazanin"/>
          <w:color w:val="111111"/>
          <w:sz w:val="28"/>
          <w:sz w:val="28"/>
          <w:szCs w:val="28"/>
          <w:rtl w:val="true"/>
          <w:lang w:bidi="fa-IR"/>
        </w:rPr>
        <w:t>بالتوسعة أو التضییق، فهی علی ستّة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التصرّف فی الموضوع بالتضییق کما إذا قال المولی بعد قوله أکرم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بعالم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التصرّف فی الموضوع بالتوسعة،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العامّی العادل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التصرّف فی المتعلّق بالتضییق،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الإطعام لیس بإکرام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التصرّف فی المتعلّق بالتوسعة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السلام إکرام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التصرّف فی الحکم بالتضییق، کما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الصلاة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بذلک خصوص الشکّ بین الثلاث والأربع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الخامس،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بین الثلاث والأربع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مطلق الشکّ وأنّ ذکر الثلاث والأربع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 الفرق بین التخصیص والحکومة، حیث إنّ لسان التخصیص لسان التعارض، ولسان الحکومة هو التفسیر والتوضیح، والمراد من التفسیر أنّ الدلیل الثانی لا یکون له معنی قابلًا للفهم بدون الدلیل الأوّل، بخلاف التعارض، فإنّ لکلّ من الدلیلین المتعارضین معناً مستقلًاّ ولا یتوقّف فهم أحدهما علی الآخر، ومن هنا یشترط فی التخصیص أقوائیّة الدلیل المخصّص خلافاً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فی الحکومة کما أشرنا إلیه کون الدلیل الحاکم بصیغة تدلّ بالمطابقة علی التفسیر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تکفی الدلالة علیه بالالتزام کما فی کثیر من الأمثلة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الأمارات حاکمة علی الاصول العملیّة لأنّ موضوع الاصول قد اخذ فیه الشکّ، ودلیل الأمارة کآیة النبأ یوجب إلغاء احتمال الخلاف، وینفی الحکم بلسان نفی الموضوع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 لیس بشکّ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تکون النسبة بینها وبین الاصول العقلیّة نسبة الورود، فإنّ الموضوع فی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البراءة العقلیّة، إنّما هو عدم البیان، ودلیل حجّیة خبر الواحد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الخبر بیانٌ وحجّة، وهکذا بالنسبة إلی الاحتیاط العقلی فإنّ موضوعه عدم الأمن من العقاب ودلیل حجّیة الخبر یبدّل عدم الأمن إلی الأمن، وکذلک فی التخییر العقلی فإنّ الموضوع فیه عدم وجود الرجحان لأحد الدلیلین، وخبر الواحد یکون مرجّحاً</w:t>
      </w:r>
      <w:r>
        <w:rPr>
          <w:rFonts w:eastAsia="IRNazanin" w:cs="IRNazanin"/>
          <w:color w:val="111111"/>
          <w:sz w:val="28"/>
          <w:szCs w:val="28"/>
          <w:rtl w:val="true"/>
          <w:lang w:bidi="fa-IR"/>
        </w:rPr>
        <w:t>.</w:t>
      </w:r>
      <w:bookmarkStart w:id="385" w:name="pg16922_187677"/>
    </w:p>
    <w:p>
      <w:pPr>
        <w:pStyle w:val="Heading3"/>
        <w:numPr>
          <w:ilvl w:val="2"/>
          <w:numId w:val="1"/>
        </w:numPr>
        <w:rPr/>
      </w:pPr>
      <w:bookmarkStart w:id="386" w:name="__RefHeading___Toc141867_3244359995"/>
      <w:bookmarkStart w:id="387" w:name="_Toc147"/>
      <w:bookmarkEnd w:id="385"/>
      <w:bookmarkEnd w:id="386"/>
      <w:r>
        <w:rPr>
          <w:rtl w:val="true"/>
        </w:rPr>
        <w:t>الأصل الأول</w:t>
      </w:r>
      <w:r>
        <w:rPr>
          <w:rtl w:val="true"/>
        </w:rPr>
        <w:t xml:space="preserve">: </w:t>
      </w:r>
      <w:r>
        <w:rPr>
          <w:rtl w:val="true"/>
        </w:rPr>
        <w:t>اصالة البراءة</w:t>
      </w:r>
      <w:bookmarkEnd w:id="387"/>
    </w:p>
    <w:p>
      <w:pPr>
        <w:pStyle w:val="Heading4"/>
        <w:numPr>
          <w:ilvl w:val="3"/>
          <w:numId w:val="1"/>
        </w:numPr>
        <w:rPr/>
      </w:pPr>
      <w:bookmarkStart w:id="388" w:name="__RefHeading___Toc141869_3244359995"/>
      <w:bookmarkStart w:id="389" w:name="_Toc14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إذا شکّ فی حرمة شی‌ء لإجمال النصّ أو فقدانه أو تعارضه، فالمعروف بین الاصولیین هو البراءة، وعند الأخباریین الاحتیاط، وهو ممّا یکون سبباً للفرق بین الطائفتین، والحقّ مع الاصولیین، واستدلّ لذلک بالأدلّة الأربعة</w:t>
      </w:r>
      <w:r>
        <w:rPr>
          <w:rFonts w:eastAsia="IRNazanin" w:cs="IRNazanin"/>
          <w:color w:val="111111"/>
          <w:sz w:val="28"/>
          <w:szCs w:val="28"/>
          <w:rtl w:val="true"/>
          <w:lang w:bidi="fa-IR"/>
        </w:rPr>
        <w:t>:</w:t>
      </w:r>
    </w:p>
    <w:p>
      <w:pPr>
        <w:pStyle w:val="Heading4"/>
        <w:numPr>
          <w:ilvl w:val="3"/>
          <w:numId w:val="1"/>
        </w:numPr>
        <w:rPr/>
      </w:pPr>
      <w:bookmarkStart w:id="390" w:name="__RefHeading___Toc141871_3244359995"/>
      <w:bookmarkStart w:id="391" w:name="_Toc149"/>
      <w:bookmarkEnd w:id="390"/>
      <w:r>
        <w:rPr>
          <w:rtl w:val="true"/>
        </w:rPr>
        <w:t>أدلّة الاصولیین علی البراءة</w:t>
      </w:r>
      <w:r>
        <w:rPr>
          <w:rtl w:val="true"/>
        </w:rPr>
        <w:t>:</w:t>
      </w:r>
      <w:bookmarkEnd w:id="391"/>
    </w:p>
    <w:p>
      <w:pPr>
        <w:pStyle w:val="Heading5"/>
        <w:numPr>
          <w:ilvl w:val="4"/>
          <w:numId w:val="1"/>
        </w:numPr>
        <w:rPr/>
      </w:pPr>
      <w:bookmarkStart w:id="392" w:name="__RefHeading___Toc141873_3244359995"/>
      <w:bookmarkStart w:id="393" w:name="_Toc150"/>
      <w:bookmarkEnd w:id="392"/>
      <w:r>
        <w:rPr>
          <w:rtl w:val="true"/>
        </w:rPr>
        <w:t>الأوّل</w:t>
      </w:r>
      <w:r>
        <w:rPr>
          <w:rtl w:val="true"/>
        </w:rPr>
        <w:t xml:space="preserve">: </w:t>
      </w:r>
      <w:r>
        <w:rPr>
          <w:rtl w:val="true"/>
        </w:rPr>
        <w:t>الآیات</w:t>
      </w:r>
      <w:bookmarkEnd w:id="393"/>
    </w:p>
    <w:p>
      <w:pPr>
        <w:pStyle w:val="Heading6"/>
        <w:numPr>
          <w:ilvl w:val="5"/>
          <w:numId w:val="1"/>
        </w:numPr>
        <w:rPr/>
      </w:pPr>
      <w:bookmarkStart w:id="394" w:name="__RefHeading___Toc141875_3244359995"/>
      <w:bookmarkStart w:id="395" w:name="_Toc151"/>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 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فیها ثلاث 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نتیجة عمل کلّ إنسان تعود إلی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اهْتَدَی فَإِنَّمَا یَهْتَدِی لِنَفْسِهِ وَمَنْ ضَلَّ فَإِنَّمَا یَضِلُّ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بمنزلة المفهوم للحکم الأوّل،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واحد من هذین الحکمین إرشاد إلی ما یحکم به العقل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فی موارد عدم البیان والبعث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وهی تؤکّد بالآیة التالیة لها، أی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حیث إنّه بیّنت فیها کیفیة العذاب المذکور فی تلک الآیة وأنّه لا یکون إلّابعد الأمر ووقوع الفسق والمخالفة، کما أنّ المراد من بعث الرسل فی تلک الآیة إنّما هو إتمام الحجّة علی الناس، فهو کنایة عن بیان التکلیف، فلا خصوصیّة للبعث کما یشهد علیه أنّه لا یعقل العذاب فی صورة البعث مع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آیتین اخریین توافقان الآیة المذکورة فی الدلالة علی البراءة فی ما نحن فیه، وقد غفل عنهما فی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مُهْلِکَ الْقُرَی حَتَّی یَبْعَثَ فِی أُمِّهَا رَسُولًا یَتْلُوا عَلَیْهِمْ آیَاتِنَا وَمَا کُنَّا مُهْلِکِی الْقُرَی إِلَّا وَأَهْلُهَا ظَالِمُونَ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حیث لا یخفی إنّ دلالة هذه الآیة أظهر ممّا ذکره الأصحاب، لما ورد فیها من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صریحاً علی بیان التکلیف وإنّه لا عقاب إلّابعد البیان، فلا حاجة فیها إلی التوجیه المذکور فی تلک الآیة من أنّ البعث کنایة عن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أَهْلَکْنَاهُمْ بِعَذَابٍ مِنْ قَبْلِهِ لَقَالُوا رَبَّنَا لَوْلَا أَرْسَلْتَ إِلَیْنَا رَسُولًا فَنَتَّبِعَ آیَاتِکَ مِنْ قَبْلِ أَنْ نَذِلَّ وَنَخْزَی</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 حیث إنّ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بعث الرسل، فتدلّ علی البراءة بناءً علی أنّ نقل کلام الکفّار مشعر بالقبول، لا سیّما مع عدم إنکار القرآن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الآیات الثلاثة مدلولًا واحداً مشترکاً، وهو البراءة فی الشبهات الحکمیّة مطلقاً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قد یناقش فی دلالتها بامور عدیدة، 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نفی فعلیّة العذاب لا نفی استحقاقه، ونفی الفعلیّة لیس لازماً مساویاً لنفی الاستحقاق حتّی یدلّ نفیها علی نفیه، بل هو أعمّ من کونه من باب عدم الاستحقاق أو من باب تفضّله تبارک وتعالی علی عباده مع استحقاقهم للعذاب، فلا یصحّ الاستدلال بالآیة علی البراءة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 بأنّ ما یهمّنا فی الفقه إنّما هو الأمن من العذاب، وهو حاصل بنفی الفعلیّة سواء لزمه نفی الاستحقاق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بالمستقلّات العقلیّة، فإنّه لا إشکال فی تعذیبه تعالی علی ترک المستقلّات العقلیّة، کقبح قتل النفس المحترمة والسرقة والخیانة وغیرها من المعاصی الّتی یحکم بقبحها العقل مستقلًاّ، ولو وقعت قبل بعث الرسل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منصرفة إلی أحکام تحتاج إلی البیان، ولا حاجة إلی البیان فی المستقلّات العقلیّة الّتی لا یصحّ فیها الإعتذار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إِلَیْنَا رَسُولًا فَنَتَّبِعَ آیَاتِکَ مِنْ قَبْلِ أَنْ نَذِلَّ وَنَخْزَی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بذلک أنّ الآیة الشریفة صالحة للاستدلال بها علی أصالة البراءة فی الشبهات الحکمیّة التحریمیّة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 ودلالتها علی المدّعی تتمّ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مفادها حینئذٍ عدم العقاب بلا بیان، فالمهمّ فی المقام تعیین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تصوّر معناها اللغوی المعروف بالنسبة إلی الباری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فیها أربعة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بمعنی التعذیب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بمعنی الحکم بالضلال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بمعنی الخذلان أی ترک العون والإمداد وسلب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بمعناه الحقیقی مع حقیقة الإسناد بالنسبة إلیه تعالی من باب أنّه مسبّب الأسباب وسبب فی تأثیر عمل العبد فی ضلالته، فهو الذی جعل العمل السیّئ والذنوب الکبار سبباً للضلالة عن طریق الحقّ، فیصحّ إسناده إلیه تعالی حقیقة کما یصحّ إسناده کذلک إلی الفاعل بلا واسطة، وهذا نظیر من قتل نفسه بشرب السمّ حیث یصحّ إسناد القتل إلیه حقیقة لأنّه شرب السمّ باختیاره، وإلی الباری تعالی کذلک لأنّه خلق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الإسناد فی الوجوه الثلاثة الاول مجاز، فلا وجه للذهاب إلیها مع إمکان حفظ الکلمة علی معناه الحقیقی بالوجه الأخیر، کما أنّه کذلک فی الآیات المشابهة الّتی استند الإضلال فیها إلی اللَّه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فاستناد الإضلال إلیه تعالی أمر مأنوس فی القرآن الکریم، ولا ریب فی عدم کونه مجازاً فی جمیع ذلک؛ لأنّ کلّ فعل یصدر من العباد یصحّ إسناده إلیه تعالی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المالک لما ملّکک والقادر علی ما علیه أقدرک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حدیث الاحتجاج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الآیة تدلّ علی عدم إضلال اللَّه تعالی للعباد حتّی یبیّن لهم الحلال والحرام لقوله تعالی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الاضلال منشأ للعذاب بل هو نوع من العذاب الإلهی فدلالة الآیة علی عدم العذاب من دون البیان تکون بالأولویة أو بإلغاء الخصوصیّة</w:t>
      </w:r>
      <w:r>
        <w:rPr>
          <w:rFonts w:eastAsia="Amiri" w:cs="Amiri" w:ascii="Amiri" w:hAnsi="Amiri"/>
          <w:color w:val="111111"/>
          <w:sz w:val="28"/>
          <w:szCs w:val="28"/>
          <w:rtl w:val="true"/>
          <w:lang w:bidi="ar-SA"/>
        </w:rPr>
        <w:t>.</w:t>
      </w:r>
      <w:bookmarkStart w:id="396" w:name="pg16922_187681"/>
    </w:p>
    <w:p>
      <w:pPr>
        <w:pStyle w:val="Heading6"/>
        <w:numPr>
          <w:ilvl w:val="5"/>
          <w:numId w:val="1"/>
        </w:numPr>
        <w:rPr/>
      </w:pPr>
      <w:bookmarkStart w:id="397" w:name="__RefHeading___Toc141877_3244359995"/>
      <w:bookmarkStart w:id="398" w:name="_Toc152"/>
      <w:bookmarkEnd w:id="396"/>
      <w:bookmarkEnd w:id="397"/>
      <w:r>
        <w:rPr>
          <w:rtl w:val="true"/>
        </w:rPr>
        <w:t>بقی هنا شی‌ء</w:t>
      </w:r>
      <w:bookmarkEnd w:id="398"/>
    </w:p>
    <w:p>
      <w:pPr>
        <w:pStyle w:val="BookText"/>
        <w:rPr/>
      </w:pPr>
      <w:r>
        <w:rPr>
          <w:rFonts w:ascii="IRNazanin" w:hAnsi="IRNazanin" w:eastAsia="IRNazanin"/>
          <w:color w:val="111111"/>
          <w:sz w:val="28"/>
          <w:sz w:val="28"/>
          <w:szCs w:val="28"/>
          <w:rtl w:val="true"/>
          <w:lang w:bidi="fa-IR"/>
        </w:rPr>
        <w:t>إنّ جمیع هذه الآیات توجب تأسیس أصل حاصله عدم العذاب بلا بیان، وحینئذٍ تکون أدلّة الأخباری علی فرض تمامیتها واردة علیها، لأنّها حینئذٍ تکون بمنزلة البیان، لکن سیأتی عدم تمامیتها فالمرجع هو ما یستفاد من هذه الآیات</w:t>
      </w:r>
      <w:r>
        <w:rPr>
          <w:rFonts w:eastAsia="IRNazanin" w:cs="IRNazanin"/>
          <w:color w:val="111111"/>
          <w:sz w:val="28"/>
          <w:szCs w:val="28"/>
          <w:rtl w:val="true"/>
          <w:lang w:bidi="fa-IR"/>
        </w:rPr>
        <w:t>.</w:t>
      </w:r>
    </w:p>
    <w:p>
      <w:pPr>
        <w:pStyle w:val="Heading5"/>
        <w:numPr>
          <w:ilvl w:val="4"/>
          <w:numId w:val="1"/>
        </w:numPr>
        <w:rPr/>
      </w:pPr>
      <w:bookmarkStart w:id="399" w:name="__RefHeading___Toc141879_3244359995"/>
      <w:bookmarkStart w:id="400" w:name="_Toc153"/>
      <w:bookmarkEnd w:id="399"/>
      <w:r>
        <w:rPr>
          <w:rtl w:val="true"/>
        </w:rPr>
        <w:t>الثانی</w:t>
      </w:r>
      <w:r>
        <w:rPr>
          <w:rtl w:val="true"/>
        </w:rPr>
        <w:t xml:space="preserve">: </w:t>
      </w:r>
      <w:r>
        <w:rPr>
          <w:rtl w:val="true"/>
        </w:rPr>
        <w:t>الروایات</w:t>
      </w:r>
      <w:bookmarkEnd w:id="400"/>
    </w:p>
    <w:p>
      <w:pPr>
        <w:pStyle w:val="Heading6"/>
        <w:numPr>
          <w:ilvl w:val="5"/>
          <w:numId w:val="1"/>
        </w:numPr>
        <w:rPr/>
      </w:pPr>
      <w:bookmarkStart w:id="401" w:name="__RefHeading___Toc141881_3244359995"/>
      <w:bookmarkStart w:id="402" w:name="_Toc154"/>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وهی عدیدة</w:t>
      </w:r>
      <w:r>
        <w:rPr>
          <w:rFonts w:eastAsia="IRNazanin" w:cs="IRNazanin"/>
          <w:color w:val="111111"/>
          <w:sz w:val="28"/>
          <w:szCs w:val="28"/>
          <w:rtl w:val="true"/>
          <w:lang w:bidi="fa-IR"/>
        </w:rPr>
        <w:t>:</w:t>
      </w:r>
    </w:p>
    <w:p>
      <w:pPr>
        <w:pStyle w:val="Heading6"/>
        <w:numPr>
          <w:ilvl w:val="5"/>
          <w:numId w:val="1"/>
        </w:numPr>
        <w:rPr/>
      </w:pPr>
      <w:bookmarkStart w:id="403" w:name="__RefHeading___Toc141883_3244359995"/>
      <w:bookmarkStart w:id="404" w:name="_Toc155"/>
      <w:bookmarkEnd w:id="403"/>
      <w:r>
        <w:rPr/>
        <w:t>1</w:t>
      </w:r>
      <w:r>
        <w:rPr>
          <w:rtl w:val="true"/>
        </w:rPr>
        <w:t xml:space="preserve">. </w:t>
      </w:r>
      <w:r>
        <w:rPr>
          <w:rtl w:val="true"/>
        </w:rPr>
        <w:t>حدیث الرفع</w:t>
      </w:r>
      <w:bookmarkEnd w:id="404"/>
    </w:p>
    <w:p>
      <w:pPr>
        <w:pStyle w:val="BookText"/>
        <w:rPr/>
      </w:pPr>
      <w:r>
        <w:rPr>
          <w:rFonts w:ascii="IRNazanin" w:hAnsi="IRNazanin" w:eastAsia="IRNazanin"/>
          <w:color w:val="111111"/>
          <w:sz w:val="28"/>
          <w:sz w:val="28"/>
          <w:szCs w:val="28"/>
          <w:rtl w:val="true"/>
          <w:lang w:bidi="fa-IR"/>
        </w:rPr>
        <w:t>وقد روی من طریقین 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توحید الصدوق وخصاله بسند معتبر عن حریز بن عبداللَّه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اکرهوا علیه، وما لا یعلمون، وما لا یطیقون، وما اضطرّوا إلیه، والحسد، والطیرة، والتفکّر فی الوسوسة فی الخلق، ما لم ینطقوا بشفة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إسماعیل الجعفی،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هذه الامّة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استکرهوا علیه، وما لا یعلمون، وما لا یطیقون، وما اضطرّوا إلیه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وردت فیها ستّ خصال بدلًا عن التسع الوارد فی الروایة الاولی، ولا منافاة بینهما بعد کونهما من قبیل المثبتین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دلالته ضمن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الموصول فی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فهل یشمل الشبهات الحکمیّة والموضوعیّة معاً أم یختصّ بالثانی؟</w:t>
      </w:r>
    </w:p>
    <w:p>
      <w:pPr>
        <w:pStyle w:val="BookText"/>
        <w:rPr/>
      </w:pPr>
      <w:r>
        <w:rPr>
          <w:rFonts w:ascii="IRNazanin" w:hAnsi="IRNazanin" w:eastAsia="IRNazanin"/>
          <w:color w:val="111111"/>
          <w:sz w:val="28"/>
          <w:sz w:val="28"/>
          <w:szCs w:val="28"/>
          <w:rtl w:val="true"/>
          <w:lang w:bidi="fa-IR"/>
        </w:rPr>
        <w:t xml:space="preserve">استدلّ الشیخ الأعظم الأنصاری رحمه الله لاختصاص الموصول بالشبهة الموضوعیّة بوحدة السیاق، إذ إنّ المراد بالموصول فی غیر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 الإکراهی والاضطراری ونحوهما، إذ لا معنی لتعلّق الإکراه والاضطرار بنفس الحکم، فلیکن المراد بالموصول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هو الفعل المجهول لا الحکم المجهول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منها مطلق الإلزام المجهول سواء کان فی الشبهة الحکمیّة کحرمة شرب التتن أو الموضوعیّة کحرمة المائع الخارجی المشکوک کونه خمراً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والتحقیق فی المقام یستدعی تحلیل المراد من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الفعل المتعلّق به الحکم کشرب الخمر مثلًا فی مثال المائع المشکوک، أو المرفوع هو الموضوع الخارجی، أی نفس الخمر فی المثال، أو الحکم، أی الحرمة؟</w:t>
      </w:r>
    </w:p>
    <w:p>
      <w:pPr>
        <w:pStyle w:val="BookText"/>
        <w:rPr/>
      </w:pPr>
      <w:r>
        <w:rPr>
          <w:rFonts w:ascii="IRNazanin" w:hAnsi="IRNazanin" w:eastAsia="IRNazanin"/>
          <w:color w:val="111111"/>
          <w:sz w:val="28"/>
          <w:sz w:val="28"/>
          <w:szCs w:val="28"/>
          <w:rtl w:val="true"/>
          <w:lang w:bidi="fa-IR"/>
        </w:rPr>
        <w:t xml:space="preserve">ولابدّ للجواب عن هذا السؤال من ملاحظة التعبیرات الواردة فی الآیات والروایات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وتضادّه، والأشیاء تعرف بأضدادها، فإذا عرفنا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التکالیف الشرعیّة فی الکتاب والسنّة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الثقل والکلفة الّتی یشتقّ منها کلمة التکلیف، ومن أین یجی‌ء ویوضع علی عهدة المکلّف حتّی یکون هو المرفوع؟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والمحمول علی المکلّف فی لسان الآیات إنّما هو الفعل کالصیام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w:t>
      </w:r>
    </w:p>
    <w:p>
      <w:pPr>
        <w:pStyle w:val="BookText"/>
        <w:rPr/>
      </w:pPr>
      <w:r>
        <w:rPr>
          <w:rFonts w:ascii="Amiri" w:hAnsi="Amiri" w:eastAsia="Amiri" w:cs="Amiri"/>
          <w:color w:val="111111"/>
          <w:sz w:val="28"/>
          <w:sz w:val="28"/>
          <w:szCs w:val="28"/>
          <w:rtl w:val="true"/>
          <w:lang w:bidi="ar-SA"/>
        </w:rPr>
        <w:t>قَبْلِکُمْ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وحجّ البیت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فی الروایات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فالموضوع علی عهدة المکلّف إنّما هو الإعادة أو الحجّ، فکأنّ للأفعال ثقلًا فی عالم التشریع یضعه الشارع علی عاتق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کنایة عن الإیجاب، وهی غیر تقدیر الوجوب، ولا یلزم فیها مجاز، بل یستعمل کلّ لفظ فی معناه الموضوع له، ففی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الموضوع له وإن لم یکن المستعمل فیه مراداً جدّیاً للمتکلّم، والمراد الجدّی هو بیان سخاوة زید، وکذلک وضع فعل علی عاتق المکلّف کنایة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متعلّق الوضع هو الفعل فلیکن متعلّق الرفع أیضاً کذلک، ففی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رفع الفعل المجهول کما أنّ المرفوع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الفعل الاضطراری أو الإکراهی الذی کان یثقل علی عاتق المکلّف لولا حدیث الرفع، لا أن یکون المرفوع هو الحکم حتّی نحتاج إلی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یختصّ الحدیث بالشبهات الموضوعیّة لأنّ شموله للشبهات الحکمیّة یحتاج إلی تقدیر الحکم، أی رفع ما لا یعلمون حکمه، والأصل عدم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إثبات اختصاص الروایة بالشبهات الموضوعیّة لا ینحصر فی ما ذهب إلیه الشیخ الأعظم رحمه الله من قضیّة وحدة السیاق، بل یمکن إثباتها من طریق تحلیل معنی الرفع وملاحظة موارد استعمال ما یقابله من کلمة الوضع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یؤیّد ذلک بالرجوع إلی عصر صدور الحدیث حیث لم تکن الشبهة الحکمیّة محلًاّ للابتلاء فی ذلک العصر إلّاقلیلًا لأنّهم کانوا مستغنین بالرجوع إلی</w:t>
      </w:r>
    </w:p>
    <w:p>
      <w:pPr>
        <w:pStyle w:val="BookText"/>
        <w:rPr/>
      </w:pPr>
      <w:r>
        <w:rPr>
          <w:rFonts w:ascii="IRNazanin" w:hAnsi="IRNazanin" w:eastAsia="IRNazanin"/>
          <w:color w:val="111111"/>
          <w:sz w:val="28"/>
          <w:sz w:val="28"/>
          <w:szCs w:val="28"/>
          <w:rtl w:val="true"/>
          <w:lang w:bidi="fa-IR"/>
        </w:rPr>
        <w:t>المعصومین علیهم السلام، یأخذون منهم الأحکام مشافهة، ویعرفون ما یریدون بالسؤال عنهم بلا واسطة، فالحدیث منصرف إلی ما کان محلًاّ للابتلاء وهو الشبهات الموضوعیّة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عدم تقدیر شی‌ء فی الحدیث لا الحکم ولا المؤاخذة، ولا الأثر المناسب ولا جمیع الآثار، بل المرفوع هو نفس الفعل فی عالم الاعتبار، وهو کنایة عن عدم حرمته، وإذا ارتفعت الحرمة ارتفعت جمیع آثارها، وحینئذٍ لا تصل النوبة إلی ما ذکره الأعلام واختلفت فیه الآراء من أنّ المقدّر فی الحدیث ماذا؟ إذ لا حاجة إلی التقدیر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حدیث الرفع للأحکام الوضعیّة وعدمه، مثلًا إذا تحقّق بیع عن إکراه، فهل یکون نافذاً شرعاً أو لا؟ وقد ذکر لشموله لها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الرفع، إمّا بناءً علی وجود تقدیر فی الحدیث، فلأنّ المقدّر هو جمیع الآثار، وإمّا بناءً علی ما اخترناه من کون الرفع کنایة عن رفع الحکم الجزئی، وهو فی مثل المقام عبارة عن نفوذ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صفوان بن یحیی وأحمد بن محمّد بن أبی نصر عن أبی الحسن علیه السلام فی الرجل یستکره علی الیمین فیحلف بالطلاق والعتاق وصدقة ما یملک أیلزمه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وما لم یطیقوا وما أخطأوا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إشکال فی أنّ هذه الروایة تشیر إلی حدیث الرفع، وحینئذٍ إذا کانت إحدی فقراته شاملة للأحکام الوضعیّة تکون سائر الفقرات أیضاً شاملة لها بمقتضی وحدة السیاق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بهذا الحدیث لإثبات کون المرفوع بحدیث الرفع جمیع الآثار حتّی الوضعیّة ضعیف؛ لأنّ الحلف بالطلاق والعتاق وصدقة ما یملک باطل</w:t>
      </w:r>
    </w:p>
    <w:p>
      <w:pPr>
        <w:pStyle w:val="BookText"/>
        <w:rPr/>
      </w:pPr>
      <w:r>
        <w:rPr>
          <w:rFonts w:ascii="IRNazanin" w:hAnsi="IRNazanin" w:eastAsia="IRNazanin"/>
          <w:color w:val="111111"/>
          <w:sz w:val="28"/>
          <w:sz w:val="28"/>
          <w:szCs w:val="28"/>
          <w:rtl w:val="true"/>
          <w:lang w:bidi="fa-IR"/>
        </w:rPr>
        <w:t>عندنا من الأساس حتّی مع الاختیار فکیف مع الإکراه، فمقتضی القاعدة أن یبیّن الإمام علیه السلام بطلانه مطلقاً ولم یفعل، فیکون الجواب حینئذٍ مبنیاً علی التقیّة، فکأنّ الإمام علیه السلام لم یتمکّن من إظهار الحقّ وهو بطلان الحلف بتلک الامور مطلقاً ولو مع الاختیار، فاقتصر علی بیان بطلانه فی مورد السؤال فقط، وهو الإکراه من باب التقیّة لا من باب أنّ الإکراه رافع للأثر الوضعی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کذلک أی الإمام کان فی مقام التقیّة، لکنّه غایة ما یقتضیه کون تطبیق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عموم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مورد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الحلف بالطلاق والعتاق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لکون المورد باطلًا من الأساس وإن لم یکن عن إکراه، ولکن لا دلیل علی کون أصل الکبری من باب التقیّة، إذن فالحدیث تامّ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رحمه الله من أنّ مقتضی کون الحدیث فی مقام الامتنان علی امّة النبی صلی الله علیه و آله شموله للأحکام الوضعیّة، لأنّ الأحکام التکلیفیّة کانت مرفوعة فی الامم السابقة أیضاً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بعض الأخبار اختصاص رفع المؤاخذة فی الأحکام التکلیفیّة أیضاً بامّة النبی صلی الله علیه و آله، منها ما رواه عمرو بن مروان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خطؤها ونسیانها وما اکرهوا علیه وما لم یطیقوا، وذلک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إِنْ نَسِینَا أَوْ أَخْطَأْنَا رَبَّنَا وَلَا تَحْمِلْ عَلَیْنَا إِصْراً کَمَا حَمَلْتَهُ عَلَی الَّذِینَ مِنْ قَبْلِنَا 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من هذا الحدیث والآیات الّتی استشهد بها فیه اختصاص رفع</w:t>
      </w:r>
    </w:p>
    <w:p>
      <w:pPr>
        <w:pStyle w:val="BookText"/>
        <w:rPr/>
      </w:pPr>
      <w:r>
        <w:rPr>
          <w:rFonts w:ascii="IRNazanin" w:hAnsi="IRNazanin" w:eastAsia="IRNazanin"/>
          <w:color w:val="111111"/>
          <w:sz w:val="28"/>
          <w:sz w:val="28"/>
          <w:szCs w:val="28"/>
          <w:rtl w:val="true"/>
          <w:lang w:bidi="fa-IR"/>
        </w:rPr>
        <w:t>المؤاخذة أیضاً بهذه الامّة، والأولی التمسّک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حاکم بقبح المؤاخذة علی الخطأ والإکراه والاضطرار والنسیان وغیرها ممّا هو خارج عن طاقة الإنسان من دون فرق بین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الجواب عن هذا الإشکال أنّ الخطأ والنسیان مثلًا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یکون الإنسان قادراً علی الاجتناب عنه بوجه من الوجوه، فهذا القسم مرفوع عن جمیع الامم، وقسم آخر یمکن التحفّظ عنه بالمراقبة وإن کان ذات مشقّة، فهذا القسم لا تکون المؤاخذة علیه قبیحاً، ورفع المؤاخذة عنه امتناناً مختصّ بهذه الامّة، وهو المراد فی حدیث الرفع کما یدلّ علیه نفس طلب النبی صلی الله علیه و آله إیّاه فی لیلة المعراج،</w:t>
      </w:r>
      <w:r>
        <w:rPr>
          <w:rStyle w:val="FootnoteAnchor"/>
          <w:rtl w:val="true"/>
        </w:rPr>
        <w:footnoteReference w:id="234"/>
      </w:r>
      <w:r>
        <w:rPr>
          <w:rFonts w:ascii="IRNazanin" w:hAnsi="IRNazanin" w:eastAsia="IRNazanin"/>
          <w:color w:val="111111"/>
          <w:sz w:val="28"/>
          <w:sz w:val="28"/>
          <w:szCs w:val="28"/>
          <w:rtl w:val="true"/>
          <w:lang w:bidi="fa-IR"/>
        </w:rPr>
        <w:t>وإلّا کان طلبه صلی الله علیه و آله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حیث ورد فی مقام الامتنان فلا یجری فیما لم یکن فی رفعه منّة علی المکلّف کما إذا اضطرّ إنسان إلی بیع داره لإنجاء ولده المریض، فعدم صحّة بیعه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ممّا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منّة علیه بل هو خلاف الامتنان وهذا واضح، وإنّما الکلام فی منشأ هذا الاستظهار، فمن أیّ شی‌ء یستفاد أنّ الحدیث فی مقام الامتنان؟</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التعبیر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 فی الحدیث، حیث لا إشکال فی ظهوره فی الامتنان عرفاً، لکن یمکن أن یستفاد ذلک أیضاً من نفس التعبیر بالرفع فإنّ الرفع یستعمل فی الموارد الّتی رفع فیها ثقل وکلفة عن المکلّف لا ما إذا وضع ثقل علی عاتقه، ولا یخفی أنّ بطلان المعاملة فی المثال المذکور ممّا یوجب وضع ثقل علی أثقاله لا رفعه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الخطأ والنسیان وسائر العناوین الواردة فی الحدیث الشریف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علیها بما هی هی، أی یترتّب علی العناوین الثانویة کعنوان الخطأ والنسیان،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متعلّقاتها الخارجیّة</w:t>
      </w:r>
      <w:bookmarkStart w:id="405" w:name="pg16922_187687"/>
    </w:p>
    <w:p>
      <w:pPr>
        <w:pStyle w:val="BookText"/>
        <w:rPr/>
      </w:pPr>
      <w:bookmarkEnd w:id="405"/>
      <w:r>
        <w:rPr>
          <w:rFonts w:ascii="IRNazanin" w:hAnsi="IRNazanin" w:eastAsia="IRNazanin"/>
          <w:color w:val="111111"/>
          <w:sz w:val="28"/>
          <w:sz w:val="28"/>
          <w:szCs w:val="28"/>
          <w:rtl w:val="true"/>
          <w:lang w:bidi="fa-IR"/>
        </w:rPr>
        <w:t>أی علی العناوین الأوّلیة، فإنّ الآثار المترتّبة علی نسیان السورة مثلًا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یترتّب علی نفس ترک السورة کبطلان الصلاة، وقسم یترتّب علیه بما أنّها متعلّقة للنسیان کسجدتی السهو، والمقصود من الآثار المرفوعة بحدیث الرفع إنّما هو القسم الأوّل لا الثانی؛ لأنّ المفروض کون السهو کالسبب لتشریع سجدتی السهو فکیف یکون رافعاً لهما؟</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النسبة بین هذا الحدیث وأدلّة الأخباریین علی وجوب الاحتیاط فی الشبهات التحریمیّة، نسبة التعارض لا الحکومة؛ لأنّ تلک الأدلّة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بزعم الأخباری علی وجوب الاحتیاط وعدم ارتفاع الإلزام المجهول المحتمل، بینما حدیث الرفع یدلّ علی رفعه وعدم وجوب الاحتیاط، فهو حینئذٍ یعارض تلک الأدلّة حتّی بعد فرض تمامیتها، فتصل النوبة إلی محاولة المرجّحات وأنّه أیّ الدلیلین أقوی؟ خلافاً لما مرّ من الآیات إذ إنّ أدلّة الأخباری کانت واردة علیها کما ذکرنا، ولکن سیأتی أنّها محمولة علی حسن الاحتیاط استحباباً</w:t>
      </w:r>
      <w:r>
        <w:rPr>
          <w:rFonts w:eastAsia="IRNazanin" w:cs="IRNazanin"/>
          <w:color w:val="111111"/>
          <w:sz w:val="28"/>
          <w:szCs w:val="28"/>
          <w:rtl w:val="true"/>
          <w:lang w:bidi="fa-IR"/>
        </w:rPr>
        <w:t>.</w:t>
      </w:r>
    </w:p>
    <w:p>
      <w:pPr>
        <w:pStyle w:val="Heading6"/>
        <w:numPr>
          <w:ilvl w:val="5"/>
          <w:numId w:val="1"/>
        </w:numPr>
        <w:rPr/>
      </w:pPr>
      <w:bookmarkStart w:id="406" w:name="__RefHeading___Toc141885_3244359995"/>
      <w:bookmarkStart w:id="407" w:name="_Toc156"/>
      <w:bookmarkEnd w:id="406"/>
      <w:r>
        <w:rPr/>
        <w:t>2</w:t>
      </w:r>
      <w:r>
        <w:rPr>
          <w:rtl w:val="true"/>
        </w:rPr>
        <w:t xml:space="preserve">. </w:t>
      </w:r>
      <w:r>
        <w:rPr>
          <w:rtl w:val="true"/>
        </w:rPr>
        <w:t>حدیث الحجب</w:t>
      </w:r>
      <w:bookmarkEnd w:id="407"/>
    </w:p>
    <w:p>
      <w:pPr>
        <w:pStyle w:val="BookText"/>
        <w:rPr/>
      </w:pPr>
      <w:r>
        <w:rPr>
          <w:rFonts w:ascii="IRNazanin" w:hAnsi="IRNazanin" w:eastAsia="IRNazanin"/>
          <w:color w:val="111111"/>
          <w:sz w:val="28"/>
          <w:sz w:val="28"/>
          <w:szCs w:val="28"/>
          <w:rtl w:val="true"/>
          <w:lang w:bidi="fa-IR"/>
        </w:rPr>
        <w:t>وهو ما رواه أبو الحسن زکریا بن یحیی،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مع تمامیّته سنداً لا یدلّ علی البراءة؛ لأنّ الاستدلال به یتمّ اذا ثبت أنّ الإلزام المجهول ممّا حجب اللَّه علمه عن العباد فیکون موضوعاً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معلوم لوجهین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أسند الحجب إلی اللَّه تعالی، وهو حینئذٍ ظاهر فیما سکت اللَّه عنه ولم یأمر نبیّه بالإبلاغ، لا ما بیّنه واختفی عنهم بعروض الحوادث الذی هو</w:t>
      </w:r>
      <w:bookmarkStart w:id="408" w:name="pg16922_187688"/>
    </w:p>
    <w:p>
      <w:pPr>
        <w:pStyle w:val="BookText"/>
        <w:rPr/>
      </w:pPr>
      <w:bookmarkEnd w:id="408"/>
      <w:r>
        <w:rPr>
          <w:rFonts w:ascii="IRNazanin" w:hAnsi="IRNazanin" w:eastAsia="IRNazanin"/>
          <w:color w:val="111111"/>
          <w:sz w:val="28"/>
          <w:sz w:val="28"/>
          <w:szCs w:val="28"/>
          <w:rtl w:val="true"/>
          <w:lang w:bidi="fa-IR"/>
        </w:rPr>
        <w:t>المبحوث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العموم المجموعی، أی جمیع المکلّفین والحجب عن العباد صادق فی الموارد الّتی یکون الحکم محجوباً عن مجموع المکلّفین لا عن بعضهم دون بعض، ومحلّ النزاع فیما نحن فیه من النوع الثانی کما لا یخفی</w:t>
      </w:r>
      <w:r>
        <w:rPr>
          <w:rFonts w:eastAsia="IRNazanin" w:cs="IRNazanin"/>
          <w:color w:val="111111"/>
          <w:sz w:val="28"/>
          <w:szCs w:val="28"/>
          <w:rtl w:val="true"/>
          <w:lang w:bidi="fa-IR"/>
        </w:rPr>
        <w:t>.</w:t>
      </w:r>
    </w:p>
    <w:p>
      <w:pPr>
        <w:pStyle w:val="Heading6"/>
        <w:numPr>
          <w:ilvl w:val="5"/>
          <w:numId w:val="1"/>
        </w:numPr>
        <w:rPr/>
      </w:pPr>
      <w:bookmarkStart w:id="409" w:name="__RefHeading___Toc141887_3244359995"/>
      <w:bookmarkStart w:id="410" w:name="_Toc157"/>
      <w:bookmarkEnd w:id="409"/>
      <w:r>
        <w:rPr/>
        <w:t>3</w:t>
      </w:r>
      <w:r>
        <w:rPr>
          <w:rtl w:val="true"/>
        </w:rPr>
        <w:t xml:space="preserve">. </w:t>
      </w:r>
      <w:r>
        <w:rPr>
          <w:rtl w:val="true"/>
        </w:rPr>
        <w:t>حدیث الحلّ</w:t>
      </w:r>
      <w:bookmarkEnd w:id="410"/>
    </w:p>
    <w:p>
      <w:pPr>
        <w:pStyle w:val="BookText"/>
        <w:rPr/>
      </w:pPr>
      <w:r>
        <w:rPr>
          <w:rFonts w:ascii="IRNazanin" w:hAnsi="IRNazanin" w:eastAsia="IRNazanin"/>
          <w:color w:val="111111"/>
          <w:sz w:val="28"/>
          <w:sz w:val="28"/>
          <w:szCs w:val="28"/>
          <w:rtl w:val="true"/>
          <w:lang w:bidi="fa-IR"/>
        </w:rPr>
        <w:t>وهو ما روی بسند معتبر عن عبداللَّه بن سنان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أبداً حتّی تعرف الحرام منه بعینه فتدعه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ونظیره ما رواه مسعدة بن صدقة عن أبی عبداللَّه علیه السلام قال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نفسک، وذلک مثل الثوب یکون علیک قد اشتریته وهو سرقة، والمملوک عندک لعلّه حرّ قد باع نفسه، أو خدع فبیع قهراً أو امرأة تحتک وهی اختک أو رضیعتک 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رواه عبداللَّه بن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طعام یعجبنی ثمّ أعطی الغلام درهماً فقال یاغلام ابتع لنا جبناً، ثمّ دعا بالغداء فتغدّینا معه فأتی بالجبن فأکل وأکلنا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ترنی آکله؟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أُحبّ أن أسمعه منک فقال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ساخبرک عن الجبن وغیره، کلّ ما کان فیه حلال وحرام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411" w:name="pg16922_187689"/>
    </w:p>
    <w:p>
      <w:pPr>
        <w:pStyle w:val="BookText"/>
        <w:rPr/>
      </w:pPr>
      <w:bookmarkEnd w:id="411"/>
      <w:r>
        <w:rPr>
          <w:rFonts w:ascii="IRNazanin" w:hAnsi="IRNazanin" w:eastAsia="IRNazanin"/>
          <w:color w:val="111111"/>
          <w:sz w:val="28"/>
          <w:sz w:val="28"/>
          <w:szCs w:val="28"/>
          <w:rtl w:val="true"/>
          <w:lang w:bidi="fa-IR"/>
        </w:rPr>
        <w:t>لا إشکال فی أنّ روایة عبداللَّه بن سنان ظاهرة فی خصوص الشبهات الموضوعیّة لمکان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إنّها تتصوّر فی الموضوعات کالمائع الذی بعض أفراده خمر وبعضها الآخر غیر خمر فاشتبه الخمر فیه بغیر الخمر، لا فی الأحکام، فلا معنی لأن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شرب التتن 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فیها حینئذٍ من تقدیر کلمة الاحتمال، أی فیه احتمال الحرمة واحتمال الحلّیة، وهو تکلّف وخلاف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الشی‌ء الخارجی والموضوع الخارجی المشکوک، أی متعلّق الشی‌ء إنّما هو الموضوع الخارجی لا الحکم، بینما متعلّق الشکّ فی مثل شرب التتن إنّما هو حکم الشرب لا نفس الشرب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سوق الروایات الثلاثة لبیان الحلّیة فی الشبهة الموضوعیّة، وذلک لوجود قرائن عدیدة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الأمثلة الواردة فی روایة مسعدة فإنّ جمیعها من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مورد بعضها الجبن المشکوک حلّیته من ناحیة الإنفحّة الّتی تعقد اللبن جبناً؛ حیث إنّ وجه تردید الراوی وتأمّله فی أکل الجبن هو احتمال وجود المیتة فیه لأنّ الإنفحّة ربما کانت تؤخذ فی ذلک العصر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یستعمل غالباً فی الشبهات الموضوعیّة لتشخیص المصداق وتعیینه،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تستعمل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أیضاً ظاهرة فی الشبهة الموضوعیّة</w:t>
      </w:r>
      <w:r>
        <w:rPr>
          <w:rFonts w:eastAsia="IRNazanin" w:cs="IRNazanin"/>
          <w:color w:val="111111"/>
          <w:sz w:val="28"/>
          <w:szCs w:val="28"/>
          <w:rtl w:val="true"/>
          <w:lang w:bidi="fa-IR"/>
        </w:rPr>
        <w:t>.</w:t>
      </w:r>
    </w:p>
    <w:p>
      <w:pPr>
        <w:pStyle w:val="Heading6"/>
        <w:numPr>
          <w:ilvl w:val="5"/>
          <w:numId w:val="1"/>
        </w:numPr>
        <w:rPr/>
      </w:pPr>
      <w:bookmarkStart w:id="412" w:name="__RefHeading___Toc141889_3244359995"/>
      <w:bookmarkStart w:id="413" w:name="_Toc158"/>
      <w:bookmarkEnd w:id="412"/>
      <w:r>
        <w:rPr/>
        <w:t>4</w:t>
      </w:r>
      <w:r>
        <w:rPr>
          <w:rtl w:val="true"/>
        </w:rPr>
        <w:t xml:space="preserve">. </w:t>
      </w:r>
      <w:r>
        <w:rPr>
          <w:rtl w:val="true"/>
        </w:rPr>
        <w:t>حدیث السعة</w:t>
      </w:r>
      <w:bookmarkEnd w:id="413"/>
    </w:p>
    <w:p>
      <w:pPr>
        <w:pStyle w:val="BookText"/>
        <w:rPr/>
      </w:pPr>
      <w:r>
        <w:rPr>
          <w:rFonts w:ascii="IRNazanin" w:hAnsi="IRNazanin" w:eastAsia="IRNazanin"/>
          <w:color w:val="111111"/>
          <w:sz w:val="28"/>
          <w:sz w:val="28"/>
          <w:szCs w:val="28"/>
          <w:rtl w:val="true"/>
          <w:lang w:bidi="fa-IR"/>
        </w:rPr>
        <w:t>والمعروف منه فی کلمات الأعلام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ولکنّا لم</w:t>
      </w:r>
    </w:p>
    <w:p>
      <w:pPr>
        <w:pStyle w:val="BookText"/>
        <w:rPr/>
      </w:pPr>
      <w:r>
        <w:rPr>
          <w:rFonts w:ascii="IRNazanin" w:hAnsi="IRNazanin" w:eastAsia="IRNazanin"/>
          <w:color w:val="111111"/>
          <w:sz w:val="28"/>
          <w:sz w:val="28"/>
          <w:szCs w:val="28"/>
          <w:rtl w:val="true"/>
          <w:lang w:bidi="fa-IR"/>
        </w:rPr>
        <w:t>نظفر به بهذا التعبیر فی الجوامع الروائیة بل الوارد فیها تعبیران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سئل عن سفرة وجدت فی الطریق مطروحة کثیر لحمها وخبزها وجبنها وبیضها وفیها سکّین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لا یدری سفرة مسلم أو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من الواضح أنّه لا دلالة لها علی المطلوب لأنّها قضیّة خارجیّة، والحکم فیها أیضاً خاصّ بمورده وأمثاله، مضافاً إلی ما فی السند من جهة النوفلی والسکونی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هذا الحدیث قضیّة شخصیة خارجیة وردت فی سفرة مطروحة فی الطریق، والمشکوک فیها للسائل إنّما هو طهارة السفرة أو حلّیة لحمها فلا یمکن التعدّی عنها إلی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التعبیر الوارد فیها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یکون علی نهج کبری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عوالی اللئالی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ناحیة السند مرسل، وأمّا الدلالة فیحتمل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موصولة قد اضیفت إلیها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شی‌ء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بظاهرها عامّة تعمّ الشبهات الموضوعیّة والحکمیّة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مصدریّة ظرفیة متعلّقة بالسعة، 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داموا غیر عالمین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الوجهین یتمّ المطلوب لظهورها فی کون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w:t>
      </w:r>
      <w:bookmarkStart w:id="414" w:name="pg16922_187691"/>
    </w:p>
    <w:p>
      <w:pPr>
        <w:pStyle w:val="BookText"/>
        <w:rPr/>
      </w:pPr>
      <w:bookmarkEnd w:id="414"/>
      <w:r>
        <w:rPr>
          <w:rFonts w:ascii="IRNazanin" w:hAnsi="IRNazanin" w:eastAsia="IRNazanin"/>
          <w:color w:val="111111"/>
          <w:sz w:val="28"/>
          <w:sz w:val="28"/>
          <w:szCs w:val="28"/>
          <w:rtl w:val="true"/>
          <w:lang w:bidi="fa-IR"/>
        </w:rPr>
        <w:t>إلّا أنّها لا تصلح للاستدلال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النسبة بین هذه الروایة وأدلّة الأخباریین نسبة التعارض لا الورود؛ لأنّها تدلّ علی کون الجهل عذراً وتلک الأدلة تدلّ بزعم الأخباری علی عدمه، فإنّ هذا الحدیث یثبت السعة ما لم یعلم الواقع المجهول من الوجوب أو الحرمة، ودلیل الاحتیاط یثبت الضیق مع کون الواقع مجهولًا فیتعارضان</w:t>
      </w:r>
      <w:r>
        <w:rPr>
          <w:rFonts w:eastAsia="IRNazanin" w:cs="IRNazanin"/>
          <w:color w:val="111111"/>
          <w:sz w:val="28"/>
          <w:szCs w:val="28"/>
          <w:rtl w:val="true"/>
          <w:lang w:bidi="fa-IR"/>
        </w:rPr>
        <w:t>.</w:t>
      </w:r>
    </w:p>
    <w:p>
      <w:pPr>
        <w:pStyle w:val="Heading6"/>
        <w:numPr>
          <w:ilvl w:val="5"/>
          <w:numId w:val="1"/>
        </w:numPr>
        <w:rPr/>
      </w:pPr>
      <w:bookmarkStart w:id="415" w:name="__RefHeading___Toc141891_3244359995"/>
      <w:bookmarkStart w:id="416" w:name="_Toc159"/>
      <w:bookmarkEnd w:id="415"/>
      <w:r>
        <w:rPr/>
        <w:t>5</w:t>
      </w:r>
      <w:r>
        <w:rPr>
          <w:rtl w:val="true"/>
        </w:rPr>
        <w:t xml:space="preserve">. </w:t>
      </w:r>
      <w:r>
        <w:rPr>
          <w:rtl w:val="true"/>
        </w:rPr>
        <w:t>حدیث الإطلاق</w:t>
      </w:r>
      <w:bookmarkEnd w:id="416"/>
    </w:p>
    <w:p>
      <w:pPr>
        <w:pStyle w:val="BookText"/>
        <w:rPr/>
      </w:pPr>
      <w:r>
        <w:rPr>
          <w:rFonts w:ascii="IRNazanin" w:hAnsi="IRNazanin" w:eastAsia="IRNazanin"/>
          <w:color w:val="111111"/>
          <w:sz w:val="28"/>
          <w:sz w:val="28"/>
          <w:szCs w:val="28"/>
          <w:rtl w:val="true"/>
          <w:lang w:bidi="fa-IR"/>
        </w:rPr>
        <w:t>وهو ما رواه الصدوق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من حیث السند مرسل، وأمّا من جهة الدلالة فقال الشیخ الأعظم الأنصاری رحمه الله أنّه أظهر من الکلّ فی الدلالة علی البراءة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واستشکل فیها المحقّق الخراسانی رحمه الله بأنّ دلالته تتوقّف علی عدم صدق الورود إلّا بعد العلم والوصول مع أنّه یصدق علی الصدور المقابل للسکوت أیضاً، فمعنی الحدیث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لم یصدر فیه نهی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سکوت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حلال، ولا کلفة علی العباد من جهته، فی مقابل ما إذا صدر النهی عنه واقعاً فلیس حلالًا وإن لم یعلم 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الورود علی صدور النهی عن الشارع وإن اختفی علینا لبعض الأسباب والدواعی، ولکن الأصل عدم صدوره، فإنّه مسبوق بالعدم فیستصحب عدمه فیتمّ الاستدلال بضمیمة هذا الأصل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حینئذٍ وإن کان یتمّ بضمیمة الأصل المزبور، ویحکم بإباحة</w:t>
      </w:r>
      <w:bookmarkStart w:id="417" w:name="pg16922_187692"/>
    </w:p>
    <w:p>
      <w:pPr>
        <w:pStyle w:val="BookText"/>
        <w:rPr/>
      </w:pPr>
      <w:bookmarkEnd w:id="417"/>
      <w:r>
        <w:rPr>
          <w:rFonts w:ascii="IRNazanin" w:hAnsi="IRNazanin" w:eastAsia="IRNazanin"/>
          <w:color w:val="111111"/>
          <w:sz w:val="28"/>
          <w:sz w:val="28"/>
          <w:szCs w:val="28"/>
          <w:rtl w:val="true"/>
          <w:lang w:bidi="fa-IR"/>
        </w:rPr>
        <w:t>ما شکّ فی حرمته، لکن لا بعنوان أنّه مشکوک الحرمة ومحتمل النهی بل بعنوان ما لم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الحدیث صالح للاستدلال به ولو بضمیمة الاستصحاب، فإنّ المقصود إثبات جواز ارتکاب مشکوک الحرمة بأیّ دلیل کان فإنّه الذی یفید الفقیه فی أبواب الفقه</w:t>
      </w:r>
      <w:r>
        <w:rPr>
          <w:rFonts w:eastAsia="IRNazanin" w:cs="IRNazanin"/>
          <w:color w:val="111111"/>
          <w:sz w:val="28"/>
          <w:szCs w:val="28"/>
          <w:rtl w:val="true"/>
          <w:lang w:bidi="fa-IR"/>
        </w:rPr>
        <w:t>.</w:t>
      </w:r>
    </w:p>
    <w:p>
      <w:pPr>
        <w:pStyle w:val="Heading5"/>
        <w:numPr>
          <w:ilvl w:val="4"/>
          <w:numId w:val="1"/>
        </w:numPr>
        <w:rPr/>
      </w:pPr>
      <w:bookmarkStart w:id="418" w:name="__RefHeading___Toc141893_3244359995"/>
      <w:bookmarkStart w:id="419" w:name="_Toc160"/>
      <w:bookmarkEnd w:id="418"/>
      <w:r>
        <w:rPr>
          <w:rtl w:val="true"/>
        </w:rPr>
        <w:t>الثالث</w:t>
      </w:r>
      <w:r>
        <w:rPr>
          <w:rtl w:val="true"/>
        </w:rPr>
        <w:t xml:space="preserve">: </w:t>
      </w:r>
      <w:r>
        <w:rPr>
          <w:rtl w:val="true"/>
        </w:rPr>
        <w:t>دلیل العقل</w:t>
      </w:r>
      <w:bookmarkEnd w:id="419"/>
    </w:p>
    <w:p>
      <w:pPr>
        <w:pStyle w:val="BookText"/>
        <w:rPr/>
      </w:pPr>
      <w:r>
        <w:rPr>
          <w:rFonts w:ascii="Amiri" w:hAnsi="Amiri" w:eastAsia="Amiri" w:cs="Amiri"/>
          <w:color w:val="111111"/>
          <w:sz w:val="28"/>
          <w:sz w:val="28"/>
          <w:szCs w:val="28"/>
          <w:rtl w:val="true"/>
          <w:lang w:bidi="ar-SA"/>
        </w:rPr>
        <w:t>و هو عبارة عن 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بین الاصولیین أنّ قاعدة قبح العقاب بلا بیان والمؤاخذة بلا برهان من المستقلّات العقلیّة بعد الفحص والیأس عن الدلیل، بل قال شیخنا العلّامة الحائری رحمه الله فی درره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قاعدة مسلّمة عند العدلیة لا شبهة لأحد فیها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التشکیک فی هذه القاعدة بوصف أنّها قاعدة عقلیّة محضة بعد ذکر مقدّمة فی ملاک وجوب إطاعة اللَّه وقبح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 الملاک فی وجوب الإطاعة إمّا أن یکون وجوب شکر المنعم فتجب طاعته تبارک وتعالی بالإطلاق من باب أنّها من مصادیق شکر المنعم الحقیقی، أو یکون الملاک الحکمة فإنّ حکمة الباری تعالی تقتضی وجود مصلحة فی أوامره ومفسدة فی نواهیه، فیحکم العقل بوجوب الإطاعة عن أوامره ونواهیه، أو یکون الملاک المالکیّة والمولویّة فالعقل یحکم بأنّ ترک الطاعة بالنسبة إلی الموالی العرفیّة فضلًا عن المولی الحقیقی ظلم قبیح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النقاش فیه بأنّ مردّه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أی وجوب الإحسان فی مقابل الإحسان، وهو لا یتصوّر بالنسبة إلی</w:t>
      </w:r>
    </w:p>
    <w:p>
      <w:pPr>
        <w:pStyle w:val="BookText"/>
        <w:rPr/>
      </w:pPr>
      <w:r>
        <w:rPr>
          <w:rFonts w:ascii="Amiri" w:hAnsi="Amiri" w:eastAsia="Amiri" w:cs="Amiri"/>
          <w:color w:val="111111"/>
          <w:sz w:val="28"/>
          <w:sz w:val="28"/>
          <w:szCs w:val="28"/>
          <w:rtl w:val="true"/>
          <w:lang w:bidi="ar-SA"/>
        </w:rPr>
        <w:t>الباری تعالی لأنّه یتوقّف علی وجود الفقر والحاجة، تعالی اللَّه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ولذلک أرجع علماء علم الکلام هذه القاعدة إلی قاعدة وجوب دفع الضرر ببیان أنّ عدم شکر المنعم قد یکون سبباً لسلب النعمة وحصول الضرر علی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تکون هذه القاعدة من المستقلّات العقلیّة ومن مصادیق قاعدة حسن العدل وقبح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فیناقش فیه بأنّ لازمه إرشادیة جمیع الأوامر والنواهی الشرعیّة کأوامر الطبیب ونواهیه، فیتوجّه إلی المکلّف العاصی نفس المفسدة الموجودة فی متعلّق النهی فحسب أو سلب المصلحة اللازمة فی الأوامر منه مع أنّا نقول بالمولویّة واستحقاق ثواب وعقاب اخرویّین یترتّبان علی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الصحیح فی وجوب الإطاعة وقبح المعصیة لرجوعه إلی قبح الظلم بمعناه الواسع وهو وضع الشی‌ء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ملاک وجوب طاعة اللَّه وقبح معصیته إنّما هو مولویته ومالکیته فللَّه تعالی حقّ الطاعة علی العبد لأنّه مولاه ومالک لجمیع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یقع البحث فی حدود هذا الحقّ ودائرته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حاکم علی أنّ قیمة أغراض المولی لیست أقلّ من قیمة أغراض العبد، فکما أنّه یهتمّ بأغراضه حتّی فی المحتملات والمشکوکات فیسلک فیها سبیل الاحتیاط، کذلک یجب علیه الاحتیاط فی طریق النیل إلی أغراض المولی المحتملة والمشکوکة، ففی صورة الشک وعدم البیان الذی هو محلّ النزاع فی المقام یحکم العقل بوجوب الاحتیاط وقبح المعصیة وحسن العقاب عکس ما هو المشهور من قبح العقاب بلا بیان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یحکم بقاعدة قبح العقاب بلا بیان بل یحکم بخلافه، نعم إنّها قاعدة عقلائیّة استقرّ علیها بناء العقلاء من أنّهم لا یأخذون العبید بالعقاب قبل البیان، والفرق بین الصورتین أنّه إذا کانت القاعدة عقلیّة فلا معنی لتحدیدها</w:t>
      </w:r>
    </w:p>
    <w:p>
      <w:pPr>
        <w:pStyle w:val="BookText"/>
        <w:rPr/>
      </w:pPr>
      <w:r>
        <w:rPr>
          <w:rFonts w:ascii="IRNazanin" w:hAnsi="IRNazanin" w:eastAsia="IRNazanin"/>
          <w:color w:val="111111"/>
          <w:sz w:val="28"/>
          <w:sz w:val="28"/>
          <w:szCs w:val="28"/>
          <w:rtl w:val="true"/>
          <w:lang w:bidi="fa-IR"/>
        </w:rPr>
        <w:t>والاستثناء منها بالنسبة إلی مورد دون مورد؛ لأنّ القاعدة العقلیّة لا استثناء فیها ولا تخصیص لها مادام الموضوع باقیاً بخلاف القاعدة العقلائیّة، فإنّه لابدّ من تعیین حدودها وقیودها، وهی فی المقام أربعة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المولی قادراً علی البیان وإلّا لو کان المولی غیر قادر علی بیان غرضه والعبد یعلم به أو یحتمله فلا یکون عند العقلاء مرخّصاً بالاعتذار بعدم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المورد من المسائل الهامّة الأساسیّة کما إذا دخل فی دار المولی من یحتمل أن یکون هلاک المولی بیده، فعلی العبد منعه بکلّ ما یقدر علیه وإن لم یصدر من المولی بیان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المورد من الموارد الّتی ممنوعها أقلّ من مجازها، وواجبها أقلّ من مباحها، وإلّا لو کان مشکوک الحرمة من الحیوانات البحریة مثلًا الّتی أکثرها حرام، فلعلّ بناء العقلاء لم یستقرّ علی البراءة فی أمثالها، فإنّ الظاهر أنّ بناء العقلاء نشأ من کون الواجبات والمحرّمات فی مقابل المباحات قلیلًا جدّاً فالمحتاج إلی البیان إنّما هو الواجبات والمحرّمات، ولو انعکس الأمر فی مورد وکانت محرّماته أکثر من مباحاته لم یکن لهم بناء علی البیان فیه، ولا أقلّ من الشکّ وعدم ثبوت بناء فی أمثال المقام، ومعه لا 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المسائل المبتلی بها، فلو کان الابتلاء نادراً فی مورد لکان الحکم باستقرار بنائهم علیه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إشکالًا معروفاً، وهو أنّ قاعدة قبح العقاب بلا بیان مورودة لقاعدة وجوب دفع الضرر، فیکفی فی البیان حکم العقل بوجوب دفع الضرر المحتمل، فإنّ الشکّ فی التکلیف یلازم الشکّ فی الضرر، والعقل یستقلّ بلزوم دفع الضرر المحتمل فهو بیان عقلی فیرتفع موضوع حکم العقل بقبح العقاب بلا بیان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بالضرر الذی هو موضوع القاعدة إمّا الضرر الدنیوی وإمّا</w:t>
      </w:r>
    </w:p>
    <w:p>
      <w:pPr>
        <w:pStyle w:val="BookText"/>
        <w:rPr/>
      </w:pPr>
      <w:r>
        <w:rPr>
          <w:rFonts w:ascii="IRNazanin" w:hAnsi="IRNazanin" w:eastAsia="IRNazanin"/>
          <w:color w:val="111111"/>
          <w:sz w:val="28"/>
          <w:sz w:val="28"/>
          <w:szCs w:val="28"/>
          <w:rtl w:val="true"/>
          <w:lang w:bidi="fa-IR"/>
        </w:rPr>
        <w:t>الضرر الاخروی، والمقصود بالضرر الاخروی إمّا العقاب الموعود من جانب الشارع جزاءً للأعمال، وإمّا الآثار الوضعیّة القهریّة للعمل الّتی یعبّر عنه بتجسّم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العقاب الاخروی بالمعنی الأوّل فلا موضوع لهذه القاعدة فی المقام؛ لأنّ احتمال التکلیف لا یلازم احتمال العقاب بل الملازمة إنّما هی ثابتة بین التکلیف الواصل واستحقاق العقوبة علی مخالفته، فتکون قاعدة قبح العقاب بلا بیان واردة علی قاعدة دفع الضرر عکس ما توهّمه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 الضرر العقاب الاخروی بالمعنی الثانی فاجیب عنه بأنّ هذه الآثار لیست مترتّبة علی نفس الأعمال بل إنّها تترتّب علی الإطاعة والعصیان لا غیر، والأفعال الطبیعیة الّتی لم توجب إطاعة أو معصیة وبعداً أو قرباً لا أثر لها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بالضرر، الضرر الدنیوی، فاجیب عنه أیضاً بأنّ الکبری والصغری کلتیهما ممنوعتان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کلّ ضرر ممّا یحکم العقل بلزوم دفعه بل هناک أضرار طفیفة یتحمّلها العقلاء لأجل أغراض دنیویة غیر ضروریّة وإن کان الضرر من المقطوع فضلًا عن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مناطات الأحکام دائماً هی الضرر، بل المصالح والمفاسد الّتی تکون مناطات الأحکام غالباً، لا تکون من سنخ الضرر، والذی یلازم احتمال الحرمة إنّما هو احتمال المفسدة لا احتمال الضرر، ولا ملازمة بین الضرر والمفسدة، بل ربّ مفسدة توجب المنفعة فضلًا عن الضرر کما فی أکل الربا، وربّ مصلحة توجب الضرر فضلًا عن المنفعة کما فی الإنفاق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الکبری والصغری کلتیهما تامّتان فی الجملة لا بالجملة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الأضرار الدنیویة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وغیر مهمّة، والعقل یحکم</w:t>
      </w:r>
      <w:bookmarkStart w:id="420" w:name="pg16922_187696"/>
    </w:p>
    <w:p>
      <w:pPr>
        <w:pStyle w:val="BookText"/>
        <w:rPr/>
      </w:pPr>
      <w:bookmarkEnd w:id="420"/>
      <w:r>
        <w:rPr>
          <w:rFonts w:ascii="IRNazanin" w:hAnsi="IRNazanin" w:eastAsia="IRNazanin"/>
          <w:color w:val="111111"/>
          <w:sz w:val="28"/>
          <w:sz w:val="28"/>
          <w:szCs w:val="28"/>
          <w:rtl w:val="true"/>
          <w:lang w:bidi="fa-IR"/>
        </w:rPr>
        <w:t>فیما إذا کان الضرر المحتمل مهمّاً بلزوم الدفع کضرر النفس أو العرض أو المال الکثیر فلا محالة یستکشف منه حکم شرعی مولوی بلزوم الاجتناب عنه بقاعدة الملازمة، ویصیر هذا بنفسه بیاناً یرفع موضوع قاعدة قبح العقاب بلا بیان وتکون قاعدة دفع الضرر المحتمل فی مثل هذا المورد واردة علی هذه القاعدة، ولکن لا تجری هذه القاعدة بالنسبة إلی الأضرار غیر المهمّة، فلا یثبت بها مراد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القول بکونها قاعدة عقلیّة، وأمّا بناءً علی ما اخترناه من کونها قاعدة عقلائیّة فالأمر أوضح لأنّ بناء العقلاء جارٍ علی عدم الاعتناء باحتمال الضرر إلّاأن یکون ضرراً هامّاً کما مرّ نظیره فی حکم العقل بناءً علی مبنی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 الملازمة بین المفسدة والضرر وبین المصلحة والمنفعة فی جمیع الموارد؛ لأنّ مثل الإنفاق فی سبیل اللَّه یوجب رفع العداوة والبغضاء ودفع الفوضی فی المجتمع الانسانی، وعدم الإنفاق وبالنتیجة وجود الفقر یوجب اختلال النظام وضیاع جمیع الأموال حتّی أموال الممتنع من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قد ورد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بخل الغنی بمعروفه باع الفقیر آخرته بدنیاه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ومن المعلوم أنّ من باع آخرته بدنیاه لا یمتنع عن أیّ جرم من السرقة وقتل النفوس وإضاعة الأموال وغیرها</w:t>
      </w:r>
      <w:r>
        <w:rPr>
          <w:rFonts w:eastAsia="IRNazanin" w:cs="IRNazanin"/>
          <w:color w:val="111111"/>
          <w:sz w:val="28"/>
          <w:szCs w:val="28"/>
          <w:rtl w:val="true"/>
          <w:lang w:bidi="fa-IR"/>
        </w:rPr>
        <w:t>.</w:t>
      </w:r>
    </w:p>
    <w:p>
      <w:pPr>
        <w:pStyle w:val="Heading5"/>
        <w:numPr>
          <w:ilvl w:val="4"/>
          <w:numId w:val="1"/>
        </w:numPr>
        <w:rPr/>
      </w:pPr>
      <w:bookmarkStart w:id="421" w:name="__RefHeading___Toc141895_3244359995"/>
      <w:bookmarkStart w:id="422" w:name="_Toc161"/>
      <w:bookmarkEnd w:id="421"/>
      <w:r>
        <w:rPr>
          <w:rtl w:val="true"/>
        </w:rPr>
        <w:t>الرابع</w:t>
      </w:r>
      <w:r>
        <w:rPr>
          <w:rtl w:val="true"/>
        </w:rPr>
        <w:t xml:space="preserve">: </w:t>
      </w:r>
      <w:r>
        <w:rPr>
          <w:rtl w:val="true"/>
        </w:rPr>
        <w:t>الإجماع</w:t>
      </w:r>
      <w:bookmarkEnd w:id="422"/>
    </w:p>
    <w:p>
      <w:pPr>
        <w:pStyle w:val="BookText"/>
        <w:rPr/>
      </w:pPr>
      <w:r>
        <w:rPr>
          <w:rFonts w:ascii="IRNazanin" w:hAnsi="IRNazanin" w:eastAsia="IRNazanin"/>
          <w:color w:val="111111"/>
          <w:sz w:val="28"/>
          <w:sz w:val="28"/>
          <w:szCs w:val="28"/>
          <w:rtl w:val="true"/>
          <w:lang w:bidi="fa-IR"/>
        </w:rPr>
        <w:t>ویمکن تقریره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القولی من العلماء کلّهم علی البراءة فی ما لم یرد فیه دلیل عامّ أو خاصّ علی تحریمه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تامّ ولکن لا ینفع فی مقابل دعوی الأخباریین فی الحکم</w:t>
      </w:r>
      <w:bookmarkStart w:id="423" w:name="pg16922_187697"/>
    </w:p>
    <w:p>
      <w:pPr>
        <w:pStyle w:val="BookText"/>
        <w:rPr/>
      </w:pPr>
      <w:bookmarkEnd w:id="423"/>
      <w:r>
        <w:rPr>
          <w:rFonts w:ascii="IRNazanin" w:hAnsi="IRNazanin" w:eastAsia="IRNazanin"/>
          <w:color w:val="111111"/>
          <w:sz w:val="28"/>
          <w:sz w:val="28"/>
          <w:szCs w:val="28"/>
          <w:rtl w:val="true"/>
          <w:lang w:bidi="fa-IR"/>
        </w:rPr>
        <w:t>بالاحتیاط بدلیل عامّ لو تمّ دلیلهم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القولی علی البراءة ما لم یرد دلیل خاصّ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غیر تامّ لأنّ المحدّثین یدّعون وجود دلیل عامّ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العملی علی البراءة حیث إنّ العلماء فی مقام العمل یطالبون بدلیل من مدّعی الحرمة، وهذا دلیل علی أنّ المرکوز فی أذهانهم أنّ الأصل هو البراءة ما لم یرد ما یدلّ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صحیح إذا کان المراد عدم ورود الدلیل الخاصّ والعامّ معاً وإلّا لو کان المقصود عدم ورود الدلیل الخاصّ فقط فیرد علیه ما اورد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الإشکال، أنّ الإجماع فی مثل المقام لیس بحجّة لقوّة احتمال استناد المجمعین إلی سائر الوجوه العقلیّة أو النقلیّة، فلا کاشفیّة له عن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أدلّة الاصولیین للبراءة فی الشبهات الحکمیّة التحریمیّة، وحاصل أکثرها عدم العقاب بلا بیان، ولذا لا موضوع لها فی صورة تمامیّة أدلّة الأخباریین، والتعبیر بالأکثر یکون فی مقابل بعض تلک الأدلّة من قبیل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أنّ المراد من مرجع الضمیر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الخاصّ؛ إذ معه لا حکومة لأدلّة الأخباریین علی هذا الدلیل وأمثاله، فالمهمّ حینئذٍ التعرّض لأدلّة الأخباریین والبحث حولها</w:t>
      </w:r>
      <w:r>
        <w:rPr>
          <w:rFonts w:eastAsia="IRNazanin" w:cs="IRNazanin"/>
          <w:color w:val="111111"/>
          <w:sz w:val="28"/>
          <w:szCs w:val="28"/>
          <w:rtl w:val="true"/>
          <w:lang w:bidi="fa-IR"/>
        </w:rPr>
        <w:t>.</w:t>
      </w:r>
    </w:p>
    <w:p>
      <w:pPr>
        <w:pStyle w:val="Heading4"/>
        <w:numPr>
          <w:ilvl w:val="3"/>
          <w:numId w:val="1"/>
        </w:numPr>
        <w:rPr/>
      </w:pPr>
      <w:bookmarkStart w:id="424" w:name="__RefHeading___Toc141897_3244359995"/>
      <w:bookmarkStart w:id="425" w:name="_Toc162"/>
      <w:bookmarkEnd w:id="424"/>
      <w:r>
        <w:rPr>
          <w:rtl w:val="true"/>
        </w:rPr>
        <w:t>أدلّة الأخباریین علی وجوب الاحتیاط</w:t>
      </w:r>
      <w:r>
        <w:rPr>
          <w:rtl w:val="true"/>
        </w:rPr>
        <w:t>:</w:t>
      </w:r>
      <w:bookmarkEnd w:id="425"/>
    </w:p>
    <w:p>
      <w:pPr>
        <w:pStyle w:val="Heading5"/>
        <w:numPr>
          <w:ilvl w:val="4"/>
          <w:numId w:val="1"/>
        </w:numPr>
        <w:rPr/>
      </w:pPr>
      <w:bookmarkStart w:id="426" w:name="__RefHeading___Toc141899_3244359995"/>
      <w:bookmarkStart w:id="427" w:name="_Toc163"/>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وقد استدلّ لهم بالأدلّة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 والعقل</w:t>
      </w:r>
      <w:r>
        <w:rPr>
          <w:rFonts w:eastAsia="IRNazanin" w:cs="IRNazanin"/>
          <w:color w:val="111111"/>
          <w:sz w:val="28"/>
          <w:szCs w:val="28"/>
          <w:rtl w:val="true"/>
          <w:lang w:bidi="fa-IR"/>
        </w:rPr>
        <w:t>.</w:t>
      </w:r>
    </w:p>
    <w:p>
      <w:pPr>
        <w:pStyle w:val="Heading5"/>
        <w:numPr>
          <w:ilvl w:val="4"/>
          <w:numId w:val="1"/>
        </w:numPr>
        <w:rPr/>
      </w:pPr>
      <w:bookmarkStart w:id="428" w:name="__RefHeading___Toc141901_3244359995"/>
      <w:bookmarkStart w:id="429" w:name="_Toc164"/>
      <w:bookmarkEnd w:id="428"/>
      <w:r>
        <w:rPr>
          <w:rtl w:val="true"/>
        </w:rPr>
        <w:t>الأوّل</w:t>
      </w:r>
      <w:r>
        <w:rPr>
          <w:rtl w:val="true"/>
        </w:rPr>
        <w:t xml:space="preserve">: </w:t>
      </w:r>
      <w:r>
        <w:rPr>
          <w:rtl w:val="true"/>
        </w:rPr>
        <w:t>الآیات</w:t>
      </w:r>
      <w:bookmarkEnd w:id="429"/>
    </w:p>
    <w:p>
      <w:pPr>
        <w:pStyle w:val="BookText"/>
        <w:rPr/>
      </w:pPr>
      <w:r>
        <w:rPr>
          <w:rFonts w:ascii="IRNazanin" w:hAnsi="IRNazanin" w:eastAsia="IRNazanin"/>
          <w:color w:val="111111"/>
          <w:sz w:val="28"/>
          <w:sz w:val="28"/>
          <w:szCs w:val="28"/>
          <w:rtl w:val="true"/>
          <w:lang w:bidi="fa-IR"/>
        </w:rPr>
        <w:t>وهی علی طوائف</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فیها بالتقوی وهی کثیرة، والأصرح 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وتقریب الاستدلال بهذه الطائفة أنّ الاحتیاط فی الشبهات مصداق من مصادیق التقوی، والتقوی واجب بظاهر هذه الآیات لأنّ الأمر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والتقوی اسم مصدر من الوقایة، وهی بمعنی الاجتناب والحذر عن کلّ ما یحذر منه </w:t>
      </w:r>
      <w:r>
        <w:rPr>
          <w:rStyle w:val="FootnoteAnchor"/>
          <w:rtl w:val="true"/>
        </w:rPr>
        <w:footnoteReference w:id="248"/>
      </w:r>
      <w:r>
        <w:rPr>
          <w:rFonts w:ascii="IRNazanin" w:hAnsi="IRNazanin" w:eastAsia="IRNazanin"/>
          <w:color w:val="111111"/>
          <w:sz w:val="28"/>
          <w:sz w:val="28"/>
          <w:szCs w:val="28"/>
          <w:rtl w:val="true"/>
          <w:lang w:bidi="fa-IR"/>
        </w:rPr>
        <w:t xml:space="preserve">، وإذا کان المفعول وجود الباری، فلابدّ من تقدیر فیها کما ذکره المفسّرون؛ لعدم کونه تعالی ممّن یحذر منه، وهذا بنفسه قرینة علی تقدیر شی‌ء نحو عصیان اللَّه أو عذاب اللَّه أو حسابه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الاستدلال بالطائفة المزبورة أنّه یمکن النقاش فی صغری کون الاحتیاط فی الشبهات من مصادیق التقوی الواجبة، فإنّها عبارة عن الإتیان بالواجبات والاجتناب عن المحرّمات، وأمّا ترک الشبهات فهو مرتبة عالیة من التقوی ولا دلیل علی وجوبها بجمیع مراتبها کما أنّ الاجتناب عن المکروهات أیضاً من مراتبه وهو غیر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النهی عن القول بغیر علم،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تَقُولُوا عَلَی اللَّه مَا لَاتَعْلَمُونَ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أنّ الحکم بترخیص الشارع لمحتمل الحرمة افتراء وقول علیه بغیر علم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محتمل الحرمة حکم ظاهری ثابت بأدلّة قطعیّة، فلیس هو من القول بغیر علم، بل إنّه صادق فی الحکم بوجوب الاحتیاط لعدم دلیل علیه</w:t>
      </w:r>
      <w:r>
        <w:rPr>
          <w:rFonts w:eastAsia="IRNazanin" w:cs="IRNazanin"/>
          <w:color w:val="111111"/>
          <w:sz w:val="28"/>
          <w:szCs w:val="28"/>
          <w:rtl w:val="true"/>
          <w:lang w:bidi="fa-IR"/>
        </w:rPr>
        <w:t>.</w:t>
      </w:r>
      <w:bookmarkStart w:id="430" w:name="pg16922_187699"/>
    </w:p>
    <w:p>
      <w:pPr>
        <w:pStyle w:val="BookText"/>
        <w:rPr/>
      </w:pPr>
      <w:bookmarkEnd w:id="430"/>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النهی عن الإلقاء فی التهلکة،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بتقریب أنّ الإقدام فی الشبهات مصداق من مصادیق الإلقاء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غیر تامّ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فلأنّ کون ارتکاب المشتبهات من مصادیق الإلقاء فی التهلکة أوّل الدعوی ومصادرة بالمطلوب لعدم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فلأنّ النهی الوارد فی هذه الآیة یکون من قبیل النواهی الواردة فی باب الإطاعة لأنّ التهلکة عبارة عن العقاب الاخروی الناشئ من العصیان، والأوامر والنواهی الواردة فی باب الإطاعة إرشادیة وإلّا یلزم التسلسل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لهذه الآیة علی الحرمة، هذا إذا کان المراد من التهلکة ما ذکرنا من العقاب الاخروی، وأمّا إذا کان بمعنی الهلاکة الدنیویة فلا ربط لها بالمقام</w:t>
      </w:r>
      <w:r>
        <w:rPr>
          <w:rFonts w:eastAsia="IRNazanin" w:cs="IRNazanin"/>
          <w:color w:val="111111"/>
          <w:sz w:val="28"/>
          <w:szCs w:val="28"/>
          <w:rtl w:val="true"/>
          <w:lang w:bidi="fa-IR"/>
        </w:rPr>
        <w:t>.</w:t>
      </w:r>
    </w:p>
    <w:p>
      <w:pPr>
        <w:pStyle w:val="Heading5"/>
        <w:numPr>
          <w:ilvl w:val="4"/>
          <w:numId w:val="1"/>
        </w:numPr>
        <w:rPr/>
      </w:pPr>
      <w:bookmarkStart w:id="431" w:name="__RefHeading___Toc141903_3244359995"/>
      <w:bookmarkStart w:id="432" w:name="_Toc165"/>
      <w:bookmarkEnd w:id="431"/>
      <w:r>
        <w:rPr>
          <w:rtl w:val="true"/>
        </w:rPr>
        <w:t>الثانی</w:t>
      </w:r>
      <w:r>
        <w:rPr>
          <w:rtl w:val="true"/>
        </w:rPr>
        <w:t xml:space="preserve">: </w:t>
      </w:r>
      <w:r>
        <w:rPr>
          <w:rtl w:val="true"/>
        </w:rPr>
        <w:t>الروایات</w:t>
      </w:r>
      <w:bookmarkEnd w:id="432"/>
    </w:p>
    <w:p>
      <w:pPr>
        <w:pStyle w:val="BookText"/>
        <w:rPr/>
      </w:pPr>
      <w:r>
        <w:rPr>
          <w:rFonts w:ascii="IRNazanin" w:hAnsi="IRNazanin" w:eastAsia="IRNazanin"/>
          <w:color w:val="111111"/>
          <w:sz w:val="28"/>
          <w:sz w:val="28"/>
          <w:szCs w:val="28"/>
          <w:rtl w:val="true"/>
          <w:lang w:bidi="fa-IR"/>
        </w:rPr>
        <w:t>وهی علی ثمانیة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الشبهات قبل الفحص مثل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وهما محرمان، الجزاء بینهما أو علی کلّ واحد منهما جزاء؟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علیهما أن یجزی کلّ واحد منهما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نعترف بوجوب الاحتیاط فی الشبهات الحکمیّة قبل الفحص، وهی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 أنّ اجتناب الشبهات یوجب القدرة علی ترک المحرّمات، وقد علّل فیها ذلک بأنّ المعاصی حمی اللَّه فمن یرتع حولها یوشک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خطب الناس فقال فی کلام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وحرام بیّن، وشبهات بین ذلک، فمن ترک ما اشتبه علیه من الإثم فهو لما استبان له أترک، والمعاصی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أنّها أوامر استحبابیة ارشادیة وتعلیلها أوضح شاهد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فیها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بالورع بنفسه قرینة علی الاستحباب؛ لأنّ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غایة التقوی و مرحلة عالیة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الشبهات الموضوعیّة الّتی لا إشکال فی البراءة فیها حتّی عند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أمیر المؤمنین علیه السلام إلی عثمان بن حنیف عامله علی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یابن حنیف فقد بلغنی أنّ رجلًا من فتیة أهل البصرة دعاک إلی مأدبة فأسرعت إلیها، تستطاب لک الألوان وتنقل إلیک الجفان وما ظننت إنّک تجیب إلی طعام قوم عائلهم مجفوّ وغنیّهم مدعوّ، فانظر إلی ما تقضمه من هذا المقضم فما اشتبه علیک علمه فالفظه وما أیقنت بطیب وجوهه فَنَل منه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أنّها ناظرة إلی الشبهات الموضوعیّة أنّها أخصّ من</w:t>
      </w:r>
    </w:p>
    <w:p>
      <w:pPr>
        <w:pStyle w:val="BookText"/>
        <w:rPr/>
      </w:pPr>
      <w:r>
        <w:rPr>
          <w:rFonts w:ascii="IRNazanin" w:hAnsi="IRNazanin" w:eastAsia="IRNazanin"/>
          <w:color w:val="111111"/>
          <w:sz w:val="28"/>
          <w:sz w:val="28"/>
          <w:szCs w:val="28"/>
          <w:rtl w:val="true"/>
          <w:lang w:bidi="fa-IR"/>
        </w:rPr>
        <w:t>المدّعی لورودها فی حقّ الحکّام والقضاة، ولا یخفی الفرق بینهم وبین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النظر فیها إلی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ولم یجحدوا لم یکفروا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أیضاً خارجة عن محلّ الکلام لأنّ الکلام فی الأحکام الفرعیّة لا الاصولیّة الّتی یجب فیها العلم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ناظراً إلی حرمة الأخذ بالاستحسان والقیاس والاجتهادات الظنّیة فی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 علیه السلام فی خطبة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وما لی لا أعجب عن خطأ هذه الفرق علی اختلاف حججها فی دینها لا یقتفون أثر نبی ولا یقتدون بعمل وصی، یعملون فی الشبهات ویسیرون فی الشهوات، المعروف فیهم ما عرفوا والمنکر عندهم ما أنکروا، مفزعهم فی المعضلات إلی أنفسهم، وتعویلهم فی المبهمات علی آرائهم، کأنّ کلّ امرئ منهم إمام نفسه، قد أخذ منها فیما یری بعری وثیقات وأسباب محکمات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الطائفة أیضاً خارجة عن محل البحث، فإنّ حرمة العمل بالقیاس والأخذ بالآراء الظنّیة والاستحسانات ثابتة بأدلّة قطعیة لا 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السکوت والکفّ عمّا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ما حقّ اللَّه علی خلقه؟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ما یعلمون ویکفّوا عمّا لا یعلمون فإذا فعلوا ذلک فقد أدّوا إلی اللَّه حقّه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سکت عنها الشارع عنها 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لعدم العلم بالنسبة إلی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خارجاً عن جمیع الطوائف السابقة ویدلّ علی مدّعی الأخباریین فی بدء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شیبة عن أحدهما علیهما السلام قال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الاحتیاط إمّا أن یکون مقدّمیاً لأجل التحرّز عن العقاب علی الحکم الواقعی المجهول، أو یکون نفسیاً لوجود ملاک فی نفس الاحتراز عن الشبهة مع الغضّ عن الحکم الواقعی المجهول، والأوّل مستلزم لترتّب العقاب علی التکلیف المجهول، وهو مخالف لقاعدة قبح العقاب بلا بیان، والثانی یستلزم ترتّب العقاب علی مخالفة نفس وجوب الاحتیاط لا علی مخالفة الواقع، مع أنّ صریح الأخبار إرادة الهلکة الموجودة علی تقدیر الحرمة الواقعیّة کما یعترف به الأخباری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الاحتیاط تخصّص بأخبار البراءة لأنّها عامّة من ناحیة کون الشبهة موضوعیّة أو حکمیّة، ومن ناحیة کونها قبل الفحص أو بعده، ومن ناحیة کونها من أطراف العلم الإجمالی وعدمه، ولکن أدلّة البراءة خاصّة من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بالاحتیاط فی هذه الأخبار مولویة فلابدّ من ارتکاب التخصیص فیها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الاقتحام فی الهلکة بارتکاب الشبهات إلّاإذا کانت الشبهة موضوعیّة مطلقاً أو حکمیّة وجوبیّة؛ لأنّ الأخباری أیضاً لا یری وجوب الاحتیاط فیهما، مع أنّ سیاقها آبٍ عن التخصیص</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حینئذٍ من حملها علی الإرشاد، والإرشاد فی کلّ مورد یکون بحسبه،</w:t>
      </w:r>
      <w:bookmarkStart w:id="433" w:name="pg16922_187703"/>
    </w:p>
    <w:p>
      <w:pPr>
        <w:pStyle w:val="BookText"/>
        <w:rPr/>
      </w:pPr>
      <w:bookmarkEnd w:id="433"/>
      <w:r>
        <w:rPr>
          <w:rFonts w:ascii="IRNazanin" w:hAnsi="IRNazanin" w:eastAsia="IRNazanin"/>
          <w:color w:val="111111"/>
          <w:sz w:val="28"/>
          <w:sz w:val="28"/>
          <w:szCs w:val="28"/>
          <w:rtl w:val="true"/>
          <w:lang w:bidi="fa-IR"/>
        </w:rPr>
        <w:t>فیکون فی بعض الموارد کالشبهات البدویة إرشاداً إلی الاستحباب وفی بعض آخر کأطراف العلم الإجمالی إرشاداً إلی الوجوب</w:t>
      </w:r>
      <w:r>
        <w:rPr>
          <w:rFonts w:eastAsia="IRNazanin" w:cs="IRNazanin"/>
          <w:color w:val="111111"/>
          <w:sz w:val="28"/>
          <w:szCs w:val="28"/>
          <w:rtl w:val="true"/>
          <w:lang w:bidi="fa-IR"/>
        </w:rPr>
        <w:t>.</w:t>
      </w:r>
    </w:p>
    <w:p>
      <w:pPr>
        <w:pStyle w:val="Heading5"/>
        <w:numPr>
          <w:ilvl w:val="4"/>
          <w:numId w:val="1"/>
        </w:numPr>
        <w:rPr/>
      </w:pPr>
      <w:bookmarkStart w:id="434" w:name="__RefHeading___Toc141905_3244359995"/>
      <w:bookmarkStart w:id="435" w:name="_Toc166"/>
      <w:bookmarkEnd w:id="434"/>
      <w:r>
        <w:rPr>
          <w:rtl w:val="true"/>
        </w:rPr>
        <w:t>الثالث</w:t>
      </w:r>
      <w:r>
        <w:rPr>
          <w:rtl w:val="true"/>
        </w:rPr>
        <w:t xml:space="preserve">: </w:t>
      </w:r>
      <w:r>
        <w:rPr>
          <w:rtl w:val="true"/>
        </w:rPr>
        <w:t>العقل</w:t>
      </w:r>
      <w:bookmarkEnd w:id="435"/>
    </w:p>
    <w:p>
      <w:pPr>
        <w:pStyle w:val="BookText"/>
        <w:rPr/>
      </w:pPr>
      <w:r>
        <w:rPr>
          <w:rFonts w:ascii="IRNazanin" w:hAnsi="IRNazanin" w:eastAsia="IRNazanin"/>
          <w:color w:val="111111"/>
          <w:sz w:val="28"/>
          <w:sz w:val="28"/>
          <w:szCs w:val="28"/>
          <w:rtl w:val="true"/>
          <w:lang w:bidi="fa-IR"/>
        </w:rPr>
        <w:t>واستدلّ به الأخباریون فی وجوب الاحتیاط فی الشبهات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یحترزون عن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وتقریبه من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محرّمات کثیرة فعلیّة فی جملة المشتبهات فتتنجّز تلک المحرّمات بواسطة العلم الإجمالی، والمعلوم بالإجمال هنا من قبیل الکثیر فی الکثیر، فیجب الاحتیاط فی جمیع المشتبهات حتّی یحصل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هذا ینحلّ بواسطة قیام الأمارات علی المحرّمات الکثیرة فی أطراف المعلوم بالإجمال بعد الفحص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علی هذا الجواب بأنّ العلم الإجمالی ینحلّ بالعلم التفصیلی لا الظنّ التفصیلی، بینما یکون الحاصل من ظواهر الکتاب وخبر الواحد إنّما هو الظنّ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هذا الإشکال بأنّ الموجب للانحلال إنّما هو قیام حجّة تفصیلیة سواء کانت من قبیل البیّنة والظنّ المعتبر أو 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بلزوم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المراد من الضرر الضرر الاخروی فلا صغری لهذه القاعدة لورود قاعدة قبح العقاب بلا بیان علیها، وإن کان المراد الضرر الدنیوی ففی کثیر من الموارد لا یکون الضرر الدنیوی ملاک الحکم، فاحتمال الضرر لا یکون موجباً للزوم دفعه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إرشاد من ناحیة العقل کأوامر الطبیب فلا ینشأ منها حکم مولوی</w:t>
      </w:r>
      <w:r>
        <w:rPr>
          <w:rFonts w:eastAsia="IRNazanin" w:cs="IRNazanin"/>
          <w:color w:val="111111"/>
          <w:sz w:val="28"/>
          <w:szCs w:val="28"/>
          <w:rtl w:val="true"/>
          <w:lang w:bidi="fa-IR"/>
        </w:rPr>
        <w:t>.</w:t>
      </w:r>
      <w:bookmarkStart w:id="436" w:name="pg16922_187704"/>
    </w:p>
    <w:p>
      <w:pPr>
        <w:pStyle w:val="BookText"/>
        <w:rPr/>
      </w:pPr>
      <w:bookmarkEnd w:id="436"/>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الأشیاء فی غیر الضروریات الحظر، فإن ورد من الشرع دلیل علی جوازه فهو، وإلّا فیبقی علی ممنوعیّته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الحظر أو الإباحة فی الأشیاء مسألة تلاحظ بلحاظ ما کان قبل ورود الشرع المقدّس أو مع قطع النظر عنه، خلافاً لأصالة البراءة والاحتیاط اللتین تلاحظان بلحاظ ما بعد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راجعنا إلی العقل وأحکامه بالنسبة إلی ما کان قبل الشرع نجد أنّ الأفعال علی ثلاثة أقسام فبعضها من المستقلّات العقلیّة یرجع حکمها إلی الحسن والقبح العقلیین، وبعضها الآخر یکون من الضروریات کالتنفّس وسدّ الرمق، وقسم ثالث کشمّ الریاحین وأکل الفواکه وغیرهما من الرفاهیات ما لم تصبح أمراً ضروریاً، ففی هذا القسم اختلف القائلون بالحظر مع القائلین بالإباحة</w:t>
      </w:r>
      <w:r>
        <w:rPr>
          <w:rFonts w:eastAsia="IRNazanin" w:cs="IRNazanin"/>
          <w:color w:val="111111"/>
          <w:sz w:val="28"/>
          <w:szCs w:val="28"/>
          <w:rtl w:val="true"/>
          <w:lang w:bidi="fa-IR"/>
        </w:rPr>
        <w:t>.</w:t>
      </w:r>
    </w:p>
    <w:p>
      <w:pPr>
        <w:pStyle w:val="Heading4"/>
        <w:numPr>
          <w:ilvl w:val="3"/>
          <w:numId w:val="1"/>
        </w:numPr>
        <w:rPr/>
      </w:pPr>
      <w:bookmarkStart w:id="437" w:name="__RefHeading___Toc141907_3244359995"/>
      <w:bookmarkStart w:id="438" w:name="_Toc167"/>
      <w:bookmarkEnd w:id="437"/>
      <w:r>
        <w:rPr>
          <w:rtl w:val="true"/>
        </w:rPr>
        <w:t>مسألة الحظر والإباحة</w:t>
      </w:r>
      <w:bookmarkEnd w:id="438"/>
    </w:p>
    <w:p>
      <w:pPr>
        <w:pStyle w:val="BookText"/>
        <w:rPr/>
      </w:pPr>
      <w:r>
        <w:rPr>
          <w:rFonts w:ascii="IRNazanin" w:hAnsi="IRNazanin" w:eastAsia="IRNazanin"/>
          <w:color w:val="111111"/>
          <w:sz w:val="28"/>
          <w:sz w:val="28"/>
          <w:szCs w:val="28"/>
          <w:rtl w:val="true"/>
          <w:lang w:bidi="fa-IR"/>
        </w:rPr>
        <w:t>وقبل ذکر الأدلّة لابدّ من بیان الفرق بین أصالة الحظر وأصالة الاحتیاط، أو الفرق بین أصالة الإباحة وأصالة البراءة وهو یتلخّص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آنفاً من أنّ الحظر أو الإباحة تلحظ بلحاظ ما قبل الشرع أو مع قطع النظر عن الشرع، والاحتیاط أو البراءة تلحظ بالنسبة إلی ما بعد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الأوّل واقعی، فمفاد أصالة الحظر أو الإباحة أنّ الشی‌ء الفلانی ممنوع أو مباح واقعاً، بینما الحکم فی الثانی ظاهری، فیترتّب العقاب علی ترک الاحتیاط مثلًا فی صورة الإصابة إلی الواقع لا مطلقاً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التحریم أو الترخیص بناءً علی أصالة الحظر أو الإباحة تحریم أو ترخیص مالکی یحکم به الشارع بما أنّه مالک، بینما یکون التحریم أو الترخیص بناءً علی أصالة الاحتیاط أو الإباحة تحریماً أو ترخیصاً مولویاً یحکم به الشارع بما أنّه مقنّن ومشرّع وبما أنّه مولی</w:t>
      </w:r>
      <w:r>
        <w:rPr>
          <w:rFonts w:eastAsia="IRNazanin" w:cs="IRNazanin"/>
          <w:color w:val="111111"/>
          <w:sz w:val="28"/>
          <w:szCs w:val="28"/>
          <w:rtl w:val="true"/>
          <w:lang w:bidi="fa-IR"/>
        </w:rPr>
        <w:t>.</w:t>
      </w:r>
      <w:bookmarkStart w:id="439" w:name="pg16922_187705"/>
    </w:p>
    <w:p>
      <w:pPr>
        <w:pStyle w:val="BookText"/>
        <w:rPr/>
      </w:pPr>
      <w:bookmarkEnd w:id="439"/>
      <w:r>
        <w:rPr>
          <w:rFonts w:ascii="IRNazanin" w:hAnsi="IRNazanin" w:eastAsia="IRNazanin"/>
          <w:color w:val="111111"/>
          <w:sz w:val="28"/>
          <w:sz w:val="28"/>
          <w:szCs w:val="28"/>
          <w:rtl w:val="true"/>
          <w:lang w:bidi="fa-IR"/>
        </w:rPr>
        <w:t>إذا عرفت ذلک فاعلم أنّ عمدة ما استدلّ به القائلون بالحظر مالکیة الباری تعالی وأنّ العالم کلّه ملک له والتصرّف فی ملک الغیر بدون إذنه قبیح عقلًا لا سیّما بالنسبة إلی المالک الحقیقی، ونتیجته أنّ الأصل فی الأشیاء الحظر إلّاما أذن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مبنیّ علی ثبوت الحسن والقبح العقلیین والقول بالمستقلّات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الإذن حاصل فی المقام بدلیل الحکمة، فإنّ الحکمة تقتضی أن یکون خلق الأشیاء للانتفاع والتمتّع بها فلا معنی مثلًا لخلق الریاحین والفواکه مع المنع عن أیّ تصرّف فیها للانسان الذی هو أشرف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یمکن أن یستدلّ ببعض الآیات علی وجود الإذن من اللَّه بالنسبة إلی تصرّفات عبیده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بأدلّة البراءة الشرعیّة حیث تدلّ بالالتزام علی وجود الإباحة المالکیة أیضاً، وإن کان مدلولها المطابقی الإباحة الظاهریّة المولویّة</w:t>
      </w:r>
      <w:r>
        <w:rPr>
          <w:rFonts w:eastAsia="IRNazanin" w:cs="IRNazanin"/>
          <w:color w:val="111111"/>
          <w:sz w:val="28"/>
          <w:szCs w:val="28"/>
          <w:rtl w:val="true"/>
          <w:lang w:bidi="fa-IR"/>
        </w:rPr>
        <w:t>.</w:t>
      </w:r>
    </w:p>
    <w:p>
      <w:pPr>
        <w:pStyle w:val="Heading4"/>
        <w:numPr>
          <w:ilvl w:val="3"/>
          <w:numId w:val="1"/>
        </w:numPr>
        <w:rPr/>
      </w:pPr>
      <w:bookmarkStart w:id="440" w:name="__RefHeading___Toc141909_3244359995"/>
      <w:bookmarkStart w:id="441" w:name="_Toc168"/>
      <w:bookmarkEnd w:id="440"/>
      <w:r>
        <w:rPr>
          <w:rtl w:val="true"/>
        </w:rPr>
        <w:t>تنبیهات أصالة البراءة</w:t>
      </w:r>
      <w:r>
        <w:rPr>
          <w:rtl w:val="true"/>
        </w:rPr>
        <w:t>:</w:t>
      </w:r>
      <w:bookmarkEnd w:id="441"/>
    </w:p>
    <w:p>
      <w:pPr>
        <w:pStyle w:val="Heading5"/>
        <w:numPr>
          <w:ilvl w:val="4"/>
          <w:numId w:val="1"/>
        </w:numPr>
        <w:rPr/>
      </w:pPr>
      <w:bookmarkStart w:id="442" w:name="__RefHeading___Toc141911_3244359995"/>
      <w:bookmarkStart w:id="443" w:name="_Toc169"/>
      <w:bookmarkEnd w:id="442"/>
      <w:r>
        <w:rPr/>
        <w:t>1</w:t>
      </w:r>
      <w:r>
        <w:rPr>
          <w:rtl w:val="true"/>
        </w:rPr>
        <w:t xml:space="preserve">. </w:t>
      </w:r>
      <w:r>
        <w:rPr>
          <w:rtl w:val="true"/>
        </w:rPr>
        <w:t>اشتراط عدم وجود أصل موضوعی</w:t>
      </w:r>
      <w:bookmarkEnd w:id="4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أصالة البراءة کسائر الاصول الحکمیّة یشترط فی جریانها عدم وجود أصل موضوعی ینقّح حال الموضوع، وإلّا فلو کان فی المقام أصل جارٍ من ناحیة الموضوع لکان حاکماً علی الأصل الحکمی نظیر استصحاب عدم ذهاب ثلثی العصیر العنبی فیما إذا شککنا فی ذهاب الثلثین وعدمه، فهو حاکم علی أصالة الإباحة ومانع عن جریانها، لأنّه بمنزلة الأصل السببی وأصالة الإباحة أصل</w:t>
      </w:r>
    </w:p>
    <w:p>
      <w:pPr>
        <w:pStyle w:val="BookText"/>
        <w:rPr/>
      </w:pPr>
      <w:r>
        <w:rPr>
          <w:rFonts w:ascii="IRNazanin" w:hAnsi="IRNazanin" w:eastAsia="IRNazanin"/>
          <w:color w:val="111111"/>
          <w:sz w:val="28"/>
          <w:sz w:val="28"/>
          <w:szCs w:val="28"/>
          <w:rtl w:val="true"/>
          <w:lang w:bidi="fa-IR"/>
        </w:rPr>
        <w:t>مسبّبی، وسیأتی البحث عن لزوم تقدیم أصل السببی علی المسبّبی، هذا من ناحیة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الشبهة الحکمیّة نظیر استصحاب جلل الحیوان فیما إذا شککنا فی أنّ استبراء الجلّال یتحقّق عند الشارع بسبعة أیّام أو بعشرة، فهو حاکم علی أصالة الحلّیة لنفس تلک العلّة، وهی أنّ الشکّ فی الحلّیة مسبّب عن الشکّ فی بقاء الجلل وعدمه، فاستصحاب بقاء الجلل أصل سببی وأصالة الحلّیة أصل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المراد من الموضوع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ما هو فی مقابل الحکم سواء کان موضوعاً جزئیّاً کما فی المثال الأوّل فی الشبهة الموضوعیّة، أو موضوعاً کلّیاً کما فی المثال الثانی فی الشبهة الحکمیّة، فلیس المراد منه الموضوع الخارجی حتّی یکون جزئیّاً فی جمیع الموارد وتکون الشبهة موضوعیّة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أصالة عدم التذکیة</w:t>
      </w:r>
    </w:p>
    <w:p>
      <w:pPr>
        <w:pStyle w:val="BookText"/>
        <w:rPr/>
      </w:pPr>
      <w:r>
        <w:rPr>
          <w:rFonts w:ascii="IRNazanin" w:hAnsi="IRNazanin" w:eastAsia="IRNazanin"/>
          <w:color w:val="111111"/>
          <w:sz w:val="28"/>
          <w:sz w:val="28"/>
          <w:szCs w:val="28"/>
          <w:rtl w:val="true"/>
          <w:lang w:bidi="fa-IR"/>
        </w:rPr>
        <w:t>قد وقع البحث بین الأعلام بمناسبة تمثیلهم للأصل الموضوعی بأصالة عدم التذکیة فی جریان أصالة عدم التذکیة فی حیوان شکّ فی قابلیته للتذکیة، أو فی وقوع التذکیة الشرعیّة علیه للشکّ فی اختلال بعض الامور الدخیلة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أوّلًا من بیان حقیقة التذکیة فإنّه یحتمل فیها ثلاث 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أمراً بسیطاً مسبّباً عن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الشرعی، وقابلیة الحیوان للتذکیة، فتکون التذکیة أمراً مسببیّاً، وهو الطهارة الحاصلة فی الحیوان تبیح أکله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أمراً مرکّباً من الجزءین المذکورین، فتکون حقیقتها نفس هذا السبب المرکّب من جزءین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عبارة عن نفس الذبح الشرعی فقط، وأمّا القابلیة فهی شرط من شرائطها لا أن تکون جزء لماهیتها</w:t>
      </w:r>
      <w:r>
        <w:rPr>
          <w:rFonts w:eastAsia="IRNazanin" w:cs="IRNazanin"/>
          <w:color w:val="111111"/>
          <w:sz w:val="28"/>
          <w:szCs w:val="28"/>
          <w:rtl w:val="true"/>
          <w:lang w:bidi="fa-IR"/>
        </w:rPr>
        <w:t>.</w:t>
      </w:r>
      <w:bookmarkStart w:id="444" w:name="pg16922_187707"/>
    </w:p>
    <w:p>
      <w:pPr>
        <w:pStyle w:val="BookText"/>
        <w:rPr/>
      </w:pPr>
      <w:bookmarkEnd w:id="444"/>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جریان أصالة عدم التذکیة فی صورة الشکّ، لأنّ الشکّ فی التذکیة وعدمها یرجع إلی الشکّ فی حصول ذلک الأمر البسیط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جریانها إلّامن باب أصل العدم الأزلی، لأنّ الجزء الأوّل وهو الذبح الشرعی حاصل بالوجدان، والجزء الثانی وهو القابلیة لیس عدمه متیقّناً فی السابق إلّامن باب العدم الأزلی فتجری حینئذٍ أصالة الطهارة بلا مانع بناءً علی ما هو الحقّ من عدم حجّیة أصل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أیضاً فی عدم جریانها لأنّ التذکیة وهی خصوص الذبح الشرعی حاصلة بالوجدان والشکّ إنّما هو فی حصول بعض شرائطها، والمرجع فی المقام هو المعنی العرفی لعدم حقیقة شرعیّة لها وما جاء فی الشریعة من بعض الشروط فهو خارج عن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اللغوی للتذکیة هو الذبح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والتزکیة بمعنی الطهارة هو بالزاء لا بالذال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العرفی إنّما هو المعنی الثالث، وعلیه لا تجری أصالة عدم التذکیة لأنّها حاصلة بالوجدان</w:t>
      </w:r>
      <w:r>
        <w:rPr>
          <w:rFonts w:eastAsia="IRNazanin" w:cs="IRNazanin"/>
          <w:color w:val="111111"/>
          <w:sz w:val="28"/>
          <w:szCs w:val="28"/>
          <w:rtl w:val="true"/>
          <w:lang w:bidi="fa-IR"/>
        </w:rPr>
        <w:t>.</w:t>
      </w:r>
    </w:p>
    <w:p>
      <w:pPr>
        <w:pStyle w:val="Heading5"/>
        <w:numPr>
          <w:ilvl w:val="4"/>
          <w:numId w:val="1"/>
        </w:numPr>
        <w:rPr/>
      </w:pPr>
      <w:bookmarkStart w:id="445" w:name="__RefHeading___Toc141913_3244359995"/>
      <w:bookmarkStart w:id="446" w:name="_Toc170"/>
      <w:bookmarkEnd w:id="445"/>
      <w:r>
        <w:rPr/>
        <w:t>2</w:t>
      </w:r>
      <w:r>
        <w:rPr>
          <w:rtl w:val="true"/>
        </w:rPr>
        <w:t xml:space="preserve">. </w:t>
      </w:r>
      <w:r>
        <w:rPr>
          <w:rtl w:val="true"/>
        </w:rPr>
        <w:t>حسن الاحتیاط وترتّب الثواب علیه وإمکانه فی العبادات</w:t>
      </w:r>
      <w:bookmarkEnd w:id="446"/>
    </w:p>
    <w:p>
      <w:pPr>
        <w:pStyle w:val="Heading6"/>
        <w:numPr>
          <w:ilvl w:val="5"/>
          <w:numId w:val="1"/>
        </w:numPr>
        <w:rPr/>
      </w:pPr>
      <w:bookmarkStart w:id="447" w:name="__RefHeading___Toc141915_3244359995"/>
      <w:bookmarkStart w:id="448" w:name="_Toc171"/>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البحث هنا فی ثلاث مقامات، وهو فی الأوّلین کبروی وفی الثالث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الاحتیاط، فلا ریب فی حسنه عقلًا وشرعاً فی الجملة ولم یخالف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بترتّب الثواب علی الاحتیاط، ولکنّه محلّ إشکال؛ لأنّ الثواب إنّما هو فی الأوامر المولویّة، وأمّا الأوامر الإرشادیّة الّتی منها الأمر بالاحتیاط فما یترتّب علیها إنّما هو المصلحة المرشد إلیها لا غیر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فی الواقع نحو من الانقیاد الذی یقابل التجرّی، ولا إشکال فی أنّ الانقیاد والتجرّی متساویان فی ترتّب الثواب والعقاب وعدمه، فکما</w:t>
      </w:r>
    </w:p>
    <w:p>
      <w:pPr>
        <w:pStyle w:val="BookText"/>
        <w:rPr/>
      </w:pPr>
      <w:r>
        <w:rPr>
          <w:rFonts w:ascii="IRNazanin" w:hAnsi="IRNazanin" w:eastAsia="IRNazanin"/>
          <w:color w:val="111111"/>
          <w:sz w:val="28"/>
          <w:sz w:val="28"/>
          <w:szCs w:val="28"/>
          <w:rtl w:val="true"/>
          <w:lang w:bidi="fa-IR"/>
        </w:rPr>
        <w:t>أنّ التجرّی لا یترتّب علیه العقاب بناءً علی المختار، کذلک الانقیاد فلا یترتّب علیه الثواب وإلّا یلزم فی صورة الإصابة ترتّب ثوابین وهو مقطوع العدم کترتّب عقابین بالنسبة إلی التجرّی بالمحرّمات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احتاط العبد احتراماً للمولی وتعظیماً لأوامره المحتملة فإنّه یستحقّ الثواب بعنوان آخر من باب التعظیم والاحترام، کما أنّه فی باب التجرّی لو قصد العبد بفعله هتک حرمة المولی یترتّب علیه العقاب بلا إشکال، ولکنّه أمر آخر غیر ترتّب الثواب علی الانقیاد بما هو انقیاد وترتّب العقاب علی التجرّی بما هو تجرّی الذی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إمکان الاحتیاط فی العبادات، فاستشکل فیه بأنّه یعتبر فی العبادة قصد القربة، وهو یحتاج إلی أمر قطعی، وهو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العبادة من الجزم بکون العمل مأموراً به ولا جزم فی موارد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إثبات وجود أمر قطعی فی الاحتیاط، وذلک بثلاثة 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یقصد إمتثال أوامر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الأوامر إرشادیّة، ولا یصحّ قصد التقرّب بها؛ لعدم حسن ذاتی لمتعلّقاتها بل الحسن والمحبوبیة إنّما هی فی المرشد إلیه علی فرض وجوده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الاحتیاط الثواب وهو یلازم المحبوبیة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ترتّب الثواب کما مرّ، مضافاً إلی لزوم الدور، لأنّ لازم ذلک توقّف إمکان الاحتیاط علی ترتّب الثواب علیه، بینما یکون ترتّب الثواب متوقّفاً علی إمکان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یقصد إطاعة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سیأتی 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المحبوبیة الذاتیة وأنّ الثواب</w:t>
      </w:r>
    </w:p>
    <w:p>
      <w:pPr>
        <w:pStyle w:val="BookText"/>
        <w:rPr/>
      </w:pPr>
      <w:r>
        <w:rPr>
          <w:rFonts w:ascii="IRNazanin" w:hAnsi="IRNazanin" w:eastAsia="IRNazanin"/>
          <w:color w:val="111111"/>
          <w:sz w:val="28"/>
          <w:sz w:val="28"/>
          <w:szCs w:val="28"/>
          <w:rtl w:val="true"/>
          <w:lang w:bidi="fa-IR"/>
        </w:rPr>
        <w:t>الوارد فیها من باب التفضّل من اللَّه تعالی لا من باب حصول الاستحقاق، والثواب التفضّلی لیس کاشفاً عن الأمر الاستحبابی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أسوأ حالًا من سابقه،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بالاحتیاط فی العبادات هو نفس إتیان ظاهر العمل ولو بدون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وإشکاله ظاهر، لأنّه لا محبوبیة ولا حسن للعبادة المأتیّ بها من دون قصد القربة، والإتیان بظاهر العبادة بدون القربة کالجسد بلا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بکفایة احتمال الأمر بل الرجاء فی تحقّق قصد القربة، ولا حاجة إلی الأمر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مبحث التعبّدی والتوصّلی أنّ أعمال الإنسان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من الامور التکوینیّة الحقیقیّة غیر الاعتباریّة کالصناعات وغیرها من الأعمال الاعتیادیّة للبشر الّتی لا دخل فیها لید الجعل والاعتبار، وقسم آخر یکون من الامور الاعتباریّة المجعولة من قبل العقلاء کجعل رفع القلنسوة مثلًا للاحترام والتعظیم، ومن هذا القسم ما یدلّ علی نوع خاصّ من الخضوع الذی یسمّی بالعبادة وفی اللغة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غسل الوجه والیدین فی الوضوء أو الإمساک عن الأکل والشرب فی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النوع ما تکون عبادة ذاتیة کالسجود الذی یکفی فیه مجرّد قصد العمل بعنوان السجدة بخلاف غیره من العبادات الّتی تتمیّز عن سائر الأفعال بقصد القربة، ومن دونه لا تتحقّق بعنوان العبادة، کما أنّ عبادیتها تحتاج إلی کون العمل حسناً ومحبوباً ذاتاً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لابدّ فی عبادیة العمل من تحقّق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العمل محبوباً للَّه تعالی،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الباعث إلیه التقرّب إلیه سبحانه، فتکون العبادة مرکّبة منهما، ولا إشکال فی حصولهما فی العبادات الاحتیاطیّة وما یکون بقصد احتمال أمر المولی ومعه لا حاجة إلی شی‌ء آخر</w:t>
      </w:r>
      <w:r>
        <w:rPr>
          <w:rFonts w:eastAsia="IRNazanin" w:cs="IRNazanin"/>
          <w:color w:val="111111"/>
          <w:sz w:val="28"/>
          <w:szCs w:val="28"/>
          <w:rtl w:val="true"/>
          <w:lang w:bidi="fa-IR"/>
        </w:rPr>
        <w:t>.</w:t>
      </w:r>
      <w:bookmarkStart w:id="449" w:name="pg16922_187710"/>
    </w:p>
    <w:p>
      <w:pPr>
        <w:pStyle w:val="Heading6"/>
        <w:numPr>
          <w:ilvl w:val="5"/>
          <w:numId w:val="1"/>
        </w:numPr>
        <w:rPr/>
      </w:pPr>
      <w:bookmarkStart w:id="450" w:name="__RefHeading___Toc141917_3244359995"/>
      <w:bookmarkStart w:id="451" w:name="_Toc172"/>
      <w:bookmarkEnd w:id="449"/>
      <w:bookmarkEnd w:id="450"/>
      <w:r>
        <w:rPr>
          <w:rtl w:val="true"/>
        </w:rPr>
        <w:t>تذییل حول أخبار من بلغ والتسامح فی أدلّة السنن</w:t>
      </w:r>
      <w:bookmarkEnd w:id="451"/>
    </w:p>
    <w:p>
      <w:pPr>
        <w:pStyle w:val="BookText"/>
        <w:rPr/>
      </w:pPr>
      <w:r>
        <w:rPr>
          <w:rFonts w:ascii="IRNazanin" w:hAnsi="IRNazanin" w:eastAsia="IRNazanin"/>
          <w:color w:val="111111"/>
          <w:sz w:val="28"/>
          <w:sz w:val="28"/>
          <w:szCs w:val="28"/>
          <w:rtl w:val="true"/>
          <w:lang w:bidi="fa-IR"/>
        </w:rPr>
        <w:t>قد تقدّم أنّ أحد الطرق لتصحیح العبادة الاحتیاطیّه أخبار من بلغ ومع قطع النظر عنها أیضاً اشتهر القول بالتسامح فی أدلّة السنن وأنّ الأخبار الضعاف یمکن الاستناد إلیها فی أبواب المستحبّات، فینبغی بسط الکلام حول ما استدلّ به علی ذلک وهو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من ناحیة الشهید رحمه الله فی الذکری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الفضائل یتسامح فیها بما لا یتسامح فی غیرها عند أهل العلم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هشام بن سالم،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صلی الله علیه و آله شی‌ء من الثواب فعمله کان أجر ذلک له وإن کان رسول اللَّه صلی الله علیه و آله لم یقله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هشام بن سالم أیضاً،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 علی شی‌ء فصنعه کان له، وإن لم یکن علی ما بلغه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محمّد بن مروان،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صلی الله علیه و آله شی‌ء من الثواب ففعل ذلک طلب قول النبی صلی الله علیه و آله کان له ذلک الثواب وإن کان النبی صلی الله علیه و آله لم یقله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محمّد بن مروان أیضاً قال سمعت أبا جعفر علیه السلام یقول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 علی عمل فعمل ذلک العمل التماس ذلک الثواب اوتیه وإن لم یکن الحدیث</w:t>
      </w:r>
    </w:p>
    <w:p>
      <w:pPr>
        <w:pStyle w:val="BookText"/>
        <w:rPr/>
      </w:pPr>
      <w:r>
        <w:rPr>
          <w:rFonts w:ascii="IRNazanin" w:hAnsi="IRNazanin" w:eastAsia="IRNazanin"/>
          <w:color w:val="111111"/>
          <w:sz w:val="28"/>
          <w:sz w:val="28"/>
          <w:szCs w:val="28"/>
          <w:rtl w:val="true"/>
          <w:lang w:bidi="fa-IR"/>
        </w:rPr>
        <w:t>کما بلغه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صفوان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 به کان له أجر ذلک، وإن لم یکن علی ما بلغه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من اللَّه فضیلة فأخذ بها وعمل بما فیها إیماناً ورجاء ثوابه أعطاه اللَّه تعالی ذلک وإن لم یکن کذلک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الإجماع فیمکن النقاش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وجود المخالف مثل صاحب المدارک والعلّامة والصدوق وشیخه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أنّه محتمل المدرک والظاهر أنّ مدرکه هو أخبار من بلغ، فلا یمکن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المقام إنّما هی الأخبار، واستدلّ بها بأنّ ظاهرها ترتّب الثواب علی العمل بکلّ ما روی عن المعصومین علیهم السلام لا من باب التفضّل بل من باب أنّ العمل یوجب الاستحقاق، فیکون دلیلًا علی کون الخبر الضعیف حجّة فی المستحبّات، ففی حدیث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أجر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اضیف الأجر إلی العمل، وهو ظاهر فی کون العمل مأموراً به ولازمه الاستحباب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هذه الأخبار تدعو إلی العمل بکلّ خبر ورد فی هذه الأبواب، وهذا دلیل علی کونه محبوباً، والمحبوبیة تدلّ علی وجود الأمر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اورد علیه بوجوه والعمدة،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لحن هذه الأخبار لحن التفضّل لا الاستحقاق کما یشهد علیه أنّ ظاهرها ترتّب نفس الثواب الذی بلغه، مع أنّه لو کان من باب الاستحقاق، کان الثواب الاستحقاقی تابعاً لما یقتضیه العمل واقعاً سواء</w:t>
      </w:r>
    </w:p>
    <w:p>
      <w:pPr>
        <w:pStyle w:val="BookText"/>
        <w:rPr/>
      </w:pPr>
      <w:r>
        <w:rPr>
          <w:rFonts w:ascii="IRNazanin" w:hAnsi="IRNazanin" w:eastAsia="IRNazanin"/>
          <w:color w:val="111111"/>
          <w:sz w:val="28"/>
          <w:sz w:val="28"/>
          <w:szCs w:val="28"/>
          <w:rtl w:val="true"/>
          <w:lang w:bidi="fa-IR"/>
        </w:rPr>
        <w:t>کان أقلّ ممّا ورد فی الخبر الضعیف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یوجد هذا اللحن فی الصحاح منها وهی روایتا هشام، فلا یمکن الاستدلال بهما من هذه الجهة، ولکنّه موجود فی عدّة متضافرة منها، والتضافر موجب لجبر الضعف وحصول الوثوق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التمسّک بهذه الأخبار لإثبات استحباب ما أمرت به الأخبار الضعاف، فلا یجوز الفتوی بالاستحباب، بل لابدّ أن یقیّد بلزوم إتیان العمل بقصد الرجاء لا بقصد الأمر القطعی، وبهذا یسقط کثیر من المستحبّات الواردة فی کتب الفتوی والرسائل العملیّة، فاللازم الإتیان بها بقصد الرجاء لا الورود، إلّاإذا کان دلیلها الأخبار المعتبرة لا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دلالتها علی الاستحباب فلیس مفادها حجّیة الخبر الضعیف، بل إنّ مفادها مجرّد إعطاء قاعدة کلّیة فقهیّة وهی استحباب العمل بعنوان ثانوی وهو عنوان البلوغ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الأمرین یظهر فی بعض الفروع نظیر ما مثّل به الشیخ الأعظم الأنصاری رحمه الله من غسل المسترسل من اللحیة فی الوضوء، فالحکم باستحبابه من باب دلالة خبر ضعیف علیه لا یوجب جواز المسح ببلله </w:t>
      </w:r>
      <w:r>
        <w:rPr>
          <w:rStyle w:val="FootnoteAnchor"/>
          <w:rtl w:val="true"/>
        </w:rPr>
        <w:footnoteReference w:id="269"/>
      </w:r>
      <w:r>
        <w:rPr>
          <w:rFonts w:ascii="IRNazanin" w:hAnsi="IRNazanin" w:eastAsia="IRNazanin"/>
          <w:color w:val="111111"/>
          <w:sz w:val="28"/>
          <w:sz w:val="28"/>
          <w:szCs w:val="28"/>
          <w:rtl w:val="true"/>
          <w:lang w:bidi="fa-IR"/>
        </w:rPr>
        <w:t>، لأنّ المسح لابدّ من أن یکون من بلل الوضوء، ولا یصحّ ببلل ما لیس منه ولو کان مستحبّاً، إلّاإذا ثبت کونه جزءاً مستحبّاً من الوضوء بدلیل معتبر، فلا إشکال حینئذٍ فی جواز المسح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خروج هذه الأخبار عن محلّ النزاع وهو تصحیح العبادة الاحتیاطیة؛ لأنّه إمّا أن تکون أخبار من بلغ کافیة لإثبات الاستحباب الشرعی أو لا، وفی کلا الحالین یکون البحث عنها خارجاً عن محلّ النزاع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فلأنّ محلّ البحث فی المقام ما إذا لم یکن فی البین حجّة علی الوجوب أو الاستحباب وارید العمل من باب الاحتیاط، فلو کانت هذه الأخبار</w:t>
      </w:r>
      <w:bookmarkStart w:id="452" w:name="pg16922_187713"/>
    </w:p>
    <w:p>
      <w:pPr>
        <w:pStyle w:val="BookText"/>
        <w:rPr/>
      </w:pPr>
      <w:bookmarkEnd w:id="452"/>
      <w:r>
        <w:rPr>
          <w:rFonts w:ascii="IRNazanin" w:hAnsi="IRNazanin" w:eastAsia="IRNazanin"/>
          <w:color w:val="111111"/>
          <w:sz w:val="28"/>
          <w:sz w:val="28"/>
          <w:szCs w:val="28"/>
          <w:rtl w:val="true"/>
          <w:lang w:bidi="fa-IR"/>
        </w:rPr>
        <w:t>کافیّة لإثبات الحجّیة للخبر الضعیف فلا معنی لإتیان العمل بقصد الاحتیاط، بل یؤتی بها بقصد الورود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فلأنّ المفروض فی محلّ الکلام عدم کفایة قصد الرجاء مع أنّ مقتضی التعبیر الوارد فی هذه الأخبار لزوم قصد الرجاء فی هذه الموارد، فلا فائدة فی الاستناد إلی أخبار من بلغ فی محلّ البحث علی کلّ حال</w:t>
      </w:r>
      <w:r>
        <w:rPr>
          <w:rFonts w:eastAsia="IRNazanin" w:cs="IRNazanin"/>
          <w:color w:val="111111"/>
          <w:sz w:val="28"/>
          <w:szCs w:val="28"/>
          <w:rtl w:val="true"/>
          <w:lang w:bidi="fa-IR"/>
        </w:rPr>
        <w:t>.</w:t>
      </w:r>
    </w:p>
    <w:p>
      <w:pPr>
        <w:pStyle w:val="Heading5"/>
        <w:numPr>
          <w:ilvl w:val="4"/>
          <w:numId w:val="1"/>
        </w:numPr>
        <w:rPr/>
      </w:pPr>
      <w:bookmarkStart w:id="453" w:name="__RefHeading___Toc141919_3244359995"/>
      <w:bookmarkStart w:id="454" w:name="_Toc173"/>
      <w:bookmarkEnd w:id="453"/>
      <w:r>
        <w:rPr/>
        <w:t>3</w:t>
      </w:r>
      <w:r>
        <w:rPr>
          <w:rtl w:val="true"/>
        </w:rPr>
        <w:t xml:space="preserve">. </w:t>
      </w:r>
      <w:r>
        <w:rPr>
          <w:rtl w:val="true"/>
        </w:rPr>
        <w:t>جریان البراءة فی الشبهات الموضوعیّة</w:t>
      </w:r>
      <w:bookmarkEnd w:id="454"/>
    </w:p>
    <w:p>
      <w:pPr>
        <w:pStyle w:val="BookText"/>
        <w:rPr/>
      </w:pPr>
      <w:r>
        <w:rPr>
          <w:rFonts w:ascii="IRNazanin" w:hAnsi="IRNazanin" w:eastAsia="IRNazanin"/>
          <w:color w:val="111111"/>
          <w:sz w:val="28"/>
          <w:sz w:val="28"/>
          <w:szCs w:val="28"/>
          <w:rtl w:val="true"/>
          <w:lang w:bidi="fa-IR"/>
        </w:rPr>
        <w:t>والمشهور جریان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لها بجریان قاعدة قبح العقاب بلا بیان فی الموضوعات، کجریانها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یخلو من إشکال؛ لأنّ وظیفة الشارع بما هو شارع لیس إلّابیان الکبریات، وقد بیّنها ووصلت إلی المکلّف حسب الفرض، وإنّما الشکّ فی الصغری وهی کون هذا المائع الخارجی مثلًا ممّا ینطبق علیه متعلّق الحرمة وهو الخمر أم لا، ومن المعلوم أنّ المرجع فی إزالة هذه الشبهة لیس هو الشارع فلا یتحقّق حینئذٍ موضوع القاعدة وهو عدم البیان، فلا تجری القاعدة، بل علی المکلّف إزالة هذا النوع من التردّد والاشتباه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مبنی القوم من أنّ القاعدة عقلیّة، وأمّا بناءً علی ما اخترناه من أنّها عقلائیّة فلا یبعد بناء العقلاء علی البراءة فی الشبهات الموضوعیّة إلّافی الموضوعات المهمّة کالدماء والفروج فی الشرع، وما له صلة بحیاة المولی فی الموالی العرفیّة، فإذا قال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 من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فمن البعید جدّاً بناء العقلاء علی قبح عقاب العبد فیما إذا لم یحذر من مشکوک العداوة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جریانها فی الشبهات الموضوعیّة لأنّه القدر المتیقّن من أکثر أدلّتها وقد تقدّم روایاتها سابقاً</w:t>
      </w:r>
      <w:r>
        <w:rPr>
          <w:rFonts w:eastAsia="IRNazanin" w:cs="IRNazanin"/>
          <w:color w:val="111111"/>
          <w:sz w:val="28"/>
          <w:szCs w:val="28"/>
          <w:rtl w:val="true"/>
          <w:lang w:bidi="fa-IR"/>
        </w:rPr>
        <w:t>.</w:t>
      </w:r>
      <w:bookmarkStart w:id="455" w:name="pg16922_187714"/>
    </w:p>
    <w:p>
      <w:pPr>
        <w:pStyle w:val="Heading5"/>
        <w:numPr>
          <w:ilvl w:val="4"/>
          <w:numId w:val="1"/>
        </w:numPr>
        <w:rPr/>
      </w:pPr>
      <w:bookmarkStart w:id="456" w:name="__RefHeading___Toc141921_3244359995"/>
      <w:bookmarkStart w:id="457" w:name="_Toc174"/>
      <w:bookmarkEnd w:id="455"/>
      <w:bookmarkEnd w:id="456"/>
      <w:r>
        <w:rPr/>
        <w:t>4</w:t>
      </w:r>
      <w:r>
        <w:rPr>
          <w:rtl w:val="true"/>
        </w:rPr>
        <w:t xml:space="preserve">. </w:t>
      </w:r>
      <w:r>
        <w:rPr>
          <w:rtl w:val="true"/>
        </w:rPr>
        <w:t>المناط فی حسن الاحتیاط</w:t>
      </w:r>
      <w:bookmarkEnd w:id="457"/>
    </w:p>
    <w:p>
      <w:pPr>
        <w:pStyle w:val="BookText"/>
        <w:rPr/>
      </w:pPr>
      <w:r>
        <w:rPr>
          <w:rFonts w:ascii="IRNazanin" w:hAnsi="IRNazanin" w:eastAsia="IRNazanin"/>
          <w:color w:val="111111"/>
          <w:sz w:val="28"/>
          <w:sz w:val="28"/>
          <w:szCs w:val="28"/>
          <w:rtl w:val="true"/>
          <w:lang w:bidi="fa-IR"/>
        </w:rPr>
        <w:t>ذهب المحقّق الخراسانی رحمه الله إلی حسن الاحتیاط مطلقاً فی مطلق الشبهات سواء کانت وجوبیّة أو تحریمیّة وسواء کانت حکمیّة أو موضوعیّة وسواء قامت الحجّة علی العدم أم لم تقم وسواء کان الاحتمال أو المحتمل قویّاً أو ضعیفاً، نعم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الاحتیاط مطلقاً منوط بعدم إخلاله بالنظام وإلّا یکون الاحتیاط قبیحاً فلابدّ حینئذٍ من ترجیح بعض الاحتیاطات علی بعض، إمّا بملاک أقوائیة الاحتمال أو أقوائیة المحتمل أو بملاک عدم قیام الأمارة علی العدم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اختلال النظام من العناوین الثانویة للأحکام ولا خصوصیّة له فی المقام، بل کلّ عنوان ثانوی یزاحم حسن الاحتیاط لابدّ من تقدیمه علیه، کما إذا لزم من الاحتیاط ترک المراودة والمعاشرة مع المؤمنین أو ترک صلة الأرحام أو إیذاء المؤمن أو هتکه أو تشویه وجه المذهب فی الأنظار، فلا حسن فی مثل هذه الموارد وإن لم یلزم منها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أصلًا علی حسن الاحتیاط التامّ فی الشبهات الموضوعیّة فی جمیع الموارد، بل الدلیل علی خلافه لا سیّما فیما إذا قامت الأمارة علی الخلاف، والشاهد علی ذلک لحن الروایات الواردة عن المعصومین بالنسبة إلی سوق المسلمین فی الجبن وغیره، نظیر ما رواه أبو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أجل مکان واحد یجعل فیه المیتة حرّم فی جمیع الأرضین؟ إذا علمت أنّه میتة فلا تأکله وإن لم تعلم فاشتر وبع وکل، واللَّه إنّی لأعترض السوق فأشتری بها اللحم والسمن والجبن، واللَّه ما أظنّ کلّهم یسمّون هذه البربر وهذه السودان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السیاق العرفی لهذه الروایة وأمثالها مرجوحیة الاحتیاط وإنّه مرغوب عنه فی موارد قیام الحجّة علی الجواز</w:t>
      </w:r>
      <w:r>
        <w:rPr>
          <w:rFonts w:eastAsia="IRNazanin" w:cs="IRNazanin"/>
          <w:color w:val="111111"/>
          <w:sz w:val="28"/>
          <w:szCs w:val="28"/>
          <w:rtl w:val="true"/>
          <w:lang w:bidi="fa-IR"/>
        </w:rPr>
        <w:t>.</w:t>
      </w:r>
      <w:bookmarkStart w:id="458" w:name="pg16922_187717"/>
    </w:p>
    <w:p>
      <w:pPr>
        <w:pStyle w:val="Heading3"/>
        <w:numPr>
          <w:ilvl w:val="2"/>
          <w:numId w:val="1"/>
        </w:numPr>
        <w:rPr/>
      </w:pPr>
      <w:bookmarkStart w:id="459" w:name="__RefHeading___Toc141923_3244359995"/>
      <w:bookmarkStart w:id="460" w:name="_Toc175"/>
      <w:bookmarkEnd w:id="458"/>
      <w:bookmarkEnd w:id="459"/>
      <w:r>
        <w:rPr>
          <w:rtl w:val="true"/>
        </w:rPr>
        <w:t>الأصل الثانی</w:t>
      </w:r>
      <w:r>
        <w:rPr>
          <w:rtl w:val="true"/>
        </w:rPr>
        <w:t xml:space="preserve">: </w:t>
      </w:r>
      <w:r>
        <w:rPr>
          <w:rtl w:val="true"/>
        </w:rPr>
        <w:t>اصالة التّخییر</w:t>
      </w:r>
      <w:bookmarkEnd w:id="460"/>
    </w:p>
    <w:p>
      <w:pPr>
        <w:pStyle w:val="Heading4"/>
        <w:numPr>
          <w:ilvl w:val="3"/>
          <w:numId w:val="1"/>
        </w:numPr>
        <w:rPr/>
      </w:pPr>
      <w:bookmarkStart w:id="461" w:name="__RefHeading___Toc141925_3244359995"/>
      <w:bookmarkStart w:id="462" w:name="_Toc176"/>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إذا دار الأمر بین وجوب شی‌ء وحرمته سواء کان بنحو الشبهة الحکمیّة، کما إذا دار الأمر فی زمن الغیبة بین وجوب صلاة الجمعة وحرمتها مع قطع النظر عن اعتبار القربة فی الصلاة، أم کان بنحو الشبهة الموضوعیّة، کما إذا شککنا فی أنّ متعلّق النذر شرب هذا المائع فی زمن خاصّ أو ترکه،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رحمه الله إلی التخییر بین الفعل والترک عقلًا، والحکم بالإباحة شرعاً، واستدلّ للأوّل بحکم العقل بعدم الترجیح بین الفعل والترک، وللثانی بشمول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تعرف أنّه حرام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الأوجه هو الحکم بالإباحة ظاهراً عقلًا وشرعاً وذلک باعتبار أنّه بعد فرض عدم إمکان الاحتیاط ولغویة وجوب أحدهما تخییراً فی مقام الظاهر لکونه تحصیلًا للحاصل، تصل النوبة إلی احتمال وجوب أحدهما معیّناً؛ لأنّه یحتمل تکلیف الشارع بالنسبة إلی خصوص الفعل أو خصوص الترک، وحینئذٍ لا إشکال فی جریان قاعدة قبح العقاب بلا بیان لتحقّق موضوعها وهو عدم البیان؛ إذ لا بیان علی خصوص الوجوب أو الحرمة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إشکال فی عموم أدلّة الإباحة الشرعیّة لعدم اختصاصها بما إذا کان أحد</w:t>
      </w:r>
      <w:bookmarkStart w:id="463" w:name="pg16922_187718"/>
    </w:p>
    <w:p>
      <w:pPr>
        <w:pStyle w:val="BookText"/>
        <w:rPr/>
      </w:pPr>
      <w:bookmarkEnd w:id="463"/>
      <w:r>
        <w:rPr>
          <w:rFonts w:ascii="IRNazanin" w:hAnsi="IRNazanin" w:eastAsia="IRNazanin"/>
          <w:color w:val="111111"/>
          <w:sz w:val="28"/>
          <w:sz w:val="28"/>
          <w:szCs w:val="28"/>
          <w:rtl w:val="true"/>
          <w:lang w:bidi="fa-IR"/>
        </w:rPr>
        <w:t>طرفی الشکّ فی حرمة شی‌ء هو الإباحة کشرب التتن حتّی یختصّ بالشبهة البدویة، بل یعمّ ما إذا علم جنس الإلزام ولم یعلم النوع الخاصّ منه، فوجوب أحدهما تعییناً مرفوع کرفع الحرمة المحتملة فی سائر الموارد</w:t>
      </w:r>
      <w:r>
        <w:rPr>
          <w:rFonts w:eastAsia="IRNazanin" w:cs="IRNazanin"/>
          <w:color w:val="111111"/>
          <w:sz w:val="28"/>
          <w:szCs w:val="28"/>
          <w:rtl w:val="true"/>
          <w:lang w:bidi="fa-IR"/>
        </w:rPr>
        <w:t>.</w:t>
      </w:r>
    </w:p>
    <w:p>
      <w:pPr>
        <w:pStyle w:val="Heading4"/>
        <w:numPr>
          <w:ilvl w:val="3"/>
          <w:numId w:val="1"/>
        </w:numPr>
        <w:rPr/>
      </w:pPr>
      <w:bookmarkStart w:id="464" w:name="__RefHeading___Toc141927_3244359995"/>
      <w:bookmarkStart w:id="465" w:name="_Toc177"/>
      <w:bookmarkEnd w:id="464"/>
      <w:r>
        <w:rPr>
          <w:rtl w:val="true"/>
        </w:rPr>
        <w:t>بقی هنا امور</w:t>
      </w:r>
      <w:r>
        <w:rPr>
          <w:rtl w:val="true"/>
        </w:rPr>
        <w:t>:</w:t>
      </w:r>
      <w:bookmarkEnd w:id="465"/>
    </w:p>
    <w:p>
      <w:pPr>
        <w:pStyle w:val="Heading5"/>
        <w:numPr>
          <w:ilvl w:val="4"/>
          <w:numId w:val="1"/>
        </w:numPr>
        <w:rPr/>
      </w:pPr>
      <w:bookmarkStart w:id="466" w:name="__RefHeading___Toc141929_3244359995"/>
      <w:bookmarkStart w:id="467" w:name="_Toc178"/>
      <w:bookmarkEnd w:id="466"/>
      <w:r>
        <w:rPr/>
        <w:t>1</w:t>
      </w:r>
      <w:r>
        <w:rPr>
          <w:rtl w:val="true"/>
        </w:rPr>
        <w:t xml:space="preserve">. </w:t>
      </w:r>
      <w:r>
        <w:rPr>
          <w:rtl w:val="true"/>
        </w:rPr>
        <w:t>جریان التخییر فی الواقعة المتکرّرة</w:t>
      </w:r>
      <w:bookmarkEnd w:id="467"/>
    </w:p>
    <w:p>
      <w:pPr>
        <w:pStyle w:val="BookText"/>
        <w:rPr/>
      </w:pPr>
      <w:r>
        <w:rPr>
          <w:rFonts w:ascii="IRNazanin" w:hAnsi="IRNazanin" w:eastAsia="IRNazanin"/>
          <w:color w:val="111111"/>
          <w:sz w:val="28"/>
          <w:sz w:val="28"/>
          <w:szCs w:val="28"/>
          <w:rtl w:val="true"/>
          <w:lang w:bidi="fa-IR"/>
        </w:rPr>
        <w:t>لا إشکال فی أنّ ما ذکرنا من جریان البراءة عقلًا وشرعاً وعدم جریان التخییر کذلک إنّما هو فی صورة وحدة الواقعة کما فی مثال الحلف بشرب الماء وعدمه فی زمن خاصّ، وأمّا إذا کانت الواقعة متعدّدة کما إذا لا یعلم أنّه حلف بأن یشرب من هذا المائع فی کلّ جمعة أو یترکه کذلک، فلا إشکال فی إمکان جریان التخییر عقلًا سواء قلنا بالتخییر البدوی بناءً علی عدم جواز المخالفة القطعیّة فی الامور التدریجیّة، أو قلنا بالتخییر الاستمراری بناءً علی حرمة مخالفتها کذلک لعدم کونه من قبیل تحصیل الحاصل، فیمکن للمکلّف ارتکاب أحد الطرفین فی هذا الاسبوع مثلًا وارتکاب الطرف الآخر فی الاسبوع القابل</w:t>
      </w:r>
      <w:r>
        <w:rPr>
          <w:rFonts w:eastAsia="IRNazanin" w:cs="IRNazanin"/>
          <w:color w:val="111111"/>
          <w:sz w:val="28"/>
          <w:szCs w:val="28"/>
          <w:rtl w:val="true"/>
          <w:lang w:bidi="fa-IR"/>
        </w:rPr>
        <w:t>.</w:t>
      </w:r>
    </w:p>
    <w:p>
      <w:pPr>
        <w:pStyle w:val="Heading5"/>
        <w:numPr>
          <w:ilvl w:val="4"/>
          <w:numId w:val="1"/>
        </w:numPr>
        <w:rPr/>
      </w:pPr>
      <w:bookmarkStart w:id="468" w:name="__RefHeading___Toc141931_3244359995"/>
      <w:bookmarkStart w:id="469" w:name="_Toc179"/>
      <w:bookmarkEnd w:id="468"/>
      <w:r>
        <w:rPr/>
        <w:t>2</w:t>
      </w:r>
      <w:r>
        <w:rPr>
          <w:rtl w:val="true"/>
        </w:rPr>
        <w:t xml:space="preserve">. </w:t>
      </w:r>
      <w:r>
        <w:rPr>
          <w:rtl w:val="true"/>
        </w:rPr>
        <w:t>التخییر فی التعبدیّات</w:t>
      </w:r>
      <w:bookmarkEnd w:id="469"/>
    </w:p>
    <w:p>
      <w:pPr>
        <w:pStyle w:val="BookText"/>
        <w:rPr/>
      </w:pPr>
      <w:r>
        <w:rPr>
          <w:rFonts w:ascii="IRNazanin" w:hAnsi="IRNazanin" w:eastAsia="IRNazanin"/>
          <w:color w:val="111111"/>
          <w:sz w:val="28"/>
          <w:sz w:val="28"/>
          <w:szCs w:val="28"/>
          <w:rtl w:val="true"/>
          <w:lang w:bidi="fa-IR"/>
        </w:rPr>
        <w:t>کلّ ما ذکر إنّما هو فی التوصّلیات، وأمّا إذا کان المورد أمراً تعبّدیاً بکلا طرفیه کما إذا شکّ فی أنّ متعلّق نذره حین الإحرام کان هو غسل الجمعة مثلًا أو ترکاً من تروک الإحرام بناءً علی کونها عبادیة، أم کان تعبّدیاً بأحد طرفیه کما إذا شکّ فی أنّ صلاة الجمعة واجبة أو حرام، فحکمه یختلف عمّا سبق، بل هو خارج عن مسألة الدوران، لأنّ الحکم بالتخییر حینئذٍ لا یکون من قبیل تحصیل الحاصل لتصوّر شقّ ثالث بل رابع هنا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الأمر دائراً بین الفعل أو الترک دائماً بل یدور الأمر بین الفعل من دون</w:t>
      </w:r>
      <w:bookmarkStart w:id="470" w:name="pg16922_187719"/>
    </w:p>
    <w:p>
      <w:pPr>
        <w:pStyle w:val="BookText"/>
        <w:rPr/>
      </w:pPr>
      <w:bookmarkEnd w:id="470"/>
      <w:r>
        <w:rPr>
          <w:rFonts w:ascii="IRNazanin" w:hAnsi="IRNazanin" w:eastAsia="IRNazanin"/>
          <w:color w:val="111111"/>
          <w:sz w:val="28"/>
          <w:sz w:val="28"/>
          <w:szCs w:val="28"/>
          <w:rtl w:val="true"/>
          <w:lang w:bidi="fa-IR"/>
        </w:rPr>
        <w:t>قصد القربة أو الترک کذلک، وبین الفعل مع قصد القربة أو الترک کذلک، فیمکن الحکم بالتخییر عقلًا لعدم کونه تحصیلًا للحاصل، ولإمکان الموافقة الاحتمالیة وإن کانت الموافقة القطعیّة متعذّرة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أیضاً بجریان البراءة عن تعیین أحدهما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الصورة الثانیة؛ أی ما إذا کان أحد الطرفین تعبّدیاً، ترجع بالمآل إلی التوصّلیین؛ لأنّ المتصوّر من الشقوق فیها أیضاً شقّان حیث إنّه فی مثال صلاة الجمعة مثلًا إمّا أن یأتی بصلاة الجمعة جامعاً للشرائط، أی مع قصد القربة، أو لا یأتی بها کذلک، سواء لم یأت بها أصلًا أو یأت بها من دون جزء من أجزائها أو شرط من شرائطها کقصد القربة والوضوء، فهو حینئذٍ یأتی بأحد الشقّین علی أی حال والبعث إلی أحدهما تخییراً تحصیل للحاصل</w:t>
      </w:r>
      <w:r>
        <w:rPr>
          <w:rFonts w:eastAsia="IRNazanin" w:cs="IRNazanin"/>
          <w:color w:val="111111"/>
          <w:sz w:val="28"/>
          <w:szCs w:val="28"/>
          <w:rtl w:val="true"/>
          <w:lang w:bidi="fa-IR"/>
        </w:rPr>
        <w:t>.</w:t>
      </w:r>
    </w:p>
    <w:p>
      <w:pPr>
        <w:pStyle w:val="Heading5"/>
        <w:numPr>
          <w:ilvl w:val="4"/>
          <w:numId w:val="1"/>
        </w:numPr>
        <w:rPr/>
      </w:pPr>
      <w:bookmarkStart w:id="471" w:name="__RefHeading___Toc141933_3244359995"/>
      <w:bookmarkStart w:id="472" w:name="_Toc180"/>
      <w:bookmarkEnd w:id="471"/>
      <w:r>
        <w:rPr/>
        <w:t>3</w:t>
      </w:r>
      <w:r>
        <w:rPr>
          <w:rtl w:val="true"/>
        </w:rPr>
        <w:t xml:space="preserve">. </w:t>
      </w:r>
      <w:r>
        <w:rPr>
          <w:rtl w:val="true"/>
        </w:rPr>
        <w:t>دوران الأمر بین التعیین و التخییر</w:t>
      </w:r>
      <w:bookmarkEnd w:id="472"/>
    </w:p>
    <w:p>
      <w:pPr>
        <w:pStyle w:val="BookText"/>
        <w:rPr/>
      </w:pPr>
      <w:r>
        <w:rPr>
          <w:rFonts w:ascii="IRNazanin" w:hAnsi="IRNazanin" w:eastAsia="IRNazanin"/>
          <w:color w:val="111111"/>
          <w:sz w:val="28"/>
          <w:sz w:val="28"/>
          <w:szCs w:val="28"/>
          <w:rtl w:val="true"/>
          <w:lang w:bidi="fa-IR"/>
        </w:rPr>
        <w:t>إذا دار الأمر بین التعیین والتخییر؛ سواء کانت الشبهة حکمیّة کما إذا دار الأمر بین وجوب صلاة الجمعة فی عصر الغیبة تعییناً ووجوبها تخییراً، أو کانت الشبهة موضوعیّة، کما إذا شککنا فی أنّ متعلّق الحلف کان هو الصیام فی یوم الجمعة تعییناً أو إتیانها فی الجمعة والخمیس تخییراً، فهل المرجع فیه قاعدة الاشتغال أو البراءة؟</w:t>
      </w:r>
    </w:p>
    <w:p>
      <w:pPr>
        <w:pStyle w:val="BookText"/>
        <w:rPr/>
      </w:pPr>
      <w:r>
        <w:rPr>
          <w:rFonts w:ascii="IRNazanin" w:hAnsi="IRNazanin" w:eastAsia="IRNazanin"/>
          <w:color w:val="111111"/>
          <w:sz w:val="28"/>
          <w:sz w:val="28"/>
          <w:szCs w:val="28"/>
          <w:rtl w:val="true"/>
          <w:lang w:bidi="fa-IR"/>
        </w:rPr>
        <w:t>استدلّ القائلون بالبراءة، بأنّ صفة التعیینیة کلفة زائدة توجب الضیق علی المکلّف، بداهة أنّه لو لم یکن الواجب تعیینیاً لکان المکلّف بالخیار بین الإتیان به أو بعدله، فیشملها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أدلّة البراءة، ویلزمه جواز الاکتفاء بفعل ما یحتمل کونه عِدلًا لما علم تعلّق التکلیف 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جاریة فی الامور الخارجیّة کالکلفة الحاصلة من صیام جدید أو صلاة کذلک أو أجزاء وشرائط جدیدة کالسورة ولبس بعض الملابس، وأمّا فی الأجزاء الذهنیة الحاصلة عند التحلیل الّتی لا انحیاز لها فی الخارج فلا،</w:t>
      </w:r>
      <w:bookmarkStart w:id="473" w:name="pg16922_187720"/>
    </w:p>
    <w:p>
      <w:pPr>
        <w:pStyle w:val="BookText"/>
        <w:rPr/>
      </w:pPr>
      <w:bookmarkEnd w:id="473"/>
      <w:r>
        <w:rPr>
          <w:rFonts w:ascii="IRNazanin" w:hAnsi="IRNazanin" w:eastAsia="IRNazanin"/>
          <w:color w:val="111111"/>
          <w:sz w:val="28"/>
          <w:sz w:val="28"/>
          <w:szCs w:val="28"/>
          <w:rtl w:val="true"/>
          <w:lang w:bidi="fa-IR"/>
        </w:rPr>
        <w:t>مثل ما نحن فیه فإنّ الأخذ بالقدر المشترک أی إلزام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أو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الزائد عنه أی الکلفة الحاصلة من خصوصیّة کونها ظهراً أو جمعة لیس من قبیل الامور الخارجیّة المنحازة بل هذا التحلیل والتجزئة إنّما یحصل فی الذهن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وشمول حدیث الرفع وأشباهه لها غیر ثابت، کما أنّ إجراء البراءة العقلیّة لا سیّما بناءً علی المختار من کونها من قبیل بناء العقلاء، مورد للإشکال فإذا لم تجر البراءة فیها لم یکن هناک ما یوجب الأمن من العقاب فی مقابل احتمال العقاب، فلابدّ من الأخذ بالتعیین</w:t>
      </w:r>
      <w:r>
        <w:rPr>
          <w:rFonts w:eastAsia="IRNazanin" w:cs="IRNazanin"/>
          <w:color w:val="111111"/>
          <w:sz w:val="28"/>
          <w:szCs w:val="28"/>
          <w:rtl w:val="true"/>
          <w:lang w:bidi="fa-IR"/>
        </w:rPr>
        <w:t>.</w:t>
      </w:r>
    </w:p>
    <w:p>
      <w:pPr>
        <w:pStyle w:val="Heading5"/>
        <w:numPr>
          <w:ilvl w:val="4"/>
          <w:numId w:val="1"/>
        </w:numPr>
        <w:rPr/>
      </w:pPr>
      <w:bookmarkStart w:id="474" w:name="__RefHeading___Toc141935_3244359995"/>
      <w:bookmarkStart w:id="475" w:name="_Toc181"/>
      <w:bookmarkEnd w:id="474"/>
      <w:r>
        <w:rPr/>
        <w:t>4</w:t>
      </w:r>
      <w:r>
        <w:rPr>
          <w:rtl w:val="true"/>
        </w:rPr>
        <w:t xml:space="preserve">. </w:t>
      </w:r>
      <w:r>
        <w:rPr>
          <w:rtl w:val="true"/>
        </w:rPr>
        <w:t>ترجیح جانب الحرمة فی دوران الأمر بین المحذورین</w:t>
      </w:r>
      <w:bookmarkEnd w:id="475"/>
    </w:p>
    <w:p>
      <w:pPr>
        <w:pStyle w:val="BookText"/>
        <w:rPr/>
      </w:pPr>
      <w:r>
        <w:rPr>
          <w:rFonts w:ascii="IRNazanin" w:hAnsi="IRNazanin" w:eastAsia="IRNazanin"/>
          <w:color w:val="111111"/>
          <w:sz w:val="28"/>
          <w:sz w:val="28"/>
          <w:szCs w:val="28"/>
          <w:rtl w:val="true"/>
          <w:lang w:bidi="fa-IR"/>
        </w:rPr>
        <w:t>قد یقال فی مسألة دوران الأمر بین الوجوب والحرمة بترجیح جانب الحرمة، لتقدیم العقل والعقلاء دفع المفسدة علی جلب المنفعة عند دوران الأمر بینهما، ولا إشکال فی أنّ الحرام مشتمل علی المفسدة والواجب مشتمل علی المصلحة والمنفعة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تامّ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العقل بتقدیم المصلحة دائماً مجرّد دعوی بلا دلیل، والملاک فی تقدیم أحد الجانبین علی الآخر عند العقلاء إنّما هو کون الشی‌ء أهمّ، سواء کان الأهمّ من قبیل المصلحة أو من قبیل المفسدة کما أنّ بناءهم علی التساوی والتخییر عند تساوی الملاکین فی الأهمیة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الموجود فی جانب الواجب لیس هو مجرّد المصلحة حتّی یترتّب علی ترکه خصوص فقدان المصلحة فحسب بل ترک المصلحة الملزمة یلازم المفسدة کما یحکم به الوجدان فی مثل الأمر بالمعروف الذی تترتّب علی ترکه مفاسد کثیرة فی المجتمع وما إلی ذلک</w:t>
      </w:r>
      <w:r>
        <w:rPr>
          <w:rFonts w:eastAsia="IRNazanin" w:cs="IRNazanin"/>
          <w:color w:val="111111"/>
          <w:sz w:val="28"/>
          <w:szCs w:val="28"/>
          <w:rtl w:val="true"/>
          <w:lang w:bidi="fa-IR"/>
        </w:rPr>
        <w:t>.</w:t>
      </w:r>
      <w:bookmarkStart w:id="476" w:name="pg16922_187721"/>
    </w:p>
    <w:p>
      <w:pPr>
        <w:pStyle w:val="Heading3"/>
        <w:numPr>
          <w:ilvl w:val="2"/>
          <w:numId w:val="1"/>
        </w:numPr>
        <w:rPr/>
      </w:pPr>
      <w:bookmarkStart w:id="477" w:name="__RefHeading___Toc141937_3244359995"/>
      <w:bookmarkStart w:id="478" w:name="_Toc182"/>
      <w:bookmarkEnd w:id="476"/>
      <w:bookmarkEnd w:id="477"/>
      <w:r>
        <w:rPr>
          <w:rtl w:val="true"/>
        </w:rPr>
        <w:t>الأصل الثالث</w:t>
      </w:r>
      <w:r>
        <w:rPr>
          <w:rtl w:val="true"/>
        </w:rPr>
        <w:t xml:space="preserve">: </w:t>
      </w:r>
      <w:r>
        <w:rPr>
          <w:rtl w:val="true"/>
        </w:rPr>
        <w:t>اصالة الاشتغال</w:t>
      </w:r>
      <w:bookmarkEnd w:id="478"/>
    </w:p>
    <w:p>
      <w:pPr>
        <w:pStyle w:val="Heading4"/>
        <w:numPr>
          <w:ilvl w:val="3"/>
          <w:numId w:val="1"/>
        </w:numPr>
        <w:rPr/>
      </w:pPr>
      <w:bookmarkStart w:id="479" w:name="__RefHeading___Toc141939_3244359995"/>
      <w:bookmarkStart w:id="480" w:name="_Toc183"/>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کان البحث إلی هنا فی الشکّ فی أصل التکلیف، والآن نبحث فی الشکّ فی المکلّف به مع العلم بنوع التکلیف، سواء کانت الشبهة حکمیّة أو موضوعیّة وسواء کانت وجوبیّة أو 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فالوجوبیّة الحکمیّة نظیر ما إذا علمنا بوجوب صلاة فی یوم الجمعة ولم نعلم بأنّها صلاة الجمعة أو صلاة الظهر، والوجوبیّة الموضوعیّة نظیر ما إذا کانت جهة القبلة غیر معلومة فی الخارج مع العلم بوجوب الاستقبال إلیها فی الصلاة، والتحریمیّة الحکمیّة مثل ما إذا علمنا بأنّ أربعة عشر جزءاً من أجزاء الذبیحة حرام ولم نعلم بأنّها ما هی؟ والتحریمیّة الموضوعیّة نظیر ما إذا تردّد الخمر بین 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المکلّف به قد یکون لتردّده بین المتباینین ذاتاً کجمیع ما ذکرنا من الأمثلة آنفاً وقد یکون لتردّده بین الأقلّ والأکثر،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من قبیل الأقلّ والأکثر الإرتباطیین کالشکّ فی أجزاء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من قبیل الأقلّ والأکثر الاستقلالیین کما فی دوران دَین بین تسعة دراهم وعشرة دراهم، فیقع الکلام فی ثلاث مقامات</w:t>
      </w:r>
      <w:r>
        <w:rPr>
          <w:rFonts w:eastAsia="IRNazanin" w:cs="IRNazanin"/>
          <w:color w:val="111111"/>
          <w:sz w:val="28"/>
          <w:szCs w:val="28"/>
          <w:rtl w:val="true"/>
          <w:lang w:bidi="fa-IR"/>
        </w:rPr>
        <w:t>:</w:t>
      </w:r>
    </w:p>
    <w:p>
      <w:pPr>
        <w:pStyle w:val="Heading4"/>
        <w:numPr>
          <w:ilvl w:val="3"/>
          <w:numId w:val="1"/>
        </w:numPr>
        <w:rPr/>
      </w:pPr>
      <w:bookmarkStart w:id="481" w:name="__RefHeading___Toc141941_3244359995"/>
      <w:bookmarkStart w:id="482" w:name="_Toc184"/>
      <w:bookmarkEnd w:id="481"/>
      <w:r>
        <w:rPr>
          <w:rtl w:val="true"/>
        </w:rPr>
        <w:t>المقام الأوّل</w:t>
      </w:r>
      <w:r>
        <w:rPr>
          <w:rtl w:val="true"/>
        </w:rPr>
        <w:t xml:space="preserve">: </w:t>
      </w:r>
      <w:r>
        <w:rPr>
          <w:rtl w:val="true"/>
        </w:rPr>
        <w:t>فی دوران الأمر بین المتباینین</w:t>
      </w:r>
      <w:bookmarkEnd w:id="482"/>
    </w:p>
    <w:p>
      <w:pPr>
        <w:pStyle w:val="Heading5"/>
        <w:numPr>
          <w:ilvl w:val="4"/>
          <w:numId w:val="1"/>
        </w:numPr>
        <w:rPr/>
      </w:pPr>
      <w:bookmarkStart w:id="483" w:name="__RefHeading___Toc141943_3244359995"/>
      <w:bookmarkStart w:id="484" w:name="_Toc185"/>
      <w:bookmarkEnd w:id="483"/>
      <w:r>
        <w:rPr>
          <w:rtl w:val="true"/>
        </w:rPr>
        <w:t>اشارة</w:t>
      </w:r>
      <w:bookmarkEnd w:id="4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والأقوال فیه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المخالفة القطعیّة ووجوب الموافقة القطعیّة، وهو المشهور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التفصیل بین المخالفة القطعیّة والموافقة القطعیّة بأنّ الاولی حرام وأنّ الثانیة مباحة، وذهب إلیه المحقّق القمّی رحمه الله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المخالفة مطلقاً سواء کانت قطعیة أو احتمالیة، وهو المحکی عن العلّامة المجلسی رحمه الله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ومنشأ النزاع فی المقام هو أنّ العلم الإجمالی هل هو علّة تامّة لحرمة المخالفة ووجوب الموافقة، أو یکون علّة ناقصة لهما؟ وفیه مذاهب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علّة تامّة بالنسبة إلی حرمة المخالفة القطعیّة والاحتمالیّة معاً وأنّ العقل یحکم مستقلًاّ بها ولا یمکن ردعه من جانب الشارع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المخالفة القطعیّة والاحتمالیّة بأن یکون العلم الإجمالی علّة تامّة فی الاولی ومقتضیاً فی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مقتضیاً فی کلا المقامین، فیمکن إیجاد المانع من ناحیة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لا فرق بین العلم التفصیلی والعلم الإجمالی إذا تعلّقا بما هو فعلی من جمیع الجهات، بل وکذلک فی الشبهة البدویّة إذا کان المشکوک علی فرض وجوده فعلیاً من جمیع الجهات کما فی الشبهات قبل الفحص وشبهها، فحینئذٍ یکون الاحتمال منجّزاً؛ لأنّ المفروض أنّ التکلیف علی فرض وجوده فعلی بتمام معنی الکلمة فلا أمن من العقاب ولابدّ من امتثاله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مرّ من التفصیل ناظر إلی مقام الثبوت، ولکن المهمّ هو تعیین الحکم فی مقام الإثبات وأنّ الظاهر من الأدلّة ما هو؟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مجموع أدلّة الأحکام والإجماعات الحاصلة بین الفقهاء</w:t>
      </w:r>
      <w:bookmarkStart w:id="485" w:name="pg16922_187723"/>
    </w:p>
    <w:p>
      <w:pPr>
        <w:pStyle w:val="BookText"/>
        <w:rPr/>
      </w:pPr>
      <w:bookmarkEnd w:id="485"/>
      <w:r>
        <w:rPr>
          <w:rFonts w:ascii="IRNazanin" w:hAnsi="IRNazanin" w:eastAsia="IRNazanin"/>
          <w:color w:val="111111"/>
          <w:sz w:val="28"/>
          <w:sz w:val="28"/>
          <w:szCs w:val="28"/>
          <w:rtl w:val="true"/>
          <w:lang w:bidi="fa-IR"/>
        </w:rPr>
        <w:t xml:space="preserve">بالنسبة إلی الجلّ القریب من الکلّ من التکالیف عدم کونها فعلیّة من جمیع الجهات، ولذا نلاحظ استثناءها وتخصیصها بالعناوین الثانویة کالاضطرار والإکراه والتقیّة وغیرها، فما دام لم یعلم بالعلم التفصیلی أمکن إجراء الاصول المرخّصة أو الأدلّة الخاصّة الواردة فیها أو فی مورد العلم التفصیلی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منها موارد الدماء وشبهها، فیمکن أن یقال بأنّها فعلیّة من جمیع الجهات، أی إن کان المورد من قبیل الدماء وشبهها کان الحکم فعلیّاً من جمیع الجهات، فإذا علم إجمالًا مثلًا بوجود دم محقون مردّد بین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مؤمن صالح، والآخر کافر حربی، یکون العلم الإجمالی منجّزاً للتکلیف ولابدّ من 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الحال فی الشبهات البدویة منها، فإنّ الاحتیاط واجب فیها، ولذا لا تجری فیها أحکام العناوین الثانویة کالتقیّة ومثلها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 الدم فلا تقیّة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بخلاف ما إذا کان المورد کالمائع النجس الدائر بین الإناءین فإنّه یمکن ورود الترخیص فیها إمّا بمقتضی أدلّة الاصول علی القول به،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مسألة الدماء أیضاً قد لا تکون فعلیّة من جمیع الجهات لانتقاضها بمسألة التترّس فی الجهاد المعروف فیها جواز القتل </w:t>
      </w:r>
      <w:r>
        <w:rPr>
          <w:rStyle w:val="FootnoteAnchor"/>
          <w:rtl w:val="true"/>
        </w:rPr>
        <w:footnoteReference w:id="277"/>
      </w:r>
      <w:r>
        <w:rPr>
          <w:rFonts w:ascii="IRNazanin" w:hAnsi="IRNazanin" w:eastAsia="IRNazanin"/>
          <w:color w:val="111111"/>
          <w:sz w:val="28"/>
          <w:sz w:val="28"/>
          <w:szCs w:val="28"/>
          <w:rtl w:val="true"/>
          <w:lang w:bidi="fa-IR"/>
        </w:rPr>
        <w:t>، مع العلم بوجود الدم المحقون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هاهنا یقع فی جهتین</w:t>
      </w:r>
      <w:r>
        <w:rPr>
          <w:rFonts w:eastAsia="IRNazanin" w:cs="IRNazanin"/>
          <w:color w:val="111111"/>
          <w:sz w:val="28"/>
          <w:szCs w:val="28"/>
          <w:rtl w:val="true"/>
          <w:lang w:bidi="fa-IR"/>
        </w:rPr>
        <w:t>:</w:t>
      </w:r>
    </w:p>
    <w:p>
      <w:pPr>
        <w:pStyle w:val="Heading5"/>
        <w:numPr>
          <w:ilvl w:val="4"/>
          <w:numId w:val="1"/>
        </w:numPr>
        <w:rPr/>
      </w:pPr>
      <w:bookmarkStart w:id="486" w:name="__RefHeading___Toc141945_3244359995"/>
      <w:bookmarkStart w:id="487" w:name="_Toc186"/>
      <w:bookmarkEnd w:id="486"/>
      <w:r>
        <w:rPr>
          <w:rtl w:val="true"/>
        </w:rPr>
        <w:t>الجهة الاولی</w:t>
      </w:r>
      <w:r>
        <w:rPr>
          <w:rtl w:val="true"/>
        </w:rPr>
        <w:t xml:space="preserve">: </w:t>
      </w:r>
      <w:r>
        <w:rPr>
          <w:rtl w:val="true"/>
        </w:rPr>
        <w:t>حرمة المخالفة القطعیّة</w:t>
      </w:r>
      <w:bookmarkEnd w:id="4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الأنصاری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علی حرمة ذلک وجود المقتضی للحرمة وعدم المانع عنها، أمّا ثبوت المقتضی فلعموم دلیل تحریم ذلک العنوان المشتبه فإنّ</w:t>
      </w:r>
    </w:p>
    <w:p>
      <w:pPr>
        <w:pStyle w:val="BookText"/>
        <w:rPr/>
      </w:pPr>
      <w:r>
        <w:rPr>
          <w:rFonts w:ascii="IRNazanin" w:hAnsi="IRNazanin" w:eastAsia="IRNazanin"/>
          <w:color w:val="111111"/>
          <w:sz w:val="28"/>
          <w:sz w:val="28"/>
          <w:szCs w:val="28"/>
          <w:rtl w:val="true"/>
          <w:lang w:bidi="fa-IR"/>
        </w:rPr>
        <w:t xml:space="preserve">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الخمر الموجود المعلوم المشتبه بین الإناءین أو أزید ولا وجه لتخصیصه بالخمر المعلوم تفصیلًا مع أنّه لو اختصّ الدلیل بالمعلوم تفصیلًا خرج الفرد المعلوم إجمالًا عن کونه حراماً واقعیاً وکان حلالًا واقعیاً ولا أظنّ أحداً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المانع فلأنّ العقل لا یمنع من التکلیف عموماً أو خصوصاً بالاجتناب عن عنوان الحرام المشتبه فی أمرین أو امور والعقاب علی مخالفة هذا التکلیف، وأمّا الشرع فلم یرد فیه ما یصلح للمنع عدا ما ورد من قولهم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الأخبار وأمثالها لا یصلح للمنع لأنّها کما تدلّ علی حلّیة کلّ واحد من المشتبهین کذلک تدلّ علی حرمة ذلک المعلوم إجمالًا لأنّه أیضاً شی‌ء علم حرمته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استدلال الشیخ الأعظم رحمه الله لحرمة المخالفة القطعیّة أنّ المقتضی وهو إطلاقات أدلّة الأحکام وعموماتها موجود، والمانع وهو البراءة العقلیّة والنقلیة مفقود، وقد تبعه سائر الأعلام فأنکروا جریان الاصول المرخّصة هنا؛ للزوم التناقض بین حکم العقل بلزوم الاجتناب عن جمیع الأطراف مقدّمة للاجتناب عن الحرام المنجّز، وبین الترخیص فی جمیع الأطراف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بالشبهات غیر المحصورة والشبهات البدویة؛ لأنّه وإن کان الموجود فیها احتمال الإصابة إلی الواقع لکن لا إشکال فی استلزامه احتمال التناقض، واحتمال اجتماع النقیضین محال کالعلم به، وهذا هو الشبهة المعروفة لابن قبة الّتی تصدّی الأعلام للجواب عنها بإسقاط أحد الحکمین عن الفعلیّة وإرجاعه إلی مرحلة الإنشاء، وبهذا ذهبوا إلی أنّ العلم الإجمالی فی الشبهة غیر المحصورة والشبهات البدویة یکون مقتضیاً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إسقاط أحد الحکمین فی هذین الموردین عن الفعلیّة والقول باقتضاء العلم الإجمالی للتنجّز، کذلک یمکن فی المقام أیضاً إسقاط الحکم الواقعی المعلوم بالإجمال عن الفعلیّة وبذلک یرتفع إشکال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إثبات حرمة المخالفة القطعیّة من ناحیة 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العلم الإجمالی علّة تامّة للتنجّز مطلقاً ممّا لا دلیل علیه، بل یمکن أن یکون هناک مانع عن التنجّز، فعلینا الفحص عن وجود المانع فی الأدلّة النقلیّة، فإن ظفرنا علی روایة مرخّصة تمنع عن نفوذ المقتضی فهو، وإلّا فیتنجّز العلم الإجمالی لوجود المقتضی وفقدان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روایات یمکن أن یستدلّ بها علی الترخیص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 وردت فی الجبن أظهرها دلالة ما رواه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لطعام یعجبنی وساخبرک عن الجبن وغیره، کلّ شی‌ء فیه الحلال والحرام فهو لک حلال حتّی تعرف الحرام فتدعه بعینه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الذکی بالمیّت باعه ممّن یستحلّ المیتة وکل ثمنه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ودلالته ظاهرة من جهة إجازة بیع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الدقیق یقع فیه خرؤ الفأر هل یصلح أکله إذا عجن مع الدقیق؟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تعرفه فلا بأس وإن عرفته فلتطرحه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488" w:name="pg16922_187726"/>
    </w:p>
    <w:p>
      <w:pPr>
        <w:pStyle w:val="BookText"/>
        <w:rPr/>
      </w:pPr>
      <w:bookmarkEnd w:id="488"/>
      <w:r>
        <w:rPr>
          <w:rFonts w:ascii="IRNazanin" w:hAnsi="IRNazanin" w:eastAsia="IRNazanin"/>
          <w:color w:val="111111"/>
          <w:sz w:val="28"/>
          <w:sz w:val="28"/>
          <w:szCs w:val="28"/>
          <w:rtl w:val="true"/>
          <w:lang w:bidi="fa-IR"/>
        </w:rPr>
        <w:t>ولکن الإنصاف إمکان المناقشة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روایات الجبن فلا یبعد القول بأنها خارجة عن المقام لأنّ موردها الشبهة غیر المحصورة أو الشبهة البدویّة وفرض الشبهة المحصورة خارجة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روایات اختلاط المیتة بالمذکّی بناءً علی عدم کونه معرضاً عنه للأصحاب وإمکان الإفتاء علی طبقه، أخصّ من المدّعی، وهی الترخیص فی الشبهات المحصورة مطلقاً؛ لأنّ موردها جواز البیع ممّن یستحلّ المیتة، فلا یمکن التعدّی عن موردها إلی سائر الموارد لاحتمال الخصوصیة،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خلاف المطلوب أدلّ لأنّ تقیید الجواز بمن یستحلّ دلیل علی عدم الجواز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خرؤ الفأر فلاحتمال خصوصیّة فی موردها وهی استهلاک الخرؤ فی الدقیق، مضافاً إلی أنّ الروایة معرض عنها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تعارض هذه الروایات مع ما سیأتی فی الجهة الثانیة من الروایات الدالّة علی حرمة المخالفة الاحتمالیّة فضلًا عن المخالفة القطعیّة</w:t>
      </w:r>
      <w:r>
        <w:rPr>
          <w:rFonts w:eastAsia="IRNazanin" w:cs="IRNazanin"/>
          <w:color w:val="111111"/>
          <w:sz w:val="28"/>
          <w:szCs w:val="28"/>
          <w:rtl w:val="true"/>
          <w:lang w:bidi="fa-IR"/>
        </w:rPr>
        <w:t>.</w:t>
      </w:r>
    </w:p>
    <w:p>
      <w:pPr>
        <w:pStyle w:val="Heading5"/>
        <w:numPr>
          <w:ilvl w:val="4"/>
          <w:numId w:val="1"/>
        </w:numPr>
        <w:rPr/>
      </w:pPr>
      <w:bookmarkStart w:id="489" w:name="__RefHeading___Toc141947_3244359995"/>
      <w:bookmarkStart w:id="490" w:name="_Toc187"/>
      <w:bookmarkEnd w:id="489"/>
      <w:r>
        <w:rPr>
          <w:rtl w:val="true"/>
        </w:rPr>
        <w:t>الجهة الثانیة</w:t>
      </w:r>
      <w:r>
        <w:rPr>
          <w:rtl w:val="true"/>
        </w:rPr>
        <w:t xml:space="preserve">: </w:t>
      </w:r>
      <w:r>
        <w:rPr>
          <w:rtl w:val="true"/>
        </w:rPr>
        <w:t>حرمة المخالفة الاحتمالیة</w:t>
      </w:r>
      <w:bookmarkEnd w:id="490"/>
    </w:p>
    <w:p>
      <w:pPr>
        <w:pStyle w:val="BookText"/>
        <w:rPr/>
      </w:pPr>
      <w:r>
        <w:rPr>
          <w:rFonts w:ascii="IRNazanin" w:hAnsi="IRNazanin" w:eastAsia="IRNazanin"/>
          <w:color w:val="111111"/>
          <w:sz w:val="28"/>
          <w:sz w:val="28"/>
          <w:szCs w:val="28"/>
          <w:rtl w:val="true"/>
          <w:lang w:bidi="fa-IR"/>
        </w:rPr>
        <w:t>أی وجوب الموافقة القطعیّة، والحقّ فیها أیضاً ثبوت ذلک، أی وجوب الاجتناب عن جمیع أطراف الشبهة بنفس القاعدة العقلیّة الّتی مرّ ذکرها فی المقام الأوّل وهی کون المقتضی موجوداً والمانع مفقوداً، أمّا وجود المقتضی فلشمول أدلّة تحریم المحرّمات للمعلوم إجمالًا، وأمّا عدم المانع فلأنّ الموضوع فی أدلّة البراءة من حدیث الرفع وغیره الشکّ وعدم العلم، وهو مفقود فیما نحن فیه؛ لأنّ العلم أعمّ من العلم التفصیلی والعلم الإجمالی، وکذلک قاعدة قبح العقاب بلا بیان؛ لأنّ العلم الإجمالی بیان کالعلم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مقتضی القاعدة الأوّلیة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الخاصّة الدالّة علی وجوب الاحتیاط فکثیرة وأدلّها علی المقصود</w:t>
      </w:r>
    </w:p>
    <w:p>
      <w:pPr>
        <w:pStyle w:val="BookText"/>
        <w:rPr/>
      </w:pP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لزوم الاحتیاط فی موارد العلم الإجمالی بشکل عامّ من غیر تقیید بموضوع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عند ذکر أدلّة الأخباری ممّا ورد فی ذیل حدیث التثلیث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الإقتحام فی الهلکات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الحرام والحلال إلّاغلب الحرام الحلال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ولا إشکال فی أنّ موردها أو القدر المتیقّن منها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إهراق الإناءین المعلومة 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 عن أبی عبداللَّه علیه السلام فی رجل معه إناءان، وقع فی أحدهما قذر، ولایری أیّهما هو، ولیس یقدر علی ماء غیرهما،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جمیعاًویتیمّم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دلالة هذه الطائفة علی المقصود لعدم جریان الاصول النافیة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مقتضی القاعدة والروایات العامّة وکذلک مقتضی بعض الروایات الخاصّة حرمة المخالفة القطعیّة والاحتمالیّة معاً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موردها الشبهات التحریمیّة، ولکن یستفاد منها حرمة المخالفة فی الشبهات الوجوبیّة أیضاً بإلغاء الخصوصیّة</w:t>
      </w:r>
      <w:r>
        <w:rPr>
          <w:rFonts w:eastAsia="IRNazanin" w:cs="IRNazanin"/>
          <w:color w:val="111111"/>
          <w:sz w:val="28"/>
          <w:szCs w:val="28"/>
          <w:rtl w:val="true"/>
          <w:lang w:bidi="fa-IR"/>
        </w:rPr>
        <w:t>.</w:t>
      </w:r>
      <w:bookmarkStart w:id="491" w:name="pg16922_187728"/>
    </w:p>
    <w:p>
      <w:pPr>
        <w:pStyle w:val="Heading5"/>
        <w:numPr>
          <w:ilvl w:val="4"/>
          <w:numId w:val="1"/>
        </w:numPr>
        <w:rPr/>
      </w:pPr>
      <w:bookmarkStart w:id="492" w:name="__RefHeading___Toc141949_3244359995"/>
      <w:bookmarkStart w:id="493" w:name="_Toc188"/>
      <w:bookmarkEnd w:id="491"/>
      <w:bookmarkEnd w:id="492"/>
      <w:r>
        <w:rPr>
          <w:rtl w:val="true"/>
        </w:rPr>
        <w:t>تنبیهات</w:t>
      </w:r>
      <w:r>
        <w:rPr>
          <w:rtl w:val="true"/>
        </w:rPr>
        <w:t>:</w:t>
      </w:r>
      <w:bookmarkEnd w:id="493"/>
    </w:p>
    <w:p>
      <w:pPr>
        <w:pStyle w:val="Heading6"/>
        <w:numPr>
          <w:ilvl w:val="5"/>
          <w:numId w:val="1"/>
        </w:numPr>
        <w:rPr/>
      </w:pPr>
      <w:bookmarkStart w:id="494" w:name="__RefHeading___Toc141951_3244359995"/>
      <w:bookmarkStart w:id="495" w:name="_Toc189"/>
      <w:bookmarkEnd w:id="494"/>
      <w:r>
        <w:rPr/>
        <w:t>1</w:t>
      </w:r>
      <w:r>
        <w:rPr>
          <w:rtl w:val="true"/>
        </w:rPr>
        <w:t xml:space="preserve">. </w:t>
      </w:r>
      <w:r>
        <w:rPr>
          <w:rtl w:val="true"/>
        </w:rPr>
        <w:t>الاضطرار إلی بعض الأطراف</w:t>
      </w:r>
      <w:bookmarkEnd w:id="495"/>
    </w:p>
    <w:p>
      <w:pPr>
        <w:pStyle w:val="Heading6"/>
        <w:numPr>
          <w:ilvl w:val="5"/>
          <w:numId w:val="1"/>
        </w:numPr>
        <w:rPr/>
      </w:pPr>
      <w:bookmarkStart w:id="496" w:name="__RefHeading___Toc141953_3244359995"/>
      <w:bookmarkStart w:id="497" w:name="_Toc190"/>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هل الاضطرار إلی أحد الأطراف یوجب انحلال العلم الإجمالی، أو لا؟</w:t>
      </w:r>
    </w:p>
    <w:p>
      <w:pPr>
        <w:pStyle w:val="BookText"/>
        <w:rPr/>
      </w:pPr>
      <w:r>
        <w:rPr>
          <w:rFonts w:ascii="Amiri" w:hAnsi="Amiri" w:eastAsia="Amiri" w:cs="Amiri"/>
          <w:color w:val="111111"/>
          <w:sz w:val="28"/>
          <w:sz w:val="28"/>
          <w:szCs w:val="28"/>
          <w:rtl w:val="true"/>
          <w:lang w:bidi="ar-SA"/>
        </w:rPr>
        <w:t>وللمسألة أربع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الاضطرار إلی واحد معیّن، کما إذا علم بوقوع النجاسة فی واحد من إناءین أحدهما عذب، والثانی ملح، واضطرّ إلی شرب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الاضطرار إلی واحد غیر معیّن کما إذا کانا معاً من 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منهما إمّا یحصل الاضطرار بعد حصول العلم الإجمالی وإمّا یحصل قبله أو معه، فتکون الصور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المسألة أربعة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الاضطرار موجب لانحلال العلم الإجمالی مطلقاً، وهو مختار المحقّق الخراسانی رحمه الله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حصل الاضطرار إلی واحد معیّن بعد طروء العلم الإجمالی، وبین ثلاث صور اخری بوجوب الاحتیاط فی الأوّل دون الثانی، وقد استفید هذا أیضاً من بعض کلمات المحقّق الخراسانی رحمه الله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حصل الاضطرار إلی واحد معیّن قبل العلم الإجمالی وبین ثلاث صور اخری بوجوب الاحتیاط فی الثانی دون الأوّل، وهو مختار شیخنا الأعظم رحمه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صورتی حصول الإضطرار بعد العلم الإجمالی وبین صورتی حصوله قبله أو معه، بوجوب الاحتیاط فی الأوّل دون الثانی</w:t>
      </w:r>
      <w:r>
        <w:rPr>
          <w:rFonts w:eastAsia="IRNazanin" w:cs="IRNazanin"/>
          <w:color w:val="111111"/>
          <w:sz w:val="28"/>
          <w:szCs w:val="28"/>
          <w:rtl w:val="true"/>
          <w:lang w:bidi="fa-IR"/>
        </w:rPr>
        <w:t>.</w:t>
      </w:r>
      <w:bookmarkStart w:id="498" w:name="pg16922_187729"/>
    </w:p>
    <w:p>
      <w:pPr>
        <w:pStyle w:val="Heading6"/>
        <w:numPr>
          <w:ilvl w:val="5"/>
          <w:numId w:val="1"/>
        </w:numPr>
        <w:rPr/>
      </w:pPr>
      <w:bookmarkStart w:id="499" w:name="__RefHeading___Toc141955_3244359995"/>
      <w:bookmarkStart w:id="500" w:name="_Toc191"/>
      <w:bookmarkEnd w:id="498"/>
      <w:bookmarkEnd w:id="499"/>
      <w:r>
        <w:rPr>
          <w:rtl w:val="true"/>
        </w:rPr>
        <w:t>بیان المختار فی المسألة</w:t>
      </w:r>
      <w:bookmarkEnd w:id="500"/>
    </w:p>
    <w:p>
      <w:pPr>
        <w:pStyle w:val="BookText"/>
        <w:rPr/>
      </w:pPr>
      <w:r>
        <w:rPr>
          <w:rFonts w:ascii="IRNazanin" w:hAnsi="IRNazanin" w:eastAsia="IRNazanin"/>
          <w:color w:val="111111"/>
          <w:sz w:val="28"/>
          <w:sz w:val="28"/>
          <w:szCs w:val="28"/>
          <w:rtl w:val="true"/>
          <w:lang w:bidi="fa-IR"/>
        </w:rPr>
        <w:t>والصحیح من بین الوجوه هو الوجه الرابع، وهو التفصیل بین صورتی طروء الاضطرار بعد العلم الإجمالی وبین صورتی حصوله قبله، والدلیل علیه أنّ العلم الإجمالی إذا تعلّق بحکم فعلی علی کلّ حال یکون مؤثّراً بلا شبهة، ففی ما إذا حصل الاضطرار قبل العلم الإجمالی فحیث إنّا نحتمل تعلّقه بالنجس الواقعی فی مثال الإناءین المعلومة نجاسة أحدهما فلا إشکال فی أنّ شکّنا فی نجاسة غیر المضطرّ إلیه بدوی یکون المرجع فیه أصالة البراءة سواء کان الاضطرار إلی أحدهما المعیّن أو إلی أحدهما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إلی أحدهما غیر المعیّن یجتمع مع التکلیف الواقعی ولا مزاحمة بینهما لإمکان رفع الاضطرار بغیر متعلّق التکلیف مع قطع النظر عن العلم والجهل الطارئ، بل لولا الجهل بنفس متعلّق التکلیف لکان یتعیّن رفع الاضطرار بغیره فالاضطرار إلی غیر المعیّن قبل العلم بالتکلیف کلا اضطرار لا یوجب التصرّف فی الواقع ولا یصادم متعلّق التکلیف ولا تقع المزاحمة بینهما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الاضطرار بالإناء الطاهر واقعاً یتوقّف علی العلم بالنجس الواقعی بعینه حتّی یمکن الجمع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خارج عن محلّ البحث؛ لأنّ محلّ البحث هو ما إذا کان الواقع مجهولًا واحتمل انطباق ما یختاره علی النجس الواقعی، وحینئذٍ لا علم لنا بما یکون فعلیاً علی کلّ تقدیر، بل المعلوم هو ما یکون فعلیاً علی تقدیر عدم تعلّق الاختیار بالنجس الواقعی وغیر فعلی علی تقدیر تعلّق الاختیار بما هو طاهر واقعاً، وتکون النتیجة حینئذٍ عدم العلم بحکم فعلی علی کلّ تقدیر، فیصیر المورد مجری أصالة البراءة والحلّیة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طرأ الاضطرار قبل العلم الإجمالی، وأمّا إذا حصل بعده فیجب</w:t>
      </w:r>
      <w:bookmarkStart w:id="501" w:name="pg16922_187730"/>
    </w:p>
    <w:p>
      <w:pPr>
        <w:pStyle w:val="BookText"/>
        <w:rPr/>
      </w:pPr>
      <w:bookmarkEnd w:id="501"/>
      <w:r>
        <w:rPr>
          <w:rFonts w:ascii="IRNazanin" w:hAnsi="IRNazanin" w:eastAsia="IRNazanin"/>
          <w:color w:val="111111"/>
          <w:sz w:val="28"/>
          <w:sz w:val="28"/>
          <w:szCs w:val="28"/>
          <w:rtl w:val="true"/>
          <w:lang w:bidi="fa-IR"/>
        </w:rPr>
        <w:t>الاحتیاط مطلقاً أیضاً بالنسبة إلی غیر المضطرّ إلیه لتساقط الاصول المرخّصة الجاریة فی الأطراف قبل حصول الاضطرار بالتعارض أو عدم جریانها للتناقض فی مدلولها، فلا مجال لجریانها بعد حصوله لما ثبت فی محلّه من عدم عموم أزمانی لها، فلیس المراد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مثلًا هو الرفع فی کلّ ساعة وکلّ یوم، وإلّا یلزم جواز إعدام أحد أطراف العلم الإجمالی فی الغنم الموطوءة مثلًا وإجراء الاصول المؤمّنة فی سائر الأطراف بلا معارض، وکذلک کان الجائز أن یقول الإمام علیه السلام فی حدیث الإهراق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 أحدهما ویتوضّأ من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یلزم جواز إسقاط کلّ علم إجمالی عن الأثر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ضعف سائر الأقوال فلا نحتاج إلی مزید بیان</w:t>
      </w:r>
      <w:r>
        <w:rPr>
          <w:rFonts w:eastAsia="IRNazanin" w:cs="IRNazanin"/>
          <w:color w:val="111111"/>
          <w:sz w:val="28"/>
          <w:szCs w:val="28"/>
          <w:rtl w:val="true"/>
          <w:lang w:bidi="fa-IR"/>
        </w:rPr>
        <w:t>.</w:t>
      </w:r>
    </w:p>
    <w:p>
      <w:pPr>
        <w:pStyle w:val="Heading6"/>
        <w:numPr>
          <w:ilvl w:val="5"/>
          <w:numId w:val="1"/>
        </w:numPr>
        <w:rPr/>
      </w:pPr>
      <w:bookmarkStart w:id="502" w:name="__RefHeading___Toc141957_3244359995"/>
      <w:bookmarkStart w:id="503" w:name="_Toc192"/>
      <w:bookmarkEnd w:id="502"/>
      <w:r>
        <w:rPr/>
        <w:t>2</w:t>
      </w:r>
      <w:r>
        <w:rPr>
          <w:rtl w:val="true"/>
        </w:rPr>
        <w:t xml:space="preserve">. </w:t>
      </w:r>
      <w:r>
        <w:rPr>
          <w:rtl w:val="true"/>
        </w:rPr>
        <w:t>خروج بعض الأطراف عن محلّ الابتلاء</w:t>
      </w:r>
      <w:bookmarkEnd w:id="503"/>
    </w:p>
    <w:p>
      <w:pPr>
        <w:pStyle w:val="Heading6"/>
        <w:numPr>
          <w:ilvl w:val="5"/>
          <w:numId w:val="1"/>
        </w:numPr>
        <w:rPr/>
      </w:pPr>
      <w:bookmarkStart w:id="504" w:name="__RefHeading___Toc141959_3244359995"/>
      <w:bookmarkStart w:id="505" w:name="_Toc193"/>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المعروف بین المتأخّرین أنّ العلم الإجمالی إنّما یؤثّر فیما إذا کانت جمیع الأطراف محلًاّ للابتلاء، وإلّا فلا أثر له کما إذا علم المکلّف بإصابة قطرة دم إمّا بثوبه أو بثوب بعض المارّة الذی لا صلة بینه وبین المکلّف أبداً ولا یبتلی بثوبه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البحث فی أنّ خروج طرف عن محلّ الابتلاء هل یکون سبباً لعدم وجوب الاجتناب عن سائر الأطراف أو لا؟</w:t>
      </w:r>
    </w:p>
    <w:p>
      <w:pPr>
        <w:pStyle w:val="BookText"/>
        <w:rPr/>
      </w:pPr>
      <w:r>
        <w:rPr>
          <w:rFonts w:ascii="IRNazanin" w:hAnsi="IRNazanin" w:eastAsia="IRNazanin"/>
          <w:color w:val="111111"/>
          <w:sz w:val="28"/>
          <w:sz w:val="28"/>
          <w:szCs w:val="28"/>
          <w:rtl w:val="true"/>
          <w:lang w:bidi="fa-IR"/>
        </w:rPr>
        <w:t>وحاصل کلمات الأعلام مع ما فیها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إنّما یجب امتثاله إذا تحقّق شرائط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بحدوث تکلیف جدید، فیعتبر فی تأثیر العلم الإجمالی فی التنجّز أن لا یکون أحد أطرافه علی فرض انطباق المعلوم بالإجمال علیه ممّا لا یترتّب علیه أثر شرعی ولا یحدث بسببه تکلیف إلهی، کما إذا علم إجمالًا بوقوع قطرة من البول فی أحد إناءین أحدهما متنجّس بالبول؛ لعدم العلم حینئذٍ بحدوث تکلیف جدید</w:t>
      </w:r>
      <w:bookmarkStart w:id="506" w:name="pg16922_187731"/>
    </w:p>
    <w:p>
      <w:pPr>
        <w:pStyle w:val="BookText"/>
        <w:rPr/>
      </w:pPr>
      <w:bookmarkEnd w:id="506"/>
      <w:r>
        <w:rPr>
          <w:rFonts w:ascii="IRNazanin" w:hAnsi="IRNazanin" w:eastAsia="IRNazanin"/>
          <w:color w:val="111111"/>
          <w:sz w:val="28"/>
          <w:sz w:val="28"/>
          <w:szCs w:val="28"/>
          <w:rtl w:val="true"/>
          <w:lang w:bidi="fa-IR"/>
        </w:rPr>
        <w:t>بالاجتناب عن ملاقی هذه القطرة، إذ لو کان ملاقیها هو الإناء النجس لم یحدث بسببه تکلیف بالاجتناب أصلًا، فالشکّ فی التکلیف بالاجتناب عن الآخر شکّ 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التکلیف فعلیاً من جمیع الجهات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المکلّف به ممّا یکون العبد قادراً بإتیانه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انقداح الإرادة فی العبد، فلو کان متعلّق التکلیف ممّا لا یریده العبد أبداً ویکون متروکاً له بحیث لا ینقدح فی نفسه داعٍ إلیه کان النهی عنه مستهجناً عرفاً وتحصیلًا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نحن فیه وإن کانت الشرائط الثلاثة الاولی حاصلة إلّاأنّ الشرط الأخیر غیر موجود؛ لأنّه بعد فرض خروج أحد الأطراف عن ابتلاء المکلّف لا ینقدح فی نفسه داعٍ إلیه، فلا حاجة إلی نهیه وزجره ولا یکون التکلیف بالنسبة إلیه فعلیاً، فیکون الشکّ بالنسبة إلی الطرف الآخر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الأصل الموجب للأمن من العقاب فی الطرف المبتلی به من دون معارض نظیر الشبهات البدویة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الفرق بین ما إذا خرج المورد عن الابتلاء قبل حصول العلم الإجمالی وما إذا خرج بعده، حیث إنّه فی القسم الثانی قد جری الأصل فی کلّ من الطرفین قبل حصول العلم الإجمالی وتساقط الأصلان أو لم تجر الاصول فیها للتناقض فی مدلولها علی اختلاف القولین فی المسألة، ولا معنی لجریانه ثانیاً بعد الخروج عن محلّ الابتلاء فیجب حینئذٍ الاجتناب عن الطرف المبتلی به</w:t>
      </w:r>
      <w:r>
        <w:rPr>
          <w:rFonts w:eastAsia="IRNazanin" w:cs="IRNazanin"/>
          <w:color w:val="111111"/>
          <w:sz w:val="28"/>
          <w:szCs w:val="28"/>
          <w:rtl w:val="true"/>
          <w:lang w:bidi="fa-IR"/>
        </w:rPr>
        <w:t>.</w:t>
      </w:r>
    </w:p>
    <w:p>
      <w:pPr>
        <w:pStyle w:val="Heading6"/>
        <w:numPr>
          <w:ilvl w:val="5"/>
          <w:numId w:val="1"/>
        </w:numPr>
        <w:rPr/>
      </w:pPr>
      <w:bookmarkStart w:id="507" w:name="__RefHeading___Toc141961_3244359995"/>
      <w:bookmarkStart w:id="508" w:name="_Toc194"/>
      <w:bookmarkEnd w:id="507"/>
      <w:r>
        <w:rPr>
          <w:rtl w:val="true"/>
        </w:rPr>
        <w:t>بقی هنا شی‌ء</w:t>
      </w:r>
      <w:r>
        <w:rPr>
          <w:rtl w:val="true"/>
        </w:rPr>
        <w:t>:</w:t>
      </w:r>
      <w:bookmarkEnd w:id="5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شیخنا الأعظم الأنصاری رحمه الله فی المقام بروایة دم الرعاف المعروفة وهی ما رواه علی بن جعفر علیه السلام عن أخیه أبی الحسن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 یصلح له</w:t>
      </w:r>
    </w:p>
    <w:p>
      <w:pPr>
        <w:pStyle w:val="BookText"/>
        <w:rPr/>
      </w:pPr>
      <w:r>
        <w:rPr>
          <w:rFonts w:ascii="IRNazanin" w:hAnsi="IRNazanin" w:eastAsia="IRNazanin"/>
          <w:color w:val="111111"/>
          <w:sz w:val="28"/>
          <w:sz w:val="28"/>
          <w:szCs w:val="28"/>
          <w:rtl w:val="true"/>
          <w:lang w:bidi="fa-IR"/>
        </w:rPr>
        <w:t>الوضوء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 فلا بأس وإن کان شیئاً بیّناً فلا تتوضّأ منه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إنّ مقتضی ظاهر الروایة کما التزم به شیخ الطائفة رحمه الله </w:t>
      </w:r>
      <w:r>
        <w:rPr>
          <w:rStyle w:val="FootnoteAnchor"/>
          <w:rtl w:val="true"/>
        </w:rPr>
        <w:footnoteReference w:id="292"/>
      </w:r>
      <w:r>
        <w:rPr>
          <w:rFonts w:ascii="IRNazanin" w:hAnsi="IRNazanin" w:eastAsia="IRNazanin"/>
          <w:color w:val="111111"/>
          <w:sz w:val="28"/>
          <w:sz w:val="28"/>
          <w:szCs w:val="28"/>
          <w:rtl w:val="true"/>
          <w:lang w:bidi="fa-IR"/>
        </w:rPr>
        <w:t>عدم تنجّس الماء بالدم القلیل، وقع مشهور الفقهاء القائلون بعدم الفرق بین القلیل والکثیر فی مقام توجیه هذه الروایة فی حیص وبیص وذکروا لها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سندها لوجود بعض المجاهیل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بالمنع عن وجود الضعف فی طریق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أیضاً بأنّ صاحب الوسائل رواها عن کتاب علی بن جعفر، والظاهر أنّ کتابه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بین الاستبانة وعدم الاستبانة فیها إشارة إلی صورة العلم وصورة الشکّ فلم تأت هذه الروایة بشی‌ء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خلاف ظاهرها وخلاف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أنّ أصل الإصابة معلوم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فی صورة عدم الاستبانة هو الأجزاء الصغیرة من الدم الّتی لا تری بغیر المنظار کالأجزاء البولیة الصغار الموجودة فی البخار الحاصل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أیضاً خلاف الظاهر من الروایة وخلاف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إناءه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الشیخ الأنصاری رحمه الله نفسه وهو أنّ إصابة الإناء فی هذه الروایة لا یستلزم إصابة الماء فالمراد أنّه مع عدم تبیّن شی‌ء فی الماء یحکم بطهارته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أیضاً خلاف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w:t>
      </w:r>
      <w:bookmarkStart w:id="509" w:name="pg16922_187733"/>
    </w:p>
    <w:p>
      <w:pPr>
        <w:pStyle w:val="BookText"/>
        <w:rPr/>
      </w:pPr>
      <w:bookmarkEnd w:id="509"/>
      <w:r>
        <w:rPr>
          <w:rFonts w:ascii="IRNazanin" w:hAnsi="IRNazanin" w:eastAsia="IRNazanin"/>
          <w:color w:val="111111"/>
          <w:sz w:val="28"/>
          <w:sz w:val="28"/>
          <w:szCs w:val="28"/>
          <w:rtl w:val="true"/>
          <w:lang w:bidi="fa-IR"/>
        </w:rPr>
        <w:t xml:space="preserve">إصابة الإناء کنایة عن إصابة ماء الإناء کما أنّ إهراق الإناء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 کنایة عن إهراق الماء بلا ریب، والشاهد علی ذلک التعبیر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أصل الإصابة بالماء أمر مفروغ عنه والکلام فی الاستبانة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دوران الأمر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الالتزام بظاهر الروایة والقول بعدم تنجیس النجاسة القلیلة کما فعله شیخ الطائفة رحمه الله أو الإکتفاء فی رفع الید عنها بإعراض الأصحاب حیث إنّ عدم وجود فرق بین الأجزاء الصغار وغیر الصغار مشهور بشهرة عظیمة تشبه الإجماع، ولولاها لأمکن الفتوی بمثل فتوی شیخ الطائفة رحمه الله</w:t>
      </w:r>
      <w:r>
        <w:rPr>
          <w:rFonts w:eastAsia="IRNazanin" w:cs="IRNazanin"/>
          <w:color w:val="111111"/>
          <w:sz w:val="28"/>
          <w:szCs w:val="28"/>
          <w:rtl w:val="true"/>
          <w:lang w:bidi="fa-IR"/>
        </w:rPr>
        <w:t>.</w:t>
      </w:r>
    </w:p>
    <w:p>
      <w:pPr>
        <w:pStyle w:val="Heading6"/>
        <w:numPr>
          <w:ilvl w:val="5"/>
          <w:numId w:val="1"/>
        </w:numPr>
        <w:rPr/>
      </w:pPr>
      <w:bookmarkStart w:id="510" w:name="__RefHeading___Toc141963_3244359995"/>
      <w:bookmarkStart w:id="511" w:name="_Toc195"/>
      <w:bookmarkEnd w:id="510"/>
      <w:r>
        <w:rPr>
          <w:rtl w:val="true"/>
        </w:rPr>
        <w:t>حکم الشکّ فی الخروج عن محلّ الابتلاء</w:t>
      </w:r>
      <w:bookmarkEnd w:id="511"/>
    </w:p>
    <w:p>
      <w:pPr>
        <w:pStyle w:val="BookText"/>
        <w:rPr/>
      </w:pPr>
      <w:r>
        <w:rPr>
          <w:rFonts w:ascii="IRNazanin" w:hAnsi="IRNazanin" w:eastAsia="IRNazanin"/>
          <w:color w:val="111111"/>
          <w:sz w:val="28"/>
          <w:sz w:val="28"/>
          <w:szCs w:val="28"/>
          <w:rtl w:val="true"/>
          <w:lang w:bidi="fa-IR"/>
        </w:rPr>
        <w:t>ولابدّ قبل البحث عنه من تعیین ما هو المعیار فی کون الشی‌ء محلًاّ للابتلاء، فإنّه یختلف باختلاف الأدلّة وقد عرفت أنّ المختار فی هذا المقام هو أن یکون الخطاب الفعلی مستهجناً وتحصیلًا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بین الشیخ الأعظم والمحقّق الخراسانی رحمه الله فی الأصل العملی الجاری عند الشکّ فی الخروج عن محلّ الابتلاء فاختار الشیخ أصالة الاحتیاط وذهب المحقّق الخراسانی رحمه الله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الشیخ رحمه الله بأنّ الخطاب بالاجتناب عن المحرّمات مطلقة غیر معلّقة، والمعلوم تقییدها بالابتلاء فی موضع العلم بتقبیح العرف توجیهها، وأمّا إذا شکّ فی قبح التنجیز فیرجع فیه إلی الإطلاقات؛ لأنّ مرجع المسألة إلی أنّ المطلق المقیّد بقید مشکوک التحقّق فی بعض الموارد لتعذّر ضبط مفهومه هل یجوز التمسّک به أو لا؟ والأقوی الجواز</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المحقّق الخراسانی رحمه الله إلی أنّ المرجع فی صورة الشکّ فی الابتلاء إنّما</w:t>
      </w:r>
      <w:bookmarkStart w:id="512" w:name="pg16922_187734"/>
    </w:p>
    <w:p>
      <w:pPr>
        <w:pStyle w:val="BookText"/>
        <w:rPr/>
      </w:pPr>
      <w:bookmarkEnd w:id="512"/>
      <w:r>
        <w:rPr>
          <w:rFonts w:ascii="IRNazanin" w:hAnsi="IRNazanin" w:eastAsia="IRNazanin"/>
          <w:color w:val="111111"/>
          <w:sz w:val="28"/>
          <w:sz w:val="28"/>
          <w:szCs w:val="28"/>
          <w:rtl w:val="true"/>
          <w:lang w:bidi="fa-IR"/>
        </w:rPr>
        <w:t>هو البراءة لا إطلاق الخطاب؛ لعدم إحراز أصل الاشتغال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ما أفاده فی توجیه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بالإطلاق منوط بإحراز صحّة إطلاق الخطاب ثبوتاً فی مشکوک القیدیة وکون الشکّ متمحّضاً فی مطابقة الإطلاق للواقع، وأمّا إذا کان القید ممّا لا یصحّ الخطاب بدونه کالقدرة العقلیّة أو العادیة الّتی منها الابتلاء، فلا معنی للتمسّک بالإطلاق فی مرحلة الإثبات لعدم إمکان الإطلاق فی مقام الثبوت بعد اعتبار القدرة فی التکلیف حتّی یستکشف بالإطلاق فی مقام الإثبات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ما ذهب إلیه الشیخ الأعظم رحمه الله لأنّ کثیراً من موارد الشکّ فی الابتلاء ترجع إلی الشکّ فی القدرة، وبناء العقلاء فی موارد الشکّ فی القدرة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یمکن لنا کشف فعلیّة الخطاب وشموله لمورد الشکّ فی الابتلاء من نفس الإطلاق بضمیمة حکمة المولی الحکیم فإنّ توجیه الخطاب إلی شخص إمّا بخصوصه أو بالعموم، دلیل علی عدم کونه تحصیلًا للحاصل لما علم من کون المتکلّم حکیماً، ولیس هذا من التمسّک بعموم العامّ فی الشبهات المصداقیة للمخصّص الممنوع فی محلّه</w:t>
      </w:r>
      <w:r>
        <w:rPr>
          <w:rFonts w:eastAsia="IRNazanin" w:cs="IRNazanin"/>
          <w:color w:val="111111"/>
          <w:sz w:val="28"/>
          <w:szCs w:val="28"/>
          <w:rtl w:val="true"/>
          <w:lang w:bidi="fa-IR"/>
        </w:rPr>
        <w:t>.</w:t>
      </w:r>
    </w:p>
    <w:p>
      <w:pPr>
        <w:pStyle w:val="Heading6"/>
        <w:numPr>
          <w:ilvl w:val="5"/>
          <w:numId w:val="1"/>
        </w:numPr>
        <w:rPr/>
      </w:pPr>
      <w:bookmarkStart w:id="513" w:name="__RefHeading___Toc141965_3244359995"/>
      <w:bookmarkStart w:id="514" w:name="_Toc196"/>
      <w:bookmarkEnd w:id="513"/>
      <w:r>
        <w:rPr/>
        <w:t>3</w:t>
      </w:r>
      <w:r>
        <w:rPr>
          <w:rtl w:val="true"/>
        </w:rPr>
        <w:t xml:space="preserve">. </w:t>
      </w:r>
      <w:r>
        <w:rPr>
          <w:rtl w:val="true"/>
        </w:rPr>
        <w:t>وجه عدم جریان الاصول فی أطراف العلم الإجمالی</w:t>
      </w:r>
      <w:bookmarkEnd w:id="514"/>
    </w:p>
    <w:p>
      <w:pPr>
        <w:pStyle w:val="BookText"/>
        <w:rPr/>
      </w:pPr>
      <w:r>
        <w:rPr>
          <w:rFonts w:ascii="IRNazanin" w:hAnsi="IRNazanin" w:eastAsia="IRNazanin"/>
          <w:color w:val="111111"/>
          <w:sz w:val="28"/>
          <w:sz w:val="28"/>
          <w:szCs w:val="28"/>
          <w:rtl w:val="true"/>
          <w:lang w:bidi="fa-IR"/>
        </w:rPr>
        <w:t>هل الإشکال فی عدم المقتضی لجریان أدلّة الاصول المرخّصة فی أطراف العلم الإجمالی، أو الإشکال فی وجود المانع؟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القائلون بعدم جریانها رأساً بأنّ جریانها یستلزم التناقض بین صدر أدلّتها وذیلها، حیث إنّ مقتضی صدر دلیل حجّیة الاستصحاب مثلًا وهو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شمولها لکلّ واحد من الطرفین وهذا یناقض مع ذیله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الإجمالی قسم من الیقین فیکون نقض الیقین السابق بیقین آخر لا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دلیل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تعلم أنّه حرام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لأنّ صدره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لکلّ واحد من الطرفین، مع أنّ ذیله یشمل الحرام المعلوم إجمالًا فیلزم التناقض بینه وبین ذیله وهو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العلم فیه أعمّ من العلم التفصیلی والعلم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القائلون بشمول إطلاقات أدلّة الاصول لهما ثمّ تعارضها وتساقطها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عدّة من الروایات الّتی لا یکون لها هذا الذیل وتکون مطلقة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التذییل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تنقضه بیقین آخر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وکقوله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أدلّة البراءة، وعدم شمول ما هو مذیّل بهذا الذیل لا یمنع عن شمول ما لیس فیه هذا الذیل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کون العلم المأخوذ فی الذیل ظاهراً فی العلم التفصیلی، وهو واضح فیما یکون مقیّداً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لا یوجد فیه هذا القید یکون الضمیر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العلم التفصیلی، وحینئذٍ یکون المقتضی للرخصة موجوداً وإنّما الکلام فی وجود المانع وهو العلم بکذب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المخالفة القطعیّة فتتساقط بحکم العقل بعد جریانها</w:t>
      </w:r>
      <w:r>
        <w:rPr>
          <w:rFonts w:eastAsia="IRNazanin" w:cs="IRNazanin"/>
          <w:color w:val="111111"/>
          <w:sz w:val="28"/>
          <w:szCs w:val="28"/>
          <w:rtl w:val="true"/>
          <w:lang w:bidi="fa-IR"/>
        </w:rPr>
        <w:t>.</w:t>
      </w:r>
      <w:bookmarkStart w:id="515" w:name="pg16922_187736"/>
    </w:p>
    <w:p>
      <w:pPr>
        <w:pStyle w:val="BookText"/>
        <w:rPr/>
      </w:pPr>
      <w:bookmarkEnd w:id="515"/>
      <w:r>
        <w:rPr>
          <w:rFonts w:ascii="IRNazanin" w:hAnsi="IRNazanin" w:eastAsia="IRNazanin"/>
          <w:color w:val="111111"/>
          <w:sz w:val="28"/>
          <w:sz w:val="28"/>
          <w:szCs w:val="28"/>
          <w:rtl w:val="true"/>
          <w:lang w:bidi="fa-IR"/>
        </w:rPr>
        <w:t xml:space="preserve">والصحیح هو القول الثانی؛ لأنّ الغایة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الروایات إنّما هو العلم التفصیلی إمّا لظاهر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لظاهر الضمیر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مرّ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الاصول المرخّصة منصرفة عن موارد العلم الإجمالی وناظرة إلی الشبهات البدویة أو الشبهات غیر المحصورة کما مرّ فی روایات الجبن</w:t>
      </w:r>
      <w:r>
        <w:rPr>
          <w:rFonts w:eastAsia="IRNazanin" w:cs="IRNazanin"/>
          <w:color w:val="111111"/>
          <w:sz w:val="28"/>
          <w:szCs w:val="28"/>
          <w:rtl w:val="true"/>
          <w:lang w:bidi="fa-IR"/>
        </w:rPr>
        <w:t>.</w:t>
      </w:r>
    </w:p>
    <w:p>
      <w:pPr>
        <w:pStyle w:val="Heading6"/>
        <w:numPr>
          <w:ilvl w:val="5"/>
          <w:numId w:val="1"/>
        </w:numPr>
        <w:rPr/>
      </w:pPr>
      <w:bookmarkStart w:id="516" w:name="__RefHeading___Toc141967_3244359995"/>
      <w:bookmarkStart w:id="517" w:name="_Toc197"/>
      <w:bookmarkEnd w:id="516"/>
      <w:r>
        <w:rPr/>
        <w:t>4</w:t>
      </w:r>
      <w:r>
        <w:rPr>
          <w:rtl w:val="true"/>
        </w:rPr>
        <w:t xml:space="preserve">. </w:t>
      </w:r>
      <w:r>
        <w:rPr>
          <w:rtl w:val="true"/>
        </w:rPr>
        <w:t xml:space="preserve">الفرق بین الشبهات </w:t>
      </w:r>
      <w:r>
        <w:rPr>
          <w:rtl w:val="true"/>
        </w:rPr>
        <w:t>«</w:t>
      </w:r>
      <w:r>
        <w:rPr>
          <w:rtl w:val="true"/>
        </w:rPr>
        <w:t>المحصورة</w:t>
      </w:r>
      <w:r>
        <w:rPr>
          <w:rtl w:val="true"/>
        </w:rPr>
        <w:t xml:space="preserve">» </w:t>
      </w:r>
      <w:r>
        <w:rPr>
          <w:rtl w:val="true"/>
        </w:rPr>
        <w:t xml:space="preserve">و </w:t>
      </w:r>
      <w:r>
        <w:rPr>
          <w:rtl w:val="true"/>
        </w:rPr>
        <w:t>«</w:t>
      </w:r>
      <w:r>
        <w:rPr>
          <w:rtl w:val="true"/>
        </w:rPr>
        <w:t>غیر المحصورة</w:t>
      </w:r>
      <w:r>
        <w:rPr>
          <w:rtl w:val="true"/>
        </w:rPr>
        <w:t>»</w:t>
      </w:r>
      <w:bookmarkEnd w:id="517"/>
    </w:p>
    <w:p>
      <w:pPr>
        <w:pStyle w:val="Heading6"/>
        <w:numPr>
          <w:ilvl w:val="5"/>
          <w:numId w:val="1"/>
        </w:numPr>
        <w:rPr/>
      </w:pPr>
      <w:bookmarkStart w:id="518" w:name="__RefHeading___Toc141969_3244359995"/>
      <w:bookmarkStart w:id="519" w:name="_Toc198"/>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قد أشار المحقّق الخراسانی رحمه الله إلی هذه المسألة بغیر اهتمام یلیق بها، وقال بعدم الفرق بین الشبهتین مع فعلیّة التکلیف المعلوم بالإجمال، فالمدار فی تنجّز العلم الإجمالی إنّما هو فعلیّة التکلیف لا قلّة أطرافها، نعم ربّما تکون کثرة الأطراف فی مورد موجبة لعسر أو ضرر أو غیرهما ممّا لا یکون معه التکلیف فعلیاً فلا یجب الاحتیاط حینئذٍ، لکن یمکن طروء هذه الموانع فی الشبهة المحصورة أیضاً فلا خصوصیّة لعدم انحصار أطراف الشبهة فی عدم وجوب الاحتیاط</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الشیخ الأعظم الأنصاری رحمه الله قد بحث عنها بحثاً مشروحاً وذهب إلی عدم وجوب الاحتیاط فیها من ناحیة کثرة الأطراف، وتبعه غیره من الأعلام </w:t>
      </w:r>
      <w:r>
        <w:rPr>
          <w:rStyle w:val="FootnoteAnchor"/>
          <w:rtl w:val="true"/>
        </w:rPr>
        <w:footnoteReference w:id="300"/>
      </w:r>
      <w:r>
        <w:rPr>
          <w:rFonts w:ascii="IRNazanin" w:hAnsi="IRNazanin" w:eastAsia="IRNazanin"/>
          <w:color w:val="111111"/>
          <w:sz w:val="28"/>
          <w:sz w:val="28"/>
          <w:szCs w:val="28"/>
          <w:rtl w:val="true"/>
          <w:lang w:bidi="fa-IR"/>
        </w:rPr>
        <w:t>، فالمسألة حینئذٍ ذات قولین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هنا فی وجوب الاحتیاط وعدمه مع عدم وجود العناوین الثانویة ویدلّ علی العدم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علی حدّ الاستفاضة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إمکان حجّیة الإجماع فی اصول الفقه فی مثل هذه المسألة؛ لأنّ ملاک الحجّیة وهو الکشف عن قول المعصوم علیه السلام جارٍ فیها أیضاً، لکن الإشکال فی المقام کون الإجماع محتمل المدرک لو لم یکن متیقّنه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العسر والحرج فی أغلب موارد هذه الشبهة لأغلب أفراد</w:t>
      </w:r>
      <w:bookmarkStart w:id="520" w:name="pg16922_187737"/>
    </w:p>
    <w:p>
      <w:pPr>
        <w:pStyle w:val="BookText"/>
        <w:rPr/>
      </w:pPr>
      <w:bookmarkEnd w:id="520"/>
      <w:r>
        <w:rPr>
          <w:rFonts w:ascii="IRNazanin" w:hAnsi="IRNazanin" w:eastAsia="IRNazanin"/>
          <w:color w:val="111111"/>
          <w:sz w:val="28"/>
          <w:sz w:val="28"/>
          <w:szCs w:val="28"/>
          <w:rtl w:val="true"/>
          <w:lang w:bidi="fa-IR"/>
        </w:rPr>
        <w:t>المکلّفین وهو علّة لارتفاع الحکم عن جمیعهم حتّی من لا حرج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قرّر فی محلّه فی البحث عن قاعدة لا حرج أنّ المدار فیها علی العسر والحرج الشخصیین فلا یرتفع الحکم بالنسبة إلی من لا عسر علیه وإن کان واحداً من المائة، مضافاً إلی أنّ العسر من العناوین الثانویة الطارئة، وقد مرّ خروجه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حلّیة کلّ ما لم یعلم حرمته فإنّها بظاهرها وإن عمّت الشبهة المحصورة إلّاأنّ مقتضی الجمع بینها وبین ما دلّ علی وجوب الاجتناب بقول مطلق هو حمل أخبار الرخصة علی غیر المحصور وحمل أخبار المنع علی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جمع تبرعی لا شاهد له، ولا یمکن أن نرفع به الید عن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قطعاً للخمر المعلوم بالإجمال مطلقاً؛ سواء کان ضمن الأطراف المحصورة أو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بضمیمة عدم ردع الشارع، فلا إشکال فی أنّه لو علم شخص أنّه سیحدث ما یوجب قتل واحد من الأفراد فی بلد کبیر جدّاً، لا یمنع هذا العلم عن وروده فی هذه البلدة لاحتمال انطباقه علیه، ولو کانت الحادثة ممّا یوجب ضرراً أقلّ من القتل کان الأمر أوضح، ولذا نعلم دائماً بوقوع الحوادث فی بعض الطرق من السیارات أو الطائرات فی کلّ یوم ولا یمنع هذا العلم أحداً من السفر لکثرة الأطراف وضعف احتمال 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من بین هذه الأدلّة هو الوجه الأخیر؛ أعنی بناء العقلاء علی عدم الاعتناء لضعف الاحتمال بسبب کثرة الأطراف، ویؤیّده الإجماع المتضافر نقله</w:t>
      </w:r>
      <w:r>
        <w:rPr>
          <w:rFonts w:eastAsia="IRNazanin" w:cs="IRNazanin"/>
          <w:color w:val="111111"/>
          <w:sz w:val="28"/>
          <w:szCs w:val="28"/>
          <w:rtl w:val="true"/>
          <w:lang w:bidi="fa-IR"/>
        </w:rPr>
        <w:t>.</w:t>
      </w:r>
    </w:p>
    <w:p>
      <w:pPr>
        <w:pStyle w:val="Heading6"/>
        <w:numPr>
          <w:ilvl w:val="5"/>
          <w:numId w:val="1"/>
        </w:numPr>
        <w:rPr/>
      </w:pPr>
      <w:bookmarkStart w:id="521" w:name="__RefHeading___Toc141971_3244359995"/>
      <w:bookmarkStart w:id="522" w:name="_Toc199"/>
      <w:bookmarkEnd w:id="521"/>
      <w:r>
        <w:rPr>
          <w:rtl w:val="true"/>
        </w:rPr>
        <w:t>بقی هنا أمران</w:t>
      </w:r>
      <w:r>
        <w:rPr>
          <w:rtl w:val="true"/>
        </w:rPr>
        <w:t>:</w:t>
      </w:r>
      <w:bookmarkEnd w:id="522"/>
    </w:p>
    <w:p>
      <w:pPr>
        <w:pStyle w:val="Heading6"/>
        <w:numPr>
          <w:ilvl w:val="5"/>
          <w:numId w:val="1"/>
        </w:numPr>
        <w:rPr/>
      </w:pPr>
      <w:bookmarkStart w:id="523" w:name="__RefHeading___Toc141973_3244359995"/>
      <w:bookmarkStart w:id="524" w:name="_Toc200"/>
      <w:bookmarkEnd w:id="523"/>
      <w:r>
        <w:rPr>
          <w:rtl w:val="true"/>
        </w:rPr>
        <w:t>الأوّل</w:t>
      </w:r>
      <w:r>
        <w:rPr>
          <w:rtl w:val="true"/>
        </w:rPr>
        <w:t xml:space="preserve">: </w:t>
      </w:r>
      <w:r>
        <w:rPr>
          <w:rtl w:val="true"/>
        </w:rPr>
        <w:t>تعیین الضابط فی الشبهة غیر المحصورة وتحدیدها</w:t>
      </w:r>
      <w:bookmarkEnd w:id="5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اختلافه باختلاف الأدلّة المذکورة، فإن کان الدلیل هو الإجماع</w:t>
      </w:r>
      <w:bookmarkStart w:id="525" w:name="pg16922_187738"/>
    </w:p>
    <w:p>
      <w:pPr>
        <w:pStyle w:val="BookText"/>
        <w:rPr/>
      </w:pPr>
      <w:bookmarkEnd w:id="525"/>
      <w:r>
        <w:rPr>
          <w:rFonts w:ascii="IRNazanin" w:hAnsi="IRNazanin" w:eastAsia="IRNazanin"/>
          <w:color w:val="111111"/>
          <w:sz w:val="28"/>
          <w:sz w:val="28"/>
          <w:szCs w:val="28"/>
          <w:rtl w:val="true"/>
          <w:lang w:bidi="fa-IR"/>
        </w:rPr>
        <w:t xml:space="preserve">وکان له معقد لفظی کما إذا کان المعقد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فی تعیین مفهومه من الرجوع إلی العرف، ولعلّ هذا هو مقصود من رأی أنّ الضابط هو صدق مفهوم غیر المحصور عرفاً، وإن لم یکن له معقد خاصّ فلابدّ من الأخذ بالقدر المتیقّن من کلمات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الدلیل لزوم العسر والحرج فیکون الضابط کون کثرة الأطراف بحدّ توجب ذلک، کما إنّه إذا کان الدلیل لزوم خروج بعض الأطراف عن محلّ الابتلاء کان الضابط کون الکثرة بحدّ توجب خروج بعض الأطراف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إذا کان الدلیل روایات الجبن کان الضابط شمول الأطراف لتمام البلد؛ نظراً إلی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إنّی لأعترض السوق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الدلیل ما اخترناه من بناء العقلاء کان المناط هو أن تکون کثرة الأطراف بحدّ توجب ضعف الاحتمال فی کلّ واحد منها بحیث یکون موهوماً بدرجة لا یعتنی العقلاء بذلک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تعدّد الدلیل، أی کان الدلیل علی عدم وجوب الاجتناب عند بعض وجوهاً من الأدلّة المذکورة فلابدّ من الأخذ بالأوسع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تجوز المخالفة القطعیّة فی أطرافها لو أمکن کما هو ظاهر</w:t>
      </w:r>
      <w:r>
        <w:rPr>
          <w:rFonts w:eastAsia="IRNazanin" w:cs="IRNazanin"/>
          <w:color w:val="111111"/>
          <w:sz w:val="28"/>
          <w:szCs w:val="28"/>
          <w:rtl w:val="true"/>
          <w:lang w:bidi="fa-IR"/>
        </w:rPr>
        <w:t>.</w:t>
      </w:r>
    </w:p>
    <w:p>
      <w:pPr>
        <w:pStyle w:val="Heading6"/>
        <w:numPr>
          <w:ilvl w:val="5"/>
          <w:numId w:val="1"/>
        </w:numPr>
        <w:rPr/>
      </w:pPr>
      <w:bookmarkStart w:id="526" w:name="__RefHeading___Toc141975_3244359995"/>
      <w:bookmarkStart w:id="527" w:name="_Toc201"/>
      <w:bookmarkEnd w:id="526"/>
      <w:r>
        <w:rPr>
          <w:rtl w:val="true"/>
        </w:rPr>
        <w:t>الثانی</w:t>
      </w:r>
      <w:r>
        <w:rPr>
          <w:rtl w:val="true"/>
        </w:rPr>
        <w:t xml:space="preserve">: </w:t>
      </w:r>
      <w:r>
        <w:rPr>
          <w:rtl w:val="true"/>
        </w:rPr>
        <w:t>الشبهة غیر المحصورة الوجوبیّة</w:t>
      </w:r>
      <w:bookmarkEnd w:id="527"/>
    </w:p>
    <w:p>
      <w:pPr>
        <w:pStyle w:val="BookText"/>
        <w:rPr/>
      </w:pPr>
      <w:r>
        <w:rPr>
          <w:rFonts w:ascii="IRNazanin" w:hAnsi="IRNazanin" w:eastAsia="IRNazanin"/>
          <w:color w:val="111111"/>
          <w:sz w:val="28"/>
          <w:sz w:val="28"/>
          <w:szCs w:val="28"/>
          <w:rtl w:val="true"/>
          <w:lang w:bidi="fa-IR"/>
        </w:rPr>
        <w:t>إذا کانت الشبهة غیر المحصورة وجوبیّة، کتردّد الدائن بین ألف شخص وکان الدین ألف تومان مثلًا، فیتوقّف الاحتیاط فیه علی إعطاء ألف ألف تومان لهؤلاء الأفراد، فلا إشکال فی عدم وجوب الموافقة القطعیّة هنا أیضاً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حیث إنّ الضابط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ضعف الاحتمال ووهمه بدرجة لا یعتنی 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فی هذه الموارد؛ لعدم ضعف الاحتمال فی أمثالها بالدرجة المذکورة، فالضابط فیها کون کثرة الأطراف بحدّ یلزم منه العسر والحرج، فتجب</w:t>
      </w:r>
      <w:bookmarkStart w:id="528" w:name="pg16922_187739"/>
    </w:p>
    <w:p>
      <w:pPr>
        <w:pStyle w:val="BookText"/>
        <w:rPr/>
      </w:pPr>
      <w:bookmarkEnd w:id="528"/>
      <w:r>
        <w:rPr>
          <w:rFonts w:ascii="IRNazanin" w:hAnsi="IRNazanin" w:eastAsia="IRNazanin"/>
          <w:color w:val="111111"/>
          <w:sz w:val="28"/>
          <w:sz w:val="28"/>
          <w:szCs w:val="28"/>
          <w:rtl w:val="true"/>
          <w:lang w:bidi="fa-IR"/>
        </w:rPr>
        <w:t>الموافقة الاحتمالیّة، أی تحرم المخالفة القطعیّة لأنّ هذا الضابط لا یقتضی عدم وجوب الموافقة مطلقاً حتّی فیما إذا لم یلزم منها العسر والحرج الشخصی، بل لابدّ من الاقتصار علی الموارد الّتی یلزم منها ذلک، وعندئذٍ لابدّ من ملاحظة حکم مجهول المالک والتصدّق بما فی ذمّته بقصد المالک الأصلی</w:t>
      </w:r>
      <w:r>
        <w:rPr>
          <w:rFonts w:eastAsia="IRNazanin" w:cs="IRNazanin"/>
          <w:color w:val="111111"/>
          <w:sz w:val="28"/>
          <w:szCs w:val="28"/>
          <w:rtl w:val="true"/>
          <w:lang w:bidi="fa-IR"/>
        </w:rPr>
        <w:t>.</w:t>
      </w:r>
    </w:p>
    <w:p>
      <w:pPr>
        <w:pStyle w:val="Heading6"/>
        <w:numPr>
          <w:ilvl w:val="5"/>
          <w:numId w:val="1"/>
        </w:numPr>
        <w:rPr/>
      </w:pPr>
      <w:bookmarkStart w:id="529" w:name="__RefHeading___Toc141977_3244359995"/>
      <w:bookmarkStart w:id="530" w:name="_Toc202"/>
      <w:bookmarkEnd w:id="529"/>
      <w:r>
        <w:rPr/>
        <w:t>5</w:t>
      </w:r>
      <w:r>
        <w:rPr>
          <w:rtl w:val="true"/>
        </w:rPr>
        <w:t xml:space="preserve">. </w:t>
      </w:r>
      <w:r>
        <w:rPr>
          <w:rtl w:val="true"/>
        </w:rPr>
        <w:t>حول اعتبار اندراج طرفی العلم الإجمالی تحت عنوان واحد</w:t>
      </w:r>
      <w:bookmarkEnd w:id="530"/>
    </w:p>
    <w:p>
      <w:pPr>
        <w:pStyle w:val="BookText"/>
        <w:rPr/>
      </w:pPr>
      <w:r>
        <w:rPr>
          <w:rFonts w:ascii="IRNazanin" w:hAnsi="IRNazanin" w:eastAsia="IRNazanin"/>
          <w:color w:val="111111"/>
          <w:sz w:val="28"/>
          <w:sz w:val="28"/>
          <w:szCs w:val="28"/>
          <w:rtl w:val="true"/>
          <w:lang w:bidi="fa-IR"/>
        </w:rPr>
        <w:t>هل یعتبر فی تنجّز العلم الإجمالی تعلّقه بنجاسة هذا أو نجاسة ذاک مثلًا، أو یتنجّز أیضاً فیما إذا تعلّق بنجاسة هذا أو غصبیة ذاک مثلًا؟ وللمسألة أثر هامّ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عدم اعتباره؛ لأنّ منشأ تنجّز العلم الإجمالی وهو فعلیّة التکلیف الواقعی موجود فی کلتا الصورتین، ولا فرق بین وحدة الجنس وتعدّده فی حکم العقل، ومن هنا یعلم أنّه إذا خرج من الإنسان بلل مردّد بین البول والمنی، أی حصل العلم الإجمالی بوجود موجب الوضوء أو الغسل فیجب أن یأتی بهما معاً، مع أنّ الحدثین لا یکونان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فیه من التفصیل بین ما إذا کان قبل خروج البلل علی وضوء وبین ما إذا کان قبله محدثاً بحدث الوضوء فیجب فی الصورة الاولی إتیان کلا الطهورین، ویکفی فی الصورة الثانیة خصوص الوضوء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أنّ العلم الإجمالی فی الثانیة ینحلّ إلی الشکّ البدوی بالنسبة إلی الحدث الأکبر؛ لأنّ الحدث الحادث علی فرض کونه بولًا لیس له أثر، ولا یحدث به تکلیف جدید لأنّه حدث علی حدث فتجری البراءة بالنسبة إلی وجوب الغسل فلا یجب علیه إلّاالوضوء، بخلافها فی الصورة الاولی، لأنّ الحدث المزبور یکون مؤثّراً وموجداً لتکلیف جدید علی کلا الفرضین، فلابدّ لحصول البراءة الیقینیة من إتیان کلا الطهورین</w:t>
      </w:r>
      <w:r>
        <w:rPr>
          <w:rFonts w:eastAsia="IRNazanin" w:cs="IRNazanin"/>
          <w:color w:val="111111"/>
          <w:sz w:val="28"/>
          <w:szCs w:val="28"/>
          <w:rtl w:val="true"/>
          <w:lang w:bidi="fa-IR"/>
        </w:rPr>
        <w:t>.</w:t>
      </w:r>
      <w:bookmarkStart w:id="531" w:name="pg16922_187740"/>
    </w:p>
    <w:p>
      <w:pPr>
        <w:pStyle w:val="Heading5"/>
        <w:numPr>
          <w:ilvl w:val="4"/>
          <w:numId w:val="1"/>
        </w:numPr>
        <w:rPr/>
      </w:pPr>
      <w:bookmarkStart w:id="532" w:name="__RefHeading___Toc141979_3244359995"/>
      <w:bookmarkStart w:id="533" w:name="_Toc203"/>
      <w:bookmarkEnd w:id="531"/>
      <w:bookmarkEnd w:id="532"/>
      <w:r>
        <w:rPr/>
        <w:t>6</w:t>
      </w:r>
      <w:r>
        <w:rPr>
          <w:rtl w:val="true"/>
        </w:rPr>
        <w:t xml:space="preserve">. </w:t>
      </w:r>
      <w:r>
        <w:rPr>
          <w:rtl w:val="true"/>
        </w:rPr>
        <w:t>حکم ملاقی بعض أطراف الشبهة المحصورة</w:t>
      </w:r>
      <w:bookmarkEnd w:id="533"/>
    </w:p>
    <w:p>
      <w:pPr>
        <w:pStyle w:val="BookText"/>
        <w:rPr/>
      </w:pPr>
      <w:r>
        <w:rPr>
          <w:rFonts w:ascii="IRNazanin" w:hAnsi="IRNazanin" w:eastAsia="IRNazanin"/>
          <w:color w:val="111111"/>
          <w:sz w:val="28"/>
          <w:sz w:val="28"/>
          <w:szCs w:val="28"/>
          <w:rtl w:val="true"/>
          <w:lang w:bidi="fa-IR"/>
        </w:rPr>
        <w:t>هل یحکم بتنجّس ملاقی بعض أطراف النجس المعلوم بالإجمال أو لا؟</w:t>
      </w:r>
    </w:p>
    <w:p>
      <w:pPr>
        <w:pStyle w:val="BookText"/>
        <w:rPr/>
      </w:pPr>
      <w:r>
        <w:rPr>
          <w:rFonts w:ascii="IRNazanin" w:hAnsi="IRNazanin" w:eastAsia="IRNazanin"/>
          <w:color w:val="111111"/>
          <w:sz w:val="28"/>
          <w:sz w:val="28"/>
          <w:szCs w:val="28"/>
          <w:rtl w:val="true"/>
          <w:lang w:bidi="fa-IR"/>
        </w:rPr>
        <w:t>فی المسألة أقوال، وبما أنّ المسألة لیس لها دلیل خاصّ، فلابدّ من الرجوع إلی الأدلّة الأوّلیّة الجاریّة فی أطراف العلم الإجمالی وملاحظة أنّها هل تشمل ملاقیها أو لا؟</w:t>
      </w:r>
    </w:p>
    <w:p>
      <w:pPr>
        <w:pStyle w:val="BookText"/>
        <w:rPr/>
      </w:pPr>
      <w:r>
        <w:rPr>
          <w:rFonts w:ascii="IRNazanin" w:hAnsi="IRNazanin" w:eastAsia="IRNazanin"/>
          <w:color w:val="111111"/>
          <w:sz w:val="28"/>
          <w:sz w:val="28"/>
          <w:szCs w:val="28"/>
          <w:rtl w:val="true"/>
          <w:lang w:bidi="fa-IR"/>
        </w:rPr>
        <w:t>والصحیح عدم الشمول، لأنّ وجوب الاحتیاط فی أطراف العلم الإجمالی کان مبنیاً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العلمیّة، وتعارض الأدلّة المرخّصة وسقوطها، وکلاهما غیر جاریین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یکون مقدّمة للعلم بالفراغ عن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إنّما هو الاحتیاط فی نفس الأطراف الّتی یحتمل انطباق المعلوم بالإجمال علی بعضها، دون غیرها ممّا لا یحتمل انطباق المعلوم علیه وإن کان محکوماً علیه بحکم بعض الأطراف واقعاً، لکون ذلک البعض علّة لنجاسة ملاقیه، لکن الملاقی علی هذا التقدیر فرد آخر لیس ارتکابه مخالفة 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إجمالًا، بل مخالفة لخطاب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ملاقی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مشکوک الوجود؛ لعدم الملاقاة لجمیع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حصول الملاقاة بعد تساقط الاصول المرخّصة، فالأصل المرخّص الجاری فی الملاقی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التفکیک بین الملاقی والملاقی فی الحکم مع العلم باتّحادهما فی الواقع؟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الفرق فی الواقع ومقام الثبوت بین شیئین لا ینافی التفکیک بینهما فی مقام الإثبات والحکم الظاهری، نظیر ما أفتی به المحقّقون من التفرقة بین الماء المشکوک الکرّیة الذی لم یعلم حالتها السابقة، والثوب النجس الملاقی به، فأفتوا ببقاء الماء علی طهارته لاستصحاب الطهارة، وبقاء الثوب علی نجاسته لاستصحاب</w:t>
      </w:r>
      <w:bookmarkStart w:id="534" w:name="pg16922_187741"/>
    </w:p>
    <w:p>
      <w:pPr>
        <w:pStyle w:val="BookText"/>
        <w:rPr/>
      </w:pPr>
      <w:bookmarkEnd w:id="534"/>
      <w:r>
        <w:rPr>
          <w:rFonts w:ascii="IRNazanin" w:hAnsi="IRNazanin" w:eastAsia="IRNazanin"/>
          <w:color w:val="111111"/>
          <w:sz w:val="28"/>
          <w:sz w:val="28"/>
          <w:szCs w:val="28"/>
          <w:rtl w:val="true"/>
          <w:lang w:bidi="fa-IR"/>
        </w:rPr>
        <w:t>النجاسة مع القطع باتّحادهما واقعاً فی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الاجتناب عن الملاقی یعدّ عرفاً من شؤون الاجتناب عن الملاقی ولیس تکلیفاً جدیداً، ولیس وجوب الاجتناب عن الملاقی لأجل تعبّد آخر وراء التعبّد بوجوب الاجتناب عن الملاقی، أی یدلّ نفس دلیل وجوب الاجتناب عن النجس علی الاجتناب عنه وعن ملاقیه بخطاب واحد فلو کان الملاقی هو النجس الواقعی توقّف العلم بامتثال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الاجتناب عن طرف الملاقی أیضاً، بداهة أنّ الفراغ الیقینی عن وجوب الاجتناب عن النجس المعلوم المردّد لا یحصل إلّابذلک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دعوی بلا دلیل لأنّ الملاقی علی فرض تنجّسه موضوع جدید للنجس، وله حکم جدید، ولشربه معصیة جدیدة، فیعدّ شرب الملاقی والملاقی معاً معصیتین لا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ملاقی أحد الأطراف، وأمّا إذا حصلت الملاقاة بالنسبة إلی جمیع الأطراف کما إذا لاقت إحدی الیدین بأحد الإناءین المعلومة نجاسة أحدهما، ولاقت الید الاخری بالإناء الآخر فلا إشکال فی نجاسة الملاقی لحصول علم إجمالی جدید حینئذٍ بنجاسة إحدی الیدین کما لا یخفی</w:t>
      </w:r>
      <w:r>
        <w:rPr>
          <w:rFonts w:eastAsia="IRNazanin" w:cs="IRNazanin"/>
          <w:color w:val="111111"/>
          <w:sz w:val="28"/>
          <w:szCs w:val="28"/>
          <w:rtl w:val="true"/>
          <w:lang w:bidi="fa-IR"/>
        </w:rPr>
        <w:t>.</w:t>
      </w:r>
    </w:p>
    <w:p>
      <w:pPr>
        <w:pStyle w:val="Heading4"/>
        <w:numPr>
          <w:ilvl w:val="3"/>
          <w:numId w:val="1"/>
        </w:numPr>
        <w:rPr/>
      </w:pPr>
      <w:bookmarkStart w:id="535" w:name="__RefHeading___Toc141981_3244359995"/>
      <w:bookmarkStart w:id="536" w:name="_Toc204"/>
      <w:bookmarkEnd w:id="535"/>
      <w:r>
        <w:rPr>
          <w:rtl w:val="true"/>
        </w:rPr>
        <w:t>المقام الثانی</w:t>
      </w:r>
      <w:r>
        <w:rPr>
          <w:rtl w:val="true"/>
        </w:rPr>
        <w:t xml:space="preserve">: </w:t>
      </w:r>
      <w:r>
        <w:rPr>
          <w:rtl w:val="true"/>
        </w:rPr>
        <w:t>دوران الأمر بین الأقلّ والأکثر الإرتباطیین</w:t>
      </w:r>
      <w:bookmarkEnd w:id="536"/>
    </w:p>
    <w:p>
      <w:pPr>
        <w:pStyle w:val="Heading5"/>
        <w:numPr>
          <w:ilvl w:val="4"/>
          <w:numId w:val="1"/>
        </w:numPr>
        <w:rPr/>
      </w:pPr>
      <w:bookmarkStart w:id="537" w:name="__RefHeading___Toc141983_3244359995"/>
      <w:bookmarkStart w:id="538" w:name="_Toc205"/>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إذا شککنا فی أنّ الواجب فی الصلاة مثلًا هل هو تسعة أجزاء من دون وجوب السورة، أو عشرة أجزاء، فهل یجب الاحتیاط أو لا؟</w:t>
      </w:r>
    </w:p>
    <w:p>
      <w:pPr>
        <w:pStyle w:val="BookText"/>
        <w:rPr/>
      </w:pPr>
      <w:r>
        <w:rPr>
          <w:rFonts w:ascii="IRNazanin" w:hAnsi="IRNazanin" w:eastAsia="IRNazanin"/>
          <w:color w:val="111111"/>
          <w:sz w:val="28"/>
          <w:sz w:val="28"/>
          <w:szCs w:val="28"/>
          <w:rtl w:val="true"/>
          <w:lang w:bidi="fa-IR"/>
        </w:rPr>
        <w:t>وینبغی قبل الورود فی أصل البحث بیان الفرق بین الأقلّ والأکثر الإرتباطیین، والأقلّ والأکثر الاستقلالیین، وأنّ الملاک فیه هل هو تعدّد الأغراض ووحدتها، أو تعدّد التکالیف ووحدتها؟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الثانی، وذلک لأنّه لیست الأغراض غالباً فی متناول أیدینا، ولا</w:t>
      </w:r>
      <w:bookmarkStart w:id="539" w:name="pg16922_187742"/>
    </w:p>
    <w:p>
      <w:pPr>
        <w:pStyle w:val="BookText"/>
        <w:rPr/>
      </w:pPr>
      <w:bookmarkEnd w:id="539"/>
      <w:r>
        <w:rPr>
          <w:rFonts w:ascii="IRNazanin" w:hAnsi="IRNazanin" w:eastAsia="IRNazanin"/>
          <w:color w:val="111111"/>
          <w:sz w:val="28"/>
          <w:sz w:val="28"/>
          <w:szCs w:val="28"/>
          <w:rtl w:val="true"/>
          <w:lang w:bidi="fa-IR"/>
        </w:rPr>
        <w:t>یمکن لنا الظفر بها والعثور علیها ولسنا مأمورین بها، بل الواصل إلینا والموجود بأیدینا إنّما هو الأوامر والنواهی المتعلّقة بالمرکّبات الشرعیّة، فالمرکّب الإرتباطی ما یتألّف من أشیاء تکون الأوامر المتعلّقة بها أمراً واحداً حقیقة منبسطاً علیها، فتکون بینها ملازمة ثبوتاً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المرکّب الاستقلالی فهو ما یتألّف من أشیاء تتعلّق بها أوامر تکون لکلّ منها إطاعة مستقلّة، فلا ملازمة بینها ثبوتاً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فیقع الکلام فی الأقلّ والأکثر الإرتباطیین فی جهات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الأجزاء، فی ما إذا کان الأقلّ والأکثر من قبیل الجزء والکلّ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الشرائط، فی ما إذا کان الأقلّ والأکثر من قبیل الشرط والمشروط، وکان منشأ انتزاع الشرطیّة أمراً خارجاً عن المشروط، مبایناً له فی الوجود کالطهارة الحدثیة بالنسبة إلی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القیود، فی ما إذا کان الأقلّ والأکثر من قبیل الشرط والمشروط أیضاً، ولکن کان منشأ انتزاع الشرطیّة أمراً داخلًا فی المشروط متّحداً معه فی الوجود، کوصف الإیمان بالنسبة إلی الرقبة فی کفّارة الصوم ونحوه</w:t>
      </w:r>
      <w:r>
        <w:rPr>
          <w:rFonts w:eastAsia="IRNazanin" w:cs="IRNazanin"/>
          <w:color w:val="111111"/>
          <w:sz w:val="28"/>
          <w:szCs w:val="28"/>
          <w:rtl w:val="true"/>
          <w:lang w:bidi="fa-IR"/>
        </w:rPr>
        <w:t>.</w:t>
      </w:r>
    </w:p>
    <w:p>
      <w:pPr>
        <w:pStyle w:val="Heading5"/>
        <w:numPr>
          <w:ilvl w:val="4"/>
          <w:numId w:val="1"/>
        </w:numPr>
        <w:rPr/>
      </w:pPr>
      <w:bookmarkStart w:id="540" w:name="__RefHeading___Toc141985_3244359995"/>
      <w:bookmarkStart w:id="541" w:name="_Toc206"/>
      <w:bookmarkEnd w:id="540"/>
      <w:r>
        <w:rPr>
          <w:rtl w:val="true"/>
        </w:rPr>
        <w:t>الجهة الاولی</w:t>
      </w:r>
      <w:r>
        <w:rPr>
          <w:rtl w:val="true"/>
        </w:rPr>
        <w:t xml:space="preserve">: </w:t>
      </w:r>
      <w:r>
        <w:rPr>
          <w:rtl w:val="true"/>
        </w:rPr>
        <w:t>فی الأجزاء</w:t>
      </w:r>
      <w:bookmarkEnd w:id="541"/>
    </w:p>
    <w:p>
      <w:pPr>
        <w:pStyle w:val="Heading6"/>
        <w:numPr>
          <w:ilvl w:val="5"/>
          <w:numId w:val="1"/>
        </w:numPr>
        <w:rPr/>
      </w:pPr>
      <w:bookmarkStart w:id="542" w:name="__RefHeading___Toc141987_3244359995"/>
      <w:bookmarkStart w:id="543" w:name="_Toc207"/>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والأقوال فیها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عن الأکثر، وهو المشهور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وهو ما نقل عن الشیخ الطوسی والمرتضی رحمهما الله وبعض آخر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الخراسانی رحمه الله وهو التفصیل بین البراءة العقلیّة والبراءة النقلیّة فتجری الثانی دون الأوّل، فتکون النتیجة بالمآل هی البراءة، لحکومة</w:t>
      </w:r>
    </w:p>
    <w:p>
      <w:pPr>
        <w:pStyle w:val="BookText"/>
        <w:rPr/>
      </w:pPr>
      <w:r>
        <w:rPr>
          <w:rFonts w:ascii="Amiri" w:hAnsi="Amiri" w:eastAsia="Amiri" w:cs="Amiri"/>
          <w:color w:val="111111"/>
          <w:sz w:val="28"/>
          <w:sz w:val="28"/>
          <w:szCs w:val="28"/>
          <w:rtl w:val="true"/>
          <w:lang w:bidi="ar-SA"/>
        </w:rPr>
        <w:t>أدلّة البراءة الشرعیّة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الشیخ الأعظم الأنصاری رحمه الله للقول الأوّل بقاعدة قبح العقاب بلا بیان، وبأحادیث البراءة، فهو یقول بانحلال العلم الإجمالی وصیرورة الشبهة بدویّة بالنسبة إلی الأکثر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 الخراسانی رحمه الله أنکر الانحلال، واستدلّ لوجوب الاحتیاط عقلًا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المحذور العقلی من الانحلال، وهو عبارة عن محذور الخلف، ومحذور لزوم عدم الانحلال؛ أی یلزم من وجود الانحلال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محذور الخلف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انحلال العلم الإجمالی فی المقام خلاف الفرض؛ لأنّ المفروض توقّف الانحلال علی تنجّز وجوب الأقلّ علی کلّ تقدیر، سواء کان الواجب الواقعی هو الأقلّ أو الأکثر، مع أنّه لیس کذلک، فإنّ الواجب الواقعی لو کان هو الأکثر لم یکن وجوب الأقلّ منجّزاً، إذ وجوب الأقلّ حینئذٍ یکون مقدّمیاً ومن باب تبعیة وجوب المقدّمة لوجوب ذی المقدّمة فی التنجّز، والمفروض عدم تنجّز وجوب ذی المقدّمة وهو الأکثر لجریان البراءة فیه علی الفرض، فلیس وجوب الأقلّ ثابتاً علی کلّ تقدیر، مع أنّ المعتبر فی الانحلال وجوبه کذلک، وهذا خلف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محذور لزوم عدم الانحلال من الانحلال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العلم الإجمالی بالعلم التفصیلی والشکّ البدوی منوط بالعلم بوجوب الأقلّ تفصیلًا، وهذا العلم التفصیلی موقوف علی تنجّز وجوب الأقلّ مطلقاً، نفسیاً کان أو غیریاً، وتنجّز وجوبه الغیری یقتضی تنجّز وجوب الأکثر نفسیاً حتّی یترشّح منه الوجوب علی الأقلّ، ویصیر واجباً غیریاً، ولا یخفی أنّ تنجّز وجوب الأکثر یقتضی عدم الانحلال، فلزم من الانحلال عدم الانحلال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رجوع الإشکال الثانی إلی الأوّل، لأنّ الخلف أیضاً یؤول إلی ما 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المحقّقون فی الجواب عنهما، وکلّ اختار طریقاً لحلّ المشکلتین، والمختار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بعکس کلامه، لأنّه یلزم من وجوب الاحتیاط أیضاً عدم وجوب الاحتیاط، فإنّه فرع تنجّز الواقع علی کلّ حال، ولازمه العلم التفصیلی بوجوب الأقلّ، ونتیجته انحلال العلم الإجمالی وجریان البراءة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الخلف ولزوم عدم الانحلال من وجوده یتصوّر فیما إذا وجد الانحلال وعدم الانحلال فی آنٍ واحد، لا ما إذا کان وعاؤهما زمانین مختلفین، وکان أحدهما فی طول الآخر، کما أنّه کذلک فی الشبهة البدویّة، فیجب الاحتیاط قبل الفحص ولا یجب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التناقض ولزوم الخلف شرائط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الوحدة فی الزمان، وهی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بناءً علی المختار قاعدة عقلائیّة، والعقلاء لیس بناؤهم فی دائرة الموالی والعبید علی إجراء الاحتیاط فی الأجزاء والشرائط المشکوکة فی المرکّبات، فإذا أمر المولی عبده أو الرئیس مرؤوسه بأمر مرکّب ولم یذکر فیه إلّاتسعة أجزاء مثلًا، ثمّ شکّ العبد أو المرؤوس فی لزوم جزء عاشر ولم یصل بعد الفحص إلی شی‌ء، فلا یصحّ المؤاخذة بدون البیان والعقاب بلا برهان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مبتنیاً علی مقالة العدلیّة من أنّ الواجبات الشرعیّة ألطاف فی الواجبات العقلیّة، وأنّ الأوامر والنواهی مبنیة علی مصالح ومفاسد واقعیّة لمتعلّقاتها، وهو إنّا نقطع بوجود ملاک ومصلحة ملزمة قائمة بالأقلّ أو الأکثر، وإذا لم یأت بالأکثر یشکّ فی حصول الملاک وتلک المصلحة، فیحکم العقل بلزوم إتیان الأکثر حتّی یحصل العلم بحصول الملاک</w:t>
      </w:r>
      <w:r>
        <w:rPr>
          <w:rFonts w:eastAsia="IRNazanin" w:cs="IRNazanin"/>
          <w:color w:val="111111"/>
          <w:sz w:val="28"/>
          <w:szCs w:val="28"/>
          <w:rtl w:val="true"/>
          <w:lang w:bidi="fa-IR"/>
        </w:rPr>
        <w:t>.</w:t>
      </w:r>
      <w:bookmarkStart w:id="544" w:name="pg16922_187745"/>
    </w:p>
    <w:p>
      <w:pPr>
        <w:pStyle w:val="BookText"/>
        <w:rPr/>
      </w:pPr>
      <w:bookmarkEnd w:id="544"/>
      <w:r>
        <w:rPr>
          <w:rFonts w:ascii="IRNazanin" w:hAnsi="IRNazanin" w:eastAsia="IRNazanin"/>
          <w:color w:val="111111"/>
          <w:sz w:val="28"/>
          <w:sz w:val="28"/>
          <w:szCs w:val="28"/>
          <w:rtl w:val="true"/>
          <w:lang w:bidi="fa-IR"/>
        </w:rPr>
        <w:t>وهو أیضاً غیر تامّ؛ لعدم الدلیل علی لزوم تحصیل الغرض إلّافی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المولی العرفی قادراً علی البیان کما إذا کان محبوساً ولم یقدر علی بیان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 الغرض بنفسه تحت أمر المولی کما إذا کان المأمور به فی الوضوء مثلًا عنوان الطهارة المعنویة الّتی هی من الامور البسیطة، فیجب الاحتیاط فی الأجزاء حتّی یعلم بحصولها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حصل لنا العلم من ناحیة دلیل خارجی کالإجماع ونحوه بعدم حصول غرض المولی فیجب الاحتیاط حتّی یعلم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هذه الموارد لا یجب تحصیل الغرض، ولا دلیل علی وجوبه، وإنّما الواجب علی المکلّف الإتیان بالتکالیف الواصلة وإمتثال الأوامر والنواهی الثابتة، ولا علم للعبد بأغراض المولی، لأنّ أغراضه تحت اختیاره ومربوطة به، ولا ربط للعبد بها إلّافی ما ذکر، فیدور أمره فی غیره مدار الإبلاغ والوصول</w:t>
      </w:r>
      <w:r>
        <w:rPr>
          <w:rFonts w:eastAsia="IRNazanin" w:cs="IRNazanin"/>
          <w:color w:val="111111"/>
          <w:sz w:val="28"/>
          <w:szCs w:val="28"/>
          <w:rtl w:val="true"/>
          <w:lang w:bidi="fa-IR"/>
        </w:rPr>
        <w:t>.</w:t>
      </w:r>
    </w:p>
    <w:p>
      <w:pPr>
        <w:pStyle w:val="Heading6"/>
        <w:numPr>
          <w:ilvl w:val="5"/>
          <w:numId w:val="1"/>
        </w:numPr>
        <w:rPr/>
      </w:pPr>
      <w:bookmarkStart w:id="545" w:name="__RefHeading___Toc141989_3244359995"/>
      <w:bookmarkStart w:id="546" w:name="_Toc208"/>
      <w:bookmarkEnd w:id="545"/>
      <w:r>
        <w:rPr>
          <w:rtl w:val="true"/>
        </w:rPr>
        <w:t>بقی هنا أمر</w:t>
      </w:r>
      <w:r>
        <w:rPr>
          <w:rtl w:val="true"/>
        </w:rPr>
        <w:t>:</w:t>
      </w:r>
      <w:bookmarkEnd w:id="546"/>
    </w:p>
    <w:p>
      <w:pPr>
        <w:pStyle w:val="BookText"/>
        <w:rPr/>
      </w:pPr>
      <w:r>
        <w:rPr>
          <w:rFonts w:ascii="IRNazanin" w:hAnsi="IRNazanin" w:eastAsia="IRNazanin"/>
          <w:color w:val="111111"/>
          <w:sz w:val="28"/>
          <w:sz w:val="28"/>
          <w:szCs w:val="28"/>
          <w:rtl w:val="true"/>
          <w:lang w:bidi="fa-IR"/>
        </w:rPr>
        <w:t>وهو أنّه قد یتصوّر إمکان جریان أصالة الاشتغال فیما نحن فیه، وذلک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اشتغال الذمّة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مقدّمة علی الاشتغال لأنّها فی محلّ الکلام بمنزلة الأصل السبّبی، وأصالة الاشتغال أصل مسبّبی، لأنّ منشأ الشکّ فی فراغ الذمّة إنّما هو الشکّ فی جزئیّة السورة مثلًا، وهو یرتفع بجریان البراءة فیرتفع موضوع أصالة الاشتغال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المقام یرجع إلی الشکّ فی المحصّل، لأنّ المأمور به وهو عنوان الصلاة مثلًا عنوان بسیط، ولا نعلم أنّه هل یحصل بإتیان تسعة أجزاء، أو لا؟</w:t>
      </w:r>
      <w:bookmarkStart w:id="547" w:name="pg16922_187746"/>
    </w:p>
    <w:p>
      <w:pPr>
        <w:pStyle w:val="BookText"/>
        <w:rPr/>
      </w:pPr>
      <w:bookmarkEnd w:id="547"/>
      <w:r>
        <w:rPr>
          <w:rFonts w:ascii="IRNazanin" w:hAnsi="IRNazanin" w:eastAsia="IRNazanin"/>
          <w:color w:val="111111"/>
          <w:sz w:val="28"/>
          <w:sz w:val="28"/>
          <w:szCs w:val="28"/>
          <w:rtl w:val="true"/>
          <w:lang w:bidi="fa-IR"/>
        </w:rPr>
        <w:t>فلابدّ لإحرازه من إتیان الجزء العاشر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لیست الصلاة أمراً خارجاً وراء الأجزاء، حاصلًا منها ومسبّباً عنها حتّی یکون الشکّ شکّاً فی المحصّل، بل إنّما هی عین الأجزاء، والأمر بها منبسط علی الأجزاء</w:t>
      </w:r>
      <w:r>
        <w:rPr>
          <w:rFonts w:eastAsia="IRNazanin" w:cs="IRNazanin"/>
          <w:color w:val="111111"/>
          <w:sz w:val="28"/>
          <w:szCs w:val="28"/>
          <w:rtl w:val="true"/>
          <w:lang w:bidi="fa-IR"/>
        </w:rPr>
        <w:t>.</w:t>
      </w:r>
    </w:p>
    <w:p>
      <w:pPr>
        <w:pStyle w:val="Heading5"/>
        <w:numPr>
          <w:ilvl w:val="4"/>
          <w:numId w:val="1"/>
        </w:numPr>
        <w:rPr/>
      </w:pPr>
      <w:bookmarkStart w:id="548" w:name="__RefHeading___Toc141991_3244359995"/>
      <w:bookmarkStart w:id="549" w:name="_Toc209"/>
      <w:bookmarkEnd w:id="548"/>
      <w:r>
        <w:rPr>
          <w:rtl w:val="true"/>
        </w:rPr>
        <w:t>الجهة الثانیة</w:t>
      </w:r>
      <w:r>
        <w:rPr>
          <w:rtl w:val="true"/>
        </w:rPr>
        <w:t xml:space="preserve">: </w:t>
      </w:r>
      <w:r>
        <w:rPr>
          <w:rtl w:val="true"/>
        </w:rPr>
        <w:t>فی الشرائط</w:t>
      </w:r>
      <w:bookmarkEnd w:id="549"/>
    </w:p>
    <w:p>
      <w:pPr>
        <w:pStyle w:val="BookText"/>
        <w:rPr/>
      </w:pPr>
      <w:r>
        <w:rPr>
          <w:rFonts w:ascii="IRNazanin" w:hAnsi="IRNazanin" w:eastAsia="IRNazanin"/>
          <w:color w:val="111111"/>
          <w:sz w:val="28"/>
          <w:sz w:val="28"/>
          <w:szCs w:val="28"/>
          <w:rtl w:val="true"/>
          <w:lang w:bidi="fa-IR"/>
        </w:rPr>
        <w:t>ذهب المحقّق الخراسانی رحمه الله هنا أیضاً إلی التفصیل بین البراءة العقلیّة والبراءة الشرعیّة</w:t>
      </w:r>
      <w:r>
        <w:rPr>
          <w:rStyle w:val="FootnoteAnchor"/>
          <w:rtl w:val="true"/>
        </w:rPr>
        <w:footnoteReference w:id="306"/>
      </w:r>
      <w:r>
        <w:rPr>
          <w:rFonts w:ascii="IRNazanin" w:hAnsi="IRNazanin" w:eastAsia="IRNazanin"/>
          <w:color w:val="111111"/>
          <w:sz w:val="28"/>
          <w:sz w:val="28"/>
          <w:szCs w:val="28"/>
          <w:rtl w:val="true"/>
          <w:lang w:bidi="fa-IR"/>
        </w:rPr>
        <w:t>، کما ذهب إلیه فی الجهة الثالثة وهی الشکّ فی القیود، فقال بجریان البراءة شرعاً وعدم جریانها عقلًا بناءً علی مسلکه المتقدّم فی الشکّ فی الأجزاء، وادّعی أنّ عدم جریان البراءة العقلیّة فی الشرائط والقیود أظهر من عدم جریانها فی الأجزاء بدعوی أنّ الانحلال المتوهّم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کون الأقلّ ممّا علم وجوبه تفصیلًا إمّا نفسیاً أو مقدّمیاً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یتوهّم فی المقام، فإنّ الجزء الخارجی ممّا یمکن فیه دعوی اتّصافه بالوجوب الغیری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لکلّ جزء خارجی وجود مستقلّ غیر وجود الجزء الآخر وإن کان العرف یری للمجموع وجوداً واحداً، بخلاف الجزء التحلیلی المتصوّر فی المقام کالتقیّد والاشتراط فإنّه لا وجود له خارجاً غیر وجود المجموع الواجب بالوجوب النفسی الاستقلالی، فلا یتّصف بالوجوب حتّی الوجوب النفسی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البراءة العقلیّة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البراءة النقلیة، فقد فصّل فیها بین الشرائط والقیود، وقال بجریانها فی الشرائط وعدم جریانها فی القیود؛ لأنّ المشروط بالشرط المشکوک وهو الصلاة مع الطهارة بالنسبة إلی الصلاة المطلق، یکون فی نظر العرف من قبیل الأقلّ والأکثر، فیأتی فیه ما ذکره من التفصیل فی الأجزاء، وأمّا المقیّد بالقید المشکوک کالرقبة</w:t>
      </w:r>
      <w:bookmarkStart w:id="550" w:name="pg16922_187747"/>
    </w:p>
    <w:p>
      <w:pPr>
        <w:pStyle w:val="BookText"/>
        <w:rPr/>
      </w:pPr>
      <w:bookmarkEnd w:id="550"/>
      <w:r>
        <w:rPr>
          <w:rFonts w:ascii="IRNazanin" w:hAnsi="IRNazanin" w:eastAsia="IRNazanin"/>
          <w:color w:val="111111"/>
          <w:sz w:val="28"/>
          <w:sz w:val="28"/>
          <w:szCs w:val="28"/>
          <w:rtl w:val="true"/>
          <w:lang w:bidi="fa-IR"/>
        </w:rPr>
        <w:t>المؤمنة بالنسبة إلی الرقبة المطلقة عن هذا القید، یکون فی نظر العرف من قبیل المتباینین الأجنبیین فلا تجری فیه البراءة النقلیة کالبراءة العقلیّة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الحقّ جریان البراءة مطلقاً فی الشرائط أیضاً کالأجزاء، وذلک لشمول الأمر الضمنی للشرائط کالأجزاء، والفرق بینهما أنّ الأمر الضمنی فی الأجزاء یتعلّق بالجزء نفسه، وأمّا فی الشرائط فیتعلّق بوصف الاشتراط لا بنفس الشرط، وهذا المقدار من الفرق لا یمنع عن الانحلال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مسألة الانحلال فی المقام مبنیة علی تعلّق الأمر الضمنی بالشرائط لا علی تعلّق الأمر المقدّمی الغیری بها حتّی یتوهّم محذور الخلف أو محذور لزوم عدم الانحلال من الانحلال الذی مرّ بیانهما تفصیلًا</w:t>
      </w:r>
      <w:r>
        <w:rPr>
          <w:rFonts w:eastAsia="IRNazanin" w:cs="IRNazanin"/>
          <w:color w:val="111111"/>
          <w:sz w:val="28"/>
          <w:szCs w:val="28"/>
          <w:rtl w:val="true"/>
          <w:lang w:bidi="fa-IR"/>
        </w:rPr>
        <w:t>.</w:t>
      </w:r>
    </w:p>
    <w:p>
      <w:pPr>
        <w:pStyle w:val="Heading5"/>
        <w:numPr>
          <w:ilvl w:val="4"/>
          <w:numId w:val="1"/>
        </w:numPr>
        <w:rPr/>
      </w:pPr>
      <w:bookmarkStart w:id="551" w:name="__RefHeading___Toc141993_3244359995"/>
      <w:bookmarkStart w:id="552" w:name="_Toc210"/>
      <w:bookmarkEnd w:id="551"/>
      <w:r>
        <w:rPr>
          <w:rtl w:val="true"/>
        </w:rPr>
        <w:t>الجهة الثالثة</w:t>
      </w:r>
      <w:r>
        <w:rPr>
          <w:rtl w:val="true"/>
        </w:rPr>
        <w:t xml:space="preserve">: </w:t>
      </w:r>
      <w:r>
        <w:rPr>
          <w:rtl w:val="true"/>
        </w:rPr>
        <w:t>فی القیود</w:t>
      </w:r>
      <w:bookmarkEnd w:id="552"/>
    </w:p>
    <w:p>
      <w:pPr>
        <w:pStyle w:val="Heading6"/>
        <w:numPr>
          <w:ilvl w:val="5"/>
          <w:numId w:val="1"/>
        </w:numPr>
        <w:rPr/>
      </w:pPr>
      <w:bookmarkStart w:id="553" w:name="__RefHeading___Toc141995_3244359995"/>
      <w:bookmarkStart w:id="554" w:name="_Toc211"/>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وفیها ثلاثة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ذهب إلیه المحقّق الخراسانی رحمه الله من کونها من قبیل المتباینین فیجب فیها الاحتیاط مطلقاً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ذهب إلیه المحقّق النائینی رحمه الله من التفصیل بین القیود المقوّمة کالجنس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شکّ فی أنّ الواجب مطلق الحیوان أو خصوص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المقوّمة مثل ما إذا شکّ فی أنّ الواجب هو مطلق الرقبة فی الکفّارة أو الرقبة المؤمنة، ووجوب الاحتیاط فی الاولی دون الثانیة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ذهب إلیه الشیخ الأعظم الأنصاری رحمه الله وهو القول بالبراءة مطلقاً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ما ذهب إلیه المحقّق النائینی رحمه الله من الفرق بین المقوّم وغیر المقوّم،</w:t>
      </w:r>
      <w:bookmarkStart w:id="555" w:name="pg16922_187748"/>
    </w:p>
    <w:p>
      <w:pPr>
        <w:pStyle w:val="BookText"/>
        <w:rPr/>
      </w:pPr>
      <w:bookmarkEnd w:id="555"/>
      <w:r>
        <w:rPr>
          <w:rFonts w:ascii="IRNazanin" w:hAnsi="IRNazanin" w:eastAsia="IRNazanin"/>
          <w:color w:val="111111"/>
          <w:sz w:val="28"/>
          <w:sz w:val="28"/>
          <w:szCs w:val="28"/>
          <w:rtl w:val="true"/>
          <w:lang w:bidi="fa-IR"/>
        </w:rPr>
        <w:t>ولکن بملاحظة ما یراه العرف؛ فإنّ المدار علیه، والعرف یری التباین فی القسم الأوّل، فلا یجری حکم الأقلّ والأکثر فیه دون القسم الثانی، فإنّ العرف یری اعتبار قید الإیمان شیئاً زائداً علی نفس الرقبة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لا فرق بین الأجزاء والشرائط والقیود إلّافی القیود المقوّمة؛ لأنّها فی نظر العرف من قبیل المتباینین وإن لم یکن کذلک بالدقّة العقلیّة، وإن شئت فاختبر نفسک فیما إذا أمر المولی بصناعة مصنوع خشبی یتردّد بین کونه سریراً أو أعم من کونه سریراً ونافذة، ففی هذه الحالة وإن کانت وصف السریریة مثلًا من الأعراض للخشب، لکنّها تعدّ عند العرف من المقوّمات، والسریر والنافذة عندهم متباینان، وإن کانتا مصنوعتین من الخشب، ولذلک یوجب التخلّف فیهما بطلان المعاملة لا مجرّد خیار تخلّف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المعیار فی التباین والوحدة لیس الجنس والفصل المنطقیین بل المعیار الصدق العرفی وإن کان الاختلاف فی الأعراض، وعلیه فإذا کانت القیود غیر مقوّمة عند العرف کقید الإیمان فی الرقبة المؤمنة وقید الکتابة فی العبد الکاتب، یکون الفاقد والواجد من قبیل الأقلّ والأکثر، فتجری البراءة بالنسبة إلی الأکثر</w:t>
      </w:r>
      <w:r>
        <w:rPr>
          <w:rFonts w:eastAsia="IRNazanin" w:cs="IRNazanin"/>
          <w:color w:val="111111"/>
          <w:sz w:val="28"/>
          <w:szCs w:val="28"/>
          <w:rtl w:val="true"/>
          <w:lang w:bidi="fa-IR"/>
        </w:rPr>
        <w:t>.</w:t>
      </w:r>
    </w:p>
    <w:p>
      <w:pPr>
        <w:pStyle w:val="Heading6"/>
        <w:numPr>
          <w:ilvl w:val="5"/>
          <w:numId w:val="1"/>
        </w:numPr>
        <w:rPr/>
      </w:pPr>
      <w:bookmarkStart w:id="556" w:name="__RefHeading___Toc141997_3244359995"/>
      <w:bookmarkStart w:id="557" w:name="_Toc212"/>
      <w:bookmarkEnd w:id="556"/>
      <w:r>
        <w:rPr>
          <w:rtl w:val="true"/>
        </w:rPr>
        <w:t>تنبیه</w:t>
      </w:r>
      <w:r>
        <w:rPr>
          <w:rtl w:val="true"/>
        </w:rPr>
        <w:t>:</w:t>
      </w:r>
      <w:bookmarkEnd w:id="557"/>
    </w:p>
    <w:p>
      <w:pPr>
        <w:pStyle w:val="BookText"/>
        <w:rPr/>
      </w:pPr>
      <w:r>
        <w:rPr>
          <w:rFonts w:ascii="IRNazanin" w:hAnsi="IRNazanin" w:eastAsia="IRNazanin"/>
          <w:color w:val="111111"/>
          <w:sz w:val="28"/>
          <w:sz w:val="28"/>
          <w:szCs w:val="28"/>
          <w:rtl w:val="true"/>
          <w:lang w:bidi="fa-IR"/>
        </w:rPr>
        <w:t>قد ذکر جماعة من المحقّقین من المعاصرین ومقاربی عصرنا بمناسبة البحث عن الأقلّ والأکثر الإرتباطیین مسائل مختلفة حول الأجزاء والشرائط مثل أنّ الأصل فی‌الأجزاء والشرائط هل هو الرکنیة أو عدمها؟</w:t>
      </w:r>
    </w:p>
    <w:p>
      <w:pPr>
        <w:pStyle w:val="BookText"/>
        <w:rPr/>
      </w:pPr>
      <w:r>
        <w:rPr>
          <w:rFonts w:ascii="IRNazanin" w:hAnsi="IRNazanin" w:eastAsia="IRNazanin"/>
          <w:color w:val="111111"/>
          <w:sz w:val="28"/>
          <w:sz w:val="28"/>
          <w:szCs w:val="28"/>
          <w:rtl w:val="true"/>
          <w:lang w:bidi="fa-IR"/>
        </w:rPr>
        <w:t>ومثل حکم زیادة الأجزاء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الجزئیة أو لا بقصدها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حکم تعذّر وجود جزء أو شرط بواسطة الاضطرار أو غیره، وعمد بعضهم إلی ذکر قاعدة المیسور وأدلّتها والأدلّة الخاصّة فی المقام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حیث إنّ هذه المباحث کلّها من المسائل الفقهیّة أو القواعد الفقهیّة،</w:t>
      </w:r>
      <w:bookmarkStart w:id="558" w:name="pg16922_187749"/>
    </w:p>
    <w:p>
      <w:pPr>
        <w:pStyle w:val="BookText"/>
        <w:rPr/>
      </w:pPr>
      <w:bookmarkEnd w:id="558"/>
      <w:r>
        <w:rPr>
          <w:rFonts w:ascii="IRNazanin" w:hAnsi="IRNazanin" w:eastAsia="IRNazanin"/>
          <w:color w:val="111111"/>
          <w:sz w:val="28"/>
          <w:sz w:val="28"/>
          <w:szCs w:val="28"/>
          <w:rtl w:val="true"/>
          <w:lang w:bidi="fa-IR"/>
        </w:rPr>
        <w:t>ترکناها وأوکلناها إلی محالّها، حذراً من خلط المسائل الاصولیّة بمسائل سائر العلوم وعدم انتظام هذا العلم وتشویهه</w:t>
      </w:r>
      <w:r>
        <w:rPr>
          <w:rFonts w:eastAsia="IRNazanin" w:cs="IRNazanin"/>
          <w:color w:val="111111"/>
          <w:sz w:val="28"/>
          <w:szCs w:val="28"/>
          <w:rtl w:val="true"/>
          <w:lang w:bidi="fa-IR"/>
        </w:rPr>
        <w:t>.</w:t>
      </w:r>
    </w:p>
    <w:p>
      <w:pPr>
        <w:pStyle w:val="Heading4"/>
        <w:numPr>
          <w:ilvl w:val="3"/>
          <w:numId w:val="1"/>
        </w:numPr>
        <w:rPr/>
      </w:pPr>
      <w:bookmarkStart w:id="559" w:name="__RefHeading___Toc141999_3244359995"/>
      <w:bookmarkStart w:id="560" w:name="_Toc213"/>
      <w:bookmarkEnd w:id="559"/>
      <w:r>
        <w:rPr>
          <w:rtl w:val="true"/>
        </w:rPr>
        <w:t>المقام الثالث</w:t>
      </w:r>
      <w:r>
        <w:rPr>
          <w:rtl w:val="true"/>
        </w:rPr>
        <w:t xml:space="preserve">: </w:t>
      </w:r>
      <w:r>
        <w:rPr>
          <w:rtl w:val="true"/>
        </w:rPr>
        <w:t>دوران الأمر بین الأقلّ والأکثر الاستقلالیین</w:t>
      </w:r>
      <w:bookmarkEnd w:id="560"/>
    </w:p>
    <w:p>
      <w:pPr>
        <w:pStyle w:val="BookText"/>
        <w:rPr/>
      </w:pPr>
      <w:r>
        <w:rPr>
          <w:rFonts w:ascii="IRNazanin" w:hAnsi="IRNazanin" w:eastAsia="IRNazanin"/>
          <w:color w:val="111111"/>
          <w:sz w:val="28"/>
          <w:sz w:val="28"/>
          <w:szCs w:val="28"/>
          <w:rtl w:val="true"/>
          <w:lang w:bidi="fa-IR"/>
        </w:rPr>
        <w:t>الظاهر قیام الإجماع علی البراءة عن الأکثر فیه، ووجهه واضح، لرجوعه إلی الشبهة البدویّة بالنسبة إلی الأکثر، کما إذا دار الأمر فی الصلوات الفائتة بین عشر صلوات وخمس عشرة، هذا فی الشبهة الموضوعیّة، وفی الشبهة الحکمیّة کما إذا علمنا بفوات عدّة صلوات یومیة وغیرها کصلاة الآیات، وشککنا فی وجوب قضاء غیر الیومیّة، فتجری البراءة بالنسبة إلی خمس صلوات فی المثال الأوّل وبالنسبة إلی غیر الیومیّة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البین أصل موضوعی یوجب ارتفاع موضوع البراءة فلا إشکال فی تقدّمه علیها، کما إذا شککنا فی أنّ الدین کان عشرة دنانیر أو خمسة عشر دیناراً وکان له حالة سابقة تثبت اشتغال الذمّة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النائینی رحمه الله قد تفطّن فی المقام إلی جریان هذا القسم من الدوران فی الشبهات التحریمیّة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تفطّن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له بتردّد الغناء بین أن یکون هو مطلق ترجیع الصوت أو بقید کونه مطرباً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تکون الشبهات التحریمیّة علی عکس الشبهات الوجوبیّة، فإنّه فی الشبهات الوجوبیّة یکون الأقلّ متیقّن الوجوب والأکثر مشکوکاً، وفی الشبهات التحریمیّة یکون الأکثر متیقّن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کترجیع الصوت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والأقلّ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کالترجیع بلا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جریان البراءة عن حرمة الأقلّ مطلقاً؛ سواء کانت الشبهة حکمیّة کما فی المثال، أو موضوعیّة کما إذا شککنا فی کون الصوت الفلانی مطرباً أو غیر مطرب؛ وسواء کان الأقلّ والأکثر من الإرتباطیین أو غیره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561" w:name="pg16922_187751"/>
    </w:p>
    <w:p>
      <w:pPr>
        <w:pStyle w:val="Heading3"/>
        <w:numPr>
          <w:ilvl w:val="2"/>
          <w:numId w:val="1"/>
        </w:numPr>
        <w:rPr/>
      </w:pPr>
      <w:bookmarkStart w:id="562" w:name="__RefHeading___Toc142001_3244359995"/>
      <w:bookmarkStart w:id="563" w:name="_Toc214"/>
      <w:bookmarkEnd w:id="561"/>
      <w:bookmarkEnd w:id="562"/>
      <w:r>
        <w:rPr>
          <w:rtl w:val="true"/>
        </w:rPr>
        <w:t>الأصل الرابع</w:t>
      </w:r>
      <w:r>
        <w:rPr>
          <w:rtl w:val="true"/>
        </w:rPr>
        <w:t xml:space="preserve">: </w:t>
      </w:r>
      <w:r>
        <w:rPr>
          <w:rtl w:val="true"/>
        </w:rPr>
        <w:t>اصالة الاستصحاب</w:t>
      </w:r>
      <w:bookmarkEnd w:id="563"/>
    </w:p>
    <w:p>
      <w:pPr>
        <w:pStyle w:val="Heading4"/>
        <w:numPr>
          <w:ilvl w:val="3"/>
          <w:numId w:val="1"/>
        </w:numPr>
        <w:rPr/>
      </w:pPr>
      <w:bookmarkStart w:id="564" w:name="__RefHeading___Toc142003_3244359995"/>
      <w:bookmarkStart w:id="565" w:name="_Toc215"/>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ولابدّ قبل الورود فی بیان الأدلّة الدالّة علیها من تقدیم امور</w:t>
      </w:r>
      <w:r>
        <w:rPr>
          <w:rFonts w:eastAsia="IRNazanin" w:cs="IRNazanin"/>
          <w:color w:val="111111"/>
          <w:sz w:val="28"/>
          <w:szCs w:val="28"/>
          <w:rtl w:val="true"/>
          <w:lang w:bidi="fa-IR"/>
        </w:rPr>
        <w:t>:</w:t>
      </w:r>
    </w:p>
    <w:p>
      <w:pPr>
        <w:pStyle w:val="Heading4"/>
        <w:numPr>
          <w:ilvl w:val="3"/>
          <w:numId w:val="1"/>
        </w:numPr>
        <w:rPr/>
      </w:pPr>
      <w:bookmarkStart w:id="566" w:name="__RefHeading___Toc142005_3244359995"/>
      <w:bookmarkStart w:id="567" w:name="_Toc216"/>
      <w:bookmarkEnd w:id="566"/>
      <w:r>
        <w:rPr/>
        <w:t>1</w:t>
      </w:r>
      <w:r>
        <w:rPr>
          <w:rtl w:val="true"/>
        </w:rPr>
        <w:t xml:space="preserve">. </w:t>
      </w:r>
      <w:r>
        <w:rPr>
          <w:rtl w:val="true"/>
        </w:rPr>
        <w:t>تعریف الاستصحاب</w:t>
      </w:r>
      <w:bookmarkEnd w:id="567"/>
    </w:p>
    <w:p>
      <w:pPr>
        <w:pStyle w:val="BookText"/>
        <w:rPr/>
      </w:pPr>
      <w:r>
        <w:rPr>
          <w:rFonts w:ascii="IRNazanin" w:hAnsi="IRNazanin" w:eastAsia="IRNazanin"/>
          <w:color w:val="111111"/>
          <w:sz w:val="28"/>
          <w:sz w:val="28"/>
          <w:szCs w:val="28"/>
          <w:rtl w:val="true"/>
          <w:lang w:bidi="fa-IR"/>
        </w:rPr>
        <w:t>قد عرّف الاستصحاب فی کلمات القوم بتعاریف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الحکم فی الزمان الثانی تعویلًا علی ثبوته فی الزمان الأوّل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جیّد إلّامن ناحیة عدم الإشارة إلی رکنی الاستصحاب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السابق والشکّ اللاحق، ولذا یصدق هذا التعریف فیما إذا حصل لنا الیقین فی الزمن اللاحق أیضاً، مع أنّه خارج عن حقیقة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الإشارة فیه إلی رکنی الاستصحاب، مضافاً إلی شموله للإبقاء التکوینی، بینما متعلّق الإبقاء فی الاستصحاب إنّما هو الحکم الشرعی التعبّدی،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البحث قرینة علی کونه ناظراً إلی التشریع</w:t>
      </w:r>
      <w:r>
        <w:rPr>
          <w:rFonts w:eastAsia="IRNazanin" w:cs="IRNazanin"/>
          <w:color w:val="111111"/>
          <w:sz w:val="28"/>
          <w:szCs w:val="28"/>
          <w:rtl w:val="true"/>
          <w:lang w:bidi="fa-IR"/>
        </w:rPr>
        <w:t>.</w:t>
      </w:r>
      <w:bookmarkStart w:id="568" w:name="pg16922_187752"/>
    </w:p>
    <w:p>
      <w:pPr>
        <w:pStyle w:val="BookText"/>
        <w:rPr/>
      </w:pPr>
      <w:bookmarkEnd w:id="56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ببقاء حکم أو موضوع ذی حکم شکّ فی بقائه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ممّا لا بأس به إن اضیف إلیه قید آخر، وهو عدم کون الحکم بالبقاء مستنداً إلی دلیل خاصّ، حیث إنّه لولاه لکان التعریف شاملًا لما إذا کان الإبقاء من جهة قیام دلیل خاصّ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ببقاء حکم أو موضوع ذی حکم، شکّ فی بقائه من دون قیام دلیل خاصّ علیه</w:t>
      </w:r>
      <w:r>
        <w:rPr>
          <w:rFonts w:eastAsia="IRNazanin" w:cs="IRNazanin"/>
          <w:color w:val="111111"/>
          <w:sz w:val="28"/>
          <w:szCs w:val="28"/>
          <w:rtl w:val="true"/>
          <w:lang w:bidi="fa-IR"/>
        </w:rPr>
        <w:t>.</w:t>
      </w:r>
    </w:p>
    <w:p>
      <w:pPr>
        <w:pStyle w:val="Heading4"/>
        <w:numPr>
          <w:ilvl w:val="3"/>
          <w:numId w:val="1"/>
        </w:numPr>
        <w:rPr/>
      </w:pPr>
      <w:bookmarkStart w:id="569" w:name="__RefHeading___Toc142007_3244359995"/>
      <w:bookmarkStart w:id="570" w:name="_Toc217"/>
      <w:bookmarkEnd w:id="569"/>
      <w:r>
        <w:rPr/>
        <w:t>2</w:t>
      </w:r>
      <w:r>
        <w:rPr>
          <w:rtl w:val="true"/>
        </w:rPr>
        <w:t xml:space="preserve">. </w:t>
      </w:r>
      <w:r>
        <w:rPr>
          <w:rtl w:val="true"/>
        </w:rPr>
        <w:t>هل الاستصحاب من المسائل الاصولیة؟</w:t>
      </w:r>
      <w:bookmarkEnd w:id="570"/>
    </w:p>
    <w:p>
      <w:pPr>
        <w:pStyle w:val="BookText"/>
        <w:rPr/>
      </w:pPr>
      <w:r>
        <w:rPr>
          <w:rFonts w:ascii="IRNazanin" w:hAnsi="IRNazanin" w:eastAsia="IRNazanin"/>
          <w:color w:val="111111"/>
          <w:sz w:val="28"/>
          <w:sz w:val="28"/>
          <w:szCs w:val="28"/>
          <w:rtl w:val="true"/>
          <w:lang w:bidi="fa-IR"/>
        </w:rPr>
        <w:t>قد حکم بعض بکونه من المسائل الاصولیة بتّاً ویقیناً، وفصّل بعض آخر بین الاستصحاب فی الشبهات الحکمیّة والاستصحاب فی الشبهات الموضوعیّة، فحکم بأنّه اصولیة فی الأوّل، وقاعدة فقهیّة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إن کان المستصحب من الموضوعات ککرّیة الماء وعدالة زید، فلا إشکال حینئذٍ فی کونه من القواعد الفقهیّة، وإن کان المستصحب من الأحکام کاستصحاب طهارة العصیر العنبی بعد الغلیان، فلا إشکال فی أنّه من المسائل الاصولیة، لأنّه یقع کبری لقیاس یستنتج منه حکم فقهی کلّی</w:t>
      </w:r>
      <w:r>
        <w:rPr>
          <w:rFonts w:eastAsia="IRNazanin" w:cs="IRNazanin"/>
          <w:color w:val="111111"/>
          <w:sz w:val="28"/>
          <w:szCs w:val="28"/>
          <w:rtl w:val="true"/>
          <w:lang w:bidi="fa-IR"/>
        </w:rPr>
        <w:t>.</w:t>
      </w:r>
    </w:p>
    <w:p>
      <w:pPr>
        <w:pStyle w:val="Heading4"/>
        <w:numPr>
          <w:ilvl w:val="3"/>
          <w:numId w:val="1"/>
        </w:numPr>
        <w:rPr/>
      </w:pPr>
      <w:bookmarkStart w:id="571" w:name="__RefHeading___Toc142009_3244359995"/>
      <w:bookmarkStart w:id="572" w:name="_Toc218"/>
      <w:bookmarkEnd w:id="571"/>
      <w:r>
        <w:rPr/>
        <w:t>3</w:t>
      </w:r>
      <w:r>
        <w:rPr>
          <w:rtl w:val="true"/>
        </w:rPr>
        <w:t xml:space="preserve">. </w:t>
      </w:r>
      <w:r>
        <w:rPr>
          <w:rtl w:val="true"/>
        </w:rPr>
        <w:t>أرکان الاستصحاب</w:t>
      </w:r>
      <w:bookmarkEnd w:id="572"/>
    </w:p>
    <w:p>
      <w:pPr>
        <w:pStyle w:val="BookText"/>
        <w:rPr/>
      </w:pPr>
      <w:r>
        <w:rPr>
          <w:rFonts w:ascii="IRNazanin" w:hAnsi="IRNazanin" w:eastAsia="IRNazanin"/>
          <w:color w:val="111111"/>
          <w:sz w:val="28"/>
          <w:sz w:val="28"/>
          <w:szCs w:val="28"/>
          <w:rtl w:val="true"/>
          <w:lang w:bidi="fa-IR"/>
        </w:rPr>
        <w:t>المعروف أنّ للاستصحاب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السابق والشکّ اللاحق المتعلّق بمتعلّق الیقین، ونفس هذا یدلّ علی لزوم اتّحاد القضیّتین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المتیقّنة والقضیّة المشکوکة موضوعاً ومحمولًا، فتکون مثلًا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الماء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الیقین والشکّ معاً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المعتبر فی جریان الاستصحاب اتّحاد القضیّتین کذلک، لزم عدم</w:t>
      </w:r>
      <w:bookmarkStart w:id="573" w:name="pg16922_187753"/>
    </w:p>
    <w:p>
      <w:pPr>
        <w:pStyle w:val="BookText"/>
        <w:rPr/>
      </w:pPr>
      <w:bookmarkEnd w:id="573"/>
      <w:r>
        <w:rPr>
          <w:rFonts w:ascii="IRNazanin" w:hAnsi="IRNazanin" w:eastAsia="IRNazanin"/>
          <w:color w:val="111111"/>
          <w:sz w:val="28"/>
          <w:sz w:val="28"/>
          <w:szCs w:val="28"/>
          <w:rtl w:val="true"/>
          <w:lang w:bidi="fa-IR"/>
        </w:rPr>
        <w:t>جریانه فی الشبهات الحکمیّة، حیث إنّه ما من شکّ متعلّق ببقاء حکم من الأحکام إلّا وهو ناشئ من تغییر فی موضوع القضیّة المتیقّنة فی الزمن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کذلک لو کان المراد من الوحدة، الوحدة العقلیّة، بینما المقصود منها الوحدة العرفیّة کما سیأتی بیانه إن شاء اللَّه تعالی</w:t>
      </w:r>
      <w:r>
        <w:rPr>
          <w:rFonts w:eastAsia="IRNazanin" w:cs="IRNazanin"/>
          <w:color w:val="111111"/>
          <w:sz w:val="28"/>
          <w:szCs w:val="28"/>
          <w:rtl w:val="true"/>
          <w:lang w:bidi="fa-IR"/>
        </w:rPr>
        <w:t>.</w:t>
      </w:r>
    </w:p>
    <w:p>
      <w:pPr>
        <w:pStyle w:val="Heading4"/>
        <w:numPr>
          <w:ilvl w:val="3"/>
          <w:numId w:val="1"/>
        </w:numPr>
        <w:rPr/>
      </w:pPr>
      <w:bookmarkStart w:id="574" w:name="__RefHeading___Toc142011_3244359995"/>
      <w:bookmarkStart w:id="575" w:name="_Toc219"/>
      <w:bookmarkEnd w:id="574"/>
      <w:r>
        <w:rPr/>
        <w:t>4</w:t>
      </w:r>
      <w:r>
        <w:rPr>
          <w:rtl w:val="true"/>
        </w:rPr>
        <w:t xml:space="preserve">. </w:t>
      </w:r>
      <w:r>
        <w:rPr>
          <w:rtl w:val="true"/>
        </w:rPr>
        <w:t>هل الاستصحاب من الاصول أو الأمارات؟</w:t>
      </w:r>
      <w:bookmarkEnd w:id="575"/>
    </w:p>
    <w:p>
      <w:pPr>
        <w:pStyle w:val="BookText"/>
        <w:rPr/>
      </w:pPr>
      <w:r>
        <w:rPr>
          <w:rFonts w:ascii="IRNazanin" w:hAnsi="IRNazanin" w:eastAsia="IRNazanin"/>
          <w:color w:val="111111"/>
          <w:sz w:val="28"/>
          <w:sz w:val="28"/>
          <w:szCs w:val="28"/>
          <w:rtl w:val="true"/>
          <w:lang w:bidi="fa-IR"/>
        </w:rPr>
        <w:t>قد فصّل شیخنا الأعظم الأنصاری رحمه الله فیه بین ما إذا کان الدلیل علیه من الأخبار أو العقل،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 الاستصحاب من الأحکام الظاهریّة الثابتة للشی‌ء بوصف کونه مشکوک الحکم نظیر أصل البراءة وقاعدة الاشتغال مبنی علی استفادته من الأخبار، وأمّا بناءً علی کونه من أحکام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استقرّ علیه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ظنّی اجتهادی نظیر القیاس والاستقراء علی القول بهما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لابدّ قبل تعیین ما هو الصحیح فی المسألة من بیان الفرق بین الأمارة والأصل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فیه أنّ الأصل ما اخذ فی موضوعه الشکّ، وأنّ الأمارة ما یکون طریقاً إلی الواقع من دون أخذ الشکّ فی موضوعه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أنّ الشکّ مأخوذ فی موضوع کلّ من الأصل والأمارة، والشاهد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الوارد فی حجّیة الرجوع إلی أهل الخبرة،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معنی الشکّ، ولا کلام فی أنّ الرجوع إلی أهل الخبرة من الأمارات، بل لا معنی لنفی الشکّ عن موضوع الأمارات، فإنّها علی کلّ حال واردة فی ظرف الشکّ ومقیّدة به؛ سواء ورد التصریح به فی العبارة أو لم یرد</w:t>
      </w:r>
      <w:r>
        <w:rPr>
          <w:rFonts w:eastAsia="IRNazanin" w:cs="IRNazanin"/>
          <w:color w:val="111111"/>
          <w:sz w:val="28"/>
          <w:szCs w:val="28"/>
          <w:rtl w:val="true"/>
          <w:lang w:bidi="fa-IR"/>
        </w:rPr>
        <w:t>.</w:t>
      </w:r>
      <w:bookmarkStart w:id="576" w:name="pg16922_187754"/>
    </w:p>
    <w:p>
      <w:pPr>
        <w:pStyle w:val="BookText"/>
        <w:rPr/>
      </w:pPr>
      <w:bookmarkEnd w:id="576"/>
      <w:r>
        <w:rPr>
          <w:rFonts w:ascii="IRNazanin" w:hAnsi="IRNazanin" w:eastAsia="IRNazanin"/>
          <w:color w:val="111111"/>
          <w:sz w:val="28"/>
          <w:sz w:val="28"/>
          <w:szCs w:val="28"/>
          <w:rtl w:val="true"/>
          <w:lang w:bidi="fa-IR"/>
        </w:rPr>
        <w:t>والصحیح فی الفرق بینهما أنّ الأمارة ما تکشف عن الواقع فی الجملة، ولأجل ذلک جعلت لها الحجّیة عند الشرع أو العقلاء من أهل العرف فصار کشفها الناقص بمنزلة الکشف التامّ، وأمّا الأصل فلیس له کشف عن الواقع بل هو حکم جعل لمجرّد رفع الحیرة والتردید فی مقام العمل لمصلحة فیه؛ سواء کان الدلیل علیه العقل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التفصیل المزبور من الشیخ الأعظم رحمه الله فی غیر محلّه؛ لأنّ للعقلاء أیضاً اصولًا وأمارات فإنّهم یجرون البراءة مثلًا فی الأحکام الجاریة بین الموالی وعبیدهم وبین الحکّام ورعایاهم والرؤساء والمرؤوسین، وفی الموضوعات فی الجرائم والمسائل الحقوقیّة، مع أنّه لا نزاع فی أنّ البراءة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کون الدلیل بناء العقلاء، لا یکون دلیلًا علی الأماریة بل یوافق کون المورد أصلًا أو أمارة، فلابدّ إذن من ملاحظة کیفیة بناء العقلاء وخصوصیّته حتّی یتبیّن أنّ نظرهم هل هو إلی جهة الکشف حتّی یکون المورد أمارة، أو إلی مجرّد رفع الحیرة حتّی یکون المورد من الاصول؟ وسیأتی بیان هذا بالنسبة إلی الاستصحاب فانتظر</w:t>
      </w:r>
      <w:r>
        <w:rPr>
          <w:rFonts w:eastAsia="IRNazanin" w:cs="IRNazanin"/>
          <w:color w:val="111111"/>
          <w:sz w:val="28"/>
          <w:szCs w:val="28"/>
          <w:rtl w:val="true"/>
          <w:lang w:bidi="fa-IR"/>
        </w:rPr>
        <w:t>.</w:t>
      </w:r>
    </w:p>
    <w:p>
      <w:pPr>
        <w:pStyle w:val="Heading4"/>
        <w:numPr>
          <w:ilvl w:val="3"/>
          <w:numId w:val="1"/>
        </w:numPr>
        <w:rPr/>
      </w:pPr>
      <w:bookmarkStart w:id="577" w:name="__RefHeading___Toc142013_3244359995"/>
      <w:bookmarkStart w:id="578" w:name="_Toc220"/>
      <w:bookmarkEnd w:id="577"/>
      <w:r>
        <w:rPr/>
        <w:t>5</w:t>
      </w:r>
      <w:r>
        <w:rPr>
          <w:rtl w:val="true"/>
        </w:rPr>
        <w:t xml:space="preserve">. </w:t>
      </w:r>
      <w:r>
        <w:rPr>
          <w:rtl w:val="true"/>
        </w:rPr>
        <w:t>استصحاب الحکم الشرعی المستکشف من دلیل العقل</w:t>
      </w:r>
      <w:bookmarkEnd w:id="578"/>
    </w:p>
    <w:p>
      <w:pPr>
        <w:pStyle w:val="BookText"/>
        <w:rPr/>
      </w:pPr>
      <w:r>
        <w:rPr>
          <w:rFonts w:ascii="IRNazanin" w:hAnsi="IRNazanin" w:eastAsia="IRNazanin"/>
          <w:color w:val="111111"/>
          <w:sz w:val="28"/>
          <w:sz w:val="28"/>
          <w:szCs w:val="28"/>
          <w:rtl w:val="true"/>
          <w:lang w:bidi="fa-IR"/>
        </w:rPr>
        <w:t>لو کشفنا حرمة المخدّرات مثلًا من حکم العقل، أی بقانون الملازمة، فهل یصحّ استصحابه فیما إذا شککنا فی بقائها فی الزمان اللاحق أو 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شیخنا الأعظم الأنصاری رحمه الله إلی عدمه، من باب أنّ الأحکام العقلیّة کلّها مبیّنة مفصّلة من حیث مناط الحکم، فلا یشکّ العقل حینئذٍ فی حکم نفسه، فلابدّ وأن یرجع الشکّ فی بقاء المستصحب وعدمه إلی الشکّ فی موضوع الحکم،</w:t>
      </w:r>
    </w:p>
    <w:p>
      <w:pPr>
        <w:pStyle w:val="BookText"/>
        <w:rPr/>
      </w:pPr>
      <w:r>
        <w:rPr>
          <w:rFonts w:ascii="IRNazanin" w:hAnsi="IRNazanin" w:eastAsia="IRNazanin"/>
          <w:color w:val="111111"/>
          <w:sz w:val="28"/>
          <w:sz w:val="28"/>
          <w:szCs w:val="28"/>
          <w:rtl w:val="true"/>
          <w:lang w:bidi="fa-IR"/>
        </w:rPr>
        <w:t xml:space="preserve">والموضوع لابدّ أن یکون محرزاً معلوم البقاء فی الاستصحاب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موضوعه معلوم تفصیلًا للعقل الحاکم به، فإن أدرک العقل بقاء الموضوع فی الآن الثانی حکم به حکماً قطعیاً کما حکم أوّلًا، وإن أدرک ارتفاعه قطع بارتفاع ذلک الحکم، فلا یعقل تطرّق الإهمال إلی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الخراسانی رحمه الله أورد علیه بأنّ تطرّق الإهمال إلی موضوع حکم العقل ممّا یعقل فی الجملة، بمعنی أنّه یمکن أن یستقلّ العقل بحکم خاصّ علی موضوع مخصوص مع وجود حالة مخصوصة فیه، لکن من غیر أن یدرک دخلها فی المناط علی نحو إذا انتفت الحالة أدرک فقد المناط فیه بل یدرک فقط تحقّق المناط مع وجود الحالة فیستقلّ بالحکم فیه، ولا یدرک تحقّق المناط مع انتفاء الحالة فلا یستقلّ بالحکم ولا بانتفائه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مانع حینئذٍ عن استصحاب الحکم الشرعی المستکشف بحکم العقل بعد انتفاء الحالة المخصوصة، وذلک للیقین السابق کما هو المفروض، والشکّ اللاحق نظراً إلی احتمال عدم دخل الحالة فی المناط أصلًا، ولبقاء الموضوع عرفاً إذا فرض عدم کون الحالة من مقوّمات الموضوع، بل من حالاته المتبادلة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تمامیة ما ذکره الشیخ الأعظم رحمه الله لأنّه وإن کان رکنا الاستصحاب وهما الیقین السابق والشکّ اللاحق موجودین فی ما نحن فیه، لکن الکلام فی وحدة الموضوع المعتبرة فی الاستصحاب، وهی منتفیة فی المقام، وذلک لأنّ الأحکام المتعلّقة بالأشیاء الخارجیّة من ناحیة الشرع أو العقل لا تتعلّق بها بما هی هی، أی بذواتها، بل تتعلّق بها بعناوینها، فالمتعلّق للحکم دائماً هو الشی‌ء بعنوانه لا بما هو هو، فبعد أن تبدّل الخمر إلی الخلّ وإن کانت العصارة المأخوذة من العنب موجودة،</w:t>
      </w:r>
      <w:bookmarkStart w:id="579" w:name="pg16922_187756"/>
    </w:p>
    <w:p>
      <w:pPr>
        <w:pStyle w:val="BookText"/>
        <w:rPr/>
      </w:pPr>
      <w:bookmarkEnd w:id="579"/>
      <w:r>
        <w:rPr>
          <w:rFonts w:ascii="IRNazanin" w:hAnsi="IRNazanin" w:eastAsia="IRNazanin"/>
          <w:color w:val="111111"/>
          <w:sz w:val="28"/>
          <w:sz w:val="28"/>
          <w:szCs w:val="28"/>
          <w:rtl w:val="true"/>
          <w:lang w:bidi="fa-IR"/>
        </w:rPr>
        <w:t>لکنّها لیست موضوعاً للنجاسة، بل الموضوع لها هذا بما هو خمر، ولا إشکال فی زواله وعدم وجوده بعد صیروریته خلًا</w:t>
      </w:r>
      <w:r>
        <w:rPr>
          <w:rFonts w:eastAsia="IRNazanin" w:cs="IRNazanin"/>
          <w:color w:val="111111"/>
          <w:sz w:val="28"/>
          <w:szCs w:val="28"/>
          <w:rtl w:val="true"/>
          <w:lang w:bidi="fa-IR"/>
        </w:rPr>
        <w:t>.</w:t>
      </w:r>
    </w:p>
    <w:p>
      <w:pPr>
        <w:pStyle w:val="Heading4"/>
        <w:numPr>
          <w:ilvl w:val="3"/>
          <w:numId w:val="1"/>
        </w:numPr>
        <w:rPr/>
      </w:pPr>
      <w:bookmarkStart w:id="580" w:name="__RefHeading___Toc142015_3244359995"/>
      <w:bookmarkStart w:id="581" w:name="_Toc221"/>
      <w:bookmarkEnd w:id="580"/>
      <w:r>
        <w:rPr/>
        <w:t>6</w:t>
      </w:r>
      <w:r>
        <w:rPr>
          <w:rtl w:val="true"/>
        </w:rPr>
        <w:t xml:space="preserve">. </w:t>
      </w:r>
      <w:r>
        <w:rPr>
          <w:rtl w:val="true"/>
        </w:rPr>
        <w:t>الفرق بین الاستصحاب وقاعدتی الیقین والمقتضی والمانع</w:t>
      </w:r>
      <w:bookmarkEnd w:id="581"/>
    </w:p>
    <w:p>
      <w:pPr>
        <w:pStyle w:val="BookText"/>
        <w:rPr/>
      </w:pPr>
      <w:r>
        <w:rPr>
          <w:rFonts w:ascii="IRNazanin" w:hAnsi="IRNazanin" w:eastAsia="IRNazanin"/>
          <w:color w:val="111111"/>
          <w:sz w:val="28"/>
          <w:sz w:val="28"/>
          <w:szCs w:val="28"/>
          <w:rtl w:val="true"/>
          <w:lang w:bidi="fa-IR"/>
        </w:rPr>
        <w:t>لا إشکال فی عدم تعلّق الیقین والشکّ من شخص واحد بالنسبة إلی موضوع واحد، إلّامع التغایر إمّا فی نفس المتعلّق أو فی زمانه أو فی زمان الیقین والشکّ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الیقین والشکّ متّحدین فی الزمان وکان متعلّقهما أیضاً واحداً فی الزمان، ولکن کان متعلّق الیقین وجود المقتضی، ومتعلّق الشکّ وجود المانع؛ أی کان التغایر فی نفس المتعلّق، فهذا هو مورد قاعدة المقتضی والمانع، کما إذا تیقّن بملاقاة النجاسة مع الماء وشکّ فی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المتعلّق واحداً فی نفسه وزمانه، ولکن کان زمان الیقین متغایراً مع زمان الشکّ فهذا مورد قاعدة الیقین، ویسمّی بالشکّ الساری لسریان الشکّ إلی نفس متعلّق الیقین، کما إذا علم یوم الخمیس بعدالة زید یوم الأربعاء، وشکّ یوم الجمعة فی عدالته یوم الأربعاء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زمان الیقین والشکّ متّحداً، وکان متعلّقهما أیضاً أمراً واحداً، ولکن کان التغایر فی زمان المتعلّق، فهذا هو مورد قاعدة الاستصحاب، ویسمّی الشکّ حینئذٍ بالشکّ الطارئ، کما إذا علم یوم الخمیس بعدالة زید، ثمّ شکّ فی عدالته یوم الجمعة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فالمیزان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التغایر فی زمان متعلّق الیقین والشکّ، وفی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التمایز فی زمان الیقین والشکّ، وفی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متعلّق الیقین والشکّ</w:t>
      </w:r>
      <w:r>
        <w:rPr>
          <w:rFonts w:eastAsia="IRNazanin" w:cs="IRNazanin"/>
          <w:color w:val="111111"/>
          <w:sz w:val="28"/>
          <w:szCs w:val="28"/>
          <w:rtl w:val="true"/>
          <w:lang w:bidi="fa-IR"/>
        </w:rPr>
        <w:t>.</w:t>
      </w:r>
      <w:bookmarkStart w:id="582" w:name="pg16922_187757"/>
    </w:p>
    <w:p>
      <w:pPr>
        <w:pStyle w:val="Heading3"/>
        <w:numPr>
          <w:ilvl w:val="2"/>
          <w:numId w:val="1"/>
        </w:numPr>
        <w:rPr/>
      </w:pPr>
      <w:bookmarkStart w:id="583" w:name="__RefHeading___Toc142017_3244359995"/>
      <w:bookmarkStart w:id="584" w:name="_Toc222"/>
      <w:bookmarkEnd w:id="582"/>
      <w:bookmarkEnd w:id="583"/>
      <w:r>
        <w:rPr>
          <w:rtl w:val="true"/>
        </w:rPr>
        <w:t>حجیة الاستصحاب وبیان أدلّتها</w:t>
      </w:r>
      <w:bookmarkEnd w:id="584"/>
    </w:p>
    <w:p>
      <w:pPr>
        <w:pStyle w:val="Heading4"/>
        <w:numPr>
          <w:ilvl w:val="3"/>
          <w:numId w:val="1"/>
        </w:numPr>
        <w:rPr/>
      </w:pPr>
      <w:bookmarkStart w:id="585" w:name="__RefHeading___Toc142019_3244359995"/>
      <w:bookmarkStart w:id="586" w:name="_Toc223"/>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استدلّ لها بوجوه والتامّ منها اثنان</w:t>
      </w:r>
      <w:r>
        <w:rPr>
          <w:rFonts w:eastAsia="IRNazanin" w:cs="IRNazanin"/>
          <w:color w:val="111111"/>
          <w:sz w:val="28"/>
          <w:szCs w:val="28"/>
          <w:rtl w:val="true"/>
          <w:lang w:bidi="fa-IR"/>
        </w:rPr>
        <w:t>:</w:t>
      </w:r>
    </w:p>
    <w:p>
      <w:pPr>
        <w:pStyle w:val="Heading4"/>
        <w:numPr>
          <w:ilvl w:val="3"/>
          <w:numId w:val="1"/>
        </w:numPr>
        <w:rPr/>
      </w:pPr>
      <w:bookmarkStart w:id="587" w:name="__RefHeading___Toc142021_3244359995"/>
      <w:bookmarkStart w:id="588" w:name="_Toc224"/>
      <w:bookmarkEnd w:id="587"/>
      <w:r>
        <w:rPr>
          <w:rtl w:val="true"/>
        </w:rPr>
        <w:t>الأوّل</w:t>
      </w:r>
      <w:r>
        <w:rPr>
          <w:rtl w:val="true"/>
        </w:rPr>
        <w:t xml:space="preserve">: </w:t>
      </w:r>
      <w:r>
        <w:rPr>
          <w:rtl w:val="true"/>
        </w:rPr>
        <w:t>بناء العقلاء</w:t>
      </w:r>
      <w:bookmarkEnd w:id="588"/>
    </w:p>
    <w:p>
      <w:pPr>
        <w:pStyle w:val="BookText"/>
        <w:rPr/>
      </w:pPr>
      <w:r>
        <w:rPr>
          <w:rFonts w:ascii="IRNazanin" w:hAnsi="IRNazanin" w:eastAsia="IRNazanin"/>
          <w:color w:val="111111"/>
          <w:sz w:val="28"/>
          <w:sz w:val="28"/>
          <w:szCs w:val="28"/>
          <w:rtl w:val="true"/>
          <w:lang w:bidi="fa-IR"/>
        </w:rPr>
        <w:t>فإنّ بناءهم علی استصحاب الحالة المتیقّنة السابقة فی جمیع امورهم، ولولا ذلک لاختلّ نظام معاشهم، فلو احتمل أحدهم موت صاحبه فی تجارة لکهولة سنّه أو مرضه أو غیر ذلک من الحوادث فلا یعتنی بهذا الاحتمال بل یداوم علی عمله ویسیر إلی مقصده من دون أن تمنعه هذه الاحتمالات، وفی المحاکم القضائیّة العقلائیّة یبنی علی بقاء مالکیة الإنسان ما لم یثبت خلافه، وعلی بقاء الوکالة ما لم یثبت العزل، وعلی بقاء زوجیة الزوج الغائب وإن احتمل موته أو طلاقه، إلی غیر ذلک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هذا الوجه إشکالات مختلفة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هذا لا یفیدنا إلّاإذا کان ناشئاً من تعبّدهم علی ذلک، وهو ممنوع لأنّه ینشأ من ملاکات عدیدة، فقد یکون رجاءً واحتیاطاً، وقد یکون من باب الاطمئنان بالبقاء، وقد یکون ظنّاً ولو نوعاً، وقد یکون من باب الغفلة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غیر تامّ؛ لأنّ من الاحتمالات کون البناء من باب الظنّ النوعی، ومنها کونه من باب الرجاء والاحتیاط، وعلیه فإذا کان الظنّ أو الرجاء أو شبههما حجّة عند العقلاء بحیث یحتجّ به العبید علی موالیهم، والموالی علی عبیدهم فهو کافٍ فی إثبات المطلوب، لأنّا لا نقصد من الحجّیة إلّاهذا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عن العمل بغیر العلم رادعة عن هذه السیرة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الآیات الناهیة عن العمل بالظنّ لا یمکن أن تکون رادعة عن سیرة العقلاء؛ لأنّ المراد من الظنّ فیها لیس هو الظنّ المصطلح؛ وهو الاحتمال الراجح فی مقابل العلم والشکّ والوهم، بل إنّه فی مثل هذه الآیات إشارة إلی الظنون الواهیة والأوهام الباطلة، کما تؤیّده القرائن الموجودة فی نفس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وَمَا تَهْوَی الْأَنْفُسُ</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فعطف علی الظنّ ما تهوی الأنفس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وَإِنْ هُمْ إِلَّا یَخْرُصُونَ</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ففسّر الظنّ بالخرص وهو التخمین والحدس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ورود هذه الآیات فی المشرکین وعبدة الأصنام الذین لم تکن عبادتهم للأصنام ناشئة من ظنّ عقلائی وأساس برهانی بلا ریب، بل نشأت من توهّمات باطلة وخیالات 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للزم تخصیص هذه الآیات فی موارد العمل بالظواهر والبیّنة وخبر الواحد وقول ذی الید وغیرها، مع أنّ لحنها آبٍ عن التخصیص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ورودها فی خصوص اصول الدین والمسائل الاعتقادیّة الّتی لا</w:t>
      </w:r>
      <w:bookmarkStart w:id="589" w:name="pg16922_187759"/>
    </w:p>
    <w:p>
      <w:pPr>
        <w:pStyle w:val="BookText"/>
        <w:rPr/>
      </w:pPr>
      <w:bookmarkEnd w:id="589"/>
      <w:r>
        <w:rPr>
          <w:rFonts w:ascii="IRNazanin" w:hAnsi="IRNazanin" w:eastAsia="IRNazanin"/>
          <w:color w:val="111111"/>
          <w:sz w:val="28"/>
          <w:sz w:val="28"/>
          <w:szCs w:val="28"/>
          <w:rtl w:val="true"/>
          <w:lang w:bidi="fa-IR"/>
        </w:rPr>
        <w:t>یقاس علیها الفروع والمسائل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إبقاء الحالة السابقة وإن کان غیر قابل للإنکار فی الجملة، إلّاأنّه لم یعلم أنّ ذلک من جهة التعبّد بالشکّ والأصل العملی، أو من جهة الأماریة والکشف عن الواقع، إذ یبعّد الأوّل عدم تعقّل بناء من العقلاء علی صرف التعبّد بالشکّ من دون أماریة وکاشفیّة، کما أنّه یبعّد الثانی عدم وجود شی‌ء فی المقام یکون کاشفاً عن الواقع فی ظرف الشکّ، إذ الیقین السابق لا أماریة له فی ظرف الشکّ، ونفس الشکّ لا أماریة له أیضاً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التعبّد بالشکّ من العقلاء وإن لم یکن فی نفسه معقولًا، إلّاأنّه یمکن أن یکون ذلک بإلهام من اللَّه تعالی حتّی لا یختلّ امور معاشهم ومعادهم، فإنّ لزوم اختلال النظام مع التوقّف عن الجری فی الحالة السابقة مع الشکّ واضح، فلأجله جعل اللَّه الجری علی طبقها من المرتکزات فی أنفسهم مع عدم وجود کاشف عن تحقّقها أصلًا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افید من أنّ بناءهم إلهام إلهی وأنّ فطرتهم جرت علی ذلک، هو بنفسه دلیل علی وجود التعبّد لهم، فإنّهم یعتمدون علی امور کأصالة البراءة، مع أنّها لا کاشفیّة لها بالنسبة إلی الواقع، ولکنّهم یبنون علی ذلک من باب أنّ عدمه یوجب اختلال النظام، ومن هذا القبیل باب الحقوق والجرائم، فما دام لم یثبت جرم أحد، أو کونه مدیوناً، لا یحکم علیه بالجرم والدین، وهذا من الاصول الثابتة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بناؤهم علی الاستصحاب من هذا القبیل، فإنّ للعقلاء أیضاً اصول وأمارات،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الاصول والأمارات الشرعیّة لها أصل عقلائی</w:t>
      </w:r>
      <w:r>
        <w:rPr>
          <w:rFonts w:eastAsia="IRNazanin" w:cs="IRNazanin"/>
          <w:color w:val="111111"/>
          <w:sz w:val="28"/>
          <w:szCs w:val="28"/>
          <w:rtl w:val="true"/>
          <w:lang w:bidi="fa-IR"/>
        </w:rPr>
        <w:t>.</w:t>
      </w:r>
    </w:p>
    <w:p>
      <w:pPr>
        <w:pStyle w:val="Heading4"/>
        <w:numPr>
          <w:ilvl w:val="3"/>
          <w:numId w:val="1"/>
        </w:numPr>
        <w:rPr/>
      </w:pPr>
      <w:bookmarkStart w:id="590" w:name="__RefHeading___Toc142023_3244359995"/>
      <w:bookmarkStart w:id="591" w:name="_Toc225"/>
      <w:bookmarkEnd w:id="590"/>
      <w:r>
        <w:rPr>
          <w:rtl w:val="true"/>
        </w:rPr>
        <w:t>الثانی</w:t>
      </w:r>
      <w:r>
        <w:rPr>
          <w:rtl w:val="true"/>
        </w:rPr>
        <w:t xml:space="preserve">: </w:t>
      </w:r>
      <w:r>
        <w:rPr>
          <w:rtl w:val="true"/>
        </w:rPr>
        <w:t>الأخبار المستفیضة</w:t>
      </w:r>
      <w:bookmarkEnd w:id="591"/>
    </w:p>
    <w:p>
      <w:pPr>
        <w:pStyle w:val="Heading5"/>
        <w:numPr>
          <w:ilvl w:val="4"/>
          <w:numId w:val="1"/>
        </w:numPr>
        <w:rPr/>
      </w:pPr>
      <w:bookmarkStart w:id="592" w:name="__RefHeading___Toc142025_3244359995"/>
      <w:bookmarkStart w:id="593" w:name="_Toc226"/>
      <w:bookmarkEnd w:id="592"/>
      <w:r>
        <w:rPr>
          <w:rtl w:val="true"/>
        </w:rPr>
        <w:t>اشارة</w:t>
      </w:r>
      <w:bookmarkEnd w:id="5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العمدة ونذکر منها أهمّها</w:t>
      </w:r>
      <w:r>
        <w:rPr>
          <w:rFonts w:eastAsia="IRNazanin" w:cs="IRNazanin"/>
          <w:color w:val="111111"/>
          <w:sz w:val="28"/>
          <w:szCs w:val="28"/>
          <w:rtl w:val="true"/>
          <w:lang w:bidi="fa-IR"/>
        </w:rPr>
        <w:t>:</w:t>
      </w:r>
      <w:bookmarkStart w:id="594" w:name="pg16922_187760"/>
    </w:p>
    <w:p>
      <w:pPr>
        <w:pStyle w:val="Heading5"/>
        <w:numPr>
          <w:ilvl w:val="4"/>
          <w:numId w:val="1"/>
        </w:numPr>
        <w:rPr/>
      </w:pPr>
      <w:bookmarkStart w:id="595" w:name="__RefHeading___Toc142027_3244359995"/>
      <w:bookmarkStart w:id="596" w:name="_Toc227"/>
      <w:bookmarkEnd w:id="594"/>
      <w:bookmarkEnd w:id="595"/>
      <w:r>
        <w:rPr/>
        <w:t>1</w:t>
      </w:r>
      <w:r>
        <w:rPr>
          <w:rtl w:val="true"/>
        </w:rPr>
        <w:t xml:space="preserve">. </w:t>
      </w:r>
      <w:r>
        <w:rPr>
          <w:rtl w:val="true"/>
        </w:rPr>
        <w:t>الصحیحة الاولی لزرارة</w:t>
      </w:r>
      <w:bookmarkEnd w:id="59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وهو علی وضوء، أتوجب الخفقة والخفقتان علیه الوضوء؟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یازرارة قد تنام العین ولا ینام القلب والاذن فإذا نامت العین والاذن والقلب وجب الوضوء،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علی جنبه شی‌ء ولم یعلم به؟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حتّی یستیقن أنّه قد نام حتّی یجی‌ء من ذلک أمر بیّن، وإلّا فإنّه علی یقین من وضوئه، ولا تنقض الیقین أبداً بالشکّ وإنّما تنقضه بیقین آخر</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الإضمار فی الحدیث لا یضرّ بصحّته، لأنّ مثل زرارة لا یروی الحکم الشرعی بهذه الصورة إلّاعن الإمام علیه السلام، مضافاً إلی لحن الحدیث والسؤال والجواب الواردان فیه حیث إنّ الإنسان یطمئنّ بأنّ مثله لا یصدر إلّامن المعصوم علیه السلام، وعلی هذا فلا کلام فی الروایة من ناحیة السند، إنّما البحث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الکلام فی تعیین جزاء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فیها، والّتی هی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جزاؤها؟ و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محذوفاً، 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یستیقن أنّه قد نام فلا یجب علیه الوضوء، أو فهو باقٍ علی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تعلیلًا لذلک الجزاء فیکون بمنزلة کبری کلّیة تجری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 جزاءً فیکون بمنزلة جملة إنشائیّة،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علی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بباب الوضوء لخروجه عن صیغة التعلیل الذی یتعدّی عن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توطئة له، فیختصّ أیضاً بباب الوضوء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الترجیح مع التفسیر الأوّل، وأنّ الأخیرین بعیدان عن ظاهر الحدیث</w:t>
      </w:r>
      <w:r>
        <w:rPr>
          <w:rFonts w:eastAsia="IRNazanin" w:cs="IRNazanin"/>
          <w:color w:val="111111"/>
          <w:sz w:val="28"/>
          <w:szCs w:val="28"/>
          <w:rtl w:val="true"/>
          <w:lang w:bidi="fa-IR"/>
        </w:rPr>
        <w:t>.</w:t>
      </w:r>
      <w:bookmarkStart w:id="597" w:name="pg16922_187761"/>
    </w:p>
    <w:p>
      <w:pPr>
        <w:pStyle w:val="BookText"/>
        <w:rPr/>
      </w:pPr>
      <w:bookmarkEnd w:id="597"/>
      <w:r>
        <w:rPr>
          <w:rFonts w:ascii="IRNazanin" w:hAnsi="IRNazanin" w:eastAsia="IRNazanin"/>
          <w:color w:val="111111"/>
          <w:sz w:val="28"/>
          <w:sz w:val="28"/>
          <w:szCs w:val="28"/>
          <w:rtl w:val="true"/>
          <w:lang w:bidi="fa-IR"/>
        </w:rPr>
        <w:t>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بمنزلة جملة إنشائیّة،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المحقّق الخراسانی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الإخبار بجملة اسمیة مع کونها کنایة عن الإنشاء لا یکون أمراً مأنوساً عند أهل اللسان، فلا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إنّه شائع فی الجملة الفعلیّة بصیغة المضارع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لازمه أن یکون الجزاء معطوفاً علی شرطه بالواو العاطفة، وهو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کون أحدهما مراداً للإمام علیه السلام لکنّه یمکن استفادة العموم من الحدیث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إشارة إلی نکتة إرتکازیّة عند العقلاء، وهی عدم صحّة نقض شی‌ء محکم کالیقین، بأمر موهون کالشکّ،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الحکم والموضوع یوجب إلغاء الخصوصیة عن باب الوضوء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مناسبة لجریان الحکم وسریانه فی سائر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سائر الأبواب أیضاً، مثل باب النجاسات والصلاة والصوم، فإنّه قرینة خارجیة علی عموم الحکم فی المقام</w:t>
      </w:r>
      <w:r>
        <w:rPr>
          <w:rFonts w:eastAsia="IRNazanin" w:cs="IRNazanin"/>
          <w:color w:val="111111"/>
          <w:sz w:val="28"/>
          <w:szCs w:val="28"/>
          <w:rtl w:val="true"/>
          <w:lang w:bidi="fa-IR"/>
        </w:rPr>
        <w:t>.</w:t>
      </w:r>
    </w:p>
    <w:p>
      <w:pPr>
        <w:pStyle w:val="Heading5"/>
        <w:numPr>
          <w:ilvl w:val="4"/>
          <w:numId w:val="1"/>
        </w:numPr>
        <w:rPr/>
      </w:pPr>
      <w:bookmarkStart w:id="598" w:name="__RefHeading___Toc142029_3244359995"/>
      <w:bookmarkStart w:id="599" w:name="_Toc228"/>
      <w:bookmarkEnd w:id="598"/>
      <w:r>
        <w:rPr/>
        <w:t>2</w:t>
      </w:r>
      <w:r>
        <w:rPr>
          <w:rtl w:val="true"/>
        </w:rPr>
        <w:t xml:space="preserve">. </w:t>
      </w:r>
      <w:r>
        <w:rPr>
          <w:rtl w:val="true"/>
        </w:rPr>
        <w:t>الصحیحة الثانیة لزرارة</w:t>
      </w:r>
      <w:bookmarkEnd w:id="599"/>
    </w:p>
    <w:p>
      <w:pPr>
        <w:pStyle w:val="BookText"/>
        <w:rPr/>
      </w:pPr>
      <w:r>
        <w:rPr>
          <w:rFonts w:ascii="IRNazanin" w:hAnsi="IRNazanin" w:eastAsia="IRNazanin"/>
          <w:color w:val="111111"/>
          <w:sz w:val="28"/>
          <w:sz w:val="28"/>
          <w:szCs w:val="28"/>
          <w:rtl w:val="true"/>
          <w:lang w:bidi="fa-IR"/>
        </w:rPr>
        <w:t>وهذه الروایة مشتملة علی ستة أسئلة وأجوبة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شی‌ء من منی فعلمت أثره إلی أن أُصیب له</w:t>
      </w:r>
    </w:p>
    <w:p>
      <w:pPr>
        <w:pStyle w:val="BookText"/>
        <w:rPr/>
      </w:pPr>
      <w:r>
        <w:rPr>
          <w:rFonts w:ascii="IRNazanin" w:hAnsi="IRNazanin" w:eastAsia="IRNazanin"/>
          <w:color w:val="111111"/>
          <w:sz w:val="28"/>
          <w:sz w:val="28"/>
          <w:szCs w:val="28"/>
          <w:rtl w:val="true"/>
          <w:lang w:bidi="fa-IR"/>
        </w:rPr>
        <w:t>الماء، فأصبت وحضرت الصلاة ونسیت أنّ بثوبی شیئاً وصلّیت ثمّ إنّی ذکرت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أکن رأیت موضعه وعلمت أنّه أصابه فطلبته فلم أقدر علیه، فلمّا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وخروج الفقرتین عمّا نحن فیه واضح؛ حیث إنّ مورد الأوّل نسیان النجاسة، ومورد الثانی العلم الإجمالی بنجاسة موضع من الثوب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 فنظرت فلم أر فیه شیئاً 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السؤال والجواب ناظر إلی محلّ البحث صراحةً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ولم أدر أین هو؟ فأغسله؟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السؤال فی بدء النظر غیر مرتبط بالمقصود بل مرتبط بمسألة العلم الإجمالی ولکنّه عند التأمّل یمکن أن یکون تتمیماً للسؤال الثالث، کما أنّ جواب الإمام علیه السلام أیضاً یمکن أن یکون تکمیلًا للجواب عن السؤال الثالث، أو بیاناً لمدلوله الالتزامی،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فالمحتمل دلالة هذه الفقرة أیضاً علی حجّیة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فی ثوبی أن أنظر فیه؟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ولکنّک إنّما ترید أن تذهب الشکّ الذی وقع فی نفسک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ناظر إلی عدم لزوم الفحص فی الشبهات الموضوعیّة وخارج عمّا نحن بصدده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وأنا فی الصلاة؟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وتعید إذا شککت فی موضع منه ثمّ رأیته، وإن لم تشکّ ثمّ رأیته رطباً قطعت الصلاة وغسلته ثمّ بنیت علی الصلاة لأنّک لا تدری لعلّه شی‌ء أوقع علیک فلیس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السؤال والجواب أیضاً داخل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یرتبط من هذا الحدیث بمبحث الاستصحاب هی الفقرة الثالثة والسادسة یقیناً، والفقرة الرابعة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اورد علی الاستدلال بهذا الحدیث إشکالات عدیدة یمکن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تعبیر الإمام علیه السلام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إنّه یستشمّ منه رائحة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ورد فی مقام الاستدلال علی حکم إلزامی، وهو عدم جواز إعادة الصلاة، فمقام الاستدلال قرینة علی أنّ المراد به عدم الجواز، وموارد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غیر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لعلّه فی مقام بیان قاعدة الیقین لا الاستصحاب، أی أنّه یناسب قاعدة الیقین کما یناسب الاستصحاب، لأنّ لفظ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المراد منه الیقین بطهارة الثوب من قبل ظنّ الإصابة فیکون المورد من الاستصحاب، کذلک یحتمل أن یکون المراد منه الیقین بالطهارة الذی حصل بالنظر فی الثوب مع عدم رؤیة شی‌ء، ثمّ زال برؤیه النجاسة بعد الصلاة لاحتمال حدوثها بعد الصلاة، فیکون المورد من قاعدة الیقین؛ لأنّ الشکّ یتسرّی إلی الیقین السابق فیصیر الحدیث مجملًا لا یصلح للاستدلال به علی الاستصحاب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التأمّل فی الروایة یظهر أنّها ناظرة إلی خصوص الاستصحاب، فإنّ التفاوت بین الاستصحاب وقاعدة الیقین، وهو تغایر زمان متعلّق</w:t>
      </w:r>
      <w:bookmarkStart w:id="600" w:name="pg16922_187764"/>
    </w:p>
    <w:p>
      <w:pPr>
        <w:pStyle w:val="BookText"/>
        <w:rPr/>
      </w:pPr>
      <w:bookmarkEnd w:id="600"/>
      <w:r>
        <w:rPr>
          <w:rFonts w:ascii="IRNazanin" w:hAnsi="IRNazanin" w:eastAsia="IRNazanin"/>
          <w:color w:val="111111"/>
          <w:sz w:val="28"/>
          <w:sz w:val="28"/>
          <w:szCs w:val="28"/>
          <w:rtl w:val="true"/>
          <w:lang w:bidi="fa-IR"/>
        </w:rPr>
        <w:t>الیقین والشکّ موجود فیها؛ حیث عبّر الإمام علیه السلام فیها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ثمّ 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ناظر إلی سؤال الراوی الذی کان علی یقین من طهارته ثمّ شکّ فی نجاستها فی زمان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الحدیث إنّما هو نقض الیقین بیقین آخر لا نقضه بالشکّ، فإنّ السائل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صلّیت فرأیت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یعنی الیقین بالنجاسة ووقوع الصلاة بها فإعادة الصلاة من قبیل نقض الیقین بالیقین لا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جواب الإمام علیه السلام ناظر إلی أنّ الشرط فی صحّة الصلاة هو الأعمّ من الطهارة الواقعیّة والظاهریّة، وأنّ الطهارة الظاهریّة کانت حاصلة فی أثناء الصلاه لمکان الاستصحاب، وإن حصل القطع بعد الصلاة بعدم وجود الطهارة الواقعیّة، فعدم وجوب الإعادة إنّما هو لتحقّق الشرط الواقعی، وهو الطهارة الظاهریّة الحاصلة بمقتضی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الفقرة ناظرة إلی مسألة الإجزاء فی الأوامر الظاهریّة، فیقول الإمام علیه السلام إنّ الأمر الظاهری حاصل فی المقام لمکان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قطعت بعد الصلاة بعدم وجود 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مجزٍ عن إتیان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صغری قاعدة الإجزاء، وهی وجود أمر ظاهری ناشٍ من الاستصحاب، وإلی کبراها وهی أنّ الأوامر الظاهریّة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تمامیة الاستدلال بهذه الصحیحة لحجّیة الاستصحاب</w:t>
      </w:r>
      <w:r>
        <w:rPr>
          <w:rFonts w:eastAsia="IRNazanin" w:cs="IRNazanin"/>
          <w:color w:val="111111"/>
          <w:sz w:val="28"/>
          <w:szCs w:val="28"/>
          <w:rtl w:val="true"/>
          <w:lang w:bidi="fa-IR"/>
        </w:rPr>
        <w:t>.</w:t>
      </w:r>
    </w:p>
    <w:p>
      <w:pPr>
        <w:pStyle w:val="Heading5"/>
        <w:numPr>
          <w:ilvl w:val="4"/>
          <w:numId w:val="1"/>
        </w:numPr>
        <w:rPr/>
      </w:pPr>
      <w:bookmarkStart w:id="601" w:name="__RefHeading___Toc142031_3244359995"/>
      <w:bookmarkStart w:id="602" w:name="_Toc229"/>
      <w:bookmarkEnd w:id="601"/>
      <w:r>
        <w:rPr/>
        <w:t>3</w:t>
      </w:r>
      <w:r>
        <w:rPr>
          <w:rtl w:val="true"/>
        </w:rPr>
        <w:t xml:space="preserve">. </w:t>
      </w:r>
      <w:r>
        <w:rPr>
          <w:rtl w:val="true"/>
        </w:rPr>
        <w:t>الصحیحة الثالثة لزرارة</w:t>
      </w:r>
      <w:bookmarkEnd w:id="602"/>
    </w:p>
    <w:p>
      <w:pPr>
        <w:pStyle w:val="BookText"/>
        <w:rPr/>
      </w:pPr>
      <w:r>
        <w:rPr>
          <w:rFonts w:ascii="IRNazanin" w:hAnsi="IRNazanin" w:eastAsia="IRNazanin"/>
          <w:color w:val="111111"/>
          <w:sz w:val="28"/>
          <w:sz w:val="28"/>
          <w:szCs w:val="28"/>
          <w:rtl w:val="true"/>
          <w:lang w:bidi="fa-IR"/>
        </w:rPr>
        <w:t xml:space="preserve">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أم فی ثنتین وقد أحرز الثنتین؟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یرکع برکعتین وأربع سجدات وهو قائم بفاتحة الکتاب، ویتشهّد، ولا شی‌ء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یدر فی ثلاث هو أو فی أربع وقد أحرز الثلاث، قام فأضاف إلیها اخری ولا شی‌ء علیه، ولا ینقض الیقین بالشکّ، ولا یدخل الشکّ فی الیقین،</w:t>
      </w:r>
    </w:p>
    <w:p>
      <w:pPr>
        <w:pStyle w:val="BookText"/>
        <w:rPr/>
      </w:pPr>
      <w:r>
        <w:rPr>
          <w:rFonts w:ascii="IRNazanin" w:hAnsi="IRNazanin" w:eastAsia="IRNazanin"/>
          <w:color w:val="111111"/>
          <w:sz w:val="28"/>
          <w:sz w:val="28"/>
          <w:szCs w:val="28"/>
          <w:rtl w:val="true"/>
          <w:lang w:bidi="fa-IR"/>
        </w:rPr>
        <w:t>ولا یخلط أحدهما بالآخر، ولکنّه ینقض الشکّ بالیقین ویتمّ علی الیقین فیبنی علیه، ولا یعتدّ بالشکّ فی حال من الحالات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بهذا الحدیث لحجّیة الاستصحاب واضح، ولکن یرد علیه أنّه یحتمل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القیام فیه القیام بعد التسلیم إلی رکعة اخری مفصولة ویکون المراد من الیقین فیها الیقین بالبراءة الحاصلة بالبناء علی الأکثر والإتیان برکعة مستقلّة، وحینئذٍ تکون الصحیحة أجنبیّة عن الاستصحاب، وناظرة إلی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القیام فیه القیام للرکعة الرابعة من دون التسلیم فی الرکعة المردّدة بین الثالثة والرابعة، فیکون حاصل الجواب هو البناء علی الأقلّ والمراد من الیقین هو الیقین بإتیانه ثلاث رکعات، وحینئذٍ تکون الصحیحة دالّة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مخالفة لفتوی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حکمهم بالبناء علی الأقلّ عند الشکّ فی عدد رکعات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ولظاهر الفقرة الاولی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برکعتین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بقرینة تعیین الفاتحة إرادة رکعتین منفصلتین، أعنی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حینئذٍ من الالتزام بالتفکیک فی الحجّیة بین ما ذکر فی ذیل الحدیث من کبری کلّیة دالّة علی الاستصحاب وبین مورده، بالقول بالحجّیة فی الکبری، وحمل الصغری علی التقیّة، فیأتی فیه مشکل التفکیک فی الحجّیة بین فقرات الحدیث، وهو بعید لا سیّما إذا کان بین الکبری وصغراها، لا بین فقرتین اللتین یدلّ کلّ منهما علی حکم مستقلّ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القیام القیام للرکعة الرابعة مع التسلیم، أی إتیانها منفصلة، کما هو مذهب أهل البیت علیهم السلام فی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 الشکّ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عن إدخال صلاة الاحتیاط المشکوکة فی ما أتی به متیقّناً، أی یأتی بها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ینقض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 لذلک،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إشارة إلی إتیان صلاة الاحتیاط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تکون ثلاث فقرات من الفقرات الستّة الواردة فی الذیل ناظرة إلی لزوم انفصال صلاة الاحتیاط، وثلاث فقرات اخر مرتبطة بقاعدة الاستصحاب، فیندفع بذلک إشکال کثرة التأکیدات فی حدیث واحد، وکذلک إشکال الحمل علی التقیّة والتفکیک بین الصغری والکبری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الترجیح یؤید الحمل علی الاستصحاب، أی أحد الاحتمالین الأخیرین، وذلک بقرینة الروایات الاخری، وقرینة داخلیة وهی لحن الروایة والتعبیر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 فیها، حیث إنّ التعبیر المناسب مع قاعدة الاشتغال هو لزوم العلم بالفراغ بعد العلم بالاشتغال، وهذا المعنی غیر موجود فی الحدیث، ولا سیّما إنّ أخبار الباب الناظرة إلی وجوب العمل بالاحتیاط مصرّحة بلزوم البناء علی الیقین، فما ورد فی هذا الحدیث مناسب للاستصحاب لا غیر؛ لأنّه عبّر بعدم نقض الیقین بالشکّ، لا البناء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الترجیح فی هذین الاحتمالین یکون مع الحمل علی الاحتمال الأخیر؛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ظاهراً فی الاتّصال مجرّداً عن صدره، ولکنّه بقرینة صدر الروایة الذی ظاهر فی الانفصال بقرینة تعیین فاتحة الکتاب، لابدّ من حمله علی الانفصال، مضافاً إلی محذور التفکیک فی الحجّیة بین فقرات روایة واحدة الموجود فی الاحتمال الآخر، أی الاحتمال الثانی من الاحتمالات الثلاثة فی الروایة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یتعیّن الاحتمال الثالث، وبذلک یتمّ دلالة الصحیحة علی المقصود من دون أیّ محذور</w:t>
      </w:r>
      <w:r>
        <w:rPr>
          <w:rFonts w:eastAsia="IRNazanin" w:cs="IRNazanin"/>
          <w:color w:val="111111"/>
          <w:sz w:val="28"/>
          <w:szCs w:val="28"/>
          <w:rtl w:val="true"/>
          <w:lang w:bidi="fa-IR"/>
        </w:rPr>
        <w:t>.</w:t>
      </w:r>
      <w:bookmarkStart w:id="603" w:name="pg16922_187767"/>
    </w:p>
    <w:p>
      <w:pPr>
        <w:pStyle w:val="Heading5"/>
        <w:numPr>
          <w:ilvl w:val="4"/>
          <w:numId w:val="1"/>
        </w:numPr>
        <w:rPr/>
      </w:pPr>
      <w:bookmarkStart w:id="604" w:name="__RefHeading___Toc142033_3244359995"/>
      <w:bookmarkStart w:id="605" w:name="_Toc230"/>
      <w:bookmarkEnd w:id="603"/>
      <w:bookmarkEnd w:id="604"/>
      <w:r>
        <w:rPr/>
        <w:t>4</w:t>
      </w:r>
      <w:r>
        <w:rPr>
          <w:rtl w:val="true"/>
        </w:rPr>
        <w:t xml:space="preserve">. </w:t>
      </w:r>
      <w:r>
        <w:rPr>
          <w:rtl w:val="true"/>
        </w:rPr>
        <w:t>خبر الخصال</w:t>
      </w:r>
      <w:bookmarkEnd w:id="605"/>
    </w:p>
    <w:p>
      <w:pPr>
        <w:pStyle w:val="BookText"/>
        <w:rPr/>
      </w:pPr>
      <w:r>
        <w:rPr>
          <w:rFonts w:ascii="IRNazanin" w:hAnsi="IRNazanin" w:eastAsia="IRNazanin"/>
          <w:color w:val="111111"/>
          <w:sz w:val="28"/>
          <w:sz w:val="28"/>
          <w:szCs w:val="28"/>
          <w:rtl w:val="true"/>
          <w:lang w:bidi="fa-IR"/>
        </w:rPr>
        <w:t>وهو ما رواه الصدوق رحمه الله فی الخصال بإسناده عن علی علیه السلام فی حدیث الأربعمائة،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ثمّ شکّ فلیمض علی یقینه، فإنّ الشکّ لا ینقض الیقین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مع عمومه وسلامته عن إشکال خصوصیّة المورد وسائر الإشکالات الواردة علی الروایات السابقة، اورد علیها أیضاً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فللقاسم بن یحیی الذی ضعّفه العلّامة وابن داود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هذا القدح ابن الغضائری </w:t>
      </w:r>
      <w:r>
        <w:rPr>
          <w:rStyle w:val="FootnoteAnchor"/>
          <w:rtl w:val="true"/>
        </w:rPr>
        <w:footnoteReference w:id="329"/>
      </w:r>
      <w:r>
        <w:rPr>
          <w:rFonts w:ascii="IRNazanin" w:hAnsi="IRNazanin" w:eastAsia="IRNazanin"/>
          <w:color w:val="111111"/>
          <w:sz w:val="28"/>
          <w:sz w:val="28"/>
          <w:szCs w:val="28"/>
          <w:rtl w:val="true"/>
          <w:lang w:bidi="fa-IR"/>
        </w:rPr>
        <w:t>الذی لا اعتبار بتضعیفاته، ولکنّه مع ذلک لم یوثّق، ولابدّ فی تصحیح السند من إثبات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أحمد بن محمّد بن عیسی القمّی الذی أخرج أحمد بن محمّد بن خالد البرقی عن قم لنقله عن الضعاف، روی کتابه </w:t>
      </w:r>
      <w:r>
        <w:rPr>
          <w:rStyle w:val="FootnoteAnchor"/>
          <w:rtl w:val="true"/>
        </w:rPr>
        <w:footnoteReference w:id="330"/>
      </w:r>
      <w:r>
        <w:rPr>
          <w:rFonts w:ascii="IRNazanin" w:hAnsi="IRNazanin" w:eastAsia="IRNazanin"/>
          <w:color w:val="111111"/>
          <w:sz w:val="28"/>
          <w:sz w:val="28"/>
          <w:szCs w:val="28"/>
          <w:rtl w:val="true"/>
          <w:lang w:bidi="fa-IR"/>
        </w:rPr>
        <w:t>، ولکنّه أیضاً لیس أکثر من قرینة علی الوثاقة لا دلیلًا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فلأنّ المراد منها غیر واضح، فهل هی تدلّ علی قاعدة الیقین أو قاعدة الاستصحاب؟ وقد مرّ کون زمان الشکّ والیقین فی الاستصحاب واحداً، وزمان متعلّقهما متعدّداً، وأمّا قاعدة الیقین بالعکس، فیکون زمان المتعلّقین فیها واحداً، وزمان نفس الیقین والشکّ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علی یقین ثمّ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تناسب قاعدة الیقین؛ لأنّها ظاهرة فی أنّ الشکّ حصل فی زمان آخر غیر زمان الیقین وتعلّق بنفس ما تعلّق به الیقین، ولکن تناسب فقرة اخری منه الاستصحاب، وهی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الشکّ لا ینقض الیقین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إنّها ظاهرة فی بقاء الیقین حین حصول الشکّ، ولذلک نهی عن نقضه</w:t>
      </w:r>
      <w:bookmarkStart w:id="606" w:name="pg16922_187768"/>
    </w:p>
    <w:p>
      <w:pPr>
        <w:pStyle w:val="BookText"/>
        <w:rPr/>
      </w:pPr>
      <w:bookmarkEnd w:id="606"/>
      <w:r>
        <w:rPr>
          <w:rFonts w:ascii="IRNazanin" w:hAnsi="IRNazanin" w:eastAsia="IRNazanin"/>
          <w:color w:val="111111"/>
          <w:sz w:val="28"/>
          <w:sz w:val="28"/>
          <w:szCs w:val="28"/>
          <w:rtl w:val="true"/>
          <w:lang w:bidi="fa-IR"/>
        </w:rPr>
        <w:t>به، فالتعلیل الوارد فی هذا الحدیث ظاهر فی قاعدة الاستصحاب، وصدره ظاهر فی قاعدة الیقین، ولا إشکال فی أنّ ظهور التعلیل مقدّم، والذی یسهّل الخطب هو أنّ سائر الروایات الواردة فی الباب قرینة علی کونه ناظراً إلی الاستصحاب</w:t>
      </w:r>
      <w:r>
        <w:rPr>
          <w:rFonts w:eastAsia="IRNazanin" w:cs="IRNazanin"/>
          <w:color w:val="111111"/>
          <w:sz w:val="28"/>
          <w:szCs w:val="28"/>
          <w:rtl w:val="true"/>
          <w:lang w:bidi="fa-IR"/>
        </w:rPr>
        <w:t>.</w:t>
      </w:r>
    </w:p>
    <w:p>
      <w:pPr>
        <w:pStyle w:val="Heading5"/>
        <w:numPr>
          <w:ilvl w:val="4"/>
          <w:numId w:val="1"/>
        </w:numPr>
        <w:rPr/>
      </w:pPr>
      <w:bookmarkStart w:id="607" w:name="__RefHeading___Toc142035_3244359995"/>
      <w:bookmarkStart w:id="608" w:name="_Toc231"/>
      <w:bookmarkEnd w:id="607"/>
      <w:r>
        <w:rPr/>
        <w:t>5</w:t>
      </w:r>
      <w:r>
        <w:rPr>
          <w:rtl w:val="true"/>
        </w:rPr>
        <w:t xml:space="preserve">. </w:t>
      </w:r>
      <w:r>
        <w:rPr>
          <w:rtl w:val="true"/>
        </w:rPr>
        <w:t>خبر علی بن محمّد القاسانی</w:t>
      </w:r>
      <w:bookmarkEnd w:id="6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وأنا بالمدینة أسأله عن الیوم الذی یشکّ فیه من رمضان هل یصام أم لا؟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لا یدخل فیه الشکّ، صم للرؤیة وافطر للرؤیة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الشیخ الأعظم رحمه الله من أظهر روایات الباب، واختار المحقّق الخراسانی رحمه الله عدم دلالته رأساً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فلابدّ حینئذٍ من البحث فیه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فاختلف فی علی بن محمّد القاسانی،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متّحد مع علی بن محمّد الشیره وهو ثقة، وقال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الشیره ثقة والقاسانی ضعیف </w:t>
      </w:r>
      <w:r>
        <w:rPr>
          <w:rStyle w:val="FootnoteAnchor"/>
          <w:rtl w:val="true"/>
        </w:rPr>
        <w:footnoteReference w:id="333"/>
      </w:r>
      <w:r>
        <w:rPr>
          <w:rFonts w:ascii="IRNazanin" w:hAnsi="IRNazanin" w:eastAsia="IRNazanin"/>
          <w:color w:val="111111"/>
          <w:sz w:val="28"/>
          <w:sz w:val="28"/>
          <w:szCs w:val="28"/>
          <w:rtl w:val="true"/>
          <w:lang w:bidi="fa-IR"/>
        </w:rPr>
        <w:t>، فالرجل مشترک بین الثقة و الضعیف ولا یمکن الاعتماد علیه، مضافاً إلی إشکال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فالعمدة من الاحتمالات الموجودة فیها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رحمه الله، وهو أنّ الحدیث ناظر إلی الاستصحاب، والمراد من الیقین هو الیقین بشهر شعبان فی الصورة الاولی والیقین بشهر رمضان فی الثانیة، والمراد من الشکّ هو الشکّ فی شهر رمضان والشکّ فی شهر شوّال،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اخری عن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الروایات الاخر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609" w:name="pg16922_187769"/>
    </w:p>
    <w:p>
      <w:pPr>
        <w:pStyle w:val="BookText"/>
        <w:rPr/>
      </w:pPr>
      <w:bookmarkEnd w:id="609"/>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الحدیث أجنبی عن الاستصحاب لأنّه لم یعهد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لا ینقض، بل المراد من الحدیث قاعدة الیقین فی خصوص باب رمضان، وهو أنّ الشارع اعتبر أن یکون صوم شهر رمضان وإفطاره یقینیین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ذکر مؤیّدات لیکون المراد من الحدیث قاعدة الیقین فی خصوص باب الصوم؛ أی اعتبار الیقین فی الصیام والإفطار وأنّه لیس ناظراً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عنه بأنّه لا تضادّ بین المعنیین بل إنّهما متلازمان، لأنّ لازم حجّیة الاستصحاب اعتبار الیقین فی وجوب الصیام ووجوب الإفطار، فالعدول من أحد التعبیرین إلی الآخر ممّا لا إشکال فیه، وبذلک یظهر أنّ الدخول والنقض متلازمان، کما أنّ مقتضی الجمع بین الروایات حصول الاطمئنان بأنّها تکون فی مقام بیان لازم الاستصحاب ونتیجته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الیقین فی الغالب طریق إلی المتیقّن، فیکون ناظراً إلی المتیقّن، کما هو کذلک فی الروایات الثلاثة لزرارة الّتی لا إشکال فی دلالتها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فالأرجح فی النظر بالنسبة إلی هذا الحدیث أیضاً دلالته علی الاستصحاب</w:t>
      </w:r>
      <w:r>
        <w:rPr>
          <w:rFonts w:eastAsia="IRNazanin" w:cs="IRNazanin"/>
          <w:color w:val="111111"/>
          <w:sz w:val="28"/>
          <w:szCs w:val="28"/>
          <w:rtl w:val="true"/>
          <w:lang w:bidi="fa-IR"/>
        </w:rPr>
        <w:t>.</w:t>
      </w:r>
    </w:p>
    <w:p>
      <w:pPr>
        <w:pStyle w:val="Heading5"/>
        <w:numPr>
          <w:ilvl w:val="4"/>
          <w:numId w:val="1"/>
        </w:numPr>
        <w:rPr/>
      </w:pPr>
      <w:bookmarkStart w:id="610" w:name="__RefHeading___Toc142037_3244359995"/>
      <w:bookmarkStart w:id="611" w:name="_Toc232"/>
      <w:bookmarkEnd w:id="610"/>
      <w:r>
        <w:rPr>
          <w:rtl w:val="true"/>
        </w:rPr>
        <w:t>التفصیل بین الشبهات الحکمیّة والشبهات الموضوعیّة</w:t>
      </w:r>
      <w:bookmarkEnd w:id="611"/>
    </w:p>
    <w:p>
      <w:pPr>
        <w:pStyle w:val="BookText"/>
        <w:rPr/>
      </w:pPr>
      <w:r>
        <w:rPr>
          <w:rFonts w:ascii="IRNazanin" w:hAnsi="IRNazanin" w:eastAsia="IRNazanin"/>
          <w:color w:val="111111"/>
          <w:sz w:val="28"/>
          <w:sz w:val="28"/>
          <w:szCs w:val="28"/>
          <w:rtl w:val="true"/>
          <w:lang w:bidi="fa-IR"/>
        </w:rPr>
        <w:t>ثمّ إنّه هل المستفاد من هذه الأدلّة حجّیة الاستصحاب فی خصوص الشبهة الموضوعیّة، أو إنّها تعمّ الشبهات الحکمیّة أیضاً؟</w:t>
      </w:r>
    </w:p>
    <w:p>
      <w:pPr>
        <w:pStyle w:val="BookText"/>
        <w:rPr/>
      </w:pPr>
      <w:r>
        <w:rPr>
          <w:rFonts w:ascii="IRNazanin" w:hAnsi="IRNazanin" w:eastAsia="IRNazanin"/>
          <w:color w:val="111111"/>
          <w:sz w:val="28"/>
          <w:sz w:val="28"/>
          <w:szCs w:val="28"/>
          <w:rtl w:val="true"/>
          <w:lang w:bidi="fa-IR"/>
        </w:rPr>
        <w:t>ذهب إلی الثانی جمیع المتأخّرین، والصحیح هو الأوّل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أساس الاستصحاب إنّما هو سیرة العقلاء، وهی جاریة فی خصوص الشبهات الموضوعیّة، وأمّا الشبهات الحکمیّة فإن کان الشکّ</w:t>
      </w:r>
    </w:p>
    <w:p>
      <w:pPr>
        <w:pStyle w:val="BookText"/>
        <w:rPr/>
      </w:pPr>
      <w:r>
        <w:rPr>
          <w:rFonts w:ascii="IRNazanin" w:hAnsi="IRNazanin" w:eastAsia="IRNazanin"/>
          <w:color w:val="111111"/>
          <w:sz w:val="28"/>
          <w:sz w:val="28"/>
          <w:szCs w:val="28"/>
          <w:rtl w:val="true"/>
          <w:lang w:bidi="fa-IR"/>
        </w:rPr>
        <w:t>فیها فی نسخ قانون وعدمه فلا ریب فی أنّهم یتمسّکون باستصحاب عدم النسخ أیضاً، وأمّا إذا لم یکن منشأ الشبهة النسخ، بل شکّ فی بقاء الحکم وعدمه، ولم یکن هناک عموم أو إطلاق، کما إذا جعلت زکاة علی العنب وبعد تبدّله إلی الزبیب شکّ فی بقائه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کون وصف الزبیبیة من الأوصاف لا من المقوّمات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العقلاء لا یعتمدون فی مثل هذه الموارد علی استصحاب بقاء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حاکم علی أنّه لو عشنا نحن فی عصر صدور أخبار الاستصحاب مکان زرارة، لم نشکّ فی وجوب السؤال عن الحکم فی الشبهات الحکمیّة عن الإمام علیه السلام؛ حیث إنّ الفحص والسؤال عن المعصوم کان ممکناً فی عصر الأخبار غالباً لا سیّما للرواة، ولم تمسّ الحاجة غالباً إلی إجراء الاستصحاب فی الأحکام، فیمکن أن یقال حینئذٍ بانصراف أخبار الاستصحاب عن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اعترف الشیخ الأعظم الأنصاری رحمه الله فی مبحث الاحتیاط بأنّ الأخبار الدالّة علی وجوب الاحتیاط ناظرة إلی زمن الحضور</w:t>
      </w:r>
      <w:r>
        <w:rPr>
          <w:rStyle w:val="FootnoteAnchor"/>
          <w:rtl w:val="true"/>
        </w:rPr>
        <w:footnoteReference w:id="336"/>
      </w:r>
      <w:r>
        <w:rPr>
          <w:rFonts w:ascii="IRNazanin" w:hAnsi="IRNazanin" w:eastAsia="IRNazanin"/>
          <w:color w:val="111111"/>
          <w:sz w:val="28"/>
          <w:sz w:val="28"/>
          <w:szCs w:val="28"/>
          <w:rtl w:val="true"/>
          <w:lang w:bidi="fa-IR"/>
        </w:rPr>
        <w:t>، کما أنّه قد ورد فی بعضها التعبیر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ولیس فیها أثر عن الحکم بالاستصحاب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أقلّ من الشکّ فی إطلاق أخبار الاستصحاب أو عمومها بالنسبة إلی الشبهات الحکمیّة، وهذا کافٍ فی عدم جواز الاستدلال بها علی العموم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أنّ مورد جمیع الروایات خاصّ بالشبهات الموضوعیّة، کالسؤال عن إصابة النجاسة بالثوب والشکّ فی الرکعات والشکّ فی تحقّق النوم، وعن یوم الشکّ فی شهر رمضان</w:t>
      </w:r>
      <w:r>
        <w:rPr>
          <w:rFonts w:eastAsia="IRNazanin" w:cs="IRNazanin"/>
          <w:color w:val="111111"/>
          <w:sz w:val="28"/>
          <w:szCs w:val="28"/>
          <w:rtl w:val="true"/>
          <w:lang w:bidi="fa-IR"/>
        </w:rPr>
        <w:t>.</w:t>
      </w:r>
      <w:bookmarkStart w:id="612" w:name="pg16922_187771"/>
    </w:p>
    <w:p>
      <w:pPr>
        <w:pStyle w:val="Heading5"/>
        <w:numPr>
          <w:ilvl w:val="4"/>
          <w:numId w:val="1"/>
        </w:numPr>
        <w:rPr/>
      </w:pPr>
      <w:bookmarkStart w:id="613" w:name="__RefHeading___Toc142039_3244359995"/>
      <w:bookmarkStart w:id="614" w:name="_Toc233"/>
      <w:bookmarkEnd w:id="612"/>
      <w:bookmarkEnd w:id="613"/>
      <w:r>
        <w:rPr>
          <w:rtl w:val="true"/>
        </w:rPr>
        <w:t>تنبیهات</w:t>
      </w:r>
      <w:r>
        <w:rPr>
          <w:rtl w:val="true"/>
        </w:rPr>
        <w:t>:</w:t>
      </w:r>
      <w:bookmarkEnd w:id="614"/>
    </w:p>
    <w:p>
      <w:pPr>
        <w:pStyle w:val="Heading5"/>
        <w:numPr>
          <w:ilvl w:val="4"/>
          <w:numId w:val="1"/>
        </w:numPr>
        <w:rPr/>
      </w:pPr>
      <w:bookmarkStart w:id="615" w:name="__RefHeading___Toc142041_3244359995"/>
      <w:bookmarkStart w:id="616" w:name="_Toc234"/>
      <w:bookmarkEnd w:id="615"/>
      <w:r>
        <w:rPr/>
        <w:t>1</w:t>
      </w:r>
      <w:r>
        <w:rPr>
          <w:rtl w:val="true"/>
        </w:rPr>
        <w:t xml:space="preserve">. </w:t>
      </w:r>
      <w:r>
        <w:rPr>
          <w:rtl w:val="true"/>
        </w:rPr>
        <w:t>فی المراد من الشکّ الذی هو من أرکان الاستصحاب</w:t>
      </w:r>
      <w:bookmarkEnd w:id="616"/>
    </w:p>
    <w:p>
      <w:pPr>
        <w:pStyle w:val="BookText"/>
        <w:rPr/>
      </w:pPr>
      <w:r>
        <w:rPr>
          <w:rFonts w:ascii="IRNazanin" w:hAnsi="IRNazanin" w:eastAsia="IRNazanin"/>
          <w:color w:val="111111"/>
          <w:sz w:val="28"/>
          <w:sz w:val="28"/>
          <w:szCs w:val="28"/>
          <w:rtl w:val="true"/>
          <w:lang w:bidi="fa-IR"/>
        </w:rPr>
        <w:t>هل المراد من الشکّ الوارد فی أخبار الاستصحاب خصوص تساوی الطرفین، أو المراد الأعمّ منه ومن الظنّ والوهم؟</w:t>
      </w:r>
    </w:p>
    <w:p>
      <w:pPr>
        <w:pStyle w:val="BookText"/>
        <w:rPr/>
      </w:pPr>
      <w:r>
        <w:rPr>
          <w:rFonts w:ascii="IRNazanin" w:hAnsi="IRNazanin" w:eastAsia="IRNazanin"/>
          <w:color w:val="111111"/>
          <w:sz w:val="28"/>
          <w:sz w:val="28"/>
          <w:szCs w:val="28"/>
          <w:rtl w:val="true"/>
          <w:lang w:bidi="fa-IR"/>
        </w:rPr>
        <w:t>والذی یستفاد من نفس أخبار الباب، إشارات کثیرة تدلّ علی العموم، و إلیک نبذة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مقابلة الشکّ بالیقین فی جمیع أخبار الباب فإنّ ظاهرها عدم وجود شقّ ثالث فی البین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ظاهر فی أنّ ناقض الیقین منحصر فی الیقین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فی صحیحة زرارة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إلی جنبه شی‌ء وهو لا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فرض السؤال فیما کان معه أمارة ظنّیة علی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جعل غایة وجوب الوضوء الیقین بالنوم ومجی‌ء أمر بیّن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فی صحیحة زرارة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فلعلّه شی‌ء أوقع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کلمة لعلّ ظاهرة فی مجرّد الاحتمال، ولا أقلّ أنّها أعمّ من الشکّ والوهم الذی یلازم الظنّ بالخلاف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فرّعه علی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ظاهر فی حصر ناقض الیقین فی الرؤیة والیقین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ویؤیّده موارد استعمال الشکّ فی کتاب اللَّه الکریم فإنّه ورد فی خمسة عشر مورداً منه کلّها استعملت فی المعنی الأعمّ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حیث إنّ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وقوله تعالی</w:t>
      </w:r>
      <w:r>
        <w:rPr>
          <w:rFonts w:eastAsia="IRNazanin" w:cs="IRNazanin"/>
          <w:color w:val="111111"/>
          <w:sz w:val="28"/>
          <w:szCs w:val="28"/>
          <w:rtl w:val="true"/>
          <w:lang w:bidi="fa-IR"/>
        </w:rPr>
        <w:t>:</w:t>
      </w:r>
      <w:bookmarkStart w:id="617" w:name="pg16922_187772"/>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أَفِی اللَّه شَکٌّ فَاطِرِ السَّمَوَاتِ وَالْأَرْضِ</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ومن الواضح أنّه أیضاً أعمّ</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42043_3244359995"/>
      <w:bookmarkStart w:id="619" w:name="_Toc235"/>
      <w:bookmarkEnd w:id="618"/>
      <w:r>
        <w:rPr/>
        <w:t>2</w:t>
      </w:r>
      <w:r>
        <w:rPr>
          <w:rtl w:val="true"/>
        </w:rPr>
        <w:t xml:space="preserve">. </w:t>
      </w:r>
      <w:r>
        <w:rPr>
          <w:rtl w:val="true"/>
        </w:rPr>
        <w:t>اعتبار فعلیّة الیقین والشکّ فی الاستصحاب</w:t>
      </w:r>
      <w:bookmarkEnd w:id="619"/>
    </w:p>
    <w:p>
      <w:pPr>
        <w:pStyle w:val="BookText"/>
        <w:rPr/>
      </w:pPr>
      <w:r>
        <w:rPr>
          <w:rFonts w:ascii="IRNazanin" w:hAnsi="IRNazanin" w:eastAsia="IRNazanin"/>
          <w:color w:val="111111"/>
          <w:sz w:val="28"/>
          <w:sz w:val="28"/>
          <w:szCs w:val="28"/>
          <w:rtl w:val="true"/>
          <w:lang w:bidi="fa-IR"/>
        </w:rPr>
        <w:t>والمراد منه أنّ الشکّ والیقین فی أدلّة الاستصحاب ظاهران فی الشکّ والیقین الفعلیین، بل إنّه کذلک فی جمیع العناوین المأخوذة فی أدلّة الأحکام وغیرها فإنّها ظاهرة فی مصادیقها الفعلیّة کعنوان المجتهد والعادل، بل یمکن أن یقال بصحّة سلبها عن مصادیقها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المکلّف عالماً بالحدث قبل الصلاة ثمّ غفل عنه وصلّی وکان بحیث لو توجّه إلیه شکّ فیه، لا یکفی فی جریان الاستصحاب؛ لعدم الشکّ الفعلیّ فیه، بل تجری بعد الصلاة قاعدة الفراغ</w:t>
      </w:r>
      <w:r>
        <w:rPr>
          <w:rFonts w:eastAsia="IRNazanin" w:cs="IRNazanin"/>
          <w:color w:val="111111"/>
          <w:sz w:val="28"/>
          <w:szCs w:val="28"/>
          <w:rtl w:val="true"/>
          <w:lang w:bidi="fa-IR"/>
        </w:rPr>
        <w:t>.</w:t>
      </w:r>
    </w:p>
    <w:p>
      <w:pPr>
        <w:pStyle w:val="Heading5"/>
        <w:numPr>
          <w:ilvl w:val="4"/>
          <w:numId w:val="1"/>
        </w:numPr>
        <w:rPr/>
      </w:pPr>
      <w:bookmarkStart w:id="620" w:name="__RefHeading___Toc142045_3244359995"/>
      <w:bookmarkStart w:id="621" w:name="_Toc236"/>
      <w:bookmarkEnd w:id="620"/>
      <w:r>
        <w:rPr/>
        <w:t>3</w:t>
      </w:r>
      <w:r>
        <w:rPr>
          <w:rtl w:val="true"/>
        </w:rPr>
        <w:t xml:space="preserve">. </w:t>
      </w:r>
      <w:r>
        <w:rPr>
          <w:rtl w:val="true"/>
        </w:rPr>
        <w:t>لزوم کون المستصحب حکماً شرعیاً أو ذا حکم شرعی</w:t>
      </w:r>
      <w:bookmarkEnd w:id="621"/>
    </w:p>
    <w:p>
      <w:pPr>
        <w:pStyle w:val="BookText"/>
        <w:rPr/>
      </w:pPr>
      <w:r>
        <w:rPr>
          <w:rFonts w:ascii="IRNazanin" w:hAnsi="IRNazanin" w:eastAsia="IRNazanin"/>
          <w:color w:val="111111"/>
          <w:sz w:val="28"/>
          <w:sz w:val="28"/>
          <w:szCs w:val="28"/>
          <w:rtl w:val="true"/>
          <w:lang w:bidi="fa-IR"/>
        </w:rPr>
        <w:t>لا إشکال فی أنّه لابدّ أن یکون المستصحب حکماً شرعیاً أو موضوعاً ذا حکم شرعی؛ لأنّه إن لم یکن کذلک کان التعبّد به من الشارع لغواً، فلا معنی مثلًا للحکم باستصحاب بقاء الحیوان الموجود فی الأجمّة علی حاله إذا لم یکن له أثر شرعی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یکفی کون المستصحب کذلک ولو بقاءً ولا یعتبر کونه حکماً شرعیاً أو ذا حکم شرعی عند الحدوث، فلو کانت الید نجسةً قبل الظهر مثلًا ولم یکن لهذه النجاسة أثر شرعی لعدم وجوب الصلاة مثلًا فی ذلک الوقت، ثمّ شککنا بعد دخول وقت صلاة الظهر فی طهارتها کان استصحاب النجاسة جاریاً بلا ریب؛ لکونه</w:t>
      </w:r>
      <w:bookmarkStart w:id="622" w:name="pg16922_187773"/>
    </w:p>
    <w:p>
      <w:pPr>
        <w:pStyle w:val="BookText"/>
        <w:rPr/>
      </w:pPr>
      <w:bookmarkEnd w:id="622"/>
      <w:r>
        <w:rPr>
          <w:rFonts w:ascii="IRNazanin" w:hAnsi="IRNazanin" w:eastAsia="IRNazanin"/>
          <w:color w:val="111111"/>
          <w:sz w:val="28"/>
          <w:sz w:val="28"/>
          <w:szCs w:val="28"/>
          <w:rtl w:val="true"/>
          <w:lang w:bidi="fa-IR"/>
        </w:rPr>
        <w:t>موضوعاً ذا أثر شرعی فی هذا الوقت وهو عدم جواز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أنّ الاستصحاب تعبّد من جانب الشارع فی الزمان اللاحق، فیکفی وجود الأثر فی هذا الزمان، فیشمله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نقض الیقین بالشکّ علی رفع الید عمّا تیقّن به مطلقاً</w:t>
      </w:r>
      <w:r>
        <w:rPr>
          <w:rFonts w:eastAsia="IRNazanin" w:cs="IRNazanin"/>
          <w:color w:val="111111"/>
          <w:sz w:val="28"/>
          <w:szCs w:val="28"/>
          <w:rtl w:val="true"/>
          <w:lang w:bidi="fa-IR"/>
        </w:rPr>
        <w:t>.</w:t>
      </w:r>
    </w:p>
    <w:p>
      <w:pPr>
        <w:pStyle w:val="Heading5"/>
        <w:numPr>
          <w:ilvl w:val="4"/>
          <w:numId w:val="1"/>
        </w:numPr>
        <w:rPr/>
      </w:pPr>
      <w:bookmarkStart w:id="623" w:name="__RefHeading___Toc142047_3244359995"/>
      <w:bookmarkStart w:id="624" w:name="_Toc237"/>
      <w:bookmarkEnd w:id="623"/>
      <w:r>
        <w:rPr/>
        <w:t>4</w:t>
      </w:r>
      <w:r>
        <w:rPr>
          <w:rtl w:val="true"/>
        </w:rPr>
        <w:t xml:space="preserve">. </w:t>
      </w:r>
      <w:r>
        <w:rPr>
          <w:rtl w:val="true"/>
        </w:rPr>
        <w:t>جریان الاستصحاب فیما ثبت بالأمارة</w:t>
      </w:r>
      <w:bookmarkEnd w:id="624"/>
    </w:p>
    <w:p>
      <w:pPr>
        <w:pStyle w:val="BookText"/>
        <w:rPr/>
      </w:pPr>
      <w:r>
        <w:rPr>
          <w:rFonts w:ascii="IRNazanin" w:hAnsi="IRNazanin" w:eastAsia="IRNazanin"/>
          <w:color w:val="111111"/>
          <w:sz w:val="28"/>
          <w:sz w:val="28"/>
          <w:szCs w:val="28"/>
          <w:rtl w:val="true"/>
          <w:lang w:bidi="fa-IR"/>
        </w:rPr>
        <w:t>لا فرق فی جریان الاستصحاب بین أن یکون المستصحب محرزاً بالیقین الوجدانی أو بمحرز تعبّدی کالأمارات، فلو قامت أمارة علی الطهارة ثمّ شککنا فی بقائها فلا إشکال فی جریان استصحابها، مع أنّ الأمارة من الأدلّة الظنّیة ولا توجب الیقین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أدلّة الاستصحاب إنّما هو الیقین الوجدانی، نعم حجّیة الأمارة یقینیة بالوجدان ولکنّها لا توجب الیقین بالواقع؛ لأنّ معناها أنّه لو أصابت الأمارة الواقع کانت منجّزة ولو أخطأت کانت عذراً، فلم یحصل الیقین بالواقع، مع أنّه أحد رکنی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یندفع الإشکال بناءً علی مبنی جعل الحکم المماثل لمؤدّی الأمارة؛ لأنّ قیام الأمارة حینئذٍ یوجب الیقین بالحکم الظاهری الطریقی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بناءً علی القول بأنّ مفاد الأمارة إلغاء احتمال الخلاف الذی یرجع إلی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فیختصّ الإشکال بناءً علی القول بأنّ مفاد الأمارة هو جعل المنجّزیة والمعذّریة، وحیث إنّ المختار هو جعل الحکم المماثل فنحن فی فسحة من ناحیة هذا الإشکال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للیقین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المنطقی وهو ما لا یوجد فیه احتمال الخلاف، والیقین العرفی، ومن المعلوم أنّ الثانی هو الموضوع فی باب الاستصحاب وغیره ممّا اخذ فی موضوعه الیقین، ولا ریب فی أنّ هذا النوع من الیقین حاصل فی باب الأمارات، فتنحلّ المشکلة من الأساس فی جریان</w:t>
      </w:r>
      <w:bookmarkStart w:id="625" w:name="pg16922_187774"/>
    </w:p>
    <w:p>
      <w:pPr>
        <w:pStyle w:val="BookText"/>
        <w:rPr/>
      </w:pPr>
      <w:bookmarkEnd w:id="625"/>
      <w:r>
        <w:rPr>
          <w:rFonts w:ascii="IRNazanin" w:hAnsi="IRNazanin" w:eastAsia="IRNazanin"/>
          <w:color w:val="111111"/>
          <w:sz w:val="28"/>
          <w:sz w:val="28"/>
          <w:szCs w:val="28"/>
          <w:rtl w:val="true"/>
          <w:lang w:bidi="fa-IR"/>
        </w:rPr>
        <w:t>الاستصحاب فی باب الأمارات، کما تنحلّ المشکلة فی کثیر من أبواب الشهادات، وکذا فی مسألة قیام الأمارات مقام العلم المأخوذ فی الموضوع وأشباهها</w:t>
      </w:r>
      <w:r>
        <w:rPr>
          <w:rFonts w:eastAsia="IRNazanin" w:cs="IRNazanin"/>
          <w:color w:val="111111"/>
          <w:sz w:val="28"/>
          <w:szCs w:val="28"/>
          <w:rtl w:val="true"/>
          <w:lang w:bidi="fa-IR"/>
        </w:rPr>
        <w:t>.</w:t>
      </w:r>
    </w:p>
    <w:p>
      <w:pPr>
        <w:pStyle w:val="Heading5"/>
        <w:numPr>
          <w:ilvl w:val="4"/>
          <w:numId w:val="1"/>
        </w:numPr>
        <w:rPr/>
      </w:pPr>
      <w:bookmarkStart w:id="626" w:name="__RefHeading___Toc142049_3244359995"/>
      <w:bookmarkStart w:id="627" w:name="_Toc238"/>
      <w:bookmarkEnd w:id="626"/>
      <w:r>
        <w:rPr/>
        <w:t>5</w:t>
      </w:r>
      <w:r>
        <w:rPr>
          <w:rtl w:val="true"/>
        </w:rPr>
        <w:t xml:space="preserve">. </w:t>
      </w:r>
      <w:r>
        <w:rPr>
          <w:rtl w:val="true"/>
        </w:rPr>
        <w:t>اعتبار بقاء الموضوع فی الاستصحاب</w:t>
      </w:r>
      <w:bookmarkEnd w:id="627"/>
    </w:p>
    <w:p>
      <w:pPr>
        <w:pStyle w:val="Heading6"/>
        <w:numPr>
          <w:ilvl w:val="5"/>
          <w:numId w:val="1"/>
        </w:numPr>
        <w:rPr/>
      </w:pPr>
      <w:bookmarkStart w:id="628" w:name="__RefHeading___Toc142051_3244359995"/>
      <w:bookmarkStart w:id="629" w:name="_Toc239"/>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ذهب أکثر المحقّقین إلی أنّ جریان الاستصحاب فرع لبقاء موضوع المستصحب وإحرازه فی الزمان اللاحق، ثمّ تکلّموا بعد ذلک عن أنّه هل اللازم کون البقاء بالنظر الدقیق العقلی أو یکفی بقاؤه عند العرف أو لابدّ من ملاحظة ما اخذ موضوعاً فی لسان الدلیل؟</w:t>
      </w:r>
    </w:p>
    <w:p>
      <w:pPr>
        <w:pStyle w:val="BookText"/>
        <w:rPr/>
      </w:pPr>
      <w:r>
        <w:rPr>
          <w:rFonts w:ascii="IRNazanin" w:hAnsi="IRNazanin" w:eastAsia="IRNazanin"/>
          <w:color w:val="111111"/>
          <w:sz w:val="28"/>
          <w:sz w:val="28"/>
          <w:szCs w:val="28"/>
          <w:rtl w:val="true"/>
          <w:lang w:bidi="fa-IR"/>
        </w:rPr>
        <w:t>وعبّر المحقّق الخراسانی رحمه الله عن هذا باتّحاد القضیتین المتیقّنة والمشکوکة، ولازمه وحدة کلّ من الموضوع والمحمول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لذلک بأنّه ظاهر أدلّة الاستصحاب ولازم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لو لم یکن موضوع القضیتین متّحداً کاتّحادهما محمولًا لم یکن رفع الید عن الیقین فی محلّ الشکّ نقضاً للیقین بالشکّ، بل لا یکون نقضاً أصلًا، فإذا تیقّن مثلًا فی السابق بعدالة زید وشکّ فعلًا فی عدالة عمرو لا یکون الشکّ حینئذٍ فی بقاء ما کان، کما لا یکون رفع الید عن الیقین بعدالة عمرو نقضاً للیقین بالشکّ، وکذا إذا علم بعدالة زید ثمّ شکّ فی وکالته مثلًا عن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لو لم یکن موضوع القضیتین متّحداً کاتّحادهما محمولًا لم یصدق الشکّ فی البقاء کما لا یخفی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بقاء الموضوع فی کلمات القوم إنّما هو وجود الموضوع فی الزمان اللاحق، أی یعتبر فی الاستصحاب أن یکون الموضوع موجوداً حینما یکون الحکم مشکوکاً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اعتبار وجود الموضوع ظهور أخبار الباب حیث إنّ المشکوک فی</w:t>
      </w:r>
      <w:bookmarkStart w:id="630" w:name="pg16922_187775"/>
    </w:p>
    <w:p>
      <w:pPr>
        <w:pStyle w:val="BookText"/>
        <w:rPr/>
      </w:pPr>
      <w:bookmarkEnd w:id="630"/>
      <w:r>
        <w:rPr>
          <w:rFonts w:ascii="IRNazanin" w:hAnsi="IRNazanin" w:eastAsia="IRNazanin"/>
          <w:color w:val="111111"/>
          <w:sz w:val="28"/>
          <w:sz w:val="28"/>
          <w:szCs w:val="28"/>
          <w:rtl w:val="true"/>
          <w:lang w:bidi="fa-IR"/>
        </w:rPr>
        <w:t>موردها إنّما هو بقاء الحکم کبقاء الوضوء، مع فرض بقاء الموضوع ووجوده حین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ینتقض باستصحاب نفس وجود الأشیاء عند الشکّ فی بقائها، کالشکّ فی نفس وجود زید مثلًا؛ حیث إنّ الشکّ حینئذٍ إنّما هو فی وجود الموضوع فی الزمان اللاحق علی نحو مفاد کان التامّة، ومع إحراز وجود الموضوع فی الزمان اللاحق لا معنی لهذا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وجود الموضوع هو تحقّق الموضوع فی اللاحق علی نحو تحقّقه فی السابق، فإن کان تحقّقه فی السابق تحقّقاً ذاتیاً کما فی مفاد کان التامّة،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 زید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للاستصحاب کان المعتبر تحقّقه فی الزمان اللاحق کذلک، وإن کان تحقّقه فی السابق علی نحو مفاد کان الناقصة موضوعاً للاستصحاب، کما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وشککنا الآن فی بقاء عدالته فیعتبر وجوده فی اللاحق خارجاً، وإن کان تحقّقه فی السابق فی عالم الاعتبار کالملکیّة والزوجیّة فیعتبر وجوده فی اللاحق فی عالم الاعتبار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یعتبر فی حجّیة الاستصحاب بقاء الموضوع بمعنی وجوده فی الزمان اللاحق علی نحو وجوده فی الزمان السابق، والدلیل علیه هو ظاهر أخبار الباب، فإنّ المشکوک فیها هو الحکم بعد إحراز وجود الموضوع</w:t>
      </w:r>
      <w:r>
        <w:rPr>
          <w:rFonts w:eastAsia="IRNazanin" w:cs="IRNazanin"/>
          <w:color w:val="111111"/>
          <w:sz w:val="28"/>
          <w:szCs w:val="28"/>
          <w:rtl w:val="true"/>
          <w:lang w:bidi="fa-IR"/>
        </w:rPr>
        <w:t>.</w:t>
      </w:r>
    </w:p>
    <w:p>
      <w:pPr>
        <w:pStyle w:val="Heading6"/>
        <w:numPr>
          <w:ilvl w:val="5"/>
          <w:numId w:val="1"/>
        </w:numPr>
        <w:rPr/>
      </w:pPr>
      <w:bookmarkStart w:id="631" w:name="__RefHeading___Toc142053_3244359995"/>
      <w:bookmarkStart w:id="632" w:name="_Toc240"/>
      <w:bookmarkEnd w:id="631"/>
      <w:r>
        <w:rPr>
          <w:rtl w:val="true"/>
        </w:rPr>
        <w:t>تبدّل الموضوع فی الشبهات الحکمیّة والموضوعیّة</w:t>
      </w:r>
      <w:bookmarkEnd w:id="63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الشکّ قد یکون فی الشبهات الموضوعیّة وقد یکون فی الشبهات الحکمیّة، والشبهات الموضوعیّة قد تکون علی نحو مفاد کان التامّة، کما إذا کان الشکّ فی وجود الماء، وقد تکون علی نحو مفاد کان الناقصة، کما إذا کان الشکّ فی بقاء کرّیته</w:t>
      </w:r>
      <w:r>
        <w:rPr>
          <w:rFonts w:eastAsia="IRNazanin" w:cs="IRNazanin"/>
          <w:color w:val="111111"/>
          <w:sz w:val="28"/>
          <w:szCs w:val="28"/>
          <w:rtl w:val="true"/>
          <w:lang w:bidi="fa-IR"/>
        </w:rPr>
        <w:t>.</w:t>
      </w:r>
      <w:bookmarkStart w:id="633" w:name="pg16922_187776"/>
    </w:p>
    <w:p>
      <w:pPr>
        <w:pStyle w:val="BookText"/>
        <w:rPr/>
      </w:pPr>
      <w:bookmarkEnd w:id="633"/>
      <w:r>
        <w:rPr>
          <w:rFonts w:ascii="IRNazanin" w:hAnsi="IRNazanin" w:eastAsia="IRNazanin"/>
          <w:color w:val="111111"/>
          <w:sz w:val="28"/>
          <w:sz w:val="28"/>
          <w:szCs w:val="28"/>
          <w:rtl w:val="true"/>
          <w:lang w:bidi="fa-IR"/>
        </w:rPr>
        <w:t>والشبهات الحکمیّة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الشکّ فی الحکم بوجوده الإنشائی، واخری یکون الشکّ فیه بوجوده الفعلی، فهذه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جریان الاستصحاب فی القسم الأوّل، ولا یتصوّر فیه دعوی تبدّل الموضوع کما لا یخفی، بخلاف القسم الثانی، حیث یتصوّر فیه دعوی تبدّل الموضوع أحیاناً، فإذا أخذنا من الکرّ مقداراً من الماء وشککنا فی بقاء کرّیته أمکن أن یدّعی أنّ هذا الماء لیس هو الماء السابق بالدقّة العقلیّة، فیجری فیه ما سیأتی من أنّ المدار فی بقاء الموضوع هل هو العقل أو العرف أو لسان الدلیل؟</w:t>
      </w:r>
    </w:p>
    <w:p>
      <w:pPr>
        <w:pStyle w:val="BookText"/>
        <w:rPr/>
      </w:pPr>
      <w:r>
        <w:rPr>
          <w:rFonts w:ascii="IRNazanin" w:hAnsi="IRNazanin" w:eastAsia="IRNazanin"/>
          <w:color w:val="111111"/>
          <w:sz w:val="28"/>
          <w:sz w:val="28"/>
          <w:szCs w:val="28"/>
          <w:rtl w:val="true"/>
          <w:lang w:bidi="fa-IR"/>
        </w:rPr>
        <w:t>وأمّا الشبهات الحکمیّة ففی القسم الأوّل منها، أی ما إذا کان الشکّ فی بقاء الحکم الإنشائی وبالمآل فی نسخه وعدمه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فیه أیضاً تبدّل الموضوع نظراً إلی رجوعه إلی الشکّ فی وجود الإنشاء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خالٍ عن الإشکال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القسم الثانی منها، نظیر ما إذا شککنا فی بقاء نجاسة الماء المتغیّر الذی زال عنه التغیّر، فیجری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کالقسم الثانی من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النزاع فی معیار التبدّل کما لا یخفی</w:t>
      </w:r>
      <w:r>
        <w:rPr>
          <w:rFonts w:eastAsia="IRNazanin" w:cs="IRNazanin"/>
          <w:color w:val="111111"/>
          <w:sz w:val="28"/>
          <w:szCs w:val="28"/>
          <w:rtl w:val="true"/>
          <w:lang w:bidi="fa-IR"/>
        </w:rPr>
        <w:t>.</w:t>
      </w:r>
    </w:p>
    <w:p>
      <w:pPr>
        <w:pStyle w:val="Heading6"/>
        <w:numPr>
          <w:ilvl w:val="5"/>
          <w:numId w:val="1"/>
        </w:numPr>
        <w:rPr/>
      </w:pPr>
      <w:bookmarkStart w:id="634" w:name="__RefHeading___Toc142055_3244359995"/>
      <w:bookmarkStart w:id="635" w:name="_Toc241"/>
      <w:bookmarkEnd w:id="634"/>
      <w:r>
        <w:rPr>
          <w:rtl w:val="true"/>
        </w:rPr>
        <w:t>المعیار فی بقاء الموضوع</w:t>
      </w:r>
      <w:bookmarkEnd w:id="635"/>
    </w:p>
    <w:p>
      <w:pPr>
        <w:pStyle w:val="BookText"/>
        <w:rPr/>
      </w:pPr>
      <w:r>
        <w:rPr>
          <w:rFonts w:ascii="IRNazanin" w:hAnsi="IRNazanin" w:eastAsia="IRNazanin"/>
          <w:color w:val="111111"/>
          <w:sz w:val="28"/>
          <w:sz w:val="28"/>
          <w:szCs w:val="28"/>
          <w:rtl w:val="true"/>
          <w:lang w:bidi="fa-IR"/>
        </w:rPr>
        <w:t>لا ریب أنّ المیزان فی بقاء الموضوع إنّما هو نظر العرف، أی صدق النقض وعدم النقض عرفاً، کما أنّه کذلک فی جمیع الموضوعات الواردة فی لسان الأدلّة، وذلک لأنّ المفاهیم الموجودة فی أدلّة الأحکام نازلة علی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المأخوذة فی الموضوع فی لسان الأدلّة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تکون فی نظر العرف من المقوّمات کمیعان الماء، فلا یجری استصحاب النجاسة إذا صار الماء بخاراً، وهکذا إذا صار الکلب الواقع فی المملحة ملحاً، أو صار الخشب النجس رماداً، وذلک لعدم صدق النقض علی رفع الید عن الحکم السابق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وقیود تکون من الحالات کالتغیّر فی الماء المتغیّر بالنجس، فإنّ الموضوع</w:t>
      </w:r>
    </w:p>
    <w:p>
      <w:pPr>
        <w:pStyle w:val="BookText"/>
        <w:rPr/>
      </w:pPr>
      <w:r>
        <w:rPr>
          <w:rFonts w:ascii="IRNazanin" w:hAnsi="IRNazanin" w:eastAsia="IRNazanin"/>
          <w:color w:val="111111"/>
          <w:sz w:val="28"/>
          <w:sz w:val="28"/>
          <w:szCs w:val="28"/>
          <w:rtl w:val="true"/>
          <w:lang w:bidi="fa-IR"/>
        </w:rPr>
        <w:t>للنجاسة مطلق الماء فیجری استصحاب النجاسة لصدق نقض الیقین بالشکّ علی رفع الید عن حکم النجاسة، وذلک نظیر ما ثبت فی باب الخیارات من أنّه لو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الفرس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کونه حماراً یکون البیع باطلًا؛ لکون الصورة النوعیة قواماً للمبیع، ولکن لو بان کونه فرساً غیر عربی فالبیع صحیح مع خیار تخلّف الوصف، لعدم کون الوصف قواماً للمبیع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الموصوف مع الوصف فی أمثال هذه المقامات من قبیل تعدّد المطلوب عرفاً والمعیار کونه کذلک فی نظر نوع الناس دون الأشخاص، فإذا تخلّف أحد المطلوبین لم یضرّ بالآخر وإن کان الخیار ثابتاً لتخلّف بعض المطلوب، نعم قد یکون الوصف أیضاً مقوّماً فی نظر نوع الناس نظیر وصف الصحّة فی الشاة المبتاعة لمناسک الحجّ، فإذا باع شاة فی منی وانکشف کونها معیوبة یحتمل کون البیع باطلًا، فإنّه لا یتعلّق غرض غالباً بالمعیب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نعلم أنّ هذا الوصف مقوّم أو من الحالات؟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ذلک من مناسبات الحکم والموضوع، ففی باب الطهارة یحکم العرف بأنّ موضوع النجاسة إنّما هو مطلق الماء من دون دخل اللون والطعم أو الریح فیها بل إنّها من الحالات، وفی باب التقلید عن العالم یحکم بأنّ العلم من المقوّمات، فإذا عارضه النسیان لا یمکن استصحاب جواز تقلیده؛ لأنّ مناسبة الحکم والموضوع تقتضی أنّ موضوع جواز التقلید إنّما هو زید بما أنّه عالم، ومن هنا قد یکون شی‌ء واحد من الحالات بالنسبة إلی حکم ومن المقوّمات بالنسبة إلی حکم آخر، کوصف العلم فإنّه مقوّم فی المثال المذکور وغیر مقوّم بالنسبة إلی جواز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المرجع فیما إذا شککنا فی کون وصف من المقوّمات أو من الحالات، کما إذا صار الخمر خلًاّ وشککنا فی بقاء نجاسته مع قطع النظر عمّا ورد فی باب الانقلاب؟ فهل الخمریة من مقوّمات موضوع النجاسة أو أنّها من الحالات؟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الاستصحاب حینئذٍ لأنّه لابدّ فیه من إحراز بقاء الموضوع،</w:t>
      </w:r>
      <w:bookmarkStart w:id="636" w:name="pg16922_187778"/>
    </w:p>
    <w:p>
      <w:pPr>
        <w:pStyle w:val="BookText"/>
        <w:rPr/>
      </w:pPr>
      <w:bookmarkEnd w:id="636"/>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موارد الشبهة المصداقیة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الرجوع إلی عموم أدلّة الاستصحاب بل المرجع سائر الاصول</w:t>
      </w:r>
      <w:r>
        <w:rPr>
          <w:rFonts w:eastAsia="IRNazanin" w:cs="IRNazanin"/>
          <w:color w:val="111111"/>
          <w:sz w:val="28"/>
          <w:szCs w:val="28"/>
          <w:rtl w:val="true"/>
          <w:lang w:bidi="fa-IR"/>
        </w:rPr>
        <w:t>.</w:t>
      </w:r>
    </w:p>
    <w:p>
      <w:pPr>
        <w:pStyle w:val="Heading5"/>
        <w:numPr>
          <w:ilvl w:val="4"/>
          <w:numId w:val="1"/>
        </w:numPr>
        <w:rPr/>
      </w:pPr>
      <w:bookmarkStart w:id="637" w:name="__RefHeading___Toc142057_3244359995"/>
      <w:bookmarkStart w:id="638" w:name="_Toc242"/>
      <w:bookmarkEnd w:id="637"/>
      <w:r>
        <w:rPr/>
        <w:t>6</w:t>
      </w:r>
      <w:r>
        <w:rPr>
          <w:rtl w:val="true"/>
        </w:rPr>
        <w:t xml:space="preserve">. </w:t>
      </w:r>
      <w:r>
        <w:rPr>
          <w:rtl w:val="true"/>
        </w:rPr>
        <w:t>جریان الاستصحاب فی الأحکام الوضعیّة</w:t>
      </w:r>
      <w:bookmarkEnd w:id="638"/>
    </w:p>
    <w:p>
      <w:pPr>
        <w:pStyle w:val="Heading6"/>
        <w:numPr>
          <w:ilvl w:val="5"/>
          <w:numId w:val="1"/>
        </w:numPr>
        <w:rPr/>
      </w:pPr>
      <w:bookmarkStart w:id="639" w:name="__RefHeading___Toc142059_3244359995"/>
      <w:bookmarkStart w:id="640" w:name="_Toc243"/>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إنّ الأحکام الشرعیّة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تکلیفیة ووضعیة، فالتکلیفیة ما یدور مدار الأحکام الخمسة، وقسّمها القدماء من الأصحاب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اقتضائیة وتخییریة، والمراد من الاقتضائیة ما یکون له اقتضاء للفعل أو الترک، فیشمل الوجوب والحرمة والاستحباب والکراهة، ومن التخییریة ما لیس له اقتضاء ورجحان من حیث الفعل والترک، وهی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البعث أو الزجر أو الترخیص الناشئ عن إرادة المولی أو کراهته أو ترخیصه فی نفسه، وهذا ممّا یتّضح لنا بالرجوع إلی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الوضعیّة، فهی کلّ ما لا یکون من الأحکام الخمسة ولا تحدّد عمل المکلّف من حیث الاقتضاء والتخییر، بل یمسّ أفعال المکلّفین بالواسطة، کالحکم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 الواسطة، کالملکیّة والزوجیّة والضمان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یبدو أنّ الاباحة لیست حکماً من الأحکام، أی أنّها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فیها عدم صدور بعث أو زجر من جانب المولی، وعلیه تکون الأحکام أربعة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الفرق بین الأحکام الشخصیة والقانونیة، فإنّ المتداول بین العقلاء من أهل العرف جعل الترخیص فی کثیر من الموارد بعنوان قانون من القوانین؛ لأنّا إذا راجعنا إلی مجالس التقنین العقلائی نلاحظ أنّهم فی کثیر من الموارد ینشئون الجواز والترخیص، کما ینشئون الوجوب أو الحرمة، فینشئون مثلًا إنّ ورود البضاعة الفلانیة أو حمل السلاح مجاز من هذا التاریخ، ولیس ذلک مجرّد دفع المنع السابق، بل إنّه بالوجدان إنشاء جدید وحکم وجودی فی مقابل حکم وجودی سابق، لا فسخه ونسخه فقط</w:t>
      </w:r>
      <w:r>
        <w:rPr>
          <w:rFonts w:eastAsia="IRNazanin" w:cs="IRNazanin"/>
          <w:color w:val="111111"/>
          <w:sz w:val="28"/>
          <w:szCs w:val="28"/>
          <w:rtl w:val="true"/>
          <w:lang w:bidi="fa-IR"/>
        </w:rPr>
        <w:t>.</w:t>
      </w:r>
      <w:bookmarkStart w:id="641" w:name="pg16922_187779"/>
    </w:p>
    <w:p>
      <w:pPr>
        <w:pStyle w:val="Heading6"/>
        <w:numPr>
          <w:ilvl w:val="5"/>
          <w:numId w:val="1"/>
        </w:numPr>
        <w:rPr/>
      </w:pPr>
      <w:bookmarkStart w:id="642" w:name="__RefHeading___Toc142061_3244359995"/>
      <w:bookmarkStart w:id="643" w:name="_Toc244"/>
      <w:bookmarkEnd w:id="641"/>
      <w:bookmarkEnd w:id="642"/>
      <w:r>
        <w:rPr>
          <w:rtl w:val="true"/>
        </w:rPr>
        <w:t>بیان الفرق بین الاعتباریّات و الانتزاعیّات</w:t>
      </w:r>
      <w:bookmarkEnd w:id="643"/>
    </w:p>
    <w:p>
      <w:pPr>
        <w:pStyle w:val="BookText"/>
        <w:rPr/>
      </w:pPr>
      <w:r>
        <w:rPr>
          <w:rFonts w:ascii="IRNazanin" w:hAnsi="IRNazanin" w:eastAsia="IRNazanin"/>
          <w:color w:val="111111"/>
          <w:sz w:val="28"/>
          <w:sz w:val="28"/>
          <w:szCs w:val="28"/>
          <w:rtl w:val="true"/>
          <w:lang w:bidi="fa-IR"/>
        </w:rPr>
        <w:t>لا یخفی أنّ الوجود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ووجود ذهنی وهو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ما بحذاء خارجی، وما لیس له ما بحذاء فی الخارج، بل هو من مخترعات الذهن، والمخترعات الذهنیّة أیضاً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الانتزاعیّة، وهی ما یکون له منشأ انتزاع فی الخارج، کسببیّة النار للاحتراق، فإنّ الذهن ینتزعها من مقایسة النار بالإحراق فی الخارج قهراً، من دون دخل لإرادة الإنسان واعتباره وجعله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الاعتباریات، وهی ما لیس له منشأ انتزاع فی الخارج، بل هو مجرّد اعتبار للعقلاء کالملکیّة الّتی لا یوجب اعتبارها أو عدم اعتبارها زیادة أو نقصاناً فی الخارج، بل هی تابعة لاعتبار المعتبر وباقیة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الاعتبار؟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سلسلة من الفروض الّتی یترتّب علیها آثار عقلائیّة لتوافقهم علیه، فهی فروض ذات آثار عقلائیّة، فإنّهم مثلًا یلاحظون الملکیّة التکوینیّة الخارجیّة الّتی من مصادیقها مالکیّة الإنسان بالنسبة إلی أعضائه وصور ذهنه، ومالکیّته علی أفعاله بواسطة الأعضاء، ثمّ یفرضون فی عالم الذهن أمراً یشبه ذلک ویرون لزید مثلًا سلطة علی الدار الکذائیة، کسلطته علی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الوهمیات، وهی عبارة عن أوهام الناس وتخیّلاتهم الّتی لا قیمة لها عند العقلاء، ولیست مبدأ للآثار عندهم</w:t>
      </w:r>
      <w:r>
        <w:rPr>
          <w:rFonts w:eastAsia="IRNazanin" w:cs="IRNazanin"/>
          <w:color w:val="111111"/>
          <w:sz w:val="28"/>
          <w:szCs w:val="28"/>
          <w:rtl w:val="true"/>
          <w:lang w:bidi="fa-IR"/>
        </w:rPr>
        <w:t>.</w:t>
      </w:r>
    </w:p>
    <w:p>
      <w:pPr>
        <w:pStyle w:val="Heading6"/>
        <w:numPr>
          <w:ilvl w:val="5"/>
          <w:numId w:val="1"/>
        </w:numPr>
        <w:rPr/>
      </w:pPr>
      <w:bookmarkStart w:id="644" w:name="__RefHeading___Toc142063_3244359995"/>
      <w:bookmarkStart w:id="645" w:name="_Toc245"/>
      <w:bookmarkEnd w:id="644"/>
      <w:r>
        <w:rPr>
          <w:rtl w:val="true"/>
        </w:rPr>
        <w:t>بیان الأقوال قی حقیقة الأحکام الوضعیّة</w:t>
      </w:r>
      <w:bookmarkEnd w:id="645"/>
    </w:p>
    <w:p>
      <w:pPr>
        <w:pStyle w:val="BookText"/>
        <w:rPr/>
      </w:pPr>
      <w:r>
        <w:rPr>
          <w:rFonts w:ascii="IRNazanin" w:hAnsi="IRNazanin" w:eastAsia="IRNazanin"/>
          <w:color w:val="111111"/>
          <w:sz w:val="28"/>
          <w:sz w:val="28"/>
          <w:szCs w:val="28"/>
          <w:rtl w:val="true"/>
          <w:lang w:bidi="fa-IR"/>
        </w:rPr>
        <w:t>إذا عرفت ما بیّناه فاعلم أنّ الأقوال فی حقیقة الأحکام الوضعیّة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نقله شیخنا الأعظم الأنصاری رحمه الله عن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الخطاب الوضعی</w:t>
      </w:r>
    </w:p>
    <w:p>
      <w:pPr>
        <w:pStyle w:val="BookText"/>
        <w:rPr/>
      </w:pPr>
      <w:r>
        <w:rPr>
          <w:rFonts w:ascii="IRNazanin" w:hAnsi="IRNazanin" w:eastAsia="IRNazanin"/>
          <w:color w:val="111111"/>
          <w:sz w:val="28"/>
          <w:sz w:val="28"/>
          <w:szCs w:val="28"/>
          <w:rtl w:val="true"/>
          <w:lang w:bidi="fa-IR"/>
        </w:rPr>
        <w:t>مرجعه إلی الخطاب الشرعی، وأنّ کون الشی‌ء سبباً لواجب هو الحکم بوجوب ذلک الواجب عند حصول ذلک الشی‌ء، فمعنی قولنا إتلاف الصبی سبب لضمانه أنّه یجب علیه غرامة المثل أو القیمة إذا اجتمع فیه شرائط التکلیف من البلوغ والعقل والیسار وغیرها، فإذا خاطب الشارع البالغ العاقل الموسر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أغرم ما أتلفته فی حال 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 من هذا الخطاب معنی یعبّر عنه بسببیّة الإتلاف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کلّها امور انتزاعیّة من الأحکام التکلیفیّة، لیست لها جعل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الأحکام الوضعیّة امور اعتباریّة قابلة للجعل مستقلًاّ، ففی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یکون للشارع 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 الصلاة، والثانی سببیّة الدلوک للوجوب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بالتفصیل بین الأحکام الوضعیّة، فقسم منها من الامور التکوینیّة، ولیس قابلًا للجعل أصلًا لا تبعاً ولا مستقلًاّ، وقسم آخر من الامور الاعتباریّة وقابل للجعل مستقلًاّ، وقسم ثالث من الامور الانتزاعیّة یتعلّق بها الجعل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القول الأخیر فإنّ الأحکام الوضعیّة علی أقسام ینبغی البحث عنها علی 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السببیّة والشرطیّة والمانعیّة، 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أو الشرطیّة أو المانعیة للتکلیف کسببیّة الدلوک لوجوب الصلاة، وشرطیّة الاستطاعة لوجوب الحجّ، ومانعیّة الحیض لوجوب الصلاة، والقسم الثانی ما یکون سبباً أو شرطاً أو مانعاً بالإضافة إلی المکلّف به، کشرطیة الوضوء للصلاة، ومانعیة لبس ما لا یؤکل لحمه عن الصلاة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الامور التکوینیّة، ولا تقبل الجعل والاعتبار</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الظاهر وقوع الخلط بین التکوینیّة من هذه الامور والتشریعیّة منها، أی بین السببیّة التکوینیّة مثلًا والسببیّة التشریعیّة؛ فإنّ لنا سببیّة أو شرطیّة فی عالم التکوین، وهی ما یکون موجوداً فی الدلوک مثلًا من المصلحة التکوینیّة الّتی تقتضی إیجاب الصلاة تکویناً وهی لا تکون سبباً حقیقة، بل إنّها من قبیل الداعی للجعل، وسببیّة أو شرطیّة شرعیّة ترجع فی الواقع إلی قیود الموضوع کالاستطاعة الّتی تکون قیداً من قیود موضوع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مانعیة الشی‌ء ترجع إلی أنّ عدمه قید للموضوع کمانعیة الحیض، فإنّ معناها أنّ عدم الحیض قید لموضوع وجوب الصلاة؛ سواء قلنا بأنّ الأحکام تابعة للمصالح والمفاسد، أو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فالسببیّة الشرعیّة وکذلک الشرطیّة والمانعیّة الشرعیتان امور منتزعة من جعل وجود شی‌ء أو عدمه قیداً لموضوع التکلیف، ولا تناله ید الجعل مستقلًاّ، فإذا أخذ المولی قیداً فی موضوع الحکم کفی فی انتزاع شرطیّته له، ولا حاجة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أی بالنسبة إلی المکلّف به، فإنّها ترجع فیه أیضاً إلی قیود المأمور به، فإن کان وجود شی‌ء أو عدمه قیداً للمأمور به، کما فی الوضوء بالنسبة إلی الصلاة، تنتزع هذه الامور وإلّا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والفساد فی العبادات أو المعاملات، والمختار أنّ للصحّة والفساد معنیین، وإنّهما علی کلا معنییهما أمران تکوینیان لا تنالهما ید الجعل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مبحث الصحیح والأعمّ من أنّ الصحیح من الأشیاء ما یکون مبدأً للآثار المرغوبة منها، والفاسد ما لیس فیه تلک الآثار، ولا إشکال فی أنّ کون شی‌ء ذا أثر وعدمه أمر تکوینی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الأمر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أو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وعدمها، ولا ریب أیضاً أنّ التطابق أو عدم التطابق أمر واقعی تکوینی، فلو کان العمل جامعاً للأجزاء والشرائط فهو مطابق للمأمور به، ولو لم یکن جامعاً لها فهو مخالف للمأمور به، ولا</w:t>
      </w:r>
    </w:p>
    <w:p>
      <w:pPr>
        <w:pStyle w:val="BookText"/>
        <w:rPr/>
      </w:pPr>
      <w:r>
        <w:rPr>
          <w:rFonts w:ascii="IRNazanin" w:hAnsi="IRNazanin" w:eastAsia="IRNazanin"/>
          <w:color w:val="111111"/>
          <w:sz w:val="28"/>
          <w:sz w:val="28"/>
          <w:szCs w:val="28"/>
          <w:rtl w:val="true"/>
          <w:lang w:bidi="fa-IR"/>
        </w:rPr>
        <w:t>یمکن أن یجعل ویعتبر ما لیس بمطابق خارجاً، مطابقاً فی الخارج، فإذا کان المأمور به ذا عشرة أجزاء، والمأتی به ذا تسعة، فلا شکّ أنّه لا یکون مطابقاً، ولا معنی لجعل التسعة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لیسا من الامور الاعتباریّة المجعولة مستقلًاّ، کما أنّهما لیسا منتزعین من التطابق وعدم التطابق، لأنّ الصحّة عین التطابق، کما أنّ الفساد عین التخالف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والنجاسة، وهما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منهما أمر تکوینی کان موجوداً فی العرف قبل الشرع کطهارة المطر وقذارة البول والغائط، وأمضاهما الشارع المقدّس، وقسم ثانٍ منهما أمر تکوینی أیضاً، ولکن لم یکن معروفاً واضحاً عند العرف، بل کشف عنه الشارع کنجاسة عرق الجنب من الحرام علی القول بها أو نجاسة بول الإبل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القسمان أمران تکوینیان أمضاهما الشارع ولیسا مجعولین مطلقاً، وقسم ثالث یکون ظاهریاً منشؤه الطهارة أو النجاسة المعنویّة کنجاسة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منشؤها کفر الکافر ونجاسته المعنویّة، ولعلّ من هذا القسم نجاسة الخمر بل وعلی احتمالٍ نجاسة عرق الجنب من الحرام 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أیضاً أمر تکوینی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المناصب، کالولایة علی الوقف أو علی الصغیر وکذا الوصایة والوکالة والنیابة، ولا شکّ فی أنّها من الامور الوضعیّة الّتی یتعلّق بها الوضع والإنشاء، فالشارع یجعل انساناً ولیّاً أو قاضیاً، فهی مجعولة مستقلًاّ وبالأصالة کما یحکم به الوجدان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الملکیّة والزوجیّة والحرّیة والرقّیة ونحوها، وکذلک الحقوق کحقّ الشفعة وحقّ التحجیر، فهل هی مجعولة بالأصالة، أو أنّها منتزعة من مجموع من الأحکام التکلیفیّة کجواز البیع والأکل وسائر التصرّفات؟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أنّها مجعولة بالأصالة؛ ففی الملکیّة مثلًا یجعل صورة فرضیة للسلطنة علی شی‌ء کسلطنة الإنسان علی أعضائه وجوارحه، والوجدان حاکم بأنّ البائع إذا</w:t>
      </w:r>
      <w:bookmarkStart w:id="646" w:name="pg16922_187783"/>
    </w:p>
    <w:p>
      <w:pPr>
        <w:pStyle w:val="BookText"/>
        <w:rPr/>
      </w:pPr>
      <w:bookmarkEnd w:id="64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للمشتری سلطة اعتباریّة یترتّب علیها أحکام کثیرة عند العرف والشرع</w:t>
      </w:r>
      <w:r>
        <w:rPr>
          <w:rFonts w:eastAsia="IRNazanin" w:cs="IRNazanin"/>
          <w:color w:val="111111"/>
          <w:sz w:val="28"/>
          <w:szCs w:val="28"/>
          <w:rtl w:val="true"/>
          <w:lang w:bidi="fa-IR"/>
        </w:rPr>
        <w:t>.</w:t>
      </w:r>
    </w:p>
    <w:p>
      <w:pPr>
        <w:pStyle w:val="Heading6"/>
        <w:numPr>
          <w:ilvl w:val="5"/>
          <w:numId w:val="1"/>
        </w:numPr>
        <w:rPr/>
      </w:pPr>
      <w:bookmarkStart w:id="647" w:name="__RefHeading___Toc142065_3244359995"/>
      <w:bookmarkStart w:id="648" w:name="_Toc246"/>
      <w:bookmarkEnd w:id="647"/>
      <w:r>
        <w:rPr>
          <w:rtl w:val="true"/>
        </w:rPr>
        <w:t>نتیجة البحث</w:t>
      </w:r>
      <w:bookmarkEnd w:id="648"/>
    </w:p>
    <w:p>
      <w:pPr>
        <w:pStyle w:val="BookText"/>
        <w:rPr/>
      </w:pPr>
      <w:r>
        <w:rPr>
          <w:rFonts w:ascii="IRNazanin" w:hAnsi="IRNazanin" w:eastAsia="IRNazanin"/>
          <w:color w:val="111111"/>
          <w:sz w:val="28"/>
          <w:sz w:val="28"/>
          <w:szCs w:val="28"/>
          <w:rtl w:val="true"/>
          <w:lang w:bidi="fa-IR"/>
        </w:rPr>
        <w:t>بناء علی ما ذکرنا ظهر جریان الاستصحاب فی بعض الأحکام الوضعیّة دون بعض، فما کان منها من الامور التکوینیّة کالصحّة والفساد؛ أی المطابقة مع المأمور به وعدمها، فلا یمکن استصحابه، کما لا یمکن استصحاب أثره وهو الإجزاء وإسقاط الإعادة والقضاء، لأنّه أمر عقلی، والاستصحاب یجری فیما إذا کان المستصحب أمراً شرعیاً أو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منتزعاً من الامور التکلیفیّة کالجزئیّة والشرطیّة فلا إشکال فی جریان الاستصحاب فیه باعتبار منشأ انتزاعه، فإذا شککنا فی جزئیّة السورة الکاملة للصلاة لبعض الأعذار مثلًا نستصحب وجوب السورة ونثبت بقاء الأمر المتعلّق بها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منها من الامور المجعولة بالأصالة کالملکیّة والوکالة وغیرهما فلا شکّ فی جریان الاستصحاب فیه</w:t>
      </w:r>
      <w:r>
        <w:rPr>
          <w:rFonts w:eastAsia="IRNazanin" w:cs="IRNazanin"/>
          <w:color w:val="111111"/>
          <w:sz w:val="28"/>
          <w:szCs w:val="28"/>
          <w:rtl w:val="true"/>
          <w:lang w:bidi="fa-IR"/>
        </w:rPr>
        <w:t>.</w:t>
      </w:r>
    </w:p>
    <w:p>
      <w:pPr>
        <w:pStyle w:val="Heading5"/>
        <w:numPr>
          <w:ilvl w:val="4"/>
          <w:numId w:val="1"/>
        </w:numPr>
        <w:rPr/>
      </w:pPr>
      <w:bookmarkStart w:id="649" w:name="__RefHeading___Toc142067_3244359995"/>
      <w:bookmarkStart w:id="650" w:name="_Toc247"/>
      <w:bookmarkEnd w:id="649"/>
      <w:r>
        <w:rPr/>
        <w:t>7</w:t>
      </w:r>
      <w:r>
        <w:rPr>
          <w:rtl w:val="true"/>
        </w:rPr>
        <w:t xml:space="preserve">. </w:t>
      </w:r>
      <w:r>
        <w:rPr>
          <w:rtl w:val="true"/>
        </w:rPr>
        <w:t>استصحاب الکلّی</w:t>
      </w:r>
      <w:bookmarkEnd w:id="650"/>
    </w:p>
    <w:p>
      <w:pPr>
        <w:pStyle w:val="Heading6"/>
        <w:numPr>
          <w:ilvl w:val="5"/>
          <w:numId w:val="1"/>
        </w:numPr>
        <w:rPr/>
      </w:pPr>
      <w:bookmarkStart w:id="651" w:name="__RefHeading___Toc142069_3244359995"/>
      <w:bookmarkStart w:id="652" w:name="_Toc248"/>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هل یجوز استصحاب الکلّی کما یجوز استصحاب الفرد؟ الظاهر جوازه فی بعض أقسامه وقد ذکر له أقسام أربعة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بقاء الکلّی من جهة الشکّ فی بقاء الفرد الذی کان الکلّی متحقّقاً فی ضمنه کما إذا علم بوجود الإنسان فی الدار بوجود زید، ثمّ شکّ فی بقاء الإنسان فیه من جهة الشکّ فی بقاء زید، فلا إشکال فی جواز استصحاب بقاء الإنسان فی الدار وترتیب أثره علیه کما جاز استصحاب شخص زید وترتیب</w:t>
      </w:r>
    </w:p>
    <w:p>
      <w:pPr>
        <w:pStyle w:val="BookText"/>
        <w:rPr/>
      </w:pPr>
      <w:r>
        <w:rPr>
          <w:rFonts w:ascii="IRNazanin" w:hAnsi="IRNazanin" w:eastAsia="IRNazanin"/>
          <w:color w:val="111111"/>
          <w:sz w:val="28"/>
          <w:sz w:val="28"/>
          <w:szCs w:val="28"/>
          <w:rtl w:val="true"/>
          <w:lang w:bidi="fa-IR"/>
        </w:rPr>
        <w:t>نفس الأثر علیه فإنّ أثر الکلّی أثر الفرد أیضاً ولا عکس، ولذا لو ترتّب علی الفرد بخصوصه أثر جاز استصحاب الفرد دون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والمثال الشرعی لهذا القسم ما إذا تیقّن بالجنابة وبتبعها بکلّی الحدث ثمّ شکّ فی رفعها بالغسل، فلا إشکال فی جریان استصحاب کلّ من الجنابة والحدث، ومقتضی الثانی هو عدم صحّة صلاته وما هو مشروط بالطهارة، وهو بعینه مقتضی الأوّل أیضاً مضافاً إلی عدم جواز مکثه فی المسجد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بقاء الکلّی من جهة تردّد الفرد الذی کان الکلّی متحقّقاً فی ضمنه بین ما هو مرتفع قطعاً وما هو باقٍ جزماً، کما إذا علم إجمالًا بوجود طائر فی الدار، ولم یعلم أنّه العصفور أو الغراب، ثمّ مضی مقدار عمر العصفور دون الغراب، فإن کان الطائر عصفوراً فقد مات وإن کان غراباً فهو باقٍ فیستصحب کلّی الطائر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والمثال الشرعی لهذا القسم ما إذا علم إجمالًا بنجاسة الثوب ولم یعلم أنّها من الدم أو البول؟ فإن کانت النجاسة من الدم فقد زالت بالغسل مرّة بالماء القلیل وإن کانت النجاسة من البول فهی باقیة لا تزول إلّابالمرّة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لزوم التعدّد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کلّی النجاسة المشترک بین البول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بقاء الکلّی من جهة الشکّ فی وجود فرد آخر بعد القطع بارتفاع الفرد الأوّل الذی کان الکلّی متحقّقاً فی ضمنه، وهذا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یقع الشکّ فی وجود فرد آخر مقارن لوجود الفرد الأوّل، واخری یقع الشکّ فی وجود فرد آخر مقارن لارتفاع الفرد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علم بوجود الإنسان فی الدار فی ضمن وجود زید، ثمّ حصل القطع بخروج زید عنها وشکّ فی وجود عمرو مقارناً لوجود زید فی الدار أو مقارناً لخروجه عنها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والمثال الشرعی له ما إذا علم بحدوث الحدث الأصغر ثمّ حصل الیقین بارتفاعه</w:t>
      </w:r>
      <w:bookmarkStart w:id="653" w:name="pg16922_187785"/>
    </w:p>
    <w:p>
      <w:pPr>
        <w:pStyle w:val="BookText"/>
        <w:rPr/>
      </w:pPr>
      <w:bookmarkEnd w:id="653"/>
      <w:r>
        <w:rPr>
          <w:rFonts w:ascii="IRNazanin" w:hAnsi="IRNazanin" w:eastAsia="IRNazanin"/>
          <w:color w:val="111111"/>
          <w:sz w:val="28"/>
          <w:sz w:val="28"/>
          <w:szCs w:val="28"/>
          <w:rtl w:val="true"/>
          <w:lang w:bidi="fa-IR"/>
        </w:rPr>
        <w:t>بالوضوء وشکّ فی حدوث الحدث الأکبر مقارناً لحدوث الأصغر أو مقارناً 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بوجود فرد بعنوان خاصّ، ثمّ علمنا بوجود مصداق معنون بعنوان آخر ولکن لا ندری أنّ العنوانین منطبقان علی مصداق واحد أو لهما مصداقان مختلفان؟</w:t>
      </w:r>
    </w:p>
    <w:p>
      <w:pPr>
        <w:pStyle w:val="BookText"/>
        <w:rPr/>
      </w:pPr>
      <w:r>
        <w:rPr>
          <w:rFonts w:ascii="IRNazanin" w:hAnsi="IRNazanin" w:eastAsia="IRNazanin"/>
          <w:color w:val="111111"/>
          <w:sz w:val="28"/>
          <w:sz w:val="28"/>
          <w:szCs w:val="28"/>
          <w:rtl w:val="true"/>
          <w:lang w:bidi="fa-IR"/>
        </w:rPr>
        <w:t>وهذا مثل ما إذا علمنا بوجود زید فی الدار، ثمّ سمعنا صوت القرآن من الدار لا ندری هو زید أو عمرو؟ ثمّ خرج زید من الدار، فإن کان القارئ زیداً فقد خرج، وإن کان غیره فهو باقٍ، فهل یمکن استصحاب بقاء القارئ للقرآن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بهذا العنوان لا بعنوان أنّه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ومثاله الشرعی ما إذا علم إنسان بأنّه قد احتلم ثمّ اغتسل بعد ذلک، ثمّ رأی بعد ذلک الیوم آثار المنی فی ثوبه لا یدری أهو من الاحتلام السابق، أو من احتلام جدید؟ فهل یمکن الإشارة إلی خصوص ذلک الأثر،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الجنابة کانت حاصلة مقارنة لخروج هذا ولا ندری أنّه اغتسل بعد خروجه أم لا؟ فیستصحب الجنابة الّتی حصلت مقارنة له لا خصوص الجنابة الحاصلة فی أمس، فإنّها قد ارتفعت قطعاً، ولا خصوص الجنابة الحاصلة فی الیوم فإنّها مشکوک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الکلّی فی القسم الثالث واضح، فإنّ تعدّد الفردین هناک قطعی، فالحدوث بسبب واحد منهما والبقاء بسبب فرد آخر، ولکن التعدّد هنا غیر ثابت لاحتمال انطباق عنوان زید وقارئ القرآن علی شخص واحد</w:t>
      </w:r>
      <w:r>
        <w:rPr>
          <w:rFonts w:eastAsia="IRNazanin" w:cs="IRNazanin"/>
          <w:color w:val="111111"/>
          <w:sz w:val="28"/>
          <w:szCs w:val="28"/>
          <w:rtl w:val="true"/>
          <w:lang w:bidi="fa-IR"/>
        </w:rPr>
        <w:t>.</w:t>
      </w:r>
    </w:p>
    <w:p>
      <w:pPr>
        <w:pStyle w:val="Heading6"/>
        <w:numPr>
          <w:ilvl w:val="5"/>
          <w:numId w:val="1"/>
        </w:numPr>
        <w:rPr/>
      </w:pPr>
      <w:bookmarkStart w:id="654" w:name="__RefHeading___Toc142071_3244359995"/>
      <w:bookmarkStart w:id="655" w:name="_Toc249"/>
      <w:bookmarkEnd w:id="654"/>
      <w:r>
        <w:rPr>
          <w:rtl w:val="true"/>
        </w:rPr>
        <w:t>جریان الاستصحاب فی الأقسام الأربعة وعدمه</w:t>
      </w:r>
      <w:bookmarkEnd w:id="655"/>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استصحاب الکلّی فیه، کما یجری استصحاب الفرد فیه أیضاً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فی أنّ استصحاب الفرد هل یغنی عن استصحاب الکلّی أو لا؟</w:t>
      </w:r>
    </w:p>
    <w:p>
      <w:pPr>
        <w:pStyle w:val="BookText"/>
        <w:rPr/>
      </w:pPr>
      <w:r>
        <w:rPr>
          <w:rFonts w:ascii="IRNazanin" w:hAnsi="IRNazanin" w:eastAsia="IRNazanin"/>
          <w:color w:val="111111"/>
          <w:sz w:val="28"/>
          <w:sz w:val="28"/>
          <w:szCs w:val="28"/>
          <w:rtl w:val="true"/>
          <w:lang w:bidi="fa-IR"/>
        </w:rPr>
        <w:t>والصحیح کفایة استصحاب الفرد عن استصحاب الکلّی، وذلک من جهة اتّحاد الکلّی مع فرده، فیکفی استصحاب الفرد لترتّب جمیع آثار الکلّی، وهذا ما ذهب إلیه أکثر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ثمرة لاستصحاب الکلّی فی هذا القسم؛ لأنّ الکلّی لا یکون مفترقاً عن فرده، لما ثبت فی محلّه من اتّحاد الکلّی الطبیعی مع أفراده، وأنّ وجود الطبیعی عین وجود أفراده، وحینئذٍ آثار الکلّی تترتّب أیضاً علی فرده، فمن تیقّن بالجنابة ثمّ شکّ فی الطهارة عنها یستصحب بقاء الجنابة ویرتّب علیها عدم المکث فی المسجد، الذی هو من آثار فرد الجنابة وعدم صحّة صلاته الذی هو من آثار مطلق الحدث، ولا حاجة إلی استصحاب کلّی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أکثر المحقّقین إلی جریانه، لکن فی خصوص ما إذا لم یکن أثر الکلّی مبایناً مع أثر الفرد والخصوصیّات الفردیّة، کما إذا علمنا إجمالًا بنجاسة الثوب ولم نعلم أنه دم أو بول، حیث إنّ أثر النجاسة بالدم وجوب الغسل مرّة وأثر النجاسة بالبول وجوب الغسل مرّتین فیجری استصحاب بقاء النجاسة بعد الغسل مرّة ویجب الغسل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أثر الکلّی مبایناً مع أثر الفرد کما فی مثال البول والمنی؛ حیث إنّ أثر البول وجوب الوضوء وأثر المنی وجوب الغسل وهما أثران متباینان، ففی هذه الصورة لا تصل النوبة إلی استصحاب کلّی الحدث لإثبات وجوب الوضوء والغسل معاً، بل تجری قاعدة الاحتیاط والاشتغال لإثبات وجوب رعایة کلا الأثرین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الاستصحاب لیس من مصادیق استصحاب الکلّی، بل إنّه فی الواقع من قبیل استصحاب الفرد المبهم،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 الفرد المبهم ویترتّب نفس ما یترتّب علی استصحاب الکلّی، ففی مثال العصفور والغراب مثلًا نشیر إلی ذلک الفرد من الطائر المبهم الذی دخل الدار فی ساعة کذا ورآه بعینه من دون معرفة حاله، ویستصحب شخص ذلک الفرد المبهم،</w:t>
      </w:r>
    </w:p>
    <w:p>
      <w:pPr>
        <w:pStyle w:val="BookText"/>
        <w:rPr/>
      </w:pPr>
      <w:r>
        <w:rPr>
          <w:rFonts w:ascii="IRNazanin" w:hAnsi="IRNazanin" w:eastAsia="IRNazanin"/>
          <w:color w:val="111111"/>
          <w:sz w:val="28"/>
          <w:sz w:val="28"/>
          <w:szCs w:val="28"/>
          <w:rtl w:val="true"/>
          <w:lang w:bidi="fa-IR"/>
        </w:rPr>
        <w:t>ولعلّ مراد القائلین بالکلّی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اورد علی هذا القسم من استصحاب الکلّی بوجوه، أهمّها 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شرائط حجّیة الاستصحاب وحدة القضیّة المتیقّنة والمشکوکة، أی تعلّق الیقین والشکّ بشی‌ء واحد، وهذا فی المقام غیر حاصل، لأنّ وجود الکلّی ضمن أحد أفراده غیر وجوده ضمن فرد آخر، فإنّ نسبة الکلّی إلی أفراده نسبة الآباء إلی الأبناء، لا نسبة أب واحد إلی أبناء متعدّدین، وحینئذٍ یصیر الاستصحاب من قبیل استصحاب الفرد المردّد، وهو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بما مرّ من أنّ هذا القسم من الکلّی راجع فی الحقیقة إلی استصحاب الفرد، أی استصحاب تلک الحصّه الخاصّة المتیقّنة وإن کان بعض خصوصیاتها مبهمة، فالطائر الذی دخل الدار فی ساعة کذا بعینه موجود الآن وإن شککنا فی أنّه کان غراباً أو عصفوراً لظلمة أو شبهها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سمّیت بالشبهة العبائیة،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علمنا بإصابة النجاسة أحد طرفی العباءة من الأیمن أو الأیسر ثمّ طهّرنا الطرف الأیمن فطهارته تورث الشکّ فی بقاء النجاسة فی العباءة، لاحتمال أن تکون النجاسة المعلومة قد أصابت الطرف الأیسر فیجری فیه استصحاب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لاقت الید مثلًا الطرف الأیسر کانت محکومة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ملاقی بعض الأطراف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لاقت بعد ذلک الطرف الأیمن وجب الحکم بنجاستها مع أنّ الأیمن طاهر علی المفروض، وذلک لأنّ النجاسة فی العباءة باقیة بحکم الاستصحاب ولیست خارجة عن الطرفین، وقد لاقت الید کلیهما، فلا محیص عن القول بنجاسة الید بعد إصابة الطرف الطاهر، وهذا من العجائب، فلابدّ من رفع الید عن استصحاب النجاسة الذی هو من قبیل استصحاب الکلیّ القسم الثانی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الشبهة بوجوه والصحیح منها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الاستصحاب لیس من قبیل استصحاب القسم الثانی، لأنّه عبارة عن استصحاب فرد واحد</w:t>
      </w:r>
    </w:p>
    <w:p>
      <w:pPr>
        <w:pStyle w:val="BookText"/>
        <w:rPr/>
      </w:pPr>
      <w:r>
        <w:rPr>
          <w:rFonts w:ascii="IRNazanin" w:hAnsi="IRNazanin" w:eastAsia="IRNazanin"/>
          <w:color w:val="111111"/>
          <w:sz w:val="28"/>
          <w:sz w:val="28"/>
          <w:szCs w:val="28"/>
          <w:rtl w:val="true"/>
          <w:lang w:bidi="fa-IR"/>
        </w:rPr>
        <w:t>مجهول الصفات، أی الفرد المبهم المتیقّن وجوده فی الخارج، وهذا الفرد فی ما نحن فیه مردّد بین فردین خارجیین، فهو نظیر ما إذا علمنا بنجاسة أحد الإناءین ثمّ علمنا بإنعدام أحدهما ولا نعلم هل المعدوم هو الإناء النجس أو الإناء الطاهر؟ فلا إشکال فی عدم جواز استصحاب نجاسة کلّی أحدهما فی مثل ذلک، لتبدّل الموضوع الناشئ من انعدام أحدهما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المفروض فی ما نحن فیه أنّ أحد الطرفین صار طاهراً قطعاً، فتبدّل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المتیقّن نجاسة کلّی أحدهما بل المتیقّن نجاسة الفرد المردّد بین ما صار طاهراً یقیناً وبین ما هو مشکوک النجاسة، فهو من قبیل استصحاب الفرد المردّد الذی لا إشکال فی عدم جریانه فی أمثال المقام لتبدّل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عدم حجّیته وفصّل الشیخ الأعظم الأنصاری رحمه الله بین ما إذا احتمل وجود الفرد الآخر مقارناً لخروج الفرد الأوّل، وما إذا احتمل وجوده مقارناً لوجود الفرد الأوّل، فهو حجّة فی الثانی دون الأوّل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هو القول الأوّل، ودلیله ظاهر؛ لاعتبار وحدة متعلّق الیقین والشکّ فی الاستصحاب؛ أی لزوم اتّحاد القضیّة المتیقّنة والقضیّة المشکوکة، وهی مفقودة فی المقام؛ لأنّ متعلّق الیقین فیه إنّما هو وجود الإنسان ضمن زید، والحال أنّ المشکوک هو وجود الإنسان ضمن عمرو، وقد ثبت فی محلّه أنّ وجود الکلّی الطبیعی فی الخارج یکون متعدّداً بتعدّد أفراده وإن کان متّحداً معها فی الذهن، ولا إشکال فی أنّ المستصحب فی ما نحن فیه إنّما هو وجود الکلّی فی الخارج لا الموجود فی الذهن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الشیخ الأعظم رحمه الله بجریان الاستصحاب فی ما إذا وقع الشکّ فی وجود فرد آخر مقارن لوجود الفرد الأوّل لاحتمال کون الثابت فی الآن اللاحق هو عین الموجود سابقاً، فیتردّد الکلّی المعلوم سابقاً بین أن یکون وجوده الخارجی علی</w:t>
      </w:r>
    </w:p>
    <w:p>
      <w:pPr>
        <w:pStyle w:val="BookText"/>
        <w:rPr/>
      </w:pPr>
      <w:r>
        <w:rPr>
          <w:rFonts w:ascii="IRNazanin" w:hAnsi="IRNazanin" w:eastAsia="IRNazanin"/>
          <w:color w:val="111111"/>
          <w:sz w:val="28"/>
          <w:sz w:val="28"/>
          <w:szCs w:val="28"/>
          <w:rtl w:val="true"/>
          <w:lang w:bidi="fa-IR"/>
        </w:rPr>
        <w:t>نحو لا یرتفع بارتفاع الفرد المعلوم ارتفاعه وأن یکون علی نحو یرتفع بارتفاع ذلک الفرد، فالشکّ إنّما هو فی مقدار استعداد ذلک الکلّی، واستصحاب عدم حدوث الفرد المشکوک لا یثبت تعیین استعداد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القسم الأوّل یحتمل أن یکون الثابت فی الآن اللاحق هو عین الموجود سابقاً بخلاف القسم الثانی فلا یحتمل فیه ذلک، فیجری الاستصحاب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المتیقّن إنّما هو وجود کلّی الإنسان ضمن وجود زید، وأمّا المشکوک فهو وجود کلّی الإنسان ضمن عمرو، فالموضوع المستصحب علی کلّ حال لیس واحداً لأنّ وجود الطبیعی فی ضمن فرد غیر وجوده فی ضمن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الرابع من الاستصحاب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عدم جریان الاستصحاب فیه وذلک لأنّه یرجع إلی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المصداقیّة، لأنّه یحتمل أن یکون رفع الید عن الیقین السابق من قبیل نقض الیقین بالیقین فإنّ احتمال انطباق هذا الأثر علی الجنابة المعلوم ارتفاعها مساوق لاحتمال تحقّق الیقین بارتفاع الجنابة الحادثة عند حدوث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للشکّ فی تحقّق الیقین وعدمه، لأنّ الیقین من الصفات النفسانیّة الّتی لا یمکن تطرّق الشکّ إلیها فإمّا یعلم بوجوده فی عالم النفس أو یعلم بعدمه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حکم الشارع بالإبقاء نفس الجنابة الخارجیّة الحاصلة عند وجود هذا الأثر، وإنّما اخذ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 الحاصلة عند وجود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للاشارة إلی الموجود الخارجی، وإلّا فلا دخل لهذا العنوان فی الحکم الشرعی بلا إشکال، فلو علم بارتفاع الجنابة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عنوان کان وبأیّة إشارة فرضت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حصلت الغایة وهو الیقین بارتفاع الجنابة وکان رفع الید عن المتیقّن السابق من قبیل نقض</w:t>
      </w:r>
      <w:bookmarkStart w:id="656" w:name="pg16922_187790"/>
    </w:p>
    <w:p>
      <w:pPr>
        <w:pStyle w:val="BookText"/>
        <w:rPr/>
      </w:pPr>
      <w:bookmarkEnd w:id="656"/>
      <w:r>
        <w:rPr>
          <w:rFonts w:ascii="IRNazanin" w:hAnsi="IRNazanin" w:eastAsia="IRNazanin"/>
          <w:color w:val="111111"/>
          <w:sz w:val="28"/>
          <w:sz w:val="28"/>
          <w:szCs w:val="28"/>
          <w:rtl w:val="true"/>
          <w:lang w:bidi="fa-IR"/>
        </w:rPr>
        <w:t xml:space="preserve">الیقین بالیقین فاحتمال انطباق عنوان المتیقّن فی المقام علی الجنابة المعلوم ارتفاعها یوجب احتمال کون رفع الید عنه من قبیل نقض الیقین بالیقین فلا یصحّ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والشکّ وإن کانا من الامور النفسانیّة الّتی لا یمکن الشکّ فی تحقّقها، ولکن الکلام هنا فی متعلّق الیقین، فقد یکون العنوان الذی اخذ فی متعلّقه منطبقاً علی عنوان آخر فی الخارج، ومجرّد هذا الاحتمال یوجب احتمال تحقّق الیقین بارتفاع الجنابة فی المثال ولو بعنوان آخر، فالشکّ إنّما هو فی انطباق العنوانین اللذین تعلّق بهما الشکّ والیقین، فتأمّل فإنّه دقیق</w:t>
      </w:r>
      <w:r>
        <w:rPr>
          <w:rFonts w:eastAsia="IRNazanin" w:cs="IRNazanin"/>
          <w:color w:val="111111"/>
          <w:sz w:val="28"/>
          <w:szCs w:val="28"/>
          <w:rtl w:val="true"/>
          <w:lang w:bidi="fa-IR"/>
        </w:rPr>
        <w:t>.</w:t>
      </w:r>
    </w:p>
    <w:p>
      <w:pPr>
        <w:pStyle w:val="Heading5"/>
        <w:numPr>
          <w:ilvl w:val="4"/>
          <w:numId w:val="1"/>
        </w:numPr>
        <w:rPr/>
      </w:pPr>
      <w:bookmarkStart w:id="657" w:name="__RefHeading___Toc142073_3244359995"/>
      <w:bookmarkStart w:id="658" w:name="_Toc250"/>
      <w:bookmarkEnd w:id="657"/>
      <w:r>
        <w:rPr/>
        <w:t>8</w:t>
      </w:r>
      <w:r>
        <w:rPr>
          <w:rtl w:val="true"/>
        </w:rPr>
        <w:t xml:space="preserve">. </w:t>
      </w:r>
      <w:r>
        <w:rPr>
          <w:rtl w:val="true"/>
        </w:rPr>
        <w:t>استصحاب الامور التدریجیّة</w:t>
      </w:r>
      <w:bookmarkEnd w:id="658"/>
    </w:p>
    <w:p>
      <w:pPr>
        <w:pStyle w:val="BookText"/>
        <w:rPr/>
      </w:pPr>
      <w:r>
        <w:rPr>
          <w:rFonts w:ascii="IRNazanin" w:hAnsi="IRNazanin" w:eastAsia="IRNazanin"/>
          <w:color w:val="111111"/>
          <w:sz w:val="28"/>
          <w:sz w:val="28"/>
          <w:szCs w:val="28"/>
          <w:rtl w:val="true"/>
          <w:lang w:bidi="fa-IR"/>
        </w:rPr>
        <w:t>قد یکون المستصحب من الامور الثابتة القارّة، وقد یکون من الامور التدریجیّة غیر القارّة کالحرکة والزمان، فهل یختصّ الاستصحاب بالقسم الأوّل، أو یجری فی القسم الثانی أیضاً؟ والبحث عنه یقع فی مقامات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نفس الزمان کالیوم واللیل</w:t>
      </w:r>
    </w:p>
    <w:p>
      <w:pPr>
        <w:pStyle w:val="BookText"/>
        <w:rPr/>
      </w:pPr>
      <w:r>
        <w:rPr>
          <w:rFonts w:ascii="IRNazanin" w:hAnsi="IRNazanin" w:eastAsia="IRNazanin"/>
          <w:color w:val="111111"/>
          <w:sz w:val="28"/>
          <w:sz w:val="28"/>
          <w:szCs w:val="28"/>
          <w:rtl w:val="true"/>
          <w:lang w:bidi="fa-IR"/>
        </w:rPr>
        <w:t xml:space="preserve">ولا بأس بالإشارة إلی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جرت حوله أبحاث کثیرة معقّدة، مع أنّه بإجماله من الضروریات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فی ذلک أنّ الزمان کما هو مختار الفلاسفة المتأخّرین لیس إلّا مقدار الحرکة فی العرض أو الجوهر، فلولا الحرکة لما کان هناک زمان، فهی فی الحقیقة مخلوقة بعد خلق الأشیاء المادّیة لا قبلها، وهکذا المکان فإنّه أیضاً ینتزع بعد خلق الأشیاء المادّیة ونسبة بعضها إلی بعض کما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فی جریان الاستصحاب فیه بامور ثلاثة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الشکّ فی البقاء، والبقاء معناه وجود الشی‌ء فی</w:t>
      </w:r>
    </w:p>
    <w:p>
      <w:pPr>
        <w:pStyle w:val="BookText"/>
        <w:rPr/>
      </w:pPr>
      <w:r>
        <w:rPr>
          <w:rFonts w:ascii="IRNazanin" w:hAnsi="IRNazanin" w:eastAsia="IRNazanin"/>
          <w:color w:val="111111"/>
          <w:sz w:val="28"/>
          <w:sz w:val="28"/>
          <w:szCs w:val="28"/>
          <w:rtl w:val="true"/>
          <w:lang w:bidi="fa-IR"/>
        </w:rPr>
        <w:t>الزمان الثانی واستمراره، وهو لا یتصوّر لنفس الزمان، وإلّا یستلزم أن یکون للزمان زمان آخر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الاستصحاب إنّما هو اعتبار وجود یقین سابق وشکّ لاحق فی شی‌ء واحد، ولا دلیل علی اعتبار صدق عنوان البقاء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بتبدّل الموضوع؛ لأنّ الساعة المتیقّنة غیر الساعة المشکوکة، مع أنّ المعتبر فی حجّیة الاستصحاب بقاء الموضوع، أی وحدة القضیّة والمشکوکة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وجود الوحدة بنظر العرف لا بالدقّة العقلیّة، والوحدة العرفیّة موجودة فی الزمان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موجودة فیه حتّی بالدقّة العقلیّة، ودلیلها وجود الاتّصال الحقیقی بین أجزاء الزمان، فالموجود فی الخارج فی الامور المتّصلة لیس إلّاشیئاً واحداً، وإنّما التجزئة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الأصل المثبت غالباً؛ فإنّ المراد من استصحاب النهار مثلًا إمّا إثبات وقوع الإمساک فی النهار، وهو لازم عقلی لبقاء النهار، أو إثبات أنّ الصلاة وقعت أداءً، وهو أیضاً لازم عقلی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الواسطة فی ما نحن فیه خفیّة جدّاً، فلا یکون الأصل مثبتاً وإلّا یکون الاستصحاب مثبتاً حتّی فی مورد أدلّة الاستصحاب؛ لأنّ ما هو معتبر فی الصلاة إنّما هو تقیّد أفعالها بالوضوء، لمکان معنی الشرط، وهو من اللوازم العقلیّة لاستصحاب بقاء الوضوء کما لا یخفی، مع أنّ جواز هذا الاستصحاب مصرّح به فی نفس الصحیحة المعتبرة الدالّة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من روایات الباب روایة علی بن محمّد القاسانی المذکور سابقاً، ولا إشکال فی أنّ المستصحب فی موردها 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التدریجیّات المشابهة للزمان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تکون طبیعتها سیّالة وهی علی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 یدرک تدریجیّته بالنظر العرفی، بل تعرف بالنظر العقلی الفلسفی، وهو تدریجیّة تمام الموجودات؛ لأنّ وجودها یترشّح من المبدأ الفیّاض آناً فآناً، سواء کانت له حرکة جوهریة کما فی المادّیات، أو لم تکن کما فی المجرّدات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العرف غافلًا عنه بدواً، ولکن یدرکه عند الدقّة کالحرکة الموجودة فی السراج، فإنّه وإن کان ثابتاً ظاهراً، إلّاأنّ نوره ومادّته المشتعلة ینقضی شیئاً فشیئاً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ظاهراً ومحسوساً عند العرف کجریان الماء وسیلان الدم ونبع ماء العین وحرکة الإنسان من مبدأ المسافة إلی منتهاها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یکون عند الدقّة من الموضوعات المقطّعة، ولکن تکون لها وحدة اعتباریّة کالقراءة والتکلّم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جریان الاستصحاب فی القسم الأوّل لو کان له أثر شرعی، وهکذا القسم الثانی والثالث؛ لأنّ شرطیّة وحدة الموضوع حاصلة فی کلّ واحد منها، والدلیل علیها وجود الاتّصال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القسم الرابع فهل یجری فیه الاستصحاب؛ لأنّ الوحدة العرفیّة موجودة فیه أیضاً ولو کانت اعتباریّة، أو لا یجری؛ لأنّ وحدتها تکون بالتسامح العرفی ولا اعتبار بالمسامحات العرفیّة؟</w:t>
      </w:r>
    </w:p>
    <w:p>
      <w:pPr>
        <w:pStyle w:val="BookText"/>
        <w:rPr/>
      </w:pPr>
      <w:r>
        <w:rPr>
          <w:rFonts w:ascii="IRNazanin" w:hAnsi="IRNazanin" w:eastAsia="IRNazanin"/>
          <w:color w:val="111111"/>
          <w:sz w:val="28"/>
          <w:sz w:val="28"/>
          <w:szCs w:val="28"/>
          <w:rtl w:val="true"/>
          <w:lang w:bidi="fa-IR"/>
        </w:rPr>
        <w:t>والصحیح هو القول الأوّل؛ لأنّ الوحدة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کالقراءة والتکلّم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عند العرف من غیر مسامحة، ولیست الوحدة فیه من المسامحات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الامور الثابتة المقیّدة بالزمان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مثل الإمساک المقیّد بالنهار فی الصیام أو کالصلاة المقیّدة بإتیانها فی الوقت، فهل یجری استصحاب بقاء وجوب الصلاة مثلًا بعد انقضاء الزمان المقیّد به فعل الصلاة أو لا؟</w:t>
      </w:r>
      <w:bookmarkStart w:id="659" w:name="pg16922_187793"/>
    </w:p>
    <w:p>
      <w:pPr>
        <w:pStyle w:val="BookText"/>
        <w:rPr/>
      </w:pPr>
      <w:bookmarkEnd w:id="659"/>
      <w:r>
        <w:rPr>
          <w:rFonts w:ascii="IRNazanin" w:hAnsi="IRNazanin" w:eastAsia="IRNazanin"/>
          <w:color w:val="111111"/>
          <w:sz w:val="28"/>
          <w:sz w:val="28"/>
          <w:szCs w:val="28"/>
          <w:rtl w:val="true"/>
          <w:lang w:bidi="fa-IR"/>
        </w:rPr>
        <w:t>ذهب کثیر من الأعاظم إلی عدم جریان الاستصحاب فی هذا المقام، وذلک لتبدّل الموضوع؛ لأنّ المفروض أنّ الزمان کان مقوّماً له عرفاً، نعم إذا لم یکن الزمان مقوّماً للموضوع عند العرف کما فی مثل خیار الغبن أو خیار العیب کان الاستصحاب فیه جاریاً، فإذا شککنا فی أنّ خیار الغبن مثلًا کان فوریاً فانقضی زمانه أو لم یکن فوریاً فلم ینقض زمانه، کان استصحاب بقاء الخیار جاریاً بلا إشکال، بناءً علی جریانه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زمان خاصّ قیداً فی الواجب فلا یجری الاستصحاب بعد ذلک الزمان لتبدّل الموضوع، ولذلک یقال بأنّ القضاء یکون بأمر جدید، وإذا لم یکن الزمان قیداً فی الواجب بل کان ظرفاً له کما فی مثل الخیار فیکون الاستصحاب جاریاً، ولکن المستصحب حینئذٍ لیس زمانیاً فلیس داخلًا فی محلّ النزاع</w:t>
      </w:r>
      <w:r>
        <w:rPr>
          <w:rFonts w:eastAsia="IRNazanin" w:cs="IRNazanin"/>
          <w:color w:val="111111"/>
          <w:sz w:val="28"/>
          <w:szCs w:val="28"/>
          <w:rtl w:val="true"/>
          <w:lang w:bidi="fa-IR"/>
        </w:rPr>
        <w:t>.</w:t>
      </w:r>
    </w:p>
    <w:p>
      <w:pPr>
        <w:pStyle w:val="Heading5"/>
        <w:numPr>
          <w:ilvl w:val="4"/>
          <w:numId w:val="1"/>
        </w:numPr>
        <w:rPr/>
      </w:pPr>
      <w:bookmarkStart w:id="660" w:name="__RefHeading___Toc142075_3244359995"/>
      <w:bookmarkStart w:id="661" w:name="_Toc251"/>
      <w:bookmarkEnd w:id="660"/>
      <w:r>
        <w:rPr/>
        <w:t>9</w:t>
      </w:r>
      <w:r>
        <w:rPr>
          <w:rtl w:val="true"/>
        </w:rPr>
        <w:t xml:space="preserve">. </w:t>
      </w:r>
      <w:r>
        <w:rPr>
          <w:rtl w:val="true"/>
        </w:rPr>
        <w:t>الاستصحاب التعلیقی</w:t>
      </w:r>
      <w:bookmarkEnd w:id="661"/>
    </w:p>
    <w:p>
      <w:pPr>
        <w:pStyle w:val="Heading6"/>
        <w:numPr>
          <w:ilvl w:val="5"/>
          <w:numId w:val="1"/>
        </w:numPr>
        <w:rPr/>
      </w:pPr>
      <w:bookmarkStart w:id="662" w:name="__RefHeading___Toc142077_3244359995"/>
      <w:bookmarkStart w:id="663" w:name="_Toc252"/>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إنّ الأحکام الشرعیّة قد تصدر علی نهج القضایا التنجیزیة کأکثرها، وقد تصدر علی نهج القضایا التعلیقیة، کحکم الشارع فی العصیر العنبی بأنّه إذا غلی ینجس أو یحرم، ثمّ وقع الکلام فی أنّه إذا تبدّل العنب بالزبیب، فما هو حکم العصیر الزبیبی إذا غلی؟</w:t>
      </w:r>
    </w:p>
    <w:p>
      <w:pPr>
        <w:pStyle w:val="BookText"/>
        <w:rPr/>
      </w:pPr>
      <w:r>
        <w:rPr>
          <w:rFonts w:ascii="IRNazanin" w:hAnsi="IRNazanin" w:eastAsia="IRNazanin"/>
          <w:color w:val="111111"/>
          <w:sz w:val="28"/>
          <w:sz w:val="28"/>
          <w:szCs w:val="28"/>
          <w:rtl w:val="true"/>
          <w:lang w:bidi="fa-IR"/>
        </w:rPr>
        <w:t>وممّا استدلّ به علی الحرمة أو النجاسة هنا هو الاستصحاب التعلیقی واستدلّ القائلون بحجّیته بأنّ أرکانه تامّة، من الیقین السابق والشکّ اللاحق وبقاء الموضوع عرفاً، فإنّ الزبیبیة من الحالات عرفاً لا من المقوّمات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علیه القائلون بعدم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الزبیب غیر عنوان العنب عرفاً فقد تبدّل الموضوع وتغیّر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مناقشة فی المثال، مضافاً إلی أنّ الصحیح کون</w:t>
      </w:r>
    </w:p>
    <w:p>
      <w:pPr>
        <w:pStyle w:val="BookText"/>
        <w:rPr/>
      </w:pPr>
      <w:r>
        <w:rPr>
          <w:rFonts w:ascii="IRNazanin" w:hAnsi="IRNazanin" w:eastAsia="IRNazanin"/>
          <w:color w:val="111111"/>
          <w:sz w:val="28"/>
          <w:sz w:val="28"/>
          <w:szCs w:val="28"/>
          <w:rtl w:val="true"/>
          <w:lang w:bidi="fa-IR"/>
        </w:rPr>
        <w:t>الزبیبیة والعنبیة من الحالات، کما یحکم به الوجدان العرفی فی نظائره من سائر الفواکه إذا جفّت، بل فی سائر الأغذیة بعد الجفاف، کالخبز إذا جفّ، فهو نفس الخبز قبل الجفاف فإنّ الجفاف وعدمه لیس من مقوّمات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التعلیقی معارض دائماً مع استصحاب آخر تنجیزی، وهو استصحاب الطهارة أو الحلّیة الثابتة قبل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محکوم للاستصحاب التعلیقی لأنّ الشکّ فی الطهارة أو الحلّیة التنجیزیة مسبّب عن الشکّ فی بقاء الحرمة أو النجاسة المعلّقة علی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الحلّیة أو الطهارة کانت مغیّاة بعدم الغلیان فی حال کونه عنباً فنستصحبها فی حال کونه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وهو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یشترط فی حجّیة الاستصحاب ثبوت المستصحب خارجاً فی زمان من الأزمنة قطعاً ثمّ حصول الشکّ فی ارتفاعه بسبب من الأسباب، ولا یکفی مجرّد قابلیة المستصحب للثبوت بتقدیر من التقادیر، فإنّ التقدیر أمر ذهنی خیالی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الجواب عنه بما مرّ فی الواجب المشروط ممّا ینحلّ به إشکال التعلیق فی الإنشاء،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تنجیزی کقولک لزید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منها تعلیقی، وهو ما یصدر بعد فرض شی‌ء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فالقضیّة الشرطیّة عبارة عن إنشاء حکم بعد فرض خاصّ، وهو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 عند مراجعة الوجدان،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اخری عن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إکرام زید علی فرض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فالقید وهو مجی‌ء زید راجع إلی مفاد الهیئة وهو وجوب الإکرام، لا مفاد المادّة وهو نفس الإکرام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قد یری أنّ زیداً قد قدم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یاغلام وأکرمه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یعلم أنّ زیداً لم یجئ بعد، ولکن یتصوّر ویفرض قدومه فیُظهر شوقه إلی</w:t>
      </w:r>
      <w:bookmarkStart w:id="664" w:name="pg16922_187795"/>
    </w:p>
    <w:p>
      <w:pPr>
        <w:pStyle w:val="BookText"/>
        <w:rPr/>
      </w:pPr>
      <w:bookmarkEnd w:id="664"/>
      <w:r>
        <w:rPr>
          <w:rFonts w:ascii="IRNazanin" w:hAnsi="IRNazanin" w:eastAsia="IRNazanin"/>
          <w:color w:val="111111"/>
          <w:sz w:val="28"/>
          <w:sz w:val="28"/>
          <w:szCs w:val="28"/>
          <w:rtl w:val="true"/>
          <w:lang w:bidi="fa-IR"/>
        </w:rPr>
        <w:t xml:space="preserve">إکرامه حینئذٍ، فینشئ وجوب الإکرام فی هذا الفرض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هناک تعلیق فی إنشائه، کما أنّه لیس هناک إنشاء فعلی، بل هو إنشاء علی فرض، فلذا لا أثر له إلّابعد تحقّق ذاک الفرض، فإنّ هذا هو المعنی المعقول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للحکم التعلیقی؛ أی الحکم علی فرض، حظّ من الوجود فیمکن أن یستصحب</w:t>
      </w:r>
      <w:r>
        <w:rPr>
          <w:rFonts w:eastAsia="IRNazanin" w:cs="IRNazanin"/>
          <w:color w:val="111111"/>
          <w:sz w:val="28"/>
          <w:szCs w:val="28"/>
          <w:rtl w:val="true"/>
          <w:lang w:bidi="fa-IR"/>
        </w:rPr>
        <w:t>.</w:t>
      </w:r>
    </w:p>
    <w:p>
      <w:pPr>
        <w:pStyle w:val="Heading6"/>
        <w:numPr>
          <w:ilvl w:val="5"/>
          <w:numId w:val="1"/>
        </w:numPr>
        <w:rPr/>
      </w:pPr>
      <w:bookmarkStart w:id="665" w:name="__RefHeading___Toc142079_3244359995"/>
      <w:bookmarkStart w:id="666" w:name="_Toc253"/>
      <w:bookmarkEnd w:id="665"/>
      <w:r>
        <w:rPr>
          <w:rtl w:val="true"/>
        </w:rPr>
        <w:t>بقی أمران</w:t>
      </w:r>
      <w:r>
        <w:rPr>
          <w:rtl w:val="true"/>
        </w:rPr>
        <w:t>:</w:t>
      </w:r>
      <w:bookmarkEnd w:id="6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الاستصحاب التعلیقی یتوقّف أوّلًا علی جریان الاستصحاب فی الشبهات الحکمیّة، وثانیاً علی کون التعلیق فی لسان الشرع، لا بنظر العقل؛ لأنّه إذا کان التعلیق شرعیاً کان هناک حکم صادر من ناحیة الشرع، غایة الأمر أنّه حکم علی فرض، فصدر علی أیّ حال إنشاء وحکم من ناحیة الشارع، فیمکن استصحابه، وأمّا إذا کان التعلیق عقلیاً بإرجاع قیود الموضوع إلی شرط الحکم، فلیس لنا حکم صادر من جانب الشارع حتّی یستصحب، فإنّ التعلیق العقلی إنّما هو فی الواقع انتزاع من ناحیة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الاستصحاب التعلیقی فی الأحکام فهل یجری فی الموضوعات أیضاً أو لا؟</w:t>
      </w:r>
    </w:p>
    <w:p>
      <w:pPr>
        <w:pStyle w:val="BookText"/>
        <w:rPr/>
      </w:pPr>
      <w:r>
        <w:rPr>
          <w:rFonts w:ascii="IRNazanin" w:hAnsi="IRNazanin" w:eastAsia="IRNazanin"/>
          <w:color w:val="111111"/>
          <w:sz w:val="28"/>
          <w:sz w:val="28"/>
          <w:szCs w:val="28"/>
          <w:rtl w:val="true"/>
          <w:lang w:bidi="fa-IR"/>
        </w:rPr>
        <w:t>قد یستفاد من بعض کلمات الأصحاب جریانه فی الموضوعات أیضاً، کما استدلّ به فی مسألة اللباس المشکوک لصحّة الصلاة بأنّ المصلّی قبل لبسه اللباس المشکوک لو کان یصلّی کانت صلاته صحیحة، وبعد لبسه إیّاه یستصحب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فی هذا الحال فصلاته صحیحة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الموضوع بعد لبسه إیّاه، کما هو واضح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فیه لیس فی لسان الشرع، بل إنّه إنّما هو بتحلیل عقلی، وانتزاع ذهنی</w:t>
      </w:r>
      <w:r>
        <w:rPr>
          <w:rFonts w:eastAsia="IRNazanin" w:cs="IRNazanin"/>
          <w:color w:val="111111"/>
          <w:sz w:val="28"/>
          <w:szCs w:val="28"/>
          <w:rtl w:val="true"/>
          <w:lang w:bidi="fa-IR"/>
        </w:rPr>
        <w:t>.</w:t>
      </w:r>
      <w:bookmarkStart w:id="667" w:name="pg16922_187796"/>
    </w:p>
    <w:p>
      <w:pPr>
        <w:pStyle w:val="Heading5"/>
        <w:numPr>
          <w:ilvl w:val="4"/>
          <w:numId w:val="1"/>
        </w:numPr>
        <w:rPr/>
      </w:pPr>
      <w:bookmarkStart w:id="668" w:name="__RefHeading___Toc142081_3244359995"/>
      <w:bookmarkStart w:id="669" w:name="_Toc254"/>
      <w:bookmarkEnd w:id="667"/>
      <w:bookmarkEnd w:id="668"/>
      <w:r>
        <w:rPr/>
        <w:t>10</w:t>
      </w:r>
      <w:r>
        <w:rPr>
          <w:rtl w:val="true"/>
        </w:rPr>
        <w:t xml:space="preserve">. </w:t>
      </w:r>
      <w:r>
        <w:rPr>
          <w:rtl w:val="true"/>
        </w:rPr>
        <w:t>استصحاب أحکام الشرائع السابقة</w:t>
      </w:r>
      <w:bookmarkEnd w:id="669"/>
    </w:p>
    <w:p>
      <w:pPr>
        <w:pStyle w:val="Heading6"/>
        <w:numPr>
          <w:ilvl w:val="5"/>
          <w:numId w:val="1"/>
        </w:numPr>
        <w:rPr/>
      </w:pPr>
      <w:bookmarkStart w:id="670" w:name="__RefHeading___Toc142083_3244359995"/>
      <w:bookmarkStart w:id="671" w:name="_Toc255"/>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هل یجوز کون المستصحب حکماً من أحکام الشرائع السابقة کحجّیة القرعة الثابت وجودها فی الشرائع السابقة کما وردت فی قصّة زکریا وقصّة یونس فی کتاب اللَّه العزیز</w:t>
      </w:r>
      <w:r>
        <w:rPr>
          <w:rStyle w:val="FootnoteAnchor"/>
          <w:rtl w:val="true"/>
        </w:rPr>
        <w:footnoteReference w:id="343"/>
      </w:r>
      <w:r>
        <w:rPr>
          <w:rFonts w:ascii="IRNazanin" w:hAnsi="IRNazanin" w:eastAsia="IRNazanin"/>
          <w:color w:val="111111"/>
          <w:sz w:val="28"/>
          <w:sz w:val="28"/>
          <w:szCs w:val="28"/>
          <w:rtl w:val="true"/>
          <w:lang w:bidi="fa-IR"/>
        </w:rPr>
        <w:t>، أو یعتبر فی المستصحب أن یکون حکماً ثابتاً فی هذه الشریعة؟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أرکان الاستصحاب فیها مختلّة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عدم الیقین بثبوتها فی حقّ أتباع هذه الشریعة وإن علم بثبوتها فی حقّ آخرین، فإنّ الحکم الثابت فی حقّ جماعة لا یمکن إثباته فی حقّ جماعة اخری لتغایر الموضوع، ولذا یتمسّک فی تسریة الأحکام الثابتة للحاضرین أو الموجودین إلی الغائبین أو المعدومین بالإجماع والأخبار الدالّة علی اشتراک جمیع الامّة فی الحکم، 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الثابت فی الشریعة السابقة لم یکن ثابتاً لخصوص الأفراد الموجودین فی الخارج بنحو القضیّة الخارجیّة، بل الحکم کان ثابتاً لعامّة المکلّفین بنحو القضیّة الحقیقیة، فإذا شکّ فی بقائه لهم لاحتمال نسخه فی هذه الشریعة استصحب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الشکّ اللاحق، فإنّا نتیقّن بارتفاعها بنسخ الشریعة السابقة، فلا شکّ فی بقائها حینئذٍ حتّی یکون من قبیل نقض الیقین بالشکّ فیستصحب، بل إنّه من قبیل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نسخ الشریعة السابقة لیس بمعنی نسخ جمیع أحکامها، فإنّ کثیراً من أحکام الشرائع السابقة باقیة فی هذه الشریعة أیضاً، کحرمة الزنا والغیبة وغیرهما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النسخ نسخ کلّ حکم إلهی من أحکام الشریعة السابقة فهو ممنوع، وإن ارید نسخ البعض فالمتیقّن من المنسوخ ما علم بالدلیل،</w:t>
      </w:r>
      <w:bookmarkStart w:id="672" w:name="pg16922_187797"/>
    </w:p>
    <w:p>
      <w:pPr>
        <w:pStyle w:val="BookText"/>
        <w:rPr/>
      </w:pPr>
      <w:bookmarkEnd w:id="672"/>
      <w:r>
        <w:rPr>
          <w:rFonts w:ascii="IRNazanin" w:hAnsi="IRNazanin" w:eastAsia="IRNazanin"/>
          <w:color w:val="111111"/>
          <w:sz w:val="28"/>
          <w:sz w:val="28"/>
          <w:szCs w:val="28"/>
          <w:rtl w:val="true"/>
          <w:lang w:bidi="fa-IR"/>
        </w:rPr>
        <w:t>فیبقی غیره علی ما کان علیه ولو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المسألة یستدعی تحلیل ماهیة نسخ الشریعة</w:t>
      </w:r>
      <w:r>
        <w:rPr>
          <w:rFonts w:eastAsia="IRNazanin" w:cs="IRNazanin"/>
          <w:color w:val="111111"/>
          <w:sz w:val="28"/>
          <w:szCs w:val="28"/>
          <w:rtl w:val="true"/>
          <w:lang w:bidi="fa-IR"/>
        </w:rPr>
        <w:t>:</w:t>
      </w:r>
    </w:p>
    <w:p>
      <w:pPr>
        <w:pStyle w:val="Heading6"/>
        <w:numPr>
          <w:ilvl w:val="5"/>
          <w:numId w:val="1"/>
        </w:numPr>
        <w:rPr/>
      </w:pPr>
      <w:bookmarkStart w:id="673" w:name="__RefHeading___Toc142085_3244359995"/>
      <w:bookmarkStart w:id="674" w:name="_Toc256"/>
      <w:bookmarkEnd w:id="673"/>
      <w:r>
        <w:rPr>
          <w:rtl w:val="true"/>
        </w:rPr>
        <w:t>کلمة حول حقیقة نسخ الشرائع</w:t>
      </w:r>
      <w:bookmarkEnd w:id="674"/>
    </w:p>
    <w:p>
      <w:pPr>
        <w:pStyle w:val="BookText"/>
        <w:rPr/>
      </w:pPr>
      <w:r>
        <w:rPr>
          <w:rFonts w:ascii="IRNazanin" w:hAnsi="IRNazanin" w:eastAsia="IRNazanin"/>
          <w:color w:val="111111"/>
          <w:sz w:val="28"/>
          <w:sz w:val="28"/>
          <w:szCs w:val="28"/>
          <w:rtl w:val="true"/>
          <w:lang w:bidi="fa-IR"/>
        </w:rPr>
        <w:t>لا إشکال فی أنّ نسخ الشریعة لیس بمعنی نسخ الاصول الاعتقادیّة فیها، کما لا إشکال فی أنّه لیس عبارة عن تغییر جمیع الأحکام بل یراد منه أحد المعنیین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بعض الأحکام الفرعیّة وجزئیات الفروع ککیفیّة الزکاة والصلاة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إتمام أمد رسالة النبی السابق وانقضاء عمرها، ولازمه تشریع جمیع الأحکام من جدید، وحینئذٍ لیس هو من قبیل تغییر الدولة فی حکومة خاصّة وتبدیلها إلی دولة اخری، بل هو فی الواقع من قبیل تبدیل أصل الحکومة إلی حکومة جدیدة ونظام آخر بحیث لابدّ فیه من تقنین قانون أساسی جدید، ولازمه تدوین جمیع القوانین العملیّة والأحکام الفرعیة من جدید، وإن اشترکت الشریعتان فی کثیر من أحکامهما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والصحیح هو المعنی الثانی، فإنّ هذا هو حقیقة نسخ الشرائع وظهور شریعة اخری جدیدة، ویشهد علی هذا المعنی تکرار تشریع بعض الأحکام فی الإسلام مع وجوده فی الشریعة السابقة، کحرمة شرب الخمر وحرمة الزنا ووجوب الصیام والصلاة وکثیر من المحرّمات والواجبات، کما یدلّ علیه بالصراحة التعبیر بالکتابة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فالاشتراک فی هذه الأحکام لا ینافی تشریعها من جدید فی هذه الشریعة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الإباحة بالنسبة إلی الشبهات الوجوبیّة عند الأخباری والاصولی معاً، وفی الشبهات التحریمیّة عند الاصولی فقط، فإنّه أیضاً شاهد علی نسخ جمیع الأحکام السابقة ورجوع الأشیاء إلی الإباحة، وعدم وجود</w:t>
      </w:r>
      <w:bookmarkStart w:id="675" w:name="pg16922_187798"/>
    </w:p>
    <w:p>
      <w:pPr>
        <w:pStyle w:val="BookText"/>
        <w:rPr/>
      </w:pPr>
      <w:bookmarkEnd w:id="675"/>
      <w:r>
        <w:rPr>
          <w:rFonts w:ascii="IRNazanin" w:hAnsi="IRNazanin" w:eastAsia="IRNazanin"/>
          <w:color w:val="111111"/>
          <w:sz w:val="28"/>
          <w:sz w:val="28"/>
          <w:szCs w:val="28"/>
          <w:rtl w:val="true"/>
          <w:lang w:bidi="fa-IR"/>
        </w:rPr>
        <w:t>حکم إلزامی إلّابعد ثبوت تدوینه وکتابته ثانیاً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یستنتج من هذا المعنی للنسخ هو عدم جواز استصحاب الشرائع السابقة فإنّه فرع احتمال بقاء بعض أحکام الشریعة السابقة، مع أنّک قد عرفت بأنّا نعلم بنسخ جمیع أحکامها وتشریع أحکام جدیدة، وافقها أو خالفها</w:t>
      </w:r>
      <w:r>
        <w:rPr>
          <w:rFonts w:eastAsia="IRNazanin" w:cs="IRNazanin"/>
          <w:color w:val="111111"/>
          <w:sz w:val="28"/>
          <w:szCs w:val="28"/>
          <w:rtl w:val="true"/>
          <w:lang w:bidi="fa-IR"/>
        </w:rPr>
        <w:t>.</w:t>
      </w:r>
    </w:p>
    <w:p>
      <w:pPr>
        <w:pStyle w:val="Heading5"/>
        <w:numPr>
          <w:ilvl w:val="4"/>
          <w:numId w:val="1"/>
        </w:numPr>
        <w:rPr/>
      </w:pPr>
      <w:bookmarkStart w:id="676" w:name="__RefHeading___Toc142087_3244359995"/>
      <w:bookmarkStart w:id="677" w:name="_Toc257"/>
      <w:bookmarkEnd w:id="676"/>
      <w:r>
        <w:rPr/>
        <w:t>11</w:t>
      </w:r>
      <w:r>
        <w:rPr>
          <w:rtl w:val="true"/>
        </w:rPr>
        <w:t xml:space="preserve">. </w:t>
      </w:r>
      <w:r>
        <w:rPr>
          <w:rtl w:val="true"/>
        </w:rPr>
        <w:t>الاصول المثبتة وعدم حجّیتها</w:t>
      </w:r>
      <w:bookmarkEnd w:id="677"/>
    </w:p>
    <w:p>
      <w:pPr>
        <w:pStyle w:val="Heading6"/>
        <w:numPr>
          <w:ilvl w:val="5"/>
          <w:numId w:val="1"/>
        </w:numPr>
        <w:rPr/>
      </w:pPr>
      <w:bookmarkStart w:id="678" w:name="__RefHeading___Toc142089_3244359995"/>
      <w:bookmarkStart w:id="679" w:name="_Toc258"/>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وتحقیق حالها یتمّ فی مقامات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الأصل المثبت</w:t>
      </w:r>
    </w:p>
    <w:p>
      <w:pPr>
        <w:pStyle w:val="BookText"/>
        <w:rPr/>
      </w:pPr>
      <w:r>
        <w:rPr>
          <w:rFonts w:ascii="IRNazanin" w:hAnsi="IRNazanin" w:eastAsia="IRNazanin"/>
          <w:color w:val="111111"/>
          <w:sz w:val="28"/>
          <w:sz w:val="28"/>
          <w:szCs w:val="28"/>
          <w:rtl w:val="true"/>
          <w:lang w:bidi="fa-IR"/>
        </w:rPr>
        <w:t>إذا کان المستصحب حکماً شرعیاً فلا کلام فی جواز استصحابه وترتیب آثاره، وأمّا إذا کان المستصحب موضوعاً من الموضوعات کحیاة زید، فلا إشکال أیضاً فی جواز استصحابه وترتیب أثره الشرعی من دون الواسطة کبقاء زوجیّة زوجته وملکیّة أمواله، الذی یترتّب علی حیاة زید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آثاره الشرعیّة مع الواسطة العقلیّة مثل أنّ له خمسین سنة، إذا ترتّب علیه أثر شرعی بنذر وشبهه، أو الواسطة العادیة کبیاض لحیته إذا صار أیضاً متعلّقاً للنذر مثلًا، فلا تترتّب علیه، ویسمّی الاستصحاب حینئذٍ بالأصل المثبت، فالمقصود من الأصل المثبت ترتیب الآثار الشرعیّة للمستصحب مع الواسطة العقلیّة أو العادیة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إنّ عدم ترتّب اللازم العادی أو العقلی والأثر الشرعی المترتّب علیهما إنّما هو فی اللازم العادی أو العقلی للمستصحب واقعاً لا اللازم المطلق له ولو فی الظاهر؛ أی سواء کان لوجوده الواقعی أو الظاهری، فلیس الاستصحاب مثبتاً بالنسبة إلیه، نظیر ترتّب الإجزاء علی الطهارة الاستصحابیة، حیث إنّ شرط الصلاة هو الأعمّ من الطهارة الواقعیّة والظاهریّة فیترتّب علیها الإجزاء وإن کان من آثارها العقلیّة، ونظیر ترتّب عدم العقاب علی استصحاب عدم التکلیف، وهذا من</w:t>
      </w:r>
    </w:p>
    <w:p>
      <w:pPr>
        <w:pStyle w:val="BookText"/>
        <w:rPr/>
      </w:pPr>
      <w:r>
        <w:rPr>
          <w:rFonts w:ascii="IRNazanin" w:hAnsi="IRNazanin" w:eastAsia="IRNazanin"/>
          <w:color w:val="111111"/>
          <w:sz w:val="28"/>
          <w:sz w:val="28"/>
          <w:szCs w:val="28"/>
          <w:rtl w:val="true"/>
          <w:lang w:bidi="fa-IR"/>
        </w:rPr>
        <w:t>القضایا الّتی قیاساتها معها، فإنّ الأثر العقلی إذا کان أثراً للحکم الظاهری والواقعی معاً، والمفروض ثبوت موضوعه وهو الحکم الظاهری هنا، فیترتّب علیه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حجّیة الأصل المثبت</w:t>
      </w:r>
    </w:p>
    <w:p>
      <w:pPr>
        <w:pStyle w:val="BookText"/>
        <w:rPr/>
      </w:pPr>
      <w:r>
        <w:rPr>
          <w:rFonts w:ascii="IRNazanin" w:hAnsi="IRNazanin" w:eastAsia="IRNazanin"/>
          <w:color w:val="111111"/>
          <w:sz w:val="28"/>
          <w:sz w:val="28"/>
          <w:szCs w:val="28"/>
          <w:rtl w:val="true"/>
          <w:lang w:bidi="fa-IR"/>
        </w:rPr>
        <w:t>لابدّ أوّلًا من إشارة إجمالیّة إلی معنی الحجّیة هنا، فإنّ حجّیة الأصل مثل الاستصحاب معناها جعل الحکم المماثل؛ أی جعل حکم ظاهری مماثل لنفس المستصحب إذا کان المستصحب هو الحکم، أو جعل حکم ظاهری مماثل لحکم المستصحب إذا کان المستصحب هو الموضوع، ولا یخفی أنّ من فسّر الحجّیة بالجری العملی أو التطبیق فی مقام العمل أو الالتزام بالحکم السابق یعود کلامه إلی جعل الحکم المماثل أیضاً؛ لأنّه لا نعرف من وجوب الجری العملی أو تطبیق العمل علی مؤدّی الأصل إلّاجعل حکم ظاهری مماثل لمؤدّاه، وهکذا الالتزام بالحکم السابق، فإنّ المراد من الالتزام هنا هو الالتزام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الحجّیة بمعنی جعل المنجّزیة والمعذّریة فلا یصحّ؛ لأنّ المنجّزیة والمعذّریة من حکم العقل، ولا تنالها ید الجعل، وهکذا الحجّیة بمعنی جعل صفة الیقین أو صفة المحرزیّة فإنّه غیر معقول أیضاً؛ لأنّ صفة الیقین من الامور التکوینیّة الّتی لا تتعلّق بها الجعل والإنشاء، ولا یمکن أن یصیر الشاکّ قاطعاً بالإنشاء، وهکذا صفة المحرزیة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فلنعد إلی وجه عدم حجّیة الأصل المثبت، وقد ذکر له وجوه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الأعظم رحمه الله من أنّ تنزیل الشارع المشکوک منزلة المتیقّن کسائر التنزیلات إنّما یفید ترتیب الأحکام والآثار الشرعیّة المحمولة علی المتیقّن السابق، فلا دلالة فیها علی جعل غیرها من الآثار العقلیّة والعادیة، لعدم قابلیتها للجعل، ولا علی جعل الآثار الشرعیّة المترتّبة علی تلک الآثار، لأنّها لیست آثاراً</w:t>
      </w:r>
    </w:p>
    <w:p>
      <w:pPr>
        <w:pStyle w:val="BookText"/>
        <w:rPr/>
      </w:pPr>
      <w:r>
        <w:rPr>
          <w:rFonts w:ascii="IRNazanin" w:hAnsi="IRNazanin" w:eastAsia="IRNazanin"/>
          <w:color w:val="111111"/>
          <w:sz w:val="28"/>
          <w:sz w:val="28"/>
          <w:szCs w:val="28"/>
          <w:rtl w:val="true"/>
          <w:lang w:bidi="fa-IR"/>
        </w:rPr>
        <w:t xml:space="preserve">لنفس المتیقّن، ولم یقع ذووها مورداً لتنزیل الشارع حتّی تترتّب هی علیه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کلامه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مع الواسطة لا یجری فیها الاستصحاب لعدم وجود أرکانه فیها، لأنّ الیقین السابق کان فی خصوص حیاة زید مثلًا، لا ما یشمل لوازمه العقلیّة والعادیة فی 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الخراسانی من أنّ مفاد الأخبار لیس أکثر من التعبّد بالمستصحب وحده بلحاظ ما لنفسه من الآثار الشرعیّة، ولا دلالة لها بوجه علی تنزیل المستصحب بلوازمه العقلیّة والعادیة حتّی تترتّب علیه آثارها أیضاً، فإنّ المتیقّن إنّما هو لحاظ آثار نفسه، وأمّا آثار لوازمه فلا دلالة هناک علی لحاظها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نظره إلی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المقام لأنّ من شرائط الأخذ بالإطلاق عدم وجود القدر المتیقّن وهو مفقود فی ما نحن فیه، لوجود القدر المتیقّن وهو الآثار الشرعیّة من دون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 ما قرّر فی محلّه من منع ما تبنّاه فی مقدّمات الحکمة من لزوم عدم وجود القدر المتیقّن، فإنّ لازمه سقوط أغلب المطلقات عن الإطلاق؛ لأنّ القدر المتیقّن فیها موجود، ولا أقلّ من أنّ القدر المتیقّن هو مورد سؤال الراوی، مع أنّ سیرة الفقهاء ودیدنهم علی أخذ الإطلاق فیها وأنّ المورد لیس بمخصّص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الحائری قدس سره من عدم شمول إطلاقات الأخبار لما نحن فیه، لانصرافها إلی الآثار الشرعیّة بلا واسطة؛ لأنّ الإبقاء العملی للشی‌ء ینصرف إلی إتیان ما یقتضیه ذلک الشی‌ء بلا واسطة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أفاده هو الصحیح، فإنّ الإطلاقات منصرفة إلی الآثار الشرعیّة بلا واسطة، وإلیک بأمثلة یکون الوجدان أقوی شاهد علی انصراف الأدلّة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فی الحوض کرّ من الماء، ثمّ وجدناه فارغاً من الماء وقد سقط فیه ثوب فی البارحة وکان نجساً وکان ینغسل لو کان الماء باقیاً، فإنّه لا إشکال فی أنّ استصحاب بقاء الماء حین سقوط الثوب لا یثبت الانغسال الذی یکون من الآثار العقلیّة لبقاء الماء، حتّی یترتّب علیه أثره الشرعی وهو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زید جالساً فی حجرته وشککنا فی خروجه منها وعدمه، فإذا فرض أنّ رجلًا أحرق الحجرة فلا یثبت احتراق زید باستصحاب بقائه إلی حین الاحتراق حتّی یترتّب علیه أثر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إناء مملوّاً من اللبن وشکّ فی انتقاله منه إلی إناء آخر، ثمّ علمنا بأنّه کسره إنسان فی ظلمة اللیل بحیث لو کان اللبن باقیاً فقد أتلفه، فلا یثبت إتلاف اللبن باستصحاب بقاء اللبن فی الإناء حین الانکسار حتّی یترتّب علیه أثره الشرعی وهو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استثنی من الأصل المثبت</w:t>
      </w:r>
    </w:p>
    <w:p>
      <w:pPr>
        <w:pStyle w:val="BookText"/>
        <w:rPr/>
      </w:pPr>
      <w:r>
        <w:rPr>
          <w:rFonts w:ascii="IRNazanin" w:hAnsi="IRNazanin" w:eastAsia="IRNazanin"/>
          <w:color w:val="111111"/>
          <w:sz w:val="28"/>
          <w:sz w:val="28"/>
          <w:szCs w:val="28"/>
          <w:rtl w:val="true"/>
          <w:lang w:bidi="fa-IR"/>
        </w:rPr>
        <w:t>قد استثنی من عدم حجّیة الأصل المثبت وانصراف الأدلّة عنه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خفیّة، کما إذا استصحب رطوبة النجس من المتلاقیین مع جفاف الآخر فیحکم بنجاسة الملاقی الجافّ، مع أنّ تنجّسه لیس من أحکام ملاقاته للنجس رطباً، بل من أحکام سرایة رطوبة النجاسة إلیه وتأثّره بها، والسرایة من الآثار العقلیّة للملاقاة بالنجس رطباً، ولکنّها لا اعتبار بها لخفائها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وأظهر منه ما ورد فی نفس روایات الاستصحاب من استصحاب الطهارة للصلاة، مع أنّ صحّة الصلاة أثر لتقیّدها بالوضوء لا أنّها أثر لبقاء الوضوء، والتقیّد بالوضوء من الآثار العقلیّة لبقاء الوضوء، وهکذا فی سائر الشرائط، لأنّ المعتبر فیها إنّما هو التقیّد، وأمّا القید فهو خارج، ولکن الإمام علیه السلام حکم بحجّیة الاستصحاب، ولیس ذلک إلّالمکان خفاء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استصحاب بقاء شهر رمضان وترتیب أثر صحّة الصیام علیه، مع أنّ الصحّة من آثار وقوع الصیام فی رمضان، ولکنّه لا بأس به أیضاً لخفاء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جلیّة جدّاً بحیث یری العرف ملازمة بین تنزیل المستصحب وتنزیلها، فإذا نزّل المستصحب منزلة المتیّقّن السابق نزّلت الواسطة تبعاً کذلک، فیجب ترتیب أثرها الشرعی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شدّة وضوح الواسطة توجب عدّ أثر الواسطة أثراً لذی الواسطة، نظیر أصالة عدم دخول هلال شوّال أو بقاء شهر رمضان فی یوم الشکّ المثبت لکون الغد یوم العید فیترتّب علیه أحکام العید من الصلاة والغسل وزکاة الفطرة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اتصاف الغد بصفة العید بعد استصحاب بقاء رمضان فی یوم الشکّ من اللوازم العقلیّة قطعاً، لکنّ العرف لا یفهمون من وجوب ترتیب آثار عدم انقضاء رمضان وعدم دخول شوّال إلّاترتیب أحکام الیوم الآخر علیه وکون غده من شوّال، لأجل وضوح لزوم أحدهما للآخر وعدم انفکاکهما فی جعل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والمستصحب من قبیل المتضایفین کاستصحاب بقاء زید زوجاً للمرأة الفلانیة، الذی یلازم بقاءها علی زوجیّته، ولا یفهم العرف من جعل أحدهما إلّاجعل الآخر، ولا یصحّ عندهم ترتیب آثار الزوجیّة علی خصوص الزوج دون زوجته، بل یرون هذا من قبیل التناقض فی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عدم الحاجة إلی إثبات بقاء أحد المتضایفین باستصحاب الآخر، بل یجری الاستصحاب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مثبتات الأمارات</w:t>
      </w:r>
    </w:p>
    <w:p>
      <w:pPr>
        <w:pStyle w:val="BookText"/>
        <w:rPr/>
      </w:pPr>
      <w:r>
        <w:rPr>
          <w:rFonts w:ascii="IRNazanin" w:hAnsi="IRNazanin" w:eastAsia="IRNazanin"/>
          <w:color w:val="111111"/>
          <w:sz w:val="28"/>
          <w:sz w:val="28"/>
          <w:szCs w:val="28"/>
          <w:rtl w:val="true"/>
          <w:lang w:bidi="fa-IR"/>
        </w:rPr>
        <w:t>المشهور بین المتأخّرین حجّیة مثبتات الأمارات مطلقاً، فیثبت بالأمارة مؤدّیها وملزومها ولوازمها وملازماتها ولو بألف واسطة، وهذا بخلاف مثبتات الاصول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رحمه الله من أنّ الأمارة کما تحکی عن المؤدّی، کذلک تحکی عن أطرافها من ملزومها ولوازمها وملازماتها؛ لأنّ مقتضی إطلاق دلیل اعتبارها لزوم تصدیقها فی حکایتها عن جمیع ذلک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تنحلّ إلی حکایات متعدّدة مطابقیّة والتزامیّة، فهی کما تحکی عن المؤدّی بالمطابقة فکذلک تحکی عن أطرافه بالالتزام، فتخرج فی الواقع عن کونها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یناقش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کان صادقاً فی مثل خبر الواحد والإقرار والبیّنة؛ لأنّ لها الحکایة، والحکایة عن الشی‌ء حکایة عن لوازمه، ولکنّه لا یصدق فی مثل أصالة الید، حیث إنّها لا تحکی ولا تخبر عن شی‌ء، ولیس لها لسان حتّی تنحلّ إلی حکایات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فی مثل خبر الواحد أیضاً فی الجملة لا بالجملة؛ لأنّ انحلاله إلی إخبارات عدیدة مبنیّ علی التفات المخبر باللوازم والملازمات، وأمّا اللوازم الّتی لیس المخبر عالماً بها ولا متوجّهاً إلیها فلا یصحّ أن یکون الإخبار عن الملزوم إخباراً عن تلک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الأمارة تکون من باب أنّها توجب حصول الظنّ منها نوعاً، والظنّ بشی‌ء ظنّ بلوازمه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المبنی مخدوش؛ لأنّ مناط الحجّیة لیس هو حصول الظنّ النوعی، وإلّا یلزم حجّیة الظنّ مطلقاً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رحمه الله من أنّ الأمارة إنّما تکون محرزة للمؤدّی وکاشفة عنه کشفاً ناقصاً، والشارع بأدلّة اعتبارها قد أکمل جهة نقصها، فصارت الأمارة ببرکة اعتبارها کاشفة ومحرزة کالعلم، وبعد انکشاف المؤدّی یترتّب علیه جمیع ما للمؤدّی من الخواصّ والآثار علی قواعد سلسلة العلل</w:t>
      </w:r>
      <w:bookmarkStart w:id="680" w:name="pg16922_187804"/>
    </w:p>
    <w:p>
      <w:pPr>
        <w:pStyle w:val="BookText"/>
        <w:rPr/>
      </w:pPr>
      <w:bookmarkEnd w:id="680"/>
      <w:r>
        <w:rPr>
          <w:rFonts w:ascii="IRNazanin" w:hAnsi="IRNazanin" w:eastAsia="IRNazanin"/>
          <w:color w:val="111111"/>
          <w:sz w:val="28"/>
          <w:sz w:val="28"/>
          <w:szCs w:val="28"/>
          <w:rtl w:val="true"/>
          <w:lang w:bidi="fa-IR"/>
        </w:rPr>
        <w:t xml:space="preserve">والمعلولات واللوازم والملزومات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هذا أیضاً من آثار مبناه المعروف من أنّ معنی الحجّیة جعل صفة المحرزیّة والکاشفیّة والیقین، فکأنّ الشارع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لمفهوم الحجّة قسمین من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تکوینی، وقسم اعتباری یحتاج إلی جعل واعتبار ممّن بیده الاعتبار، فبعد جعل الحجّیة یصیر مصداقاً واقعیاً للعلم فیترتّب علیها لوازمها وملازماتها کالعلم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أنّ صفة الیقین أمر تکوینی لا یمکن جعلها فی عالم الاعتبار، وما أفاده قدس سره بعید جدّاً عن مضامین أدلّة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مثبتات الأمارات حجّة بمقدار ما یحکی عن لوازمها وآثارها عرفاً، لا ما یلازمه ولو بألف واسطة کما سیأتی</w:t>
      </w:r>
      <w:r>
        <w:rPr>
          <w:rFonts w:eastAsia="IRNazanin" w:cs="IRNazanin"/>
          <w:color w:val="111111"/>
          <w:sz w:val="28"/>
          <w:szCs w:val="28"/>
          <w:rtl w:val="true"/>
          <w:lang w:bidi="fa-IR"/>
        </w:rPr>
        <w:t>.</w:t>
      </w:r>
    </w:p>
    <w:p>
      <w:pPr>
        <w:pStyle w:val="Heading6"/>
        <w:numPr>
          <w:ilvl w:val="5"/>
          <w:numId w:val="1"/>
        </w:numPr>
        <w:rPr/>
      </w:pPr>
      <w:bookmarkStart w:id="681" w:name="__RefHeading___Toc142091_3244359995"/>
      <w:bookmarkStart w:id="682" w:name="_Toc259"/>
      <w:bookmarkEnd w:id="681"/>
      <w:r>
        <w:rPr>
          <w:rtl w:val="true"/>
        </w:rPr>
        <w:t>القول الفصل فی حجّیة مثبتات الأمارات</w:t>
      </w:r>
      <w:bookmarkEnd w:id="682"/>
    </w:p>
    <w:p>
      <w:pPr>
        <w:pStyle w:val="BookText"/>
        <w:rPr/>
      </w:pPr>
      <w:r>
        <w:rPr>
          <w:rFonts w:ascii="IRNazanin" w:hAnsi="IRNazanin" w:eastAsia="IRNazanin"/>
          <w:color w:val="111111"/>
          <w:sz w:val="28"/>
          <w:sz w:val="28"/>
          <w:szCs w:val="28"/>
          <w:rtl w:val="true"/>
          <w:lang w:bidi="fa-IR"/>
        </w:rPr>
        <w:t>والحقّ فی المسألة التفصیل بین اللوازم الذاتیة للأمارة فتکون حجّة، وبین اللوازم الاتفاقیّة فلا تکون حجّة، ولتوضیح ذلک لابدّ أوّلًا من بیان الفرق بین الأمارة والأصل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فی الفرق بینهما أنّ الجهل بالواقع والشکّ فیه مأخوذ فی موضوع الأصل دون الأمارة، فإنّ الشکّ إنّما هو موردها لا موضوعها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ممّا لا وجه له؛ لأنّ الجهل بالواقع والشکّ فیه اخذ فی کلیهما، والوجه فی ذلک أنّ الإهمال بحسب مقام الثبوت غیر معقول فلا محالة تکون حجّیة الأمارات إمّا مطلقة بالنسبة إلی العالم والجاهل، أو مقیّدة بالعالم والجاهل، أو مختصّة بالجاهل، ولا مجال للالتزام بالأوّل والثانی فإنّه لا یعقل کون العمل بالأمارة واجباً علی العالم بالواقع فیبقی الوجه الأخیر، وهو کون الأمارة مختصّة بالجاهل وهو</w:t>
      </w:r>
      <w:bookmarkStart w:id="683" w:name="pg16922_187805"/>
    </w:p>
    <w:p>
      <w:pPr>
        <w:pStyle w:val="BookText"/>
        <w:rPr/>
      </w:pPr>
      <w:bookmarkEnd w:id="683"/>
      <w:r>
        <w:rPr>
          <w:rFonts w:ascii="IRNazanin" w:hAnsi="IRNazanin" w:eastAsia="IRNazanin"/>
          <w:color w:val="111111"/>
          <w:sz w:val="28"/>
          <w:sz w:val="28"/>
          <w:szCs w:val="28"/>
          <w:rtl w:val="true"/>
          <w:lang w:bidi="fa-IR"/>
        </w:rPr>
        <w:t>المطلوب، هذا بالنسبة إلی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وروده فی لسان بعض الأدلّة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وقد استدلّوا بالآیة فی مباحث حجّیة خبر الواحد تارةً وفی مباحث الاجتهاد والتقلید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الفرق بینهما أنّ للأمارة کاشفیّة عن الواقع وإن کان کشفاً ظنّیاً غیر تامّ، بخلاف الأصل فلیس فیه کشف عن الواقع، ولا فرق فی ذلک بین أن نأخذ الأمارة والاصول من الشارع المقدّس أو من بناء العقلاء، فإنّ لهم أیضاً أمارات واصول، بل الأمارات الموجودة فی الشرع متّخذة منهم غالباً، وکذا الاصول الأربعة فإنّ جمیعها موجودة بین العقلاء من أهل العرف، ومنها الاستصحاب فإنّهم یجرون الاستصحاب بعنوان الأصل لا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المسألة هو التفصیل بین اللوازم الذاتیة واللوازم الاتفاقیّة فی باب الأمارات، وإنّ الاولی تثبت بالأمارة دون الثانیة من دون فرق بین ما کانت مخترعة بید الشارع وما کان علیه سیرة العقلاء، ومن دون فرق بین أن تکون الأمارة من الأخبار أو لا، فإذا ثبت بالقرعة أنّ هذا المولود لزید مثلًا فلا إشکال فی ترتّب لوازمه الذاتیة علیه من کون فلان خاله وکون فلان عمّه، مع أنّ القرعة لیس لها لسان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اللوازم العرضیة الاتفاقیّة، کما إذا أثبتنا بالبیّنة أو بمقتضی الید أنّ هذه الدار لزید وعلمنا من الخارج أنّ دار زید کانت قبال القبلة، فلا یثبت بهما جهة القبلة، مع أنّ خبر الواحد من الأمارات الموجودة فیما بین العقلاء ویکون من الأمور الخبریّة</w:t>
      </w:r>
      <w:r>
        <w:rPr>
          <w:rFonts w:eastAsia="IRNazanin" w:cs="IRNazanin"/>
          <w:color w:val="111111"/>
          <w:sz w:val="28"/>
          <w:szCs w:val="28"/>
          <w:rtl w:val="true"/>
          <w:lang w:bidi="fa-IR"/>
        </w:rPr>
        <w:t>.</w:t>
      </w:r>
    </w:p>
    <w:p>
      <w:pPr>
        <w:pStyle w:val="Heading5"/>
        <w:numPr>
          <w:ilvl w:val="4"/>
          <w:numId w:val="1"/>
        </w:numPr>
        <w:rPr/>
      </w:pPr>
      <w:bookmarkStart w:id="684" w:name="__RefHeading___Toc142093_3244359995"/>
      <w:bookmarkStart w:id="685" w:name="_Toc260"/>
      <w:bookmarkEnd w:id="684"/>
      <w:r>
        <w:rPr/>
        <w:t>12</w:t>
      </w:r>
      <w:r>
        <w:rPr>
          <w:rtl w:val="true"/>
        </w:rPr>
        <w:t xml:space="preserve">. </w:t>
      </w:r>
      <w:r>
        <w:rPr>
          <w:rtl w:val="true"/>
        </w:rPr>
        <w:t>استصحاب تأخّر الحادث</w:t>
      </w:r>
      <w:bookmarkEnd w:id="685"/>
    </w:p>
    <w:p>
      <w:pPr>
        <w:pStyle w:val="Heading6"/>
        <w:numPr>
          <w:ilvl w:val="5"/>
          <w:numId w:val="1"/>
        </w:numPr>
        <w:rPr/>
      </w:pPr>
      <w:bookmarkStart w:id="686" w:name="__RefHeading___Toc142095_3244359995"/>
      <w:bookmarkStart w:id="687" w:name="_Toc261"/>
      <w:bookmarkEnd w:id="686"/>
      <w:r>
        <w:rPr>
          <w:rtl w:val="true"/>
        </w:rPr>
        <w:t>اشارة</w:t>
      </w:r>
      <w:bookmarkEnd w:id="6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جریان الاستصحاب فیما إذا شکّ فی أصل حدوث الحادث؛</w:t>
      </w:r>
    </w:p>
    <w:p>
      <w:pPr>
        <w:pStyle w:val="BookText"/>
        <w:rPr/>
      </w:pPr>
      <w:r>
        <w:rPr>
          <w:rFonts w:ascii="Amiri" w:hAnsi="Amiri" w:eastAsia="Amiri" w:cs="Amiri"/>
          <w:color w:val="111111"/>
          <w:sz w:val="28"/>
          <w:sz w:val="28"/>
          <w:szCs w:val="28"/>
          <w:rtl w:val="true"/>
          <w:lang w:bidi="ar-SA"/>
        </w:rPr>
        <w:t>حکماً کان أو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الشکّ فی تقدّمه وتأخّره بعد العلم بتحقّق أصله، کما إذا علمنا بموت زید ولا نعلم هل هو مات یوم الخمیس أو یوم الجمعة، وفرضنا ترتّب أثر شرعی علی موته فی یوم الجمعة، فهل یجری استصحاب عدم موته إلی یوم الجمعة، أی عدم تقدّم موته علی یوم الجمعة، أو عدم تأخّر موته عن یوم الخمیس أو لا؟</w:t>
      </w:r>
    </w:p>
    <w:p>
      <w:pPr>
        <w:pStyle w:val="BookText"/>
        <w:rPr/>
      </w:pPr>
      <w:r>
        <w:rPr>
          <w:rFonts w:ascii="IRNazanin" w:hAnsi="IRNazanin" w:eastAsia="IRNazanin"/>
          <w:color w:val="111111"/>
          <w:sz w:val="28"/>
          <w:sz w:val="28"/>
          <w:szCs w:val="28"/>
          <w:rtl w:val="true"/>
          <w:lang w:bidi="fa-IR"/>
        </w:rPr>
        <w:t>وللمسألة صورتان رئیسیتان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لوحظ تقدّمه وتأخّره بالنسبة إلی أجزاء الزمان کما فی المثال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لوحظ تقدّمه وتأخّره بالنسبة إلی حادث آخر قد علم بحدوثه أیضاً، کما إذا علم بموت متوارثین علی التعاقب ولم یعرف المتقدّم منهما علی المتأخّر، أو علم بحصول ملاقاة الید المتنجّسة بالماء وحصول الکرّیة علی التعاقب ولم یعلم المتقدّم منهما، أو علم بموت الأب المسلم وإسلام الولد الکافر ولم یعرف المتقدّم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جریان استصحاب عدم تحقّق الحادث فی الزمان الأوّل وترتیب آثار عدمه فقط، وأمّا آثار تأخّره عن الزمان الأوّل وآثار حدوثه فی الزمان الثانی فلا، لکونه مثبتاً بالنسبة إلی عنوان التأخّر والحدوث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البحث عنه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مجهولی التاریخ</w:t>
      </w:r>
    </w:p>
    <w:p>
      <w:pPr>
        <w:pStyle w:val="BookText"/>
        <w:rPr/>
      </w:pPr>
      <w:r>
        <w:rPr>
          <w:rFonts w:ascii="Amiri" w:hAnsi="Amiri" w:eastAsia="Amiri" w:cs="Amiri"/>
          <w:color w:val="111111"/>
          <w:sz w:val="28"/>
          <w:sz w:val="28"/>
          <w:szCs w:val="28"/>
          <w:rtl w:val="true"/>
          <w:lang w:bidi="ar-SA"/>
        </w:rPr>
        <w:t>وله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الأثر الشرعی لتقدّم أحدهما أو لتأخّره أو لتقارنه بنحو مفاد کان التامّة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إذا کان الأثر الشرعی للحادث المتّصف بالتقدّم أو التأخّر أو التقارن بنحو مفاد کان الناقصة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إذا کان الأثر الشرعی لعدم تقدّم أحدهما علی الآخر أو لتأخّره أو لتقارنه بنحو مفاد لیس التامّة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الأثر الشرعی لعدم الحادث المتّصف بالتقدّم أو التأخّر أو التقارن بنحو مفاد لیس الناقصة،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الابن متّصفاً بالإسلام فی زمن موت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استصحاب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التقدّم إذا کان الأثر لتقدّم أحدهما، وهکذا بالنسبة إلی التأخّر والتقارن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لتمامیة أرکان الاستصحاب فیه، نعم إذا کان الأثر لتقدّم کلّ منهما أو لتقارن کلّ منهما أو لتأخّر کلّ منهما، کان الاستصحاب معارضاً بمثله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فیه الاستصحاب لعدم یقین سابق بقضیة کان الابن کافراً عند موت أبیه المسلم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حکمه من القسم الأوّل؛ لأنّ الأثر مترتّب علی عدم التقدّم والتأخّر والتقارن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القسم الرابع وهو مفاد لیس الناقصة، والمراد منه أن یکون الأثر مترتّباً مثلًا علی عدم کون الماء کرّاً فی زمن الملاقاة وعلی عدم کون النجس ملاقیاً للماء حتّی صار کرّاً، فقال الشیخ الأعظم رحمه الله بأنّ الاستصحاب جارٍ فیه ولکنّه یتساقط للمعارضة فیما إذا کان الأثر موجوداً فی کلا الطرفین، أمّا إذا کان الأثر مفروضاً فی أحدهما فلا یتساقط</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المحقّق الخراسانی رحمه الله، إلی عدم جریانه رأساً؛ لعدم اندراجه تحت أدلّة الاستصحاب ولو کان الأثر مفروضاً فی طرف واحد دون الآخر، وذلک لعدم إحراز اتّصال زمان شکّه بزمان یقینه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أنّ المستفاد من 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p>
    <w:p>
      <w:pPr>
        <w:pStyle w:val="BookText"/>
        <w:rPr/>
      </w:pP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اتصال زمان الیقین بالشکّ، فلو انفصل أحدهما عن الآخر لم یشمله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الماء لم یکن کرّاً یوم الجمعة مثلًا ولم یلاق نجساً، ثمّ علمنا بحدوث أحدهما إجمالًا فی یوم السبت والآخر فی یوم الأحد وإجتمعا فی نهایة ذاک الیوم، فلو قلنا بأنّ الماء لم یکن کرّاً فی زمن الملاقاة احتمل فی ذلک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زمن الملاقاة فی الواقع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یوم الأحد، فلو کان زمن الملاقاة فی الواقع یوم السبت کان متّصلًا بیوم الجمعة فتمّ اتصال زمان الیقین بالشکّ، وأمّا لو کان زمن الملاقاة فی الواقع یوم الأحد کان منفصلًا عن زمن الیقین، لانفصال یوم الأحد عن یوم الجمعة، وحیث لا نعلم أنّ الواقع أیّ واحد من الاحتمالین فتکون المسألة من الشبهات المصداقیّة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 انفصال زمن الیقین عن زمن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ذلک ما ذهب إلیه الشیخ الأعظم رحمه الله، وذلک لوقوع الخلط فی کلام المحقّق الخراسانی رحمه الله بین عدم ترتّب الأثر فی زمان وبین عدم الشکّ فی ذلک الزمان، حیث لا ریب فی المقام فی أنّ کلًاّ من السبت والأحد یوم الشکّ، إلّاأنّ فی أحدهما وهو یوم السبت لا یترتّب أثر شرعی علی عدم الکرّیة فی فرض کون الملاقاة یوم الأحد فی الواقع، بل الأثر یترتّب علی عدم الکرّیة حین الملاقاة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أحدهما معلوم التاریخ والآخر مجهولًا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بوقوع الملاقاة فی یوم الأحد، ولا نعلم أنّ الکرّیة هل وقعت یوم السبت حتّی لا تؤثّر الملاقاة فی نجاسة الماء، أو وقعت بعد الأحد حتّی یکون الماء نجساً؟ فیجری فیه أیضاً الأقسام المذکورة فی المقام الأوّل، کما لا کلام فی ثلاثة منها هنا أیضاً، بل إنّما الإشکال فی مفاد لیس الناقصة</w:t>
      </w:r>
      <w:r>
        <w:rPr>
          <w:rFonts w:eastAsia="IRNazanin" w:cs="IRNazanin"/>
          <w:color w:val="111111"/>
          <w:sz w:val="28"/>
          <w:szCs w:val="28"/>
          <w:rtl w:val="true"/>
          <w:lang w:bidi="fa-IR"/>
        </w:rPr>
        <w:t>.</w:t>
      </w:r>
      <w:bookmarkStart w:id="688" w:name="pg16922_187809"/>
    </w:p>
    <w:p>
      <w:pPr>
        <w:pStyle w:val="BookText"/>
        <w:rPr/>
      </w:pPr>
      <w:bookmarkEnd w:id="688"/>
      <w:r>
        <w:rPr>
          <w:rFonts w:ascii="IRNazanin" w:hAnsi="IRNazanin" w:eastAsia="IRNazanin"/>
          <w:color w:val="111111"/>
          <w:sz w:val="28"/>
          <w:sz w:val="28"/>
          <w:szCs w:val="28"/>
          <w:rtl w:val="true"/>
          <w:lang w:bidi="fa-IR"/>
        </w:rPr>
        <w:t>والمراد منه ما إذا کان الأثر مترتّباً مثلًا علی عدم کون الماء کرّاً فی زمن الملاقاة وعلی عدم کون النجس ملاقیاً للماء إلی أن صار کرّاً، فقد حکم الشیخ الأعظم رحمه الله فیه بجریان استصحاب العدم فی خصوص مجهول التاریخ دون معلوم التاریخ، ومقتضی ما ذکره المحقّق الخراسانی رحمه الله عدم جریانه فیهما لما عرفت من شبهة انفصال زمان الشکّ عن زمان الیقین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مجهول التاریخ، وأمّا معلوم التاریخ فذهب الشیخ الأعظم رحمه الله إلی عدم جریان استصحاب العدم فیه کما مرّ، وقد یتوهّم أنّه یجری الاستصحاب فیه أیضاً؛ لأنّ الکرّیة مثلًا وإن کان وجودها معلوماً لنا بالنسبة إلی أجزاء الزمان ولکنّه مجهول بالنسبة إلی زمان الملاقاة، فالأصل عدم وجودها حین الملاقاة ومقتضاه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الاستصحاب هو الحکم ببقاء ما کان متیقّناً فی عمود الزمان وجرّه إلی زمان الشکّ فی الارتفاع، وفی المقام لا شکّ لنا فی معلوم التاریخ باعتبار عمود الزمان حتّی نجرّه بالتعبّد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لنا فی معلوم التاریخ فی زمان أصلًا، فإنّه قبل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لنا وقته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انتفائه، وبعد حدوثه لا شکّ فی وجوده، بل الشکّ فیه إنّما هو بالقیاس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إلی هنا أنّ الحقّ عدم جریان الاستصحاب فی معلوم التاریخ، فیجری فی مجهول التاریخ من دون معارض</w:t>
      </w:r>
      <w:r>
        <w:rPr>
          <w:rFonts w:eastAsia="IRNazanin" w:cs="IRNazanin"/>
          <w:color w:val="111111"/>
          <w:sz w:val="28"/>
          <w:szCs w:val="28"/>
          <w:rtl w:val="true"/>
          <w:lang w:bidi="fa-IR"/>
        </w:rPr>
        <w:t>.</w:t>
      </w:r>
    </w:p>
    <w:p>
      <w:pPr>
        <w:pStyle w:val="Heading6"/>
        <w:numPr>
          <w:ilvl w:val="5"/>
          <w:numId w:val="1"/>
        </w:numPr>
        <w:rPr/>
      </w:pPr>
      <w:bookmarkStart w:id="689" w:name="__RefHeading___Toc142097_3244359995"/>
      <w:bookmarkStart w:id="690" w:name="_Toc262"/>
      <w:bookmarkEnd w:id="689"/>
      <w:r>
        <w:rPr>
          <w:rtl w:val="true"/>
        </w:rPr>
        <w:t>القول فی توارد الحالتین المتضادّتین فی محلّ واحد</w:t>
      </w:r>
      <w:bookmarkEnd w:id="69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مثل الوضوء والحدث إذا علمنا بالحدث ثمّ الوضوء ولا نعلم بأنّ الحدث کان قبل الوضوء أو الوضوء کان قبل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ما سبق من توارد الحادثتین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الحالتین فی المقام لمکان تضادّهما لا یتصوّر فیهما التقارن، بخلاف الحادثتین کالملاقاة والکرّیة، فیمکن حدوثهما فی زمان واحد، کما أنّ الحادثتین لا تعرضان لمحلّ واحد فإنّ الملاقاة مثلًا تعرض الثوب والکرّیة تعرض الماء، بینما الحالتان المتعاقبتان تعرضان لمحلّ واحد کالوضوء والحدث فإنّهما عارضان لشخص واحد، مضافاً إلی أنّ الکلام فیما سبق وقع فی استصحاب عدم أحدهما إلی حال حدوث الآخر، وهاهنا یقع فی استصحاب وجود أحدهما أو عدمه إلی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یظهر من کلمات الشیخ الأعظم رحمه الله من التفصیل بین ما إذا کانا مجهولی التاریخ فیجری الاستصحاب فی کلیهما ویتعارضان فیتساقطان، وما إذا کان أحدهما معلوم التاریخ فیجری فیه دون مجهول التاریخ، علی عکس ما سبق فی الحادثتین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یظهر من المحقّق الخراسانی من عدم جریان الاستصحاب فیه مطلقاً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بضدّ الحالة السابقة علی الحالتین إن کانت معلومة لنا، کما إذا علم أنّه قبل الحدث والوضوء منه کان محدثاً أو کان طاهراً، وهو منسوب إلی جماعة منهم المحقّق رحمه الله فی المعتبر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فیمکن أن یستدلّ له بأنّه إذا کانا مجهولی التاریخ فحیث إنّ أرکان الاستصحاب فی کلیهما تامّة فیجری فی کلیهما ویتساقطان، کما أنّ الأرکان تامّة فی خصوص معلوم التاریخ فیما إذا کان أحدهما معلوم التاریخ، دون مجهول التاریخ، وذلک ببیانین</w:t>
      </w:r>
      <w:r>
        <w:rPr>
          <w:rFonts w:eastAsia="IRNazanin" w:cs="IRNazanin"/>
          <w:color w:val="111111"/>
          <w:sz w:val="28"/>
          <w:szCs w:val="28"/>
          <w:rtl w:val="true"/>
          <w:lang w:bidi="fa-IR"/>
        </w:rPr>
        <w:t>:</w:t>
      </w:r>
      <w:bookmarkStart w:id="691" w:name="pg16922_187811"/>
    </w:p>
    <w:p>
      <w:pPr>
        <w:pStyle w:val="BookText"/>
        <w:rPr/>
      </w:pPr>
      <w:bookmarkEnd w:id="691"/>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دائر بین ما هو معلوم الارتفاع وما هو مشکوک الحدوث، فإذا علم بأنّه توضّأ عند الزوال مثلًا وعلم أیضاً بحدوث الحدث، ولا یعلم أنّه کان قبل الزوال أو بعده فلا یجری استصحاب بقاء الحدث، لأنّه بالنسبة إلی قبل الزوال معلوم ارتفاعه، وبالنسبة إلی بعد الزوال مشکوک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أوضح مصادیق احتمال انفصال زمان الیقین عن زمان الشکّ، أی أنه من مصادیق الشبهة المصداقیة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الحدث إن وقع قبل الزوال حصل الانفصال قطعاً ودخل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الاتصال محرزاً فی عمود الزمان، مع أنّ الاستصحاب استمرار لعمر المستصحب فی عمود الزمان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مطلقاً، فلعدم إحراز اتصال زمان الشکّ بزمان الیقین حتّی فی معلوم التاریخ؛ لأنّه وإن کان تاریخ حدوثه معلوماً لنا ولکن اتصاله بزمان الشکّ الحاضر غیر معلوم لنا، لاحتمال انفصاله عنه وتخلّل ما هو المجهول تاریخه والمعلوم تحقّقه إجمالًا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مرّ الجواب عنه،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الأخذ بضدّ الحالة السابقة فالوجه فیه هو القطع بارتفاع الحالة السابقة بوجود ما هو ضدّها قطعاً، والشکّ فی ارتفاعه بعد ذلک، فیکون مجری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أنّ ضدّ الحالة السابقة حادث قطعاً ثمّ شکّ فی ارتفاعه، کذلک الحادث الآخر الموافق للحالة السابقة، فإنّه أیضاً قطعی الوجود ومشکوک الارتفاع فیستصحب ویقع التعارض ویتساقطان</w:t>
      </w:r>
      <w:r>
        <w:rPr>
          <w:rFonts w:eastAsia="IRNazanin" w:cs="IRNazanin"/>
          <w:color w:val="111111"/>
          <w:sz w:val="28"/>
          <w:szCs w:val="28"/>
          <w:rtl w:val="true"/>
          <w:lang w:bidi="fa-IR"/>
        </w:rPr>
        <w:t>.</w:t>
      </w:r>
    </w:p>
    <w:p>
      <w:pPr>
        <w:pStyle w:val="Heading5"/>
        <w:numPr>
          <w:ilvl w:val="4"/>
          <w:numId w:val="1"/>
        </w:numPr>
        <w:rPr/>
      </w:pPr>
      <w:bookmarkStart w:id="692" w:name="__RefHeading___Toc142099_3244359995"/>
      <w:bookmarkStart w:id="693" w:name="_Toc263"/>
      <w:bookmarkEnd w:id="692"/>
      <w:r>
        <w:rPr/>
        <w:t>13</w:t>
      </w:r>
      <w:r>
        <w:rPr>
          <w:rtl w:val="true"/>
        </w:rPr>
        <w:t xml:space="preserve">. </w:t>
      </w:r>
      <w:r>
        <w:rPr>
          <w:rtl w:val="true"/>
        </w:rPr>
        <w:t>استصحاب حکم المخصّص</w:t>
      </w:r>
      <w:bookmarkEnd w:id="69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خصّص العامّ وخرج منه بعض الأفراد فی بعض الأزمنة ولم یکن لدلیل</w:t>
      </w:r>
    </w:p>
    <w:p>
      <w:pPr>
        <w:pStyle w:val="BookText"/>
        <w:rPr/>
      </w:pPr>
      <w:r>
        <w:rPr>
          <w:rFonts w:ascii="IRNazanin" w:hAnsi="IRNazanin" w:eastAsia="IRNazanin"/>
          <w:color w:val="111111"/>
          <w:sz w:val="28"/>
          <w:sz w:val="28"/>
          <w:szCs w:val="28"/>
          <w:rtl w:val="true"/>
          <w:lang w:bidi="fa-IR"/>
        </w:rPr>
        <w:t>الخاصّ إطلاق أزمانی إمّا لکونه لبّیاً کالإجماع، أو لکونه لفظیاً لا إطلاق له، وتردّد الزمان الخارج بین الأقلّ والأکثر، فهل یرجع عند الشکّ أی بعد انقضاء الزمان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الاستصحاب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عموم العامّ أو إلی استصحاب حکم المخصّص؟</w:t>
      </w:r>
    </w:p>
    <w:p>
      <w:pPr>
        <w:pStyle w:val="BookText"/>
        <w:rPr/>
      </w:pPr>
      <w:r>
        <w:rPr>
          <w:rFonts w:ascii="IRNazanin" w:hAnsi="IRNazanin" w:eastAsia="IRNazanin"/>
          <w:color w:val="111111"/>
          <w:sz w:val="28"/>
          <w:sz w:val="28"/>
          <w:szCs w:val="28"/>
          <w:rtl w:val="true"/>
          <w:lang w:bidi="fa-IR"/>
        </w:rPr>
        <w:t>فإذا قال المولی مثلًا أکرم کلّ عالم وقام الإجماع علی حرمة إکرام زید العالم فی یوم الجمعة، ووقع الشکّ فی حرمة إکرامه یوم السبت فهل یرجع فی یوم السبت إلی عموم العامّ من وجوب الإکرام، أو إلی استصحاب حکم الخاصّ من حرمة الإکرام؟</w:t>
      </w:r>
    </w:p>
    <w:p>
      <w:pPr>
        <w:pStyle w:val="BookText"/>
        <w:rPr/>
      </w:pPr>
      <w:r>
        <w:rPr>
          <w:rFonts w:ascii="Amiri" w:hAnsi="Amiri" w:eastAsia="Amiri" w:cs="Amiri"/>
          <w:color w:val="111111"/>
          <w:sz w:val="28"/>
          <w:sz w:val="28"/>
          <w:szCs w:val="28"/>
          <w:rtl w:val="true"/>
          <w:lang w:bidi="ar-SA"/>
        </w:rPr>
        <w:t xml:space="preserve">ومثاله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 فإنّه لا شکّ فی أنّ له عموماً أفرادیاً؛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 باللام، وهو من صیغ العموم، فإذا جاء دلیل خیار الغبن وأخرج المعاملة الغبنیّة مثلًا عن تحت هذا العموم وعلمنا بخروجها عن تحت هذا العامّ فی الزمان الأوّل عند العلم بالغبن، وشککنا فی خروجها فی الأزمنة المتأخّرة عن هذا الزمان، فهل المرجع هو عموم العامّ والحکم باللزوم فی ما بعد حتّی یکون الخیار فوریاً، أو استصحاب حکم المخصّص حتّی یکون الخیار علی التراخی؟</w:t>
      </w:r>
    </w:p>
    <w:p>
      <w:pPr>
        <w:pStyle w:val="BookText"/>
        <w:rPr/>
      </w:pPr>
      <w:r>
        <w:rPr>
          <w:rFonts w:ascii="IRNazanin" w:hAnsi="IRNazanin" w:eastAsia="IRNazanin"/>
          <w:color w:val="111111"/>
          <w:sz w:val="28"/>
          <w:sz w:val="28"/>
          <w:szCs w:val="28"/>
          <w:rtl w:val="true"/>
          <w:lang w:bidi="fa-IR"/>
        </w:rPr>
        <w:t xml:space="preserve">وقد فصّل الشیخ الأعظم رحمه الله فیه بین ما إذا کان للعامّ عموم أزمانی کعمومه الأفرادی فیرجع إلی عموم العامّ، وبین ما إذا لم یکن له عموم کذلک وإن کان الحکم فیه للاستمرار والدوام إمّا بالنصّ أو بالإطلاق فیرجع إلی استصحاب حکم المخصّص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العامّ بحسب عمومه الأزمانی أیضاً انحلالیاً مثل عمومه الأفرادی بمعنی کون کلّ قطعة من الزمان موضوعاً مستقلًاّ لحکم العامّ بحیث لا یکون إمتثال الحکم أو عصیانه فی تلک القطعة مربوطاً بالامتثال والعصیان فی سائر القطعات، بل یکون لکلّ قطعة إمتثاله وعصیانه، ففی هذه الصورة خروج قطعة من</w:t>
      </w:r>
      <w:bookmarkStart w:id="694" w:name="pg16922_187813"/>
    </w:p>
    <w:p>
      <w:pPr>
        <w:pStyle w:val="BookText"/>
        <w:rPr/>
      </w:pPr>
      <w:bookmarkEnd w:id="694"/>
      <w:r>
        <w:rPr>
          <w:rFonts w:ascii="IRNazanin" w:hAnsi="IRNazanin" w:eastAsia="IRNazanin"/>
          <w:color w:val="111111"/>
          <w:sz w:val="28"/>
          <w:sz w:val="28"/>
          <w:szCs w:val="28"/>
          <w:rtl w:val="true"/>
          <w:lang w:bidi="fa-IR"/>
        </w:rPr>
        <w:t>الزمان عن تحت العموم الأزمانی لا یضرّ بوجود أصالة العموم بالنسبة إلی القطعات الاخر، إذ حال أصالة العموم بناءً علی هذا بالنسبة إلی الأزمان حال أصالة العموم بالنسبة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کذلک، أی لم تکن کلّ قطعة من الزمان موضوعاً مستقلًاّ بل کان مجموع القطعات موضوعاً واحداً، فلا یبقی مجال للتمسّک بعموم العامّ، فإذا شکّ فی حکم هذا الفرد بقاءً بعد خروجه عن تحت العامّ فلا مفرّ عن الرجوع إلی الاستصحاب</w:t>
      </w:r>
      <w:r>
        <w:rPr>
          <w:rFonts w:eastAsia="IRNazanin" w:cs="IRNazanin"/>
          <w:color w:val="111111"/>
          <w:sz w:val="28"/>
          <w:szCs w:val="28"/>
          <w:rtl w:val="true"/>
          <w:lang w:bidi="fa-IR"/>
        </w:rPr>
        <w:t>.</w:t>
      </w:r>
    </w:p>
    <w:p>
      <w:pPr>
        <w:pStyle w:val="Heading5"/>
        <w:numPr>
          <w:ilvl w:val="4"/>
          <w:numId w:val="1"/>
        </w:numPr>
        <w:rPr/>
      </w:pPr>
      <w:bookmarkStart w:id="695" w:name="__RefHeading___Toc142101_3244359995"/>
      <w:bookmarkStart w:id="696" w:name="_Toc264"/>
      <w:bookmarkEnd w:id="695"/>
      <w:r>
        <w:rPr/>
        <w:t>14</w:t>
      </w:r>
      <w:r>
        <w:rPr>
          <w:rtl w:val="true"/>
        </w:rPr>
        <w:t xml:space="preserve">. </w:t>
      </w:r>
      <w:r>
        <w:rPr>
          <w:rtl w:val="true"/>
        </w:rPr>
        <w:t>تقدّم الأمارات علی الاستصحاب</w:t>
      </w:r>
      <w:bookmarkEnd w:id="696"/>
    </w:p>
    <w:p>
      <w:pPr>
        <w:pStyle w:val="BookText"/>
        <w:rPr/>
      </w:pPr>
      <w:r>
        <w:rPr>
          <w:rFonts w:ascii="IRNazanin" w:hAnsi="IRNazanin" w:eastAsia="IRNazanin"/>
          <w:color w:val="111111"/>
          <w:sz w:val="28"/>
          <w:sz w:val="28"/>
          <w:szCs w:val="28"/>
          <w:rtl w:val="true"/>
          <w:lang w:bidi="fa-IR"/>
        </w:rPr>
        <w:t>اتفقت کلمات الأصحاب علی تقدّم الأمارة علی الاستصحاب، وإنّما الکلام فی وجهه، فهل هو من باب الورود، أو الحکومة، أو التخصیص الذی هو توفیق عرفی بین دلیل اعتبار الأمارة وخطاب الاستصحاب؟</w:t>
      </w:r>
    </w:p>
    <w:p>
      <w:pPr>
        <w:pStyle w:val="BookText"/>
        <w:rPr/>
      </w:pPr>
      <w:r>
        <w:rPr>
          <w:rFonts w:ascii="IRNazanin" w:hAnsi="IRNazanin" w:eastAsia="IRNazanin"/>
          <w:color w:val="111111"/>
          <w:sz w:val="28"/>
          <w:sz w:val="28"/>
          <w:szCs w:val="28"/>
          <w:rtl w:val="true"/>
          <w:lang w:bidi="fa-IR"/>
        </w:rPr>
        <w:t>فإن قلنا بالورود فمعناه عدم بقاء شکّ حقیقة بعد مجی‌ء الأمارة، وإن قلنا بالحکومة فمعناه عدم بقاء الشکّ تعبّداً وحکماً کذلک، وإن قلنا بالتخصیص فلازمه أنّ دلیل الأمارة أخصّ من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رحمه الله إلی أنّه من باب الورود، وذهب الشیخ الأعظم رحمه الله إلی أنّه من باب الحکومة، واحتمل بعض کونه من باب التخصیص، ففی المسألة ثلاثة أقوال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المحقّق الخراسانی رحمه الله لمختاره بأنّ رفع الید عن الیقین السابق بسبب أمارة معتبرة علی خلافه لیس من نقض الیقین بالشکّ بل بالیقین، وعدم رفع الید عنه مع الأمارة علی وفقه لیس لأجل أن لا یلزم نقضه به بل من جهة لزوم العمل بالحجّة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تبیین هذا المعنی من طریق آخر وهو أنّ المراد من الشکّ فی أدلّة حجّیة الاستصحاب هو الحیرة الحاصلة من عدم وجود طریق إلی الواقع، فإذا قامت عنده الأمارة الّتی هی من الطرق المعتبرة زالت الحیرة ولا یصدق علیه أنّه سالک بلا طریق، فکأنّ معنی الشکّ عند العرف فی أمثال المقام أضیق من الشکّ المنطقی، کما أنّ الیقین عندهم أوسع من الیقین المنطقی، وحینئذٍ لا یصدق علی رفع الید عن الیقین بالأمارة أنّه نقض الیقین بالشکّ بل یصدق علیه عند العرف أنّه نقض للیقین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مرّ من أنّ من أدلّة حجّیة الاستصحاب هو بناء العقلاء، ولا إشکال فی أنّهم یعتمدون علی الاستصحاب فی خصوص موارد التردّد والحیرة، وأمّا إذا قامت أمارة علی تقنین قانون جدید مثلًا أو علی عزل الوکیل عن وکالته فلا یجرون استصحاب بقاء القانون السابق أو استصحاب الوکالة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الحقّ کون الأمارات واردة علی الاستصحاب، ولو تنزّلنا عن ذلک فلا أقلّ من الحکومة، وهی أن یکون أحد الدلیلین ناظراً إلی دلیل آخر إمّا إلی موضوعه أو إلی متعلّقه أو إلی حکمه، توسعة أو تضییقاً بالدلالة المطابقیة أو التضمّن أو الالتزام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أدلّة حجّیة خبر الواحد مثلًا عند الدقّة ناظرة إلی أدلّة الاصول، فإنّ مقتضی مفهوم آیة النبأ أنّ ما أخبر به العادل مبیّن ولا یحتاج إلی التبیّن، ولا إشکال فی أنّ معناه عدم ترتیب آثار الشکّ، وهکذا بالنسبة إلی قوله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أدّیا عنّی فعنّی یؤدّیان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إذ معناه لزوم معاملة العلم مع ما أخبر عنه الثقة وعدم ترتیب آثار الشکّ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تسمیة الشاهدین العدلین باسم البیّنة کانت من هذه الجهة، أی إذا شهدت البیّنة علی شی‌ء فرتّب علیه آثار العلم دون آثار الشکّ، ولیس هذا إلّامن باب أنّ أدلّة هذه الأمارات حاکمة علی أدلّة الاصول وناظرة إلیها ومضیّقة لدائرتها بغیر</w:t>
      </w:r>
    </w:p>
    <w:p>
      <w:pPr>
        <w:pStyle w:val="BookText"/>
        <w:rPr/>
      </w:pPr>
      <w:r>
        <w:rPr>
          <w:rFonts w:ascii="IRNazanin" w:hAnsi="IRNazanin" w:eastAsia="IRNazanin"/>
          <w:color w:val="111111"/>
          <w:sz w:val="28"/>
          <w:sz w:val="28"/>
          <w:szCs w:val="28"/>
          <w:rtl w:val="true"/>
          <w:lang w:bidi="fa-IR"/>
        </w:rPr>
        <w:t>موارد قیام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فیمکن أن یقال بالتخصیص فی الجملة، أی التوفیق العرفی بین أدلّة الأمارات وأدلّة الاستصحاب بتخصیص عموم الاستصحاب بموارد قیام الأمارة، والإنصاف أنّ هذا صادق بالنسبة إلی بعض الأمارات قطعاً، نظیر موارد قیام قاعدة الید، حیث إنّه لو لم تکن الید مقدّمة علی الاستصحاب ومخصّصة لأدلّته، لما بقی لقاعدة الید مورد، وذلک لأنّها فی جمیع مواردها مزاحمة باستصحاب عدم التملّک، وهکذا فی أصالة الصحّة وقاعدة الفراغ حیث إنّهما معارضتان مع استصحاب عدم إتیان العمل صحیحاً فی جمیع الموارد، فمع عدم تقدیم هذه الأمارات علی الاستصحاب الجاری فی مواردها لم یبق للأمارات مورد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یجری بالنسبة إلی بعض الأمارات کخبر الواحد، فإنّه قد یکون معارضاً مع الاستصحاب وقد لا یکون، هذا کلّه فی الأمارات المخالفة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الأمارات الموافقة کما إذا قامت البیّنة علی طهارة شی‌ء کان طاهراً سابقاً ففیها أیضاً یأتی ما مرّ من ورود أدلّة الأمارات علی أدلّة الاستصحاب بنفس البیان السابق، وهو أنّ مورد الاستصحاب هو الشکّ فی الحکم الواقعی بمعنی الحیرة والتردّد، والأمارة تزیلها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للیقین فی أدلّة الاستصحاب معنیً یعمّ الیقین وما یحصل من الأمارة، وحینئذٍ مع وجود الأمارة لا تصل النوبة إلی الاستصحاب، وأمّا استدلال الفقهاء بالاصول ومنها الاستصحاب فی جنب سائر الأدلّة فهو مع قطع النظر عن وجود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عن الورود فلا أقلّ من الحکومة أیضاً کالأمارات المخالفة؛ لأنّ أدلّة الأمارات مفادها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منزلة الیقین ولا ترتّب آثار الشکّ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سبیل إلی التخصیص هنا، لأنّه فرع مخالفة العامّ مع الخاصّ بلا إشکال، ولذا لا یخصّص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w:t>
      </w:r>
      <w:bookmarkStart w:id="697" w:name="pg16922_187816"/>
    </w:p>
    <w:p>
      <w:pPr>
        <w:pStyle w:val="Heading5"/>
        <w:numPr>
          <w:ilvl w:val="4"/>
          <w:numId w:val="1"/>
        </w:numPr>
        <w:rPr/>
      </w:pPr>
      <w:bookmarkStart w:id="698" w:name="__RefHeading___Toc142103_3244359995"/>
      <w:bookmarkStart w:id="699" w:name="_Toc265"/>
      <w:bookmarkEnd w:id="697"/>
      <w:bookmarkEnd w:id="698"/>
      <w:r>
        <w:rPr/>
        <w:t>15</w:t>
      </w:r>
      <w:r>
        <w:rPr>
          <w:rtl w:val="true"/>
        </w:rPr>
        <w:t xml:space="preserve">. </w:t>
      </w:r>
      <w:r>
        <w:rPr>
          <w:rtl w:val="true"/>
        </w:rPr>
        <w:t>النسبة بین الاستصحاب وسائر الاصول العملیّة</w:t>
      </w:r>
      <w:bookmarkEnd w:id="699"/>
    </w:p>
    <w:p>
      <w:pPr>
        <w:pStyle w:val="BookText"/>
        <w:rPr/>
      </w:pPr>
      <w:r>
        <w:rPr>
          <w:rFonts w:ascii="IRNazanin" w:hAnsi="IRNazanin" w:eastAsia="IRNazanin"/>
          <w:color w:val="111111"/>
          <w:sz w:val="28"/>
          <w:sz w:val="28"/>
          <w:szCs w:val="28"/>
          <w:rtl w:val="true"/>
          <w:lang w:bidi="fa-IR"/>
        </w:rPr>
        <w:t>والکلام فیه أیضاً یکون فی وجه تقدیم الاستصحاب علی سائر الاصول، وإلّا لا إشکال فی أصل تقدّمه علیها، بل ادّعی اتفاق الأصحاب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أنّ الاصول العملیّة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وشرعیّة، أمّا العقلیّة فهی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البراءة العقلیّة المستفادة من قاعدة قبح العقاب بلا بیان، والاحتیاط العقلی فی أطراف العلم الإجمالی وشبهه، والتخییر العقلی فی دوران الأمر بین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مرّ فی مبحث البراءة أنّ المختار أنّها عقلائیّة لا عقلیّة؛ لأنّ العقل کما یحکم فی موارد العلم الإجمالی بالاحتیاط یحکم به فی موارد الشبهات البدویة أیضاً، لما مرّ هناک من أنّ مقاصد المولی لا تکون أقلّ أهمیة من مقاصد العبد نفسه، فکما أنّ العقل یحکم بالاحتیاط فیما إذا احتمل العبد کون هذا الطعام مثلًا مضرّاً ضرراً معتدّاً به حفظاً لمقاصده الشخصیة، کذلک یحکم به فیما إذا احتمل کون هذا الشی‌ء مبغوضاً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فالاصول العقلیّة إثنان لا ثالث لهما، نعم إنّ بناء العقلاء قام علی البراءة، فلا یؤاخذون العبید والمأمورین بشی‌ء قبل البیان الواصل إلیهم، وقد أمضاه الشارع أیضاً، ولکنّه لیس فارقاً فیما هو المهمّ فی المقام، لأنّ موضوع البراءة سواء کانت عقلیّة أو عقلائیّة هو عدم البیان، وبعد قیام الاستصحاب یتبدّل عدم البیان إلی البیان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لا إشکال فی أنّ الاستصحاب وارد علی الاصول العقلیّة لأنّ موضوعها یرتفع به، أمّا البراءة فلما عرفت آنفاً، وأمّا الاحتیاط، فلأنّ موضوعه عدم الأمن من العقوبة فیما إذا علم إجمالًا بکون ما فی أحد الإناءین خمراً مثلًا، ومع استصحاب کون أحدهما خلّاً ینحلّ العلم الإجمالی من أصله ویحصل الأمن من العقاب، وهکذا فی التخییر، فإنّ موضوعه عدم الترجیح بین المحذورین</w:t>
      </w:r>
      <w:bookmarkStart w:id="700" w:name="pg16922_187817"/>
    </w:p>
    <w:p>
      <w:pPr>
        <w:pStyle w:val="BookText"/>
        <w:rPr/>
      </w:pPr>
      <w:bookmarkEnd w:id="700"/>
      <w:r>
        <w:rPr>
          <w:rFonts w:ascii="IRNazanin" w:hAnsi="IRNazanin" w:eastAsia="IRNazanin"/>
          <w:color w:val="111111"/>
          <w:sz w:val="28"/>
          <w:sz w:val="28"/>
          <w:szCs w:val="28"/>
          <w:rtl w:val="true"/>
          <w:lang w:bidi="fa-IR"/>
        </w:rPr>
        <w:t>والاستصحاب مرجّح، هذا فی الاصول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الشرعیّة المنحصرة فی البراءة الشرعیّة، فقد وقع النزاع فی وجه تقدیم الاستصحاب علیها، فذهب المحقّق الخراسانی رحمه الله إلی أنّ الاستصحاب وارد علی البراءة الشرعیّة بمعنی کونه رافعاً لموضوعها بعد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لو أخذنا بدلیل الاستصحاب لم یلزم منه شی‌ء سوی ارتفاع موضوع سائر الاصول بسببه، وهذا لیس بمحذور، وأمّا لو أخذنا بدلیل البراءة الشرعیّة دون الاستصحاب فیلزم منه إمّا التخصیص بلا مخصّص إن رفعنا الید عن الاستصحاب الجاری فی مورد البراءة الشرعیّة بدون مخصّص لدلیله، وإمّا التخصیص علی وجه دائر إن رفعنا الید عنه لأجل کون البراءة الشرعیّة مخصّصة لدلیله، فإنّ مخصّصیتها له ممّا یتوقّف علی اعتبارها معه، واعتبارها معه ممّا یتوقّف علی مخصّصیتها له، وهو دور محال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أدلّة الاستصحاب بعد ملاحظة التأکیدات الکثیرة والعبارات المترادفة المتعدّدة فیها أقوی وأظهر دلالة من أدلّة البراءة، فالمرجّح إنّما هو الأظهریة والأقوائیة فی الدلالة، ویؤیّده أنّ ألسنة بعض روایاته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الصحیحة الثانیة لزرارة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الخصال آبٍ عن التخصیص لا سیّما بعد کون التعلیل بأمر إرتکازی عقلی</w:t>
      </w:r>
      <w:r>
        <w:rPr>
          <w:rFonts w:eastAsia="IRNazanin" w:cs="IRNazanin"/>
          <w:color w:val="111111"/>
          <w:sz w:val="28"/>
          <w:szCs w:val="28"/>
          <w:rtl w:val="true"/>
          <w:lang w:bidi="fa-IR"/>
        </w:rPr>
        <w:t>.</w:t>
      </w:r>
    </w:p>
    <w:p>
      <w:pPr>
        <w:pStyle w:val="Heading5"/>
        <w:numPr>
          <w:ilvl w:val="4"/>
          <w:numId w:val="1"/>
        </w:numPr>
        <w:rPr/>
      </w:pPr>
      <w:bookmarkStart w:id="701" w:name="__RefHeading___Toc142105_3244359995"/>
      <w:bookmarkStart w:id="702" w:name="_Toc266"/>
      <w:bookmarkEnd w:id="701"/>
      <w:r>
        <w:rPr/>
        <w:t>16</w:t>
      </w:r>
      <w:r>
        <w:rPr>
          <w:rtl w:val="true"/>
        </w:rPr>
        <w:t xml:space="preserve">. </w:t>
      </w:r>
      <w:r>
        <w:rPr>
          <w:rtl w:val="true"/>
        </w:rPr>
        <w:t>تعارض الاستصحابین</w:t>
      </w:r>
      <w:bookmarkEnd w:id="702"/>
    </w:p>
    <w:p>
      <w:pPr>
        <w:pStyle w:val="Heading6"/>
        <w:numPr>
          <w:ilvl w:val="5"/>
          <w:numId w:val="1"/>
        </w:numPr>
        <w:rPr/>
      </w:pPr>
      <w:bookmarkStart w:id="703" w:name="__RefHeading___Toc142107_3244359995"/>
      <w:bookmarkStart w:id="704" w:name="_Toc267"/>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وقد قسّمه المحقّق الخراسانی رحمه الله إلی قسمین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تارةً یکونان من قبیل المتزاحمین؛ أی تکون لکلّ منهما مصلحة واقعیّة</w:t>
      </w:r>
    </w:p>
    <w:p>
      <w:pPr>
        <w:pStyle w:val="BookText"/>
        <w:rPr/>
      </w:pPr>
      <w:r>
        <w:rPr>
          <w:rFonts w:ascii="IRNazanin" w:hAnsi="IRNazanin" w:eastAsia="IRNazanin"/>
          <w:color w:val="111111"/>
          <w:sz w:val="28"/>
          <w:sz w:val="28"/>
          <w:szCs w:val="28"/>
          <w:rtl w:val="true"/>
          <w:lang w:bidi="fa-IR"/>
        </w:rPr>
        <w:t>ولکن المکلّف لا یقدر علی إتیانهما معاً، کما فی غریقین یمکن لنا نجاة أحدهما فقط، فمقتضی استصحاب حیاتهما وجوب إنقاذ کلیهما ولکن المکلّف لا یقدر إلّا علی إنقاذ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یکونان من قبیل المتعارضین کما إذا علمنا بطهارة أحد الإناءین اللذین کانا نجسین سابقاً فیجری استصحاب نجاسة کلّ واحد منهما مع العلم بمخالفة أحدهما للواقع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صاحب الکفایة رحمه الله إلی أنّ حکمه التخییر إلّاأن یکون أحدهما أهمّ من الآخر فیقدّم، کما إذا دار الأمر بین إنقاذ مسلم وذمّی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أنّه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النسبة بینهما التساوی ولا ترجیح لأحدهما علی الآخر لا من ناحیة المحتمل ولا من ناحیة الاحتمال، فالحکم حینئذٍ التخییر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أقوی احتمالًا من الآخر مع تساویهما فی جانب المحتمل، کما إذا کانت درجة احتمال نجاة أحدهما ثمانین فی المائة ودرجة احتمال نجاة الآخر عشرین فی المائة مع عدم ترجیح بینهما فیقدّم الأوّل علی الثانی طبقاً لقاعدة الأهمّ والمهمّ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أهمّ فی جانب المحتمل مع تساویهما فی جانب الاحتمال، فیقدّم الأهمّ أیضاً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أکثر احتمالًا والآخر أهمّ محتملًا، فلابدّ حینئذٍ من الکسر والانکسار وتشخیص ما یکون أهمّ فی المجموع وتقدیمه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المتعارضان، فهو بنفسه علی قسمین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 الاستصحابان طولیین بأن کان الشکّ فی أحدهما مسبّباً عن الشکّ</w:t>
      </w:r>
      <w:bookmarkStart w:id="705" w:name="pg16922_187819"/>
    </w:p>
    <w:p>
      <w:pPr>
        <w:pStyle w:val="BookText"/>
        <w:rPr/>
      </w:pPr>
      <w:bookmarkEnd w:id="705"/>
      <w:r>
        <w:rPr>
          <w:rFonts w:ascii="IRNazanin" w:hAnsi="IRNazanin" w:eastAsia="IRNazanin"/>
          <w:color w:val="111111"/>
          <w:sz w:val="28"/>
          <w:sz w:val="28"/>
          <w:szCs w:val="28"/>
          <w:rtl w:val="true"/>
          <w:lang w:bidi="fa-IR"/>
        </w:rPr>
        <w:t>فی الآخر علی نحو لو ارتفع الشکّ فی السبب ارتفع الشکّ فی المسبّب، أی یکونان من قبیل أصلی السببی والمسبّبی، کما إذا شککنا فی بقاء نجاسة الثوب المغسول بماء شکّ فی بقاء طهارته، فإنّ استصحاب طهارة الماء مقدّم علی استصحاب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یکونان عرضیین کاستصحاب طهارة الإناءین مع العلم الإجمالی بنجاسة أحدهما بملاقاته للنجس</w:t>
      </w:r>
      <w:r>
        <w:rPr>
          <w:rFonts w:eastAsia="IRNazanin" w:cs="IRNazanin"/>
          <w:color w:val="111111"/>
          <w:sz w:val="28"/>
          <w:szCs w:val="28"/>
          <w:rtl w:val="true"/>
          <w:lang w:bidi="fa-IR"/>
        </w:rPr>
        <w:t>.</w:t>
      </w:r>
    </w:p>
    <w:p>
      <w:pPr>
        <w:pStyle w:val="Heading6"/>
        <w:numPr>
          <w:ilvl w:val="5"/>
          <w:numId w:val="1"/>
        </w:numPr>
        <w:rPr/>
      </w:pPr>
      <w:bookmarkStart w:id="706" w:name="__RefHeading___Toc142109_3244359995"/>
      <w:bookmarkStart w:id="707" w:name="_Toc268"/>
      <w:bookmarkEnd w:id="706"/>
      <w:r>
        <w:rPr>
          <w:rtl w:val="true"/>
        </w:rPr>
        <w:t>ما هو الوجه فی تقدیم الأصل السببی علی المسبّبی</w:t>
      </w:r>
      <w:bookmarkEnd w:id="707"/>
    </w:p>
    <w:p>
      <w:pPr>
        <w:pStyle w:val="BookText"/>
        <w:rPr/>
      </w:pPr>
      <w:r>
        <w:rPr>
          <w:rFonts w:ascii="IRNazanin" w:hAnsi="IRNazanin" w:eastAsia="IRNazanin"/>
          <w:color w:val="111111"/>
          <w:sz w:val="28"/>
          <w:sz w:val="28"/>
          <w:szCs w:val="28"/>
          <w:rtl w:val="true"/>
          <w:lang w:bidi="fa-IR"/>
        </w:rPr>
        <w:t>ولابدّ من التکلّم أوّلًا فی معیار کون أحد الأصلین سببیاً والآخر مسبّبیاً، وثانیاً فی وجه تقدیم الأصل السببی علی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فیه أن یکون أحدهما من الآثار الشرعیّة للآخر ففی المثال المزبور تکون طهارة الثوب المغسول من الآثار الشرعیّة لطهارة الماء بخلاف العکس، فلیست نجاسة الماء من الآثار الشرعیّة لنجاسة الثوب المغسول بل إنّها من لوازمها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المحقّق الخراسانی رحمه الله لتقدیم السببی علی المسبّبی بعین ما استدلّ به لتقدیم الأمارة علی الاستصحاب من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الید عن الیقین السابق بنجاسة الثوب فی المثال المذکور مع استصحاب طهارة الماء المغسول به لیس من نقض الیقین بالشکّ بل بالیقین، وقال فی مقام الجواب عن إشکال عدم وجود مرجّح لتقدیم جانب السببی علی المسبّبی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الأخذ بجانب السببی ممّا لا یلزم منه شی‌ء سوی نقض الیقین بالیقین وهو لیس بمحذور بخلاف الأخذ بجانب المسبّبی فیلزم منه إمّا التخصیص بلا مخصّص أو التخصیص علی وجه دائر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708" w:name="pg16922_187820"/>
    </w:p>
    <w:p>
      <w:pPr>
        <w:pStyle w:val="BookText"/>
        <w:rPr/>
      </w:pPr>
      <w:bookmarkEnd w:id="708"/>
      <w:r>
        <w:rPr>
          <w:rFonts w:ascii="IRNazanin" w:hAnsi="IRNazanin" w:eastAsia="IRNazanin"/>
          <w:color w:val="111111"/>
          <w:sz w:val="28"/>
          <w:sz w:val="28"/>
          <w:szCs w:val="28"/>
          <w:rtl w:val="true"/>
          <w:lang w:bidi="fa-IR"/>
        </w:rPr>
        <w:t>ویمکن أن یقال بالحکومة هنا أیضاً من باب أنّ طهارة الثوب من اللوازم الشرعیّة لطهارة الماء، بخلاف العکس؛ لأنّ نجاسة الماء لیس من اللوازم الشرعیّة لنجاسة الثوب بل إنّها من لوازمها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تتوقّف علی تعدّد الدلیل لیکون أحد الدلیلین ناظراً إلی الآخر ومفسّراً لمدلوله، فلا یعقل أن یکون دلیل واحد بالنسبة إلی تطبیقه علی فرد منه ناظراً إلی نفسه بالنسبة إلی تطبیقه علی فرد آخر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الحکومة، هی أن یکون أحد الدلیلین ناظراً إلی الآخر ومفسّراً له إمّا بمدلوله المطابقی أو التضمّنی أو الالتزامی، ولا إشکال فی أنّ هذا المعنی قد یحصل فی دلیل واحد إذ انحلّ إلی أحکام متعدّدة، فإذا کان الماء المشکوک طهارته داخلًا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 ترتیب آثار الماء الطاهر علیه، فإذا سئل من آثاره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آثاره رفع النجاسة عن الثوب المغسول به، وهذا معنی النظر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حکومة دلیل علی دلیل آخر أن یکون الدلیل الحاکم ناظراً إلی الدلیل المحکوم بمدلوله المطابقی، بل یکفی فیها أن یکون ناظراً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هذا المقدار من النظر لازم انحلال دلیل واحد إلی أحکام متعدّدة، حیث إنّ المقصود من النظر أن یکون أحدهما رافعاً لموضوع الآخر تعبّداً، وهذا حاصل بعد حصول الانحلال فی محلّ الکلام</w:t>
      </w:r>
      <w:r>
        <w:rPr>
          <w:rFonts w:eastAsia="IRNazanin" w:cs="IRNazanin"/>
          <w:color w:val="111111"/>
          <w:sz w:val="28"/>
          <w:szCs w:val="28"/>
          <w:rtl w:val="true"/>
          <w:lang w:bidi="fa-IR"/>
        </w:rPr>
        <w:t>.</w:t>
      </w:r>
    </w:p>
    <w:p>
      <w:pPr>
        <w:pStyle w:val="Heading6"/>
        <w:numPr>
          <w:ilvl w:val="5"/>
          <w:numId w:val="1"/>
        </w:numPr>
        <w:rPr/>
      </w:pPr>
      <w:bookmarkStart w:id="709" w:name="__RefHeading___Toc142111_3244359995"/>
      <w:bookmarkStart w:id="710" w:name="_Toc269"/>
      <w:bookmarkEnd w:id="709"/>
      <w:r>
        <w:rPr>
          <w:rtl w:val="true"/>
        </w:rPr>
        <w:t>تعارض الاستصحابین إذا کان أحدهما فی عرض الآخر</w:t>
      </w:r>
      <w:bookmarkEnd w:id="71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مثل استصحاب طهارة کلّ واحد من الإناءین مع العلم الإجمالی بنجاسة أحدهما، وذهب الشیخ الأعظم رحمه الله إلی عدم شمول أدلّة الاستصحاب لهما مطلقاً</w:t>
      </w:r>
      <w:r>
        <w:rPr>
          <w:rStyle w:val="FootnoteAnchor"/>
          <w:rtl w:val="true"/>
        </w:rPr>
        <w:footnoteReference w:id="3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المحقّق الخراسانی رحمه الله شمولها لهما مع سقوطهما بالتعارض، فإنّ المقتضی تامّ ولکنّ المانع وهو المخالفة العملیّة القطعیّة یمنع عن جریانهما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الشیخ الأعظم رحمه الله بأنّ جریان الاستصحاب فی ما نحن فیه یلزم منه التناقض فی دلیل الاستصحاب بین صدره وذیله، لأنّ صدره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یشمل کلا الطرفین، بینما الذیل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لأحدهما إجمالًا، لأنّ نجاسة أحدهما معلوم ومتیقّن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یلزم هذا فی أدلّة بعض الاصول الاخر کقاعدة الحلّیة، فإنّ الصدر فیها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شامل لکلا الطرفین من العلم الإجمالی، والذیل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أیضاً شامل لأحدهما المعلوم بالإجمال، وهذا یمنع عن شمول الدلیل لمحلّ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الظاهر کون المراد من الیقین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خصوص الیقین التفصیلی لا الأعمّ منه ومن الإجمالی، إذ المراد نقضه بیقین آخر متعلّق بما تعلّق به الیقین الأوّل، وإلّا لا یکون ناقضاً له، فحاصل المراد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یقین من طهارة ثوبک فلا تنقضه بالشکّ فی نجاسة الثوب بل انقضه بالیقین بنجاسته، فلا یشمل الیقین الإجمالی لعدم تعلّقه بما تعلّق به الیقین الأوّل، بل تعلّق بعنوان أحدهما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الذیل لا یراد منه إلّانفس ما ارید من الصدر، فهو توضیح وتفسیر للصدر، حیث إنّه یفهم من صدره لزوم النقض بالیقین التفصیلی بقرینة المقابلة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الشکّ هنا فی کلّ واحد من الطرفین تفصیلی فالعلم المقابل له أیضاً لابدّ أن یکون تفصیلیاً فالعلم الإجمالی خارج عن نطاقه</w:t>
      </w:r>
      <w:r>
        <w:rPr>
          <w:rFonts w:eastAsia="IRNazanin" w:cs="IRNazanin"/>
          <w:color w:val="111111"/>
          <w:sz w:val="28"/>
          <w:szCs w:val="28"/>
          <w:rtl w:val="true"/>
          <w:lang w:bidi="fa-IR"/>
        </w:rPr>
        <w:t>.</w:t>
      </w:r>
      <w:bookmarkStart w:id="711" w:name="pg16922_187822"/>
    </w:p>
    <w:p>
      <w:pPr>
        <w:pStyle w:val="BookText"/>
        <w:rPr/>
      </w:pPr>
      <w:bookmarkEnd w:id="711"/>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شمول أدلّة الاستصحاب لأطراف العلم الإجمالی تناقض الصدر والذیل، فالمانع من جریان الاصول فی أطرافه هو لزوم المخالفة القطعیّة لا غیر</w:t>
      </w:r>
      <w:r>
        <w:rPr>
          <w:rFonts w:eastAsia="IRNazanin" w:cs="IRNazanin"/>
          <w:color w:val="111111"/>
          <w:sz w:val="28"/>
          <w:szCs w:val="28"/>
          <w:rtl w:val="true"/>
          <w:lang w:bidi="fa-IR"/>
        </w:rPr>
        <w:t>.</w:t>
      </w:r>
    </w:p>
    <w:p>
      <w:pPr>
        <w:pStyle w:val="Heading5"/>
        <w:numPr>
          <w:ilvl w:val="4"/>
          <w:numId w:val="1"/>
        </w:numPr>
        <w:rPr/>
      </w:pPr>
      <w:bookmarkStart w:id="712" w:name="__RefHeading___Toc142113_3244359995"/>
      <w:bookmarkStart w:id="713" w:name="_Toc270"/>
      <w:bookmarkEnd w:id="712"/>
      <w:r>
        <w:rPr/>
        <w:t>17</w:t>
      </w:r>
      <w:r>
        <w:rPr>
          <w:rtl w:val="true"/>
        </w:rPr>
        <w:t xml:space="preserve">. </w:t>
      </w:r>
      <w:r>
        <w:rPr>
          <w:rtl w:val="true"/>
        </w:rPr>
        <w:t>نسبة الاستصحاب مع القواعد الجاریة فی الشبهات الموضوعیّة</w:t>
      </w:r>
      <w:bookmarkEnd w:id="713"/>
    </w:p>
    <w:p>
      <w:pPr>
        <w:pStyle w:val="BookText"/>
        <w:rPr/>
      </w:pPr>
      <w:r>
        <w:rPr>
          <w:rFonts w:ascii="IRNazanin" w:hAnsi="IRNazanin" w:eastAsia="IRNazanin"/>
          <w:color w:val="111111"/>
          <w:sz w:val="28"/>
          <w:sz w:val="28"/>
          <w:szCs w:val="28"/>
          <w:rtl w:val="true"/>
          <w:lang w:bidi="fa-IR"/>
        </w:rPr>
        <w:t>وذلک مثل قاعدة التجاوز، والفراغ، وأصالة الصحّة، وقاعدة الید، والقرعة، ولا إشکال فی وجوب تقدیم هذه القواعد علی الاستصحاب، وإنّما الکلام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رحمه الله بأنّ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أخصّیة دلیلها من دلیل الاستصحاب، وکون النسبة بینه وبین بعضها عموماً من وجه لا یمنع عن تخصیصه بها،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التفصیل فی جریان هذه القواعد بین موارد جریان الاستصحاب وغیرها، فکما أنّه یعمل بأصالة الصحّة مثلًا فیما لا یکون فی موردها استصحاب الفساد، فکذلک یعمل بها فیما إذا کان هناک استصحاب علی خلافها، مثلًا إذا کان الثوب نجساً وغسله مسلم وشککنا فی صحّة تطهیره فقاعدة حمل فعل المسلم علی الصحّة تمنع عن جریان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افتراقها عن الاستصحاب نادر جدّاً، فلو خصّصناها بالاستصحاب وجعلنا مورد الاجتماع تحت الاستصحاب لزم التخصیص المستهجن بلا إشکال، بخلاف ما إذا خصّصنا الاستصحاب بها وجعلنا مورد الاجتماع تحتها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من هذین الوجهین هو الوجه الثانی؛ لأنّ الإجماع فی مثل هذه الموارد لا أقلّ من کونه محتمل المدرک، فظهر ممّا ذکر أنّ الوجه فی تقدیم القواعد علی الاستصحاب قلّة موارد الافتراق فتقدّم علیه من باب تقدیم الخاصّ علی العامّ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حلّ المسألة من طریق آخر وهو أنّه لا شکّ فی أنّ هذه القواعد کلّها من</w:t>
      </w:r>
      <w:bookmarkStart w:id="714" w:name="pg16922_187823"/>
    </w:p>
    <w:p>
      <w:pPr>
        <w:pStyle w:val="BookText"/>
        <w:rPr/>
      </w:pPr>
      <w:bookmarkEnd w:id="714"/>
      <w:r>
        <w:rPr>
          <w:rFonts w:ascii="IRNazanin" w:hAnsi="IRNazanin" w:eastAsia="IRNazanin"/>
          <w:color w:val="111111"/>
          <w:sz w:val="28"/>
          <w:sz w:val="28"/>
          <w:szCs w:val="28"/>
          <w:rtl w:val="true"/>
          <w:lang w:bidi="fa-IR"/>
        </w:rPr>
        <w:t>الأمارات، فإذن کان وجه تقدیمها علی الاستصحاب، وجه تقدیم سائر الأمارات علیه بعینه، وهو کون أدلّتها واردة علی أدلّة الاستصحاب أو حاکمة علیها ببیان مرّ تفصیله، ولا إشکال فی أماریة هذه القواعد فتکون واردة علی الاستصحاب، ولا أقلّ من کونها حاکمة علیها کما هو مقتضی بعض أدلّتها کقوله علیه السلام فی مورد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أی أنّک علی یقین من إتیان الرکوع فلا تعتن بشکّک وامض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النسبة بین الاستصحاب والقواعد المذکورة غیر القرعة</w:t>
      </w:r>
      <w:r>
        <w:rPr>
          <w:rFonts w:eastAsia="IRNazanin" w:cs="IRNazanin"/>
          <w:color w:val="111111"/>
          <w:sz w:val="28"/>
          <w:szCs w:val="28"/>
          <w:rtl w:val="true"/>
          <w:lang w:bidi="fa-IR"/>
        </w:rPr>
        <w:t>.</w:t>
      </w:r>
    </w:p>
    <w:p>
      <w:pPr>
        <w:pStyle w:val="Heading5"/>
        <w:numPr>
          <w:ilvl w:val="4"/>
          <w:numId w:val="1"/>
        </w:numPr>
        <w:rPr/>
      </w:pPr>
      <w:bookmarkStart w:id="715" w:name="__RefHeading___Toc142115_3244359995"/>
      <w:bookmarkStart w:id="716" w:name="_Toc271"/>
      <w:bookmarkEnd w:id="715"/>
      <w:r>
        <w:rPr>
          <w:rtl w:val="true"/>
        </w:rPr>
        <w:t>وجه تقدیم الاستصحاب علی القرعة</w:t>
      </w:r>
      <w:bookmarkEnd w:id="716"/>
    </w:p>
    <w:p>
      <w:pPr>
        <w:pStyle w:val="BookText"/>
        <w:rPr/>
      </w:pPr>
      <w:r>
        <w:rPr>
          <w:rFonts w:ascii="IRNazanin" w:hAnsi="IRNazanin" w:eastAsia="IRNazanin"/>
          <w:color w:val="111111"/>
          <w:sz w:val="28"/>
          <w:sz w:val="28"/>
          <w:szCs w:val="28"/>
          <w:rtl w:val="true"/>
          <w:lang w:bidi="fa-IR"/>
        </w:rPr>
        <w:t>حاصل ما أفاده المحقّق الخراسانی رحمه الله فی وجه تقدیمه علی القرعة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أخصّ من دلیل القرعة لأنّ الاستصحاب ممّا یعتبر فیه سبق الحالة السابقة دون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الاستصحاب والقرعة هی العموم من وجه؛ لأنّ الاستصحاب أخصّ من القرعة لاعتبار سبق الحالة السابقة فیه والقرعة أیضاً أخصّ من الاستصحاب لاختصاصها بالشبهات الموضوعیّة بالإجماع بل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 نسبتهما قبل تخصیص أحدهما بشی‌ء، فتخصیص القرعة بالشبهات الموضوعیّة بالإجماع والضرورة لا یوجب خصوصیّة فی جانبها بعد عموم دلیلها بحسب اللفظ</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دلیل القرعة موهون بکثرة تخصیصه حتّی صار العمل به فی مورد محتاجاً إلی الجبر بعمل الأصحاب بخلاف الاستصحاب فیکون عمومه باقیاً علی قوّته فیقدّم علی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جریان القرعة کون الشی‌ء مشکلًا بقول مطلق؛ أی واقعاً وظاهراً، لا فی الجملة، ودلیل الاستصحاب یرفع الشبهة فیکون وارداً علی دلیل القرعة و رافعاً لموضوعه ظاهراً، وهذا یکفی لتقدّم الاستصحاب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عدم تمامیة الوجه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دلیل القرعة لیس عامّاً من أوّل الأمر، لأنّ الإرتکاز العقلائی والمتشرّعی الموجود علی اختصاصها بالشبهات الموضوعیّة یوجب انصرافها إلی الشبهات الموضوعیّة من أوّل الأمر، فدلیل القرعة أخصّ من دلیل الاستصحاب بناء علی القول بجریان الاستصحاب فی الشبهات الموضوعیّة والحکمیّة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لم تخصّص فی مورد فضلًا عن کونها موهونة بکثرة التخصیصات؛ لأنّ موضوعها کلّ أمر مجهول، وهو لا یعنی کلّ أمر مشکوک، بل إنّما هو بمعنی سدّ جمیع الأبواب والطرق، کما هو کذلک فی مثل ولد الشبهة أو الغنم الموطوءة وغیرهما ممّا ورد فی أحادیث الباب، ففی مورد المثال الأوّل لا بیّنة تعیّن بها خصوص الموطوءة، ولا استصحاب لعدم سبق الحالة السابقة، ولا تجری أصالة الاحتیاط للزوم الضرر العظیم بترک قطیع الغنم کلّها، وفی مثال ولد الشبهة لا طریق لإحراز أمر الولد وتخییر القاضی مظنّة التشاحّ والتنازع، فلا یبقی طریق إلّا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إنّما تجری فی موارد لا یبقی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الأمارات والاصول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المشکلة إلّاالقرعة، فالصحیح فی المقام هو الوجه الثالث؛ من أنّ أدلّة الاستصحاب واردة علی أدلّة القرعة لأنّ بها یرتفع المجهول موضوعاً، کما أنّها کذلک بالنسبة إلی أدلّة سائر الاصول وجمیع الأمارات والقواعد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شیخنا الأعظم رحمه الله قد فرّق بین الاصول الشرعیّة کالاستصحاب وبین الاصول العقلیّة، فقال بورود الاصول الشرعیّة علی القرعة خلافاً للُاصول العقلیّة</w:t>
      </w:r>
    </w:p>
    <w:p>
      <w:pPr>
        <w:pStyle w:val="BookText"/>
        <w:rPr/>
      </w:pPr>
      <w:r>
        <w:rPr>
          <w:rFonts w:ascii="IRNazanin" w:hAnsi="IRNazanin" w:eastAsia="IRNazanin"/>
          <w:color w:val="111111"/>
          <w:sz w:val="28"/>
          <w:sz w:val="28"/>
          <w:szCs w:val="28"/>
          <w:rtl w:val="true"/>
          <w:lang w:bidi="fa-IR"/>
        </w:rPr>
        <w:t xml:space="preserve">کالبراءة العقلیّة فإنّ القرعة واردة علیها لأنّ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والقرعة بیان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ذکرنا ظهر ضعف هذا الکلام؛ لأنّ موضوع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المجهول المطلق الذی لا طریق لحلّه، وهو لیس حاصلًا حتّی فی موارد البراءة والاحتیاط العقلیین، ولذلک لا یتمسّک حتّی الشیخ رحمه الله نفسه بدلیل القرعة فی أطراف العلم الإجمالی، مع أنّ وجوب الاحتیاط فیها من الاصول العقلیّة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وتمام الکلام فی قاعدة القرعة یطلب من محلّه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717" w:name="pg16922_187827"/>
    </w:p>
    <w:p>
      <w:pPr>
        <w:pStyle w:val="Heading3"/>
        <w:numPr>
          <w:ilvl w:val="2"/>
          <w:numId w:val="1"/>
        </w:numPr>
        <w:rPr/>
      </w:pPr>
      <w:bookmarkStart w:id="718" w:name="__RefHeading___Toc142117_3244359995"/>
      <w:bookmarkStart w:id="719" w:name="_Toc272"/>
      <w:bookmarkEnd w:id="717"/>
      <w:bookmarkEnd w:id="718"/>
      <w:r>
        <w:rPr>
          <w:rtl w:val="true"/>
        </w:rPr>
        <w:t>الخاتمة</w:t>
      </w:r>
      <w:r>
        <w:rPr>
          <w:rtl w:val="true"/>
        </w:rPr>
        <w:t xml:space="preserve">: </w:t>
      </w:r>
      <w:r>
        <w:rPr>
          <w:rtl w:val="true"/>
        </w:rPr>
        <w:t>شرایط جریان الأصول</w:t>
      </w:r>
      <w:bookmarkEnd w:id="719"/>
    </w:p>
    <w:p>
      <w:pPr>
        <w:pStyle w:val="Heading4"/>
        <w:numPr>
          <w:ilvl w:val="3"/>
          <w:numId w:val="1"/>
        </w:numPr>
        <w:rPr/>
      </w:pPr>
      <w:bookmarkStart w:id="720" w:name="__RefHeading___Toc142119_3244359995"/>
      <w:bookmarkStart w:id="721" w:name="_Toc273"/>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والبحث عنها یقع فی مقامین</w:t>
      </w:r>
      <w:r>
        <w:rPr>
          <w:rFonts w:eastAsia="IRNazanin" w:cs="IRNazanin"/>
          <w:color w:val="111111"/>
          <w:sz w:val="28"/>
          <w:szCs w:val="28"/>
          <w:rtl w:val="true"/>
          <w:lang w:bidi="fa-IR"/>
        </w:rPr>
        <w:t>:</w:t>
      </w:r>
    </w:p>
    <w:p>
      <w:pPr>
        <w:pStyle w:val="Heading4"/>
        <w:numPr>
          <w:ilvl w:val="3"/>
          <w:numId w:val="1"/>
        </w:numPr>
        <w:rPr/>
      </w:pPr>
      <w:bookmarkStart w:id="722" w:name="__RefHeading___Toc142121_3244359995"/>
      <w:bookmarkStart w:id="723" w:name="_Toc274"/>
      <w:bookmarkEnd w:id="722"/>
      <w:r>
        <w:rPr>
          <w:rtl w:val="true"/>
        </w:rPr>
        <w:t>المقام الأوّل</w:t>
      </w:r>
      <w:r>
        <w:rPr>
          <w:rtl w:val="true"/>
        </w:rPr>
        <w:t xml:space="preserve">: </w:t>
      </w:r>
      <w:r>
        <w:rPr>
          <w:rtl w:val="true"/>
        </w:rPr>
        <w:t>فی شرائط جریان أصالة الاحتیاط</w:t>
      </w:r>
      <w:bookmarkEnd w:id="723"/>
    </w:p>
    <w:p>
      <w:pPr>
        <w:pStyle w:val="Heading5"/>
        <w:numPr>
          <w:ilvl w:val="4"/>
          <w:numId w:val="1"/>
        </w:numPr>
        <w:rPr/>
      </w:pPr>
      <w:bookmarkStart w:id="724" w:name="__RefHeading___Toc142123_3244359995"/>
      <w:bookmarkStart w:id="725" w:name="_Toc275"/>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ذهب المحقّق الخراسانی رحمه الله إلی أنّه لا یعتبر فی حسن الاحتیاط شی‌ء أصلًا، بل هو حسن علی کلّ حال، إلّاإذا کان موجباً لاختلال النظام، ولا تفاوت فیه بین المعاملات والعبادات مطلقاً ولو کان موجباً للتکرار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التکرار عبث لا یترتّب علیه غرض عقلائی ولعب بأمر المولی، وهو ینافی قصد الإمتثال المعتبر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العبثیة فلا تصلح لأن تکون مانعة عن حسن الاحتیاط المستلزم لتکرار العبادة لکونها أخصّ من المدّعی، لإمکان نشوء التکرار عن غرض عقلائی، کما إذا کان فی تحصیل العلم التفصیلی بالامتثال مشقّة وکلفة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 لعباً بأمر المولی ومنافیاً مع قصد الإمتثال،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القربة المعتبرة فی العبادة هو إتیان الفعل بداعی أمر المولی، فلو أتی بهذا الداعی فقد أدّی وظیفته وإن لم یکن التکرار ناشئاً من غرض عقلائی وکان لاعباً فی کیفیّة الإمتثال،</w:t>
      </w:r>
    </w:p>
    <w:p>
      <w:pPr>
        <w:pStyle w:val="BookText"/>
        <w:rPr/>
      </w:pPr>
      <w:r>
        <w:rPr>
          <w:rFonts w:ascii="IRNazanin" w:hAnsi="IRNazanin" w:eastAsia="IRNazanin"/>
          <w:color w:val="111111"/>
          <w:sz w:val="28"/>
          <w:sz w:val="28"/>
          <w:szCs w:val="28"/>
          <w:rtl w:val="true"/>
          <w:lang w:bidi="fa-IR"/>
        </w:rPr>
        <w:t xml:space="preserve">لأنّ المنافی إنّما هو اللعب فی أصل الإمتثال لا فی کیفیّته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التکرار لیس منحصراً فی اللغویة، بل من الإشکالات دعوی الإجماع علی حرمة التکرار، خصوصاً بعد ملاحظة عدم کونه مأنوساً فی الشرع المقدّس باستثناء موارد شاذّة، کما إذا اشتبهت القبلة بین الجهات الأربع، والمعروف فیها تکرار الصلاة إلی الجهات الأربع، وإن کان المختار فیها أیضاً عدم وجوب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اللعب فی الکیفیة واللعب فی أصل العمل لاتّحادهما خارجاً، والاتّحاد یوجب سرایة القبح من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حسن الاحتیاط حتّی فیما إذا قامت أمارة علی الترخیص، بل لعلّ الدلیل علی الخلاف کما مرّ، حیث إنّ دیدن الأئمّة وسیرة أصحابهم علی العمل بالأمارات الترخیصیة وترک الاحتیاط فیها ولو لم یلزم منه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لابدّ فی المقام من ملاحظة موارد وجوب الاحتیاط وهی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الشبهات الحکمیّة قبل الفحص ولا إشکال فی وجوب الاحتیاط فیه من دون شرط، وسیأتی البحث عنه فی بیان شرائط جریان أصالة البراءة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أطراف العلم الإجمالی، وهو مشروط بشرائط مرّ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الشبهة محصورة،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تمام الأطراف محلًاّ للابتلاء،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واحد من الأطراف مضطرّاً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الیقین بالاشتغال الذی یقتضی البراءة الیقینیة، ولا إشکال أیضاً فی وجوب الاحتیاط فیه بلا شرط، إلّاإذا أوجب طروّ عنوان ثانوی کالعسر والحرج</w:t>
      </w:r>
      <w:r>
        <w:rPr>
          <w:rFonts w:eastAsia="IRNazanin" w:cs="IRNazanin"/>
          <w:color w:val="111111"/>
          <w:sz w:val="28"/>
          <w:szCs w:val="28"/>
          <w:rtl w:val="true"/>
          <w:lang w:bidi="fa-IR"/>
        </w:rPr>
        <w:t>.</w:t>
      </w:r>
      <w:bookmarkStart w:id="726" w:name="pg16922_187829"/>
    </w:p>
    <w:p>
      <w:pPr>
        <w:pStyle w:val="Heading5"/>
        <w:numPr>
          <w:ilvl w:val="4"/>
          <w:numId w:val="1"/>
        </w:numPr>
        <w:rPr/>
      </w:pPr>
      <w:bookmarkStart w:id="727" w:name="__RefHeading___Toc142125_3244359995"/>
      <w:bookmarkStart w:id="728" w:name="_Toc276"/>
      <w:bookmarkEnd w:id="726"/>
      <w:bookmarkEnd w:id="727"/>
      <w:r>
        <w:rPr>
          <w:rtl w:val="true"/>
        </w:rPr>
        <w:t>جواز العمل بالاحتیاط مع إمکان الاجتهاد أو التقلید</w:t>
      </w:r>
      <w:bookmarkEnd w:id="728"/>
    </w:p>
    <w:p>
      <w:pPr>
        <w:pStyle w:val="BookText"/>
        <w:rPr/>
      </w:pPr>
      <w:r>
        <w:rPr>
          <w:rFonts w:ascii="IRNazanin" w:hAnsi="IRNazanin" w:eastAsia="IRNazanin"/>
          <w:color w:val="111111"/>
          <w:sz w:val="28"/>
          <w:sz w:val="28"/>
          <w:szCs w:val="28"/>
          <w:rtl w:val="true"/>
          <w:lang w:bidi="fa-IR"/>
        </w:rPr>
        <w:t>المشهور بین المتقدّمین من أصحابنا عدم جواز العمل بالاحتیاط مع إمکان الاجتهاد أو التقلید وخالفهم فی ذلک المتأخّرون وذهبوا إلی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القائلون بعدم الجواز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السؤال</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الظاهر فی وجوب تحصیل العلم أو وجوب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تحصیل العلم أو وجوب السؤال طریقی لا دلیل علی کونه نفسیاً إلّافی باب اصول الدین، حیث لابدّ فیه من تحصیل العلم التفصیلی ولا یمکن فیه الجمع بین الأدیان المختلفة، لأنّ الموضوع فیه هو العقد القلبی والاعتقاد، وهو لا یحصل إلّابالعلم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هنا محتمل المدرک، ولعلّ مدرکه نفس الآیتین وأشباههما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کیفیّة الإطاعة والعمل من تبعیة حکم العقل، والعقل لا یری عمل المحتاط القادر علی الاجتهاد أو التقلید 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دعوی بلا دلیل؛ لأنّ المقصود من الإطاعة هو إتیان المأمور به جامعاً للشرائط، وهو حاصل بالاحتیاط ولو بتکرار العمل أیضاً، لعدم اعتبار قصد الوجه والجزم فی النیّة، وعدم المنافاة بینه وبین قصد القربة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یخفی أنّ العمل بالاحتیاط لیس شیئاً مقدوراً لکلّ أحد، بل لابدّ فیه من تشخیص مواضعه وکیفیة أدائه، فیجب أن یکون المحتاط إمّا من أهل العلم والاطلاع، أو یقتدی لمن یکون من أهله وهو مشکل، فالطریق الوحید لغالب الناس هو العمل بالتقلید علی فرض عدم الاجتهاد</w:t>
      </w:r>
      <w:r>
        <w:rPr>
          <w:rFonts w:eastAsia="IRNazanin" w:cs="IRNazanin"/>
          <w:color w:val="111111"/>
          <w:sz w:val="28"/>
          <w:szCs w:val="28"/>
          <w:rtl w:val="true"/>
          <w:lang w:bidi="fa-IR"/>
        </w:rPr>
        <w:t>.</w:t>
      </w:r>
      <w:bookmarkStart w:id="729" w:name="pg16922_187830"/>
    </w:p>
    <w:p>
      <w:pPr>
        <w:pStyle w:val="Heading4"/>
        <w:numPr>
          <w:ilvl w:val="3"/>
          <w:numId w:val="1"/>
        </w:numPr>
        <w:rPr/>
      </w:pPr>
      <w:bookmarkStart w:id="730" w:name="__RefHeading___Toc142127_3244359995"/>
      <w:bookmarkStart w:id="731" w:name="_Toc277"/>
      <w:bookmarkEnd w:id="729"/>
      <w:bookmarkEnd w:id="730"/>
      <w:r>
        <w:rPr>
          <w:rtl w:val="true"/>
        </w:rPr>
        <w:t>المقام الثانی</w:t>
      </w:r>
      <w:r>
        <w:rPr>
          <w:rtl w:val="true"/>
        </w:rPr>
        <w:t xml:space="preserve">: </w:t>
      </w:r>
      <w:r>
        <w:rPr>
          <w:rtl w:val="true"/>
        </w:rPr>
        <w:t>فی شرائط جریان سائر الأصول</w:t>
      </w:r>
      <w:bookmarkEnd w:id="731"/>
    </w:p>
    <w:p>
      <w:pPr>
        <w:pStyle w:val="Heading5"/>
        <w:numPr>
          <w:ilvl w:val="4"/>
          <w:numId w:val="1"/>
        </w:numPr>
        <w:rPr/>
      </w:pPr>
      <w:bookmarkStart w:id="732" w:name="__RefHeading___Toc142129_3244359995"/>
      <w:bookmarkStart w:id="733" w:name="_Toc278"/>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والکلام فیه یقع تارة فی الشبهة الحکمیّة واخری فی الشبهة الموضوعیّة</w:t>
      </w:r>
      <w:r>
        <w:rPr>
          <w:rFonts w:eastAsia="IRNazanin" w:cs="IRNazanin"/>
          <w:color w:val="111111"/>
          <w:sz w:val="28"/>
          <w:szCs w:val="28"/>
          <w:rtl w:val="true"/>
          <w:lang w:bidi="fa-IR"/>
        </w:rPr>
        <w:t>.</w:t>
      </w:r>
    </w:p>
    <w:p>
      <w:pPr>
        <w:pStyle w:val="Heading5"/>
        <w:numPr>
          <w:ilvl w:val="4"/>
          <w:numId w:val="1"/>
        </w:numPr>
        <w:rPr/>
      </w:pPr>
      <w:bookmarkStart w:id="734" w:name="__RefHeading___Toc142131_3244359995"/>
      <w:bookmarkStart w:id="735" w:name="_Toc279"/>
      <w:bookmarkEnd w:id="734"/>
      <w:r>
        <w:rPr>
          <w:rtl w:val="true"/>
        </w:rPr>
        <w:t>المورد الأوّل</w:t>
      </w:r>
      <w:r>
        <w:rPr>
          <w:rtl w:val="true"/>
        </w:rPr>
        <w:t xml:space="preserve">: </w:t>
      </w:r>
      <w:r>
        <w:rPr>
          <w:rtl w:val="true"/>
        </w:rPr>
        <w:t>الشبهات الموضوعیّة</w:t>
      </w:r>
      <w:bookmarkEnd w:id="735"/>
    </w:p>
    <w:p>
      <w:pPr>
        <w:pStyle w:val="BookText"/>
        <w:rPr/>
      </w:pPr>
      <w:r>
        <w:rPr>
          <w:rFonts w:ascii="IRNazanin" w:hAnsi="IRNazanin" w:eastAsia="IRNazanin"/>
          <w:color w:val="111111"/>
          <w:sz w:val="28"/>
          <w:sz w:val="28"/>
          <w:szCs w:val="28"/>
          <w:rtl w:val="true"/>
          <w:lang w:bidi="fa-IR"/>
        </w:rPr>
        <w:t>فبالنسبة إلی أصالة البراءة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البراءة العقلیّة التفحّص عن مظانّ أحکام المولی ثمّ إجرائها بعد الیأس عن الظفر بها، لأنّها عبارة عن قاعدة قبح العقاب بلا بیان، والمراد من البیان إنّما هو البیان فی مظانّه، حیث إنّه لا یشترط فیه الإبلاغ إلی کلّ أحد، فهو فی مثل المعاهد والمنظّمات یتحقّق بنصب الأمر الإداری علی لوحة الإعلانات أو إیراده فی جریدة رسمیة، ولا یجوز جریان البراءة إلّابعد الفحص عن تلک اللوحة وهذه الجریدة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المولی إنّما هو بیان تکلیفه وإبلاغه بنحو متعارف، ووظیفة العبد هو الفحص عن بیان المولی فی مظانّه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البراءة العقلیّة، وکذلک فیما إذا قلنا بالبراءة العقلائیّة کما هو المختار؛ لأنّ العقلاء أیضاً لا یجرون البراءة ولا یحکمون ببراءة ذمّة العبد إلّابعد فحصه عن مظانّ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أدلّتها لفظیة کحدیث الرفع، وهی بظاهرها مطلقة، فمقتضی إطلاقها جواز إجراء البراءة ولو قبل الفحص، فلابدّ فی رفع الید عن هذا الإطلاق وتقییده بما بعد الفحص من دلیل علی التقیید، ولذلک ذکر الأصحاب وجوهاً للتقیید والتامّ منها 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یدلّ علی وجوب تحصیل العلم الذی لازمه وجوب الفحص کآیتی السؤال والنفر والروایات الکثیرة الدالّة علی ذلک بشکل عامّ مثل ما رواه مسعدة بن زیاد قال سمعت جعفر بن محمّد علیه السلام وقد سئل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للعبد یوم القیامة عبدی کنت عالماً؟ فإن قال نعم،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فیخصمه فتلک الحجّة البالغة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روایات خاصّة تدلّ علی وجوب تحصیل العلم ووجوب الفحص، وهی عدیدة منها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وهما محرمان، الجزاء بینهما أو علی کلّ واحد منهما جزاء؟ إلی أن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هذه الروایات وأشباهها أنّ وجوب الفحص فی الشبهات الحکمیّة أمر مفروغ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حدیث الرفع وسائر أدلّة البراءة لا تعمّ ما قبل الفحص؛ لأنّ لازمه الإغراء علی الجهل، فهی منصرفة عن موارد القدرة علی الفحص؛ وحینئذٍ لا یوجد دلیل علی البراءة قبل الفحص حتّی یقال بجریانها قبله، فلا نحتاج إلی محاولة إقامة الدلیل لتخصیص إطلاقات أدلّة الأحکام بما بعد الفحص، بل یکفی مجرّد عدم وجود دلیل مطلق علی البراءة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فیها أیضاً اعتبار وجوب الفحص؛ لأنّه لا شبهة فی قیام الإجماع وضرورة الفقه علی وجوب الفحص عن وجود دلیل الترجیح عند دوران الأمر بین الوجوب والحرمة، ویدلّ علیه أیضاً آیتا السؤال والنفر، لشمولهما موارد الدوران بین المحذورین فی الشبهات الحکمیّة أیضاً، وهکذا الروایات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حکم العقل؛ لأنّ العقل یحکم بالتخییر للمکلّف المتحیّر، والتحیّر المستقرّ إنّما یحصل بعد الفحص وعدم الظفر بالدلیل</w:t>
      </w:r>
      <w:r>
        <w:rPr>
          <w:rFonts w:eastAsia="IRNazanin" w:cs="IRNazanin"/>
          <w:color w:val="111111"/>
          <w:sz w:val="28"/>
          <w:szCs w:val="28"/>
          <w:rtl w:val="true"/>
          <w:lang w:bidi="fa-IR"/>
        </w:rPr>
        <w:t>.</w:t>
      </w:r>
      <w:bookmarkStart w:id="736" w:name="pg16922_187832"/>
    </w:p>
    <w:p>
      <w:pPr>
        <w:pStyle w:val="BookText"/>
        <w:rPr/>
      </w:pPr>
      <w:bookmarkEnd w:id="736"/>
      <w:r>
        <w:rPr>
          <w:rFonts w:ascii="IRNazanin" w:hAnsi="IRNazanin" w:eastAsia="IRNazanin"/>
          <w:color w:val="111111"/>
          <w:sz w:val="28"/>
          <w:sz w:val="28"/>
          <w:szCs w:val="28"/>
          <w:rtl w:val="true"/>
          <w:lang w:bidi="fa-IR"/>
        </w:rPr>
        <w:t>وأمّا أصالة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شموله للشبهات الحکمیّة، منصرف إلی ما بعد الفحص کما لا یخفی</w:t>
      </w:r>
      <w:r>
        <w:rPr>
          <w:rFonts w:eastAsia="IRNazanin" w:cs="IRNazanin"/>
          <w:color w:val="111111"/>
          <w:sz w:val="28"/>
          <w:szCs w:val="28"/>
          <w:rtl w:val="true"/>
          <w:lang w:bidi="fa-IR"/>
        </w:rPr>
        <w:t>.</w:t>
      </w:r>
    </w:p>
    <w:p>
      <w:pPr>
        <w:pStyle w:val="Heading5"/>
        <w:numPr>
          <w:ilvl w:val="4"/>
          <w:numId w:val="1"/>
        </w:numPr>
        <w:rPr/>
      </w:pPr>
      <w:bookmarkStart w:id="737" w:name="__RefHeading___Toc142133_3244359995"/>
      <w:bookmarkStart w:id="738" w:name="_Toc280"/>
      <w:bookmarkEnd w:id="737"/>
      <w:r>
        <w:rPr>
          <w:rtl w:val="true"/>
        </w:rPr>
        <w:t>فی مقدار الواجب من الفحص</w:t>
      </w:r>
      <w:bookmarkEnd w:id="738"/>
    </w:p>
    <w:p>
      <w:pPr>
        <w:pStyle w:val="BookText"/>
        <w:rPr/>
      </w:pPr>
      <w:r>
        <w:rPr>
          <w:rFonts w:ascii="IRNazanin" w:hAnsi="IRNazanin" w:eastAsia="IRNazanin"/>
          <w:color w:val="111111"/>
          <w:sz w:val="28"/>
          <w:sz w:val="28"/>
          <w:szCs w:val="28"/>
          <w:rtl w:val="true"/>
          <w:lang w:bidi="fa-IR"/>
        </w:rPr>
        <w:t>یمکن أن یقال بعد ملاحظة مجموع الأدلّة أنّه یکفی الفحص عن المخصّصات وشبهها عن مظانّها، ولو انحلّ العلم الإجمالی، بل هذا هو المعمول بین العقلاء من أهل العرف بالنسبة إلی قوانینهم، وممّا یوجب سهولة الأمر فی ذلک أنّ علماءنا المتقدّمین قدس سرهم بذلوا جهدهم فی سبیل تبویب الأحادیث الفقهیّة ووضع الجوامع لها، کما أنّ الفقهاء الذین جاؤوا بعدهم بذلوا الجهد فی الفحص عن الأحادیث المرتبطة بکلّ مسألة فقهیّة، وأودعوها فی کتبهم الاستدلالیة، ولذا یمکن الفحص بالمقدار اللازم للفقیه فی عصرنا هذا مع بذل الجهد فی الکتب المعتبرة المتوفّرة، فشکر اللَّه سعیهم وأجزل ثوابهم، وجزاهم عنّا وعن الإسلام خیر الجزاء</w:t>
      </w:r>
      <w:r>
        <w:rPr>
          <w:rFonts w:eastAsia="IRNazanin" w:cs="IRNazanin"/>
          <w:color w:val="111111"/>
          <w:sz w:val="28"/>
          <w:szCs w:val="28"/>
          <w:rtl w:val="true"/>
          <w:lang w:bidi="fa-IR"/>
        </w:rPr>
        <w:t>.</w:t>
      </w:r>
    </w:p>
    <w:p>
      <w:pPr>
        <w:pStyle w:val="Heading5"/>
        <w:numPr>
          <w:ilvl w:val="4"/>
          <w:numId w:val="1"/>
        </w:numPr>
        <w:rPr/>
      </w:pPr>
      <w:bookmarkStart w:id="739" w:name="__RefHeading___Toc142135_3244359995"/>
      <w:bookmarkStart w:id="740" w:name="_Toc281"/>
      <w:bookmarkEnd w:id="739"/>
      <w:r>
        <w:rPr>
          <w:rtl w:val="true"/>
        </w:rPr>
        <w:t>المورد الثانی</w:t>
      </w:r>
      <w:r>
        <w:rPr>
          <w:rtl w:val="true"/>
        </w:rPr>
        <w:t xml:space="preserve">: </w:t>
      </w:r>
      <w:r>
        <w:rPr>
          <w:rtl w:val="true"/>
        </w:rPr>
        <w:t>الفحص فی الشبهات الموضوعیّة</w:t>
      </w:r>
      <w:bookmarkEnd w:id="740"/>
    </w:p>
    <w:p>
      <w:pPr>
        <w:pStyle w:val="BookText"/>
        <w:rPr/>
      </w:pPr>
      <w:r>
        <w:rPr>
          <w:rFonts w:ascii="IRNazanin" w:hAnsi="IRNazanin" w:eastAsia="IRNazanin"/>
          <w:color w:val="111111"/>
          <w:sz w:val="28"/>
          <w:sz w:val="28"/>
          <w:szCs w:val="28"/>
          <w:rtl w:val="true"/>
          <w:lang w:bidi="fa-IR"/>
        </w:rPr>
        <w:t>المشهور عدم لزوم الفحص فیها؛ سواء کانت الشبهة وجوبیّة أو تحریمیّة، وسواء فی البراءة العقلیّة أو البراءة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فی المسألة هو التفصیل بین موارد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تکون ممّا احرز اهتمام الشارع به جدّاً کما فی الدماء والفروج ونجاة نفوس المؤمنین عن الهلاک ونحوها فلا تجری البراءة فیها، حتّی بعد الفحص بحدّ الیأس إذا کانت الشبهة باقیة علی حالها، فإذا احتمل أنّ هذا سمّ قاتل بمجرّد شربه لم یجز شربه ولم تجر البراءة حتّی بعد الفحص إذا بقیت الشبهة علی حالها، هذا بالنسبة إلی البراءة النقلیة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البراءة العقلیّة، فإنّها لا تجری فی مثل هذه الامور المهمّة بناءً علی مبنی</w:t>
      </w:r>
      <w:bookmarkStart w:id="741" w:name="pg16922_187833"/>
    </w:p>
    <w:p>
      <w:pPr>
        <w:pStyle w:val="BookText"/>
        <w:rPr/>
      </w:pPr>
      <w:bookmarkEnd w:id="741"/>
      <w:r>
        <w:rPr>
          <w:rFonts w:ascii="IRNazanin" w:hAnsi="IRNazanin" w:eastAsia="IRNazanin"/>
          <w:color w:val="111111"/>
          <w:sz w:val="28"/>
          <w:sz w:val="28"/>
          <w:szCs w:val="28"/>
          <w:rtl w:val="true"/>
          <w:lang w:bidi="fa-IR"/>
        </w:rPr>
        <w:t>المشهور فضلًا عن المبنی المختار من عدم کون قاعدة قبح العقاب بلا بیان قاعدة عقلیّة بل العقل یحکم بالاحتیاط مطلقاً، وأمّا بناء العقلاء فکذلک، حیث لا إشکال فی أنّ بناءهم علی الاحتیاط فی الامور المهمّة، وحینئذٍ لا ریب فی أنّه باستکشاف وجوب الاحتیاط شرعاً فی مثل هذه الامور المهمّة من شدّة اهتمام الشارع بها یقیّد إطلاقات أدلّة البراءة الشرعیّة لو سلّم إطلاقها وعدم انصرافها عن مثل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المورد ممّا یحصل العلم فیه بأدنی فحص ونظر، فیحصل مثلًا بالمراجعة إلی دفتره الخاصّ لیری أنّه مدیون لزید مثلًا أو لا، فلا إشکال فی أنّ بناء العقلاء علی وجوب الفحص والتأمّل فی مثل هذه الامور أیضاً، ولا یجوز الأخذ ببراءة الذمّة عند الشکّ من دون 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المورد المشکوک من الموارد الّتی تقتضی ذاتاً الفحص والاختبار، ویکون ممّا لا یعلم غالباً إلّابالفحص والمراجعة، کأنّ الأمر به شرعاً مستلزم عرفاً لوجوب الفحص عنه وإلّا لم یمتثل إلّانادراً، کما فی الشکّ فی بلوغ المال بحدّ الاستطاعة أو النصاب للزکاة، وکذا فی أرباح المکاسب وشبهها، فلا ینبغی الإشکال أیضاً فی وجوب الفحص، وقد جرت سیرة العقلاء فی أوامرهم ونواهیهم فی أمثال ذلک علی الفحص، ولم یمنع عنه الشارع فلا إشکال أیضاً فی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 یکون المورد من غیر الأقسام الثلاثة، فلا إشکال فی أنّ إطلاقات أدلّة البراءة فی الشبهات الموضوعیّة دالّة علی عدم وجوب الفحص کالروایات الواردة فی مسألة الجبن وغیرها، حتّی أنّه یستفاد من بعضها النهی عن الفحص</w:t>
      </w:r>
      <w:r>
        <w:rPr>
          <w:rFonts w:eastAsia="IRNazanin" w:cs="IRNazanin"/>
          <w:color w:val="111111"/>
          <w:sz w:val="28"/>
          <w:szCs w:val="28"/>
          <w:rtl w:val="true"/>
          <w:lang w:bidi="fa-IR"/>
        </w:rPr>
        <w:t>.</w:t>
      </w:r>
    </w:p>
    <w:p>
      <w:pPr>
        <w:pStyle w:val="Heading5"/>
        <w:numPr>
          <w:ilvl w:val="4"/>
          <w:numId w:val="1"/>
        </w:numPr>
        <w:rPr/>
      </w:pPr>
      <w:bookmarkStart w:id="742" w:name="__RefHeading___Toc142137_3244359995"/>
      <w:bookmarkStart w:id="743" w:name="_Toc282"/>
      <w:bookmarkEnd w:id="742"/>
      <w:r>
        <w:rPr>
          <w:rtl w:val="true"/>
        </w:rPr>
        <w:t>تنبیه</w:t>
      </w:r>
      <w:r>
        <w:rPr>
          <w:rtl w:val="true"/>
        </w:rPr>
        <w:t>:</w:t>
      </w:r>
      <w:bookmarkEnd w:id="743"/>
    </w:p>
    <w:p>
      <w:pPr>
        <w:pStyle w:val="BookText"/>
        <w:rPr/>
      </w:pPr>
      <w:r>
        <w:rPr>
          <w:rFonts w:ascii="IRNazanin" w:hAnsi="IRNazanin" w:eastAsia="IRNazanin"/>
          <w:color w:val="111111"/>
          <w:sz w:val="28"/>
          <w:sz w:val="28"/>
          <w:szCs w:val="28"/>
          <w:rtl w:val="true"/>
          <w:lang w:bidi="fa-IR"/>
        </w:rPr>
        <w:t>ذکر الفاضل التونی رحمه الله لجریان أصالة البراءة شرطین آخرین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یلزم من العمل بالبراءة إثبات حکم آخر، وإلّا لا تجری، کما فی أطراف العلم الإجمالی فإنّ جریان الأصل فی بعضها یثبت وجوب الاجتناب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یلزم من جریانها ضرر علی الغیر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ما یترتّب علی البراءة من الآثار الشرعیّة کجریان أصالة الحلّیة فی الحیوان المتولّد من مأکول اللحم ومحرّمه، فیترتّب علیه إباحة جلده ووبره إذا کان المراد من حلّیة أجزاء ما یؤکل لحمه الأعمّ من الحلّیة الواقعیّة والظاهریّة، ففی مثل هذه الصورة لا إشکال فی جریان البراءة وما یترتّب علیها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الأثر من الآثار العقلیّة کما فی مثال العلم الإجمالی، فإنّ وجوب الاجتناب عن الطرف الآخر لازم عقلی لجریان البراءة فی الطرف الأوّل، ولا إشکال فی عدم ترتّب ذاک الأثر علیه لکونه من الأصل المثبت، ولکن هذا غیر مانع عن جریانها فی مورده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لا اختصاص له بأصالة البراءة، فکلّ أصل عملی إذا أوجب الضرر منع من جریانه، هذا مضافاً إلی أنّه لا یختصّ بقاعدة لا ضرر، بل یعمّ سائر الأدلّة الاجتهادیّة؛ إذ مع وجود الأدلّة الاجتهادیّة أو العناوین الثانویّة ینتفی موضوع الاصول العملیّة وهو الشکّ، ولا مجال حینئذٍ للرجوع إلی الأصل</w:t>
      </w:r>
      <w:r>
        <w:rPr>
          <w:rFonts w:eastAsia="IRNazanin" w:cs="IRNazanin"/>
          <w:color w:val="111111"/>
          <w:sz w:val="28"/>
          <w:szCs w:val="28"/>
          <w:rtl w:val="true"/>
          <w:lang w:bidi="fa-IR"/>
        </w:rPr>
        <w:t>.</w:t>
      </w:r>
      <w:bookmarkStart w:id="744" w:name="pg16922_187835"/>
    </w:p>
    <w:p>
      <w:pPr>
        <w:pStyle w:val="Heading2"/>
        <w:numPr>
          <w:ilvl w:val="1"/>
          <w:numId w:val="1"/>
        </w:numPr>
        <w:rPr/>
      </w:pPr>
      <w:bookmarkStart w:id="745" w:name="__RefHeading___Toc142139_3244359995"/>
      <w:bookmarkStart w:id="746" w:name="_Toc283"/>
      <w:bookmarkEnd w:id="744"/>
      <w:bookmarkEnd w:id="745"/>
      <w:r>
        <w:rPr>
          <w:rtl w:val="true"/>
        </w:rPr>
        <w:t>الخاتمة</w:t>
      </w:r>
      <w:r>
        <w:rPr>
          <w:rtl w:val="true"/>
        </w:rPr>
        <w:t xml:space="preserve">: </w:t>
      </w:r>
      <w:r>
        <w:rPr>
          <w:rtl w:val="true"/>
        </w:rPr>
        <w:t>الاجتهاد والتقلید</w:t>
      </w:r>
      <w:bookmarkEnd w:id="746"/>
    </w:p>
    <w:p>
      <w:pPr>
        <w:pStyle w:val="Heading3"/>
        <w:numPr>
          <w:ilvl w:val="2"/>
          <w:numId w:val="1"/>
        </w:numPr>
        <w:rPr/>
      </w:pPr>
      <w:bookmarkStart w:id="747" w:name="__RefHeading___Toc142141_3244359995"/>
      <w:bookmarkStart w:id="748" w:name="_Toc284"/>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والبحث فیه یقع فی مقامین</w:t>
      </w:r>
      <w:r>
        <w:rPr>
          <w:rFonts w:eastAsia="IRNazanin" w:cs="IRNazanin"/>
          <w:color w:val="111111"/>
          <w:sz w:val="28"/>
          <w:szCs w:val="28"/>
          <w:rtl w:val="true"/>
          <w:lang w:bidi="fa-IR"/>
        </w:rPr>
        <w:t>:</w:t>
      </w:r>
    </w:p>
    <w:p>
      <w:pPr>
        <w:pStyle w:val="Heading3"/>
        <w:numPr>
          <w:ilvl w:val="2"/>
          <w:numId w:val="1"/>
        </w:numPr>
        <w:rPr/>
      </w:pPr>
      <w:bookmarkStart w:id="749" w:name="__RefHeading___Toc142143_3244359995"/>
      <w:bookmarkStart w:id="750" w:name="_Toc285"/>
      <w:bookmarkEnd w:id="749"/>
      <w:r>
        <w:rPr>
          <w:rtl w:val="true"/>
        </w:rPr>
        <w:t>المقام الأوّل فی مباحث الاجتهاد</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فی اللغة والاصطلاح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بالمعنی العامّ والخاصّ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المجتهد المطلق والمتجزّی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الاجتهاد والعلوم اللازمة 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التخطئة والتصویب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تبدّل رأی المجتهد</w:t>
      </w:r>
    </w:p>
    <w:p>
      <w:pPr>
        <w:pStyle w:val="Heading3"/>
        <w:numPr>
          <w:ilvl w:val="2"/>
          <w:numId w:val="1"/>
        </w:numPr>
        <w:rPr/>
      </w:pPr>
      <w:bookmarkStart w:id="751" w:name="__RefHeading___Toc142145_3244359995"/>
      <w:bookmarkStart w:id="752" w:name="_Toc286"/>
      <w:bookmarkEnd w:id="751"/>
      <w:r>
        <w:rPr>
          <w:rtl w:val="true"/>
        </w:rPr>
        <w:t>المقام الثانی فی مباحث التقلید</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التقلید للعامّی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الأعلم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المیّت</w:t>
      </w:r>
      <w:bookmarkStart w:id="753" w:name="pg16922_187837"/>
    </w:p>
    <w:p>
      <w:pPr>
        <w:pStyle w:val="Heading3"/>
        <w:numPr>
          <w:ilvl w:val="2"/>
          <w:numId w:val="1"/>
        </w:numPr>
        <w:rPr/>
      </w:pPr>
      <w:bookmarkStart w:id="754" w:name="__RefHeading___Toc142147_3244359995"/>
      <w:bookmarkStart w:id="755" w:name="_Toc287"/>
      <w:bookmarkEnd w:id="753"/>
      <w:bookmarkEnd w:id="754"/>
      <w:r>
        <w:rPr>
          <w:rtl w:val="true"/>
        </w:rPr>
        <w:t>المقام الأوّل</w:t>
      </w:r>
      <w:r>
        <w:rPr>
          <w:rtl w:val="true"/>
        </w:rPr>
        <w:t xml:space="preserve">: </w:t>
      </w:r>
      <w:r>
        <w:rPr>
          <w:rtl w:val="true"/>
        </w:rPr>
        <w:t>مباحث الاجتهاد</w:t>
      </w:r>
      <w:bookmarkEnd w:id="755"/>
    </w:p>
    <w:p>
      <w:pPr>
        <w:pStyle w:val="Heading4"/>
        <w:numPr>
          <w:ilvl w:val="3"/>
          <w:numId w:val="1"/>
        </w:numPr>
        <w:rPr/>
      </w:pPr>
      <w:bookmarkStart w:id="756" w:name="__RefHeading___Toc142149_3244359995"/>
      <w:bookmarkStart w:id="757" w:name="_Toc288"/>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والبحث عنهما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امور</w:t>
      </w:r>
      <w:r>
        <w:rPr>
          <w:rFonts w:eastAsia="IRNazanin" w:cs="IRNazanin"/>
          <w:color w:val="111111"/>
          <w:sz w:val="28"/>
          <w:szCs w:val="28"/>
          <w:rtl w:val="true"/>
          <w:lang w:bidi="fa-IR"/>
        </w:rPr>
        <w:t>:</w:t>
      </w:r>
    </w:p>
    <w:p>
      <w:pPr>
        <w:pStyle w:val="Heading4"/>
        <w:numPr>
          <w:ilvl w:val="3"/>
          <w:numId w:val="1"/>
        </w:numPr>
        <w:rPr/>
      </w:pPr>
      <w:bookmarkStart w:id="758" w:name="__RefHeading___Toc142151_3244359995"/>
      <w:bookmarkStart w:id="759" w:name="_Toc289"/>
      <w:bookmarkEnd w:id="758"/>
      <w:r>
        <w:rPr/>
        <w:t>1</w:t>
      </w:r>
      <w:r>
        <w:rPr>
          <w:rtl w:val="true"/>
        </w:rPr>
        <w:t xml:space="preserve">. </w:t>
      </w:r>
      <w:r>
        <w:rPr>
          <w:rtl w:val="true"/>
        </w:rPr>
        <w:t>الاجتهاد فی اللغة والاصطلاح</w:t>
      </w:r>
      <w:bookmarkEnd w:id="759"/>
    </w:p>
    <w:p>
      <w:pPr>
        <w:pStyle w:val="BookText"/>
        <w:rPr/>
      </w:pPr>
      <w:r>
        <w:rPr>
          <w:rFonts w:ascii="IRNazanin" w:hAnsi="IRNazanin" w:eastAsia="IRNazanin"/>
          <w:color w:val="111111"/>
          <w:sz w:val="28"/>
          <w:sz w:val="28"/>
          <w:szCs w:val="28"/>
          <w:rtl w:val="true"/>
          <w:lang w:bidi="fa-IR"/>
        </w:rPr>
        <w:t>الاجتهاد فی اللغة مأخوذ من الجَهد أو الجُهد،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والجُهد الطاقة والمشقّة، والاجتهاد أخذ النفس ببذل الطاقة وتحمّل المشقّة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معناه بذل نهایة الطاقة والقدرة الّتی من لوازمها المشقّة، فإنّ من بذل نهایة طاقته یقع فی المشقّة والکلفة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له فی کلمات الاصولیین تعاریف کثیرة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قدماء الاصولیین من أهل السنّة والشیعة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الوسع فی تحصیل الظنّ بالحکم الشرعی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للتقیید فیه بالظنّ، لصدق الاجتهاد علی استفراغ الوسع لتحصیل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نتیجة الاستنباط والاجتهاد حصول الظنّ بمطلق الحجّة من دون أن یصدق علیها الحکم، کما فی البراءة العقلیّة والظنّ الانسدادی علی الحکومة والاحتیاط العقلی، وحینئذٍ لیس التعریف جامعاً لتمام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یعمّ استفراغ وسع المقلّد فی تحصیل فتوی المجتهد أیضاً، فلابدّ من ضمّ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حتّی یخرج جهد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التعبیر بالاستفراغ فإنّ لبذل الوسع فی باب الفحص مقداراً لازماً قد ذکر فی محلّه، وهو قد لا یصل إلی حدّ الاستفراغ کما لا یخفی علی من راجع کلماتهم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الوسع فی تحصیل الحجّة علی الحکم الشرعی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مع سلامته عن الإشکال الأوّل والثانی الواردین علی التعریف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التعبیر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الإشکالان الأخیران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الحجّة علی الحکم الشرعی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وإن کان أحسن من غیره من بعض الجهات، لکن یرد علیه أیضاً بعض الإشکالات لشموله عمل المقلّد، فإنّه أیضاً یحصّل الحجّة علی الحکم الشرعی، غایة الأمر من طریق دلیل إجمالی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حکم به المجتهد فهو الحجّة علی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شموله للمسائل الاصولیة لخلوّه عن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ومضافاً إلی ما اورد علی غیره بالإضافة إلی التعبیر بالحکم من أنّه لیس جامعاً لجمیع المصادیق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تعریفه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هو استخراج الحکم الشرعی الفرعی أو الحجّة علیه من الأدلّة التفصیلیة</w:t>
      </w:r>
      <w:r>
        <w:rPr>
          <w:rFonts w:eastAsia="IRNazanin" w:cs="IRNazanin"/>
          <w:color w:val="111111"/>
          <w:sz w:val="28"/>
          <w:szCs w:val="28"/>
          <w:rtl w:val="true"/>
          <w:lang w:bidi="fa-IR"/>
        </w:rPr>
        <w:t>.</w:t>
      </w:r>
      <w:bookmarkStart w:id="760" w:name="pg16922_187839"/>
    </w:p>
    <w:p>
      <w:pPr>
        <w:pStyle w:val="Heading4"/>
        <w:numPr>
          <w:ilvl w:val="3"/>
          <w:numId w:val="1"/>
        </w:numPr>
        <w:rPr/>
      </w:pPr>
      <w:bookmarkStart w:id="761" w:name="__RefHeading___Toc142153_3244359995"/>
      <w:bookmarkStart w:id="762" w:name="_Toc290"/>
      <w:bookmarkEnd w:id="760"/>
      <w:bookmarkEnd w:id="761"/>
      <w:r>
        <w:rPr/>
        <w:t>2</w:t>
      </w:r>
      <w:r>
        <w:rPr>
          <w:rtl w:val="true"/>
        </w:rPr>
        <w:t xml:space="preserve">. </w:t>
      </w:r>
      <w:r>
        <w:rPr>
          <w:rtl w:val="true"/>
        </w:rPr>
        <w:t>الاجتهاد بالمعنی العامّ والخاصّ</w:t>
      </w:r>
      <w:bookmarkEnd w:id="762"/>
    </w:p>
    <w:p>
      <w:pPr>
        <w:pStyle w:val="BookText"/>
        <w:rPr/>
      </w:pPr>
      <w:r>
        <w:rPr>
          <w:rFonts w:ascii="IRNazanin" w:hAnsi="IRNazanin" w:eastAsia="IRNazanin"/>
          <w:color w:val="111111"/>
          <w:sz w:val="28"/>
          <w:sz w:val="28"/>
          <w:szCs w:val="28"/>
          <w:rtl w:val="true"/>
          <w:lang w:bidi="fa-IR"/>
        </w:rPr>
        <w:t>أمّا الاجتهاد بالمعنی العامّ فهو ما مرّ تعریفه فی الأمر الأوّل ویکون مقبولًا عند الشیعة والسنّة، وسیأتی أنّ الأخباری أیضاً یقبله فی مقام العمل وإن کان ینکره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الاجتهاد بالمعنی الخاصّ فهو مختصّ بأهل السنّة، والمراد منه نوع تشریع وجعل قانون من ناحیة الفقیه فیما لا نصّ فیه عندهم علی أساس القیاس أو الاستحسان أو غیر ذلک من مبانیهم الّتی مرّت ذکرها فی ذیل المقصد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هذا هو منشأ بطلان التصویب عند الإمامیة؛ لأنّ لازمه أن یکون لکلّ فقیه حقّ التشریع والتقنین بحیث یکون حکم کلّ واحد منهم حکم اللَّه الواقعی، والوجوه الّتی یمکن الاستناد إلیه فی بطلان هذا النوع من الاجتهاد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من آیات الکتاب العزیز علی أنّه لا واقعة إلّاولها حکم،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دخل فی هدایة نفوس الإنسان وتربیتها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بحدیث الثقلین </w:t>
      </w:r>
      <w:r>
        <w:rPr>
          <w:rStyle w:val="FootnoteAnchor"/>
          <w:rtl w:val="true"/>
        </w:rPr>
        <w:footnoteReference w:id="382"/>
      </w:r>
      <w:r>
        <w:rPr>
          <w:rFonts w:ascii="IRNazanin" w:hAnsi="IRNazanin" w:eastAsia="IRNazanin"/>
          <w:color w:val="111111"/>
          <w:sz w:val="28"/>
          <w:sz w:val="28"/>
          <w:szCs w:val="28"/>
          <w:rtl w:val="true"/>
          <w:lang w:bidi="fa-IR"/>
        </w:rPr>
        <w:t>فإنّ أحدهما هو عترة الرسول علیهم السلام، ومع وجودهم لا یحسّ فقدان نصّ؛ لأنّ ما کان یصدر منهم کان من جانب الرسول صلی الله علیه و آله لا من عند أنفسهم، فکان البیان الشرعی لا یزال مستمرّاً باستمرار الأئمّة، ولکن فقهاء العامّة حیث إنّهم کانوا یعتقدون بأنّ البیان الشرعی منحصر فی الکتاب والسنّة النبویّة فقط، وهما لا یفیان إلّابشی‌ء قلیل من حاجات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حکی عن أبی حنیفة الذی کان علی رأس مذهب الاجتهاد بالمعنی الخاصّ أو من روّاده</w:t>
      </w:r>
    </w:p>
    <w:p>
      <w:pPr>
        <w:pStyle w:val="BookText"/>
        <w:rPr/>
      </w:pP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الصحیحة عنده المنقولة عن النبی صلی الله علیه و آله لم تبلغ إلی ثلاثین حدیثاً</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فالتجأوا لرفع هذه الحاجات إلی هذا النوع من الاجتهاد؛ لأنّهم وجدوا فراغاً قانونیاً فی الشریعة ونقصاناً فی الأحکام الفرعیة لابدّ فی رفعه إلی التمسّک بذیل القیاس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متواترة تدلّ علی أنّه ما من شی‌ء تحتاج إلیه الامّة إلی یوم القیامة إلّا وقد ورد فیه حکم أو نصّ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لنا عملًا وتاریخیاً لحدّ الآن فی طیلة الأعصار والقرون من الصدر الأوّل إلی عصرنا هذا من أنّ فقهاء الخاصّة وأصحابنا الإمامیة قدس سرهم لم یحسّوا حاجة لرفع الحاجات الفقهیّة إلی إعمال مثل القیاس والاستحسان؛ فإنّ لدیهم نصوصاً خاصّة من ناحیة أهل بیت العصمة علیهم السلام واصولًا عامّة تنطبق علی أکثر القضایا والمصادیق الفرعیة، وقواعد واصولًا عملیّة یرجعون إلیها فی سائر القضایا الفقهیّة، وهذا هو معنی انفتاح باب العلم والاجتهاد عندهم خلافاً لفقهاء الجمهور، فإنّهم بعد إعراضهم عن مکتب عترة الرسول وما وصّی به فی حدیث الثقلین وغیره من لزوم التمسّک بعترته فی عرض التمسّک بالکتاب العزیز اعتقدوا عدم کفایة الکتاب والسنّة لرفع حاجات الاستنباط، وبالتالی ظنّوا عدم کفایة نصوص الکتاب والسنّة للدلالة علی الحکم فی کثیر من القضایا، ولازمه عدم استیعاب الشریعة لمختلف شؤون الحیاة، وبتبعه استباحوا لأنفسهم أن یعملوا بالظنون والاستحسانات ویتصدّوا لتشریع الأحکام فی هذه الأبواب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بهذا المعنی معناه نقصان الشریعة، وأنّ اللَّه تعالی لم یشرّع فی الإسلام إلّاأحکاماً معدودة، وفوّض التشریع فی سائر المجالات إلی الفقهاء من الناس لیشرّعوا الأحکام علی أساس الظنّ والاستحسان، ولا یخفی أنّ لازمه</w:t>
      </w:r>
      <w:bookmarkStart w:id="763" w:name="pg16922_187841"/>
    </w:p>
    <w:p>
      <w:pPr>
        <w:pStyle w:val="BookText"/>
        <w:rPr/>
      </w:pPr>
      <w:bookmarkEnd w:id="763"/>
      <w:r>
        <w:rPr>
          <w:rFonts w:ascii="IRNazanin" w:hAnsi="IRNazanin" w:eastAsia="IRNazanin"/>
          <w:color w:val="111111"/>
          <w:sz w:val="28"/>
          <w:sz w:val="28"/>
          <w:szCs w:val="28"/>
          <w:rtl w:val="true"/>
          <w:lang w:bidi="fa-IR"/>
        </w:rPr>
        <w:t>الفوضی والهرج والمرج الشدید فی الدین وما لا نجد نظیره حتّی فی التقنینات العقلائیّة فی الیوم؛ لأنّ ما یجعل ویقنّن فیها هو قانون واحد لا قوانین عدیدة بعدد العلماء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ذکرنا کلّه خصوصاً لهذه النتیجة الفاسدة نهض أمیر المؤمنین علی علیه السلام فی مقام الذمّ لهذا النوع من الاجتهاد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بالأعصار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تَرِدُ عَلَی أَحَدِهُم الْقَضِیَّةُ فِی حُکْمٍ مِنْ الْأَحْکامِ فَیَحْکُمُ فِیها بِرَأْیِهِ، ثُم تَرِدُ تِلْکَ الْقَضِیَّةُ بِعَیْنِهَا عَلَی غَیْرِهِ فَیَحْکُمُ فِیهَا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کانُوا شُرَکاءَ لَهُ، فَلَهُمْ أَنْ یَقُولُوا وَعَلَیْهِ أَنْ یَرْضَی؟ أمْ أنْزَلَ اللَّهُ سُبْحَانَهُ دِیناً تَامًّا فَقَصَّرَ الرَّسُولُ صلی الله علیه و آله عَنْ تَبْلِیغِهِ وَ أَدَائِهِ، وَاللَّهُ سُبْحَانَهُ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البیان وکذلک غیره من الأخبار الّتی وردت فی ذمّ هذا النوع من الاجتهاد من سائر الأئمّة المعصومین علیهم السلام فی الواقع دفاع عن کیان الدین وأساس الشریعة والتأکید علی کمالها وعدم النقص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بطلان القسم الثانی من الاجتهاد، ولعلّ الخلط بین القسمین صار منشأً لمعارضة الأخباریین مع الاصولیین، وإلّا فإنّ الاجتهاد بالمعنی الأعمّ یعمل به الأخباری أیضاً فی المجالات المختلفة من الفقه، وإن شئت فراجع إلی کتاب الحدائق حتّی تلاحظ کونه اجتهاداً واستنباطاً من المحدّث البحرانی من أوّله إلی آخره، ومقدّمات الحدائق المعروفة فی الواقع سلسلة من المسائل الاصولیة سمّاها مقدّمات، وکذا غیره من أشباهه</w:t>
      </w:r>
      <w:r>
        <w:rPr>
          <w:rFonts w:eastAsia="IRNazanin" w:cs="IRNazanin"/>
          <w:color w:val="111111"/>
          <w:sz w:val="28"/>
          <w:szCs w:val="28"/>
          <w:rtl w:val="true"/>
          <w:lang w:bidi="fa-IR"/>
        </w:rPr>
        <w:t>.</w:t>
      </w:r>
    </w:p>
    <w:p>
      <w:pPr>
        <w:pStyle w:val="Heading4"/>
        <w:numPr>
          <w:ilvl w:val="3"/>
          <w:numId w:val="1"/>
        </w:numPr>
        <w:rPr/>
      </w:pPr>
      <w:bookmarkStart w:id="764" w:name="__RefHeading___Toc142155_3244359995"/>
      <w:bookmarkStart w:id="765" w:name="_Toc291"/>
      <w:bookmarkEnd w:id="764"/>
      <w:r>
        <w:rPr/>
        <w:t>3</w:t>
      </w:r>
      <w:r>
        <w:rPr>
          <w:rtl w:val="true"/>
        </w:rPr>
        <w:t xml:space="preserve">. </w:t>
      </w:r>
      <w:r>
        <w:rPr>
          <w:rtl w:val="true"/>
        </w:rPr>
        <w:t>المجتهد المطلق والمتجزّی</w:t>
      </w:r>
      <w:bookmarkEnd w:id="765"/>
    </w:p>
    <w:p>
      <w:pPr>
        <w:pStyle w:val="Heading5"/>
        <w:numPr>
          <w:ilvl w:val="4"/>
          <w:numId w:val="1"/>
        </w:numPr>
        <w:rPr/>
      </w:pPr>
      <w:bookmarkStart w:id="766" w:name="__RefHeading___Toc142157_3244359995"/>
      <w:bookmarkStart w:id="767" w:name="_Toc292"/>
      <w:bookmarkEnd w:id="766"/>
      <w:r>
        <w:rPr>
          <w:rtl w:val="true"/>
        </w:rPr>
        <w:t>اشارة</w:t>
      </w:r>
      <w:bookmarkEnd w:id="7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المجتهد المطلق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ملکة یقتدر بها علی استنباط جمیع الأحکام</w:t>
      </w:r>
      <w:bookmarkStart w:id="768" w:name="pg16922_187842"/>
    </w:p>
    <w:p>
      <w:pPr>
        <w:pStyle w:val="BookText"/>
        <w:rPr/>
      </w:pPr>
      <w:bookmarkEnd w:id="768"/>
      <w:r>
        <w:rPr>
          <w:rFonts w:ascii="IRNazanin" w:hAnsi="IRNazanin" w:eastAsia="IRNazanin"/>
          <w:color w:val="111111"/>
          <w:sz w:val="28"/>
          <w:sz w:val="28"/>
          <w:szCs w:val="28"/>
          <w:rtl w:val="true"/>
          <w:lang w:bidi="fa-IR"/>
        </w:rPr>
        <w:t>الشرعیّة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والتعریف بالملکة لا ینافی أن یکون الاجتهاد عبارة عن الاستخراج والاستنباط، فیکون أمراً فعلیاً لا بالقوّة؛ لأنّ الکلام هنا فی المتّصف بهذه الصفة والمشتقّ منها، 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المبدأ فی مثل هذه العناوین والمشتقّات مأخوذ علی نحو الملکة لا علی نحو الفعلیّة، فإنّ قیام المبدأ بالذات علی أنحاء مختلفة کما قرّر فی بحث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والمجتهد المتجزّی عبارة عمّن له ملکة یقتدر بها علی استنباط بعض الأحکام الشرعیّة الفرعیة دون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یقع البحث فی مرحلتین</w:t>
      </w:r>
      <w:r>
        <w:rPr>
          <w:rFonts w:eastAsia="IRNazanin" w:cs="IRNazanin"/>
          <w:color w:val="111111"/>
          <w:sz w:val="28"/>
          <w:szCs w:val="28"/>
          <w:rtl w:val="true"/>
          <w:lang w:bidi="fa-IR"/>
        </w:rPr>
        <w:t>:</w:t>
      </w:r>
    </w:p>
    <w:p>
      <w:pPr>
        <w:pStyle w:val="Heading5"/>
        <w:numPr>
          <w:ilvl w:val="4"/>
          <w:numId w:val="1"/>
        </w:numPr>
        <w:rPr/>
      </w:pPr>
      <w:bookmarkStart w:id="769" w:name="__RefHeading___Toc142159_3244359995"/>
      <w:bookmarkStart w:id="770" w:name="_Toc293"/>
      <w:bookmarkEnd w:id="769"/>
      <w:r>
        <w:rPr>
          <w:rtl w:val="true"/>
        </w:rPr>
        <w:t>المرحلة الاولی</w:t>
      </w:r>
      <w:r>
        <w:rPr>
          <w:rtl w:val="true"/>
        </w:rPr>
        <w:t xml:space="preserve">: </w:t>
      </w:r>
      <w:r>
        <w:rPr>
          <w:rtl w:val="true"/>
        </w:rPr>
        <w:t>فی أحکام المجتهد المطلق</w:t>
      </w:r>
      <w:bookmarkEnd w:id="770"/>
    </w:p>
    <w:p>
      <w:pPr>
        <w:pStyle w:val="Heading6"/>
        <w:numPr>
          <w:ilvl w:val="5"/>
          <w:numId w:val="1"/>
        </w:numPr>
        <w:rPr/>
      </w:pPr>
      <w:bookmarkStart w:id="771" w:name="__RefHeading___Toc142161_3244359995"/>
      <w:bookmarkStart w:id="772" w:name="_Toc294"/>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ولتحقیق البحث فیها لابدّ من رسم مسائل</w:t>
      </w:r>
      <w:r>
        <w:rPr>
          <w:rFonts w:eastAsia="IRNazanin" w:cs="IRNazanin"/>
          <w:color w:val="111111"/>
          <w:sz w:val="28"/>
          <w:szCs w:val="28"/>
          <w:rtl w:val="true"/>
          <w:lang w:bidi="fa-IR"/>
        </w:rPr>
        <w:t>:</w:t>
      </w:r>
    </w:p>
    <w:p>
      <w:pPr>
        <w:pStyle w:val="Heading6"/>
        <w:numPr>
          <w:ilvl w:val="5"/>
          <w:numId w:val="1"/>
        </w:numPr>
        <w:rPr/>
      </w:pPr>
      <w:bookmarkStart w:id="773" w:name="__RefHeading___Toc142163_3244359995"/>
      <w:bookmarkStart w:id="774" w:name="_Toc295"/>
      <w:bookmarkEnd w:id="773"/>
      <w:r>
        <w:rPr>
          <w:rtl w:val="true"/>
        </w:rPr>
        <w:t>المسألة الاولی</w:t>
      </w:r>
      <w:r>
        <w:rPr>
          <w:rtl w:val="true"/>
        </w:rPr>
        <w:t xml:space="preserve">: </w:t>
      </w:r>
      <w:r>
        <w:rPr>
          <w:rtl w:val="true"/>
        </w:rPr>
        <w:t>إمکان تحقّق الاجتهاد المطلق</w:t>
      </w:r>
      <w:bookmarkEnd w:id="774"/>
    </w:p>
    <w:p>
      <w:pPr>
        <w:pStyle w:val="BookText"/>
        <w:rPr/>
      </w:pPr>
      <w:r>
        <w:rPr>
          <w:rFonts w:ascii="IRNazanin" w:hAnsi="IRNazanin" w:eastAsia="IRNazanin"/>
          <w:color w:val="111111"/>
          <w:sz w:val="28"/>
          <w:sz w:val="28"/>
          <w:szCs w:val="28"/>
          <w:rtl w:val="true"/>
          <w:lang w:bidi="fa-IR"/>
        </w:rPr>
        <w:t>ربما یقال بعدم إمکان الاجتهاد المطلق؛ لأنّ الفقیه لو بلغ إلی أیّ مرتبة من العلم والفقاهة یبقی مع ذلک فی بعض المسائل متردّداً، فیحکم فیها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الاحتیاطات إنّما تدلّ علی وجود تعقید فی المسألة فقط، ولذلک یقتضی الورع الفقهی عدم إعلان فتواه العلمی ما لم یحسّ ضرورة فی إعلانه، وإلّا یمکن للفقیه الماهر استنباط الحکم الشرعی فی هذه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یحتاط الفقهاء الأعلام فی بعض المسائل لأحد أمرین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المسألة إلی تتبّع کثیر لا یسع له الوقت أو لا یحضر منابعها ومدارکها بالفعل</w:t>
      </w:r>
      <w:r>
        <w:rPr>
          <w:rFonts w:eastAsia="IRNazanin" w:cs="IRNazanin"/>
          <w:color w:val="111111"/>
          <w:sz w:val="28"/>
          <w:szCs w:val="28"/>
          <w:rtl w:val="true"/>
          <w:lang w:bidi="fa-IR"/>
        </w:rPr>
        <w:t>.</w:t>
      </w:r>
      <w:bookmarkStart w:id="775" w:name="pg16922_187843"/>
    </w:p>
    <w:p>
      <w:pPr>
        <w:pStyle w:val="BookText"/>
        <w:rPr/>
      </w:pPr>
      <w:bookmarkEnd w:id="775"/>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الدلیل فیه فی أقلّ مراتب الحجّیة فلا یجترئ الفقیه للفتوی لشدّة ورعه، ولأن لا یبعّد المکلّفین مهما أمکن عن الأحکام الواقعیّة، ولکن لو مسّت الحاجة إلی تبیین الحکم کان قادراً علیه؛ لأنّ المسألة إمّا ورد فی نصّ یبلغ مرتبة الحجّیة أم لا، وعلی تقدیر وروده إمّا یوجد معارض أم لا، وعلی تقدیر عدم وروده إمّا یکون هناک إطلاق أو عموم، أو لا یوجد شی‌ء من ذلک ما عدی الاصول العملیّة الّتی تکون حاصرة لمواردها حصراً عقلیاً، والوظیفة فی جمیع هذه الفروض معلومة مبیّنة، لا معنی لعجز الفقیه الماهر عن تشخیصها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الاحتیاطات الکثیرة موجبة لخروج الشریعة عن کونها سهلة سمحة فالجدیر أن یلاحظ فیها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المورد من الموارد الّتی لا توجب للمقلّد الکلفة والمشقّة الشدیدة فی مقام العمل، نظیر الاحتیاط بالجمع بین القصر والإتمام فی الصوم والصلاة؛ بأن یصوم شهر رمضان مثلًا تماماً ثمّ یقضیه تماماً وهکذا یجمع بین صلواته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المورد من الموارد الّتی لا یمکن فیها تحصیل الحدّ الأقلّ من الحجّة بسهولة، وإلّا ففی غیر هذین الموردین فاللازم علی المجتهدین ترک الاحتیاط وإظهار الفتوی</w:t>
      </w:r>
      <w:r>
        <w:rPr>
          <w:rFonts w:eastAsia="IRNazanin" w:cs="IRNazanin"/>
          <w:color w:val="111111"/>
          <w:sz w:val="28"/>
          <w:szCs w:val="28"/>
          <w:rtl w:val="true"/>
          <w:lang w:bidi="fa-IR"/>
        </w:rPr>
        <w:t>.</w:t>
      </w:r>
    </w:p>
    <w:p>
      <w:pPr>
        <w:pStyle w:val="Heading6"/>
        <w:numPr>
          <w:ilvl w:val="5"/>
          <w:numId w:val="1"/>
        </w:numPr>
        <w:rPr/>
      </w:pPr>
      <w:bookmarkStart w:id="776" w:name="__RefHeading___Toc142165_3244359995"/>
      <w:bookmarkStart w:id="777" w:name="_Toc296"/>
      <w:bookmarkEnd w:id="776"/>
      <w:r>
        <w:rPr>
          <w:rtl w:val="true"/>
        </w:rPr>
        <w:t>المسألة الثانیة</w:t>
      </w:r>
      <w:r>
        <w:rPr>
          <w:rtl w:val="true"/>
        </w:rPr>
        <w:t xml:space="preserve">: </w:t>
      </w:r>
      <w:r>
        <w:rPr>
          <w:rtl w:val="true"/>
        </w:rPr>
        <w:t>جواز العمل برأی المجتهد المطلق</w:t>
      </w:r>
      <w:bookmarkEnd w:id="77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عمل المجتهد برأیه فی أعماله، لشمول الخطابات الشرعیّة وأدلّة الأمارات المعتبرة والاصول العملیّة له، فبعد ثبوتها عنده یجب العمل علی طبقها، بل یکون تقلیده لغیره حراماً، لأنّه علی الفرض یری المخالف له فی فتواه جاهلًا ومخطئاً، أی قامت الحجّة عنده علی أنّ ما یقوله المخالف لیس حکم اللَّه، فکیف یرجع إلیه ویلتزم بفتواه فی مقام العمل؟</w:t>
      </w:r>
    </w:p>
    <w:p>
      <w:pPr>
        <w:pStyle w:val="BookText"/>
        <w:rPr/>
      </w:pPr>
      <w:r>
        <w:rPr>
          <w:rFonts w:ascii="IRNazanin" w:hAnsi="IRNazanin" w:eastAsia="IRNazanin"/>
          <w:color w:val="111111"/>
          <w:sz w:val="28"/>
          <w:sz w:val="28"/>
          <w:szCs w:val="28"/>
          <w:rtl w:val="true"/>
          <w:lang w:bidi="fa-IR"/>
        </w:rPr>
        <w:t>نعم إذا کان قادراً علی الاستنباط ولم یستنبط فالمعروف هنا أیضاً حرمة تقلیده للغیر، لکنّه لا یخلو عن إشکال؛ لرجوع بعض أهل الخبرة إلی بعض إذا لم یستنبط ما یحتاج إلیه لعدم حصول مقدّماته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عمل الغیر باجتهاده وفتاویه فقد ذهب الأخباریون من أصحابنا إلی عدم جوازه </w:t>
      </w:r>
      <w:r>
        <w:rPr>
          <w:rStyle w:val="FootnoteAnchor"/>
          <w:rtl w:val="true"/>
        </w:rPr>
        <w:footnoteReference w:id="386"/>
      </w:r>
      <w:r>
        <w:rPr>
          <w:rFonts w:ascii="IRNazanin" w:hAnsi="IRNazanin" w:eastAsia="IRNazanin"/>
          <w:color w:val="111111"/>
          <w:sz w:val="28"/>
          <w:sz w:val="28"/>
          <w:szCs w:val="28"/>
          <w:rtl w:val="true"/>
          <w:lang w:bidi="fa-IR"/>
        </w:rPr>
        <w:t xml:space="preserve">، وسیأتی فی أحکام التقلید بطلانه، وعدم التزام الأخباری أیضاً به فی العمل، والمشهور جوازه، بل ادّعی صاحب الفصول أنّه إجماعی بل ضروری </w:t>
      </w:r>
      <w:r>
        <w:rPr>
          <w:rStyle w:val="FootnoteAnchor"/>
          <w:rtl w:val="true"/>
        </w:rPr>
        <w:footnoteReference w:id="387"/>
      </w:r>
      <w:r>
        <w:rPr>
          <w:rFonts w:ascii="IRNazanin" w:hAnsi="IRNazanin" w:eastAsia="IRNazanin"/>
          <w:color w:val="111111"/>
          <w:sz w:val="28"/>
          <w:sz w:val="28"/>
          <w:szCs w:val="28"/>
          <w:rtl w:val="true"/>
          <w:lang w:bidi="fa-IR"/>
        </w:rPr>
        <w:t>، وهو غیر بعید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المحقّق الخراسانی رحمه الله بین ما إذا کان المجتهد انفتاحیاً فیجوز تقلیده، وبین ما إذا کان انسدادیاً فلا یجوز، واستدلّ علی عدم الجواز فی الانسدادی بأنّ رجوع الغیر إلیه لیس من رجوع الجاهل إلی العالم بل إلی الجاهل، أضف إلی ذلک أنّ أدلّة جواز التقلید إنّما دلّت علی جواز رجوع غیر العالم إلی العالم، وأمّا مقدّمات الانسداد الجاریة عند الانسدادی فمقتضیها حجّیة الظنّ فی حقّ نفسه دون غیره، إذ لا ینحصر المجتهد بالانسدادی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الحکومة، وأمّا بناءً علی الکشف فإنّه وإن ظفر المجتهد الانسدادی بناءً علیه بحکم اللَّه الظاهری من طریق کشف العقل عنه، ولکن یبقی الإشکال الثانی علی حاله، أی لا دلیل علی جریان مقدّمات الانسداد بالنسبة إلی غیره مع وجود المجتهد الانفتاحی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وللنظر فی کلامه مجال من جهات شتّی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بناء العقلاء فی رجوع الجاهل إلی العالم علی رجوعه إلی العالم بالحکم فقط، بل إنّه استقرّ علی رجوع الجاهل إلی العالم مطلقاً سواء کان عالماً</w:t>
      </w:r>
      <w:bookmarkStart w:id="778" w:name="pg16922_187845"/>
    </w:p>
    <w:p>
      <w:pPr>
        <w:pStyle w:val="BookText"/>
        <w:rPr/>
      </w:pPr>
      <w:bookmarkEnd w:id="778"/>
      <w:r>
        <w:rPr>
          <w:rFonts w:ascii="IRNazanin" w:hAnsi="IRNazanin" w:eastAsia="IRNazanin"/>
          <w:color w:val="111111"/>
          <w:sz w:val="28"/>
          <w:sz w:val="28"/>
          <w:szCs w:val="28"/>
          <w:rtl w:val="true"/>
          <w:lang w:bidi="fa-IR"/>
        </w:rPr>
        <w:t>بالحکم أو بمطلق الحجّة ومواقع العذر، وإن هو إلّانظیر البراءة العقلیّة والاحتیاط العقلی علی القول بالانفتاح، بل نظیر جمیع الأمارات علی مبنی القائلین بالمنجّزیة والمعذّریة، حیث إنّ مفاد أدلّة حجّیة الأمارة حینئذٍ لیس حکماً شرعیاً حتّی یکون العالم به عالماً بالحکم، بل إنّ مفاده حینئذٍ قضیتان شرطیّتان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أصاب الواقع فهو منجّز وإن خالف الواقع کان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المجتهد یکون کالنائب عن جمیع الناس یکشف مواقع الأدلّة فی حقّهم، ولا یخفی وضوح هذا المعنی فی کشفه عن أحکام لا ترتبط به نفسه، کالأحکام المختصّة بالنساء فی الحیض والنفاس وغیرهما، فهو کالنائب عنهنّ فی تشخیص موارد الأدلّة، وکذلک الکلام عن انسداد باب العلم، فإنّه لو رأی انسداد باب العلم فکأنّه رأی انسداده لجمیع الناس، فلیکن رأیه حجّة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الانسدادی لو فرض کونه أعلم من غیره فکیف یعدّ جاهلًا بالحکم، وغیره الانفتاحی عالماً بالحکم، مع أنّ المجتهد الانفتاحی قد یکون من أقلّ تلامذته ویکون جاهلًا مرکّباً فی نظره؟</w:t>
      </w:r>
    </w:p>
    <w:p>
      <w:pPr>
        <w:pStyle w:val="BookText"/>
        <w:rPr/>
      </w:pPr>
      <w:r>
        <w:rPr>
          <w:rFonts w:ascii="IRNazanin" w:hAnsi="IRNazanin" w:eastAsia="IRNazanin"/>
          <w:color w:val="111111"/>
          <w:sz w:val="28"/>
          <w:sz w:val="28"/>
          <w:szCs w:val="28"/>
          <w:rtl w:val="true"/>
          <w:lang w:bidi="fa-IR"/>
        </w:rPr>
        <w:t>فظهر ممّا ذکرنا أنّه لا وجه للتفصیل بین الانسدادی والانفتاحی فی حجّیة قول المجتهد المطلق لغیره</w:t>
      </w:r>
      <w:r>
        <w:rPr>
          <w:rFonts w:eastAsia="IRNazanin" w:cs="IRNazanin"/>
          <w:color w:val="111111"/>
          <w:sz w:val="28"/>
          <w:szCs w:val="28"/>
          <w:rtl w:val="true"/>
          <w:lang w:bidi="fa-IR"/>
        </w:rPr>
        <w:t>.</w:t>
      </w:r>
    </w:p>
    <w:p>
      <w:pPr>
        <w:pStyle w:val="Heading6"/>
        <w:numPr>
          <w:ilvl w:val="5"/>
          <w:numId w:val="1"/>
        </w:numPr>
        <w:rPr/>
      </w:pPr>
      <w:bookmarkStart w:id="779" w:name="__RefHeading___Toc142167_3244359995"/>
      <w:bookmarkStart w:id="780" w:name="_Toc297"/>
      <w:bookmarkEnd w:id="779"/>
      <w:r>
        <w:rPr>
          <w:rtl w:val="true"/>
        </w:rPr>
        <w:t>المسألة الثالثة</w:t>
      </w:r>
      <w:r>
        <w:rPr>
          <w:rtl w:val="true"/>
        </w:rPr>
        <w:t xml:space="preserve">: </w:t>
      </w:r>
      <w:r>
        <w:rPr>
          <w:rtl w:val="true"/>
        </w:rPr>
        <w:t>جواز القضاء للمجتهد المطلق</w:t>
      </w:r>
      <w:bookmarkEnd w:id="780"/>
    </w:p>
    <w:p>
      <w:pPr>
        <w:pStyle w:val="BookText"/>
        <w:rPr/>
      </w:pPr>
      <w:r>
        <w:rPr>
          <w:rFonts w:ascii="IRNazanin" w:hAnsi="IRNazanin" w:eastAsia="IRNazanin"/>
          <w:color w:val="111111"/>
          <w:sz w:val="28"/>
          <w:sz w:val="28"/>
          <w:szCs w:val="28"/>
          <w:rtl w:val="true"/>
          <w:lang w:bidi="fa-IR"/>
        </w:rPr>
        <w:t>قد یقال بالنسبة إلی من له ملکة الاجتهاد ولم یجتهد بالفعل أو اجتهد شیئاً قلیلًا، من عدم جواز الرجوع إلیه فی التقلید، وعدم نفوذ قضائه وتصدّیه للُامور الحسبیة، من باب أنّ الأدلّة اللفظیة المستدلّ بها علی جواز التقلید من الآیات والروایات اخذت فی موضوعها عنوان العالم والفقیه وغیرهما من العناوین غیر المنطبقة علی صاحب الملکة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السیرة العقلائیّة؛ لأنّها إنّما جرت علی رجوع الجاهل إلی</w:t>
      </w:r>
    </w:p>
    <w:p>
      <w:pPr>
        <w:pStyle w:val="BookText"/>
        <w:rPr/>
      </w:pPr>
      <w:r>
        <w:rPr>
          <w:rFonts w:ascii="IRNazanin" w:hAnsi="IRNazanin" w:eastAsia="IRNazanin"/>
          <w:color w:val="111111"/>
          <w:sz w:val="28"/>
          <w:sz w:val="28"/>
          <w:szCs w:val="28"/>
          <w:rtl w:val="true"/>
          <w:lang w:bidi="fa-IR"/>
        </w:rPr>
        <w:t>العالم، وصاحب الملکة لیس بعالم فعلًا، فرجوع الجاهل إلیه من قبیل رجوع الجاهل إلی مثله، هذا إذا لم یتصدّ للاستنباط بوجه، وأمّا لو استنبط من الأحکام شیئاً طفیفاً فمقتضی السیرة العقلائیّة جواز الرجوع إلیه فیما استنبطه من أدلّته، فإنّ الرجوع إلیه من رجوع الجاهل إلی العالم، فإنّ استنباطه بقیة الأحکام وعدمه أجنبیان عمّا استنبطه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نفوذ قضائه وعدمه فالصحیح عدم نفوذ قضائه وتصرّفاته فی أموال القصّر، وعدم جواز تصدّیه لما هو من مناصب الفقیه، وذلک لأنّ الأصل عدمه، فیقتضی أن لا یکون قول أحد أو فعله نافذاً فی حقّ الآخرین إلّافیما قام علیه الدلیل، وهو إنّما دلّ علی نفوذ قضاء من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العناوین الواردة فی أخبار القضاء، ولا یصدق شی‌ء من ذلک علی صاحب الملکة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ملکة الاجتهاد من دون ممارسة عملیّة مجرّد فرض لا واقع 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یبیّن الفرق فی کلامه بین جواز التقلید وجواز التصدّی للقضاء فی جریان سیرة العقلاء علی الرجوع فی الأوّل دون الثانی، فإنّه لو فرض استقرار سیرة العقلاء علی رجوع الجاهل إلی صاحب الملکة فی أمر التقلید، فکیف لم تستقرّ سیرتهم علی رجوع المتداعیین إلیه فی أمر القضاء؟ مع أنّ لازم جواز الرجوع إلیه فی أمر التقلید کونه عالماً وخبرة عندهم بمجرّد الحصول علی الملکة، وهذا صادق أیضاً بالنسبة إلی من له ملکة القضاء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من أنّ الأصل عدم نفوذ قضاء أحد فی حقّ أحد حقّ، ولکن یمکن إحراز النفوذ فی مثل المقام بإطلاقات أدلّة القضاء وانصرافها إلی ما هو متعارف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القضاء لیس أمراً تأسیسیاً للشرع، بل هو إمضاء</w:t>
      </w:r>
      <w:bookmarkStart w:id="781" w:name="pg16922_187847"/>
    </w:p>
    <w:p>
      <w:pPr>
        <w:pStyle w:val="BookText"/>
        <w:rPr/>
      </w:pPr>
      <w:bookmarkEnd w:id="781"/>
      <w:r>
        <w:rPr>
          <w:rFonts w:ascii="IRNazanin" w:hAnsi="IRNazanin" w:eastAsia="IRNazanin"/>
          <w:color w:val="111111"/>
          <w:sz w:val="28"/>
          <w:sz w:val="28"/>
          <w:szCs w:val="28"/>
          <w:rtl w:val="true"/>
          <w:lang w:bidi="fa-IR"/>
        </w:rPr>
        <w:t>لما عند العقلاء، والذی یسهّل الخطب عدم حصول الملکة من دون استنباط أحکام کثیرة</w:t>
      </w:r>
      <w:r>
        <w:rPr>
          <w:rFonts w:eastAsia="IRNazanin" w:cs="IRNazanin"/>
          <w:color w:val="111111"/>
          <w:sz w:val="28"/>
          <w:szCs w:val="28"/>
          <w:rtl w:val="true"/>
          <w:lang w:bidi="fa-IR"/>
        </w:rPr>
        <w:t>.</w:t>
      </w:r>
    </w:p>
    <w:p>
      <w:pPr>
        <w:pStyle w:val="Heading6"/>
        <w:numPr>
          <w:ilvl w:val="5"/>
          <w:numId w:val="1"/>
        </w:numPr>
        <w:rPr/>
      </w:pPr>
      <w:bookmarkStart w:id="782" w:name="__RefHeading___Toc142169_3244359995"/>
      <w:bookmarkStart w:id="783" w:name="_Toc298"/>
      <w:bookmarkEnd w:id="782"/>
      <w:r>
        <w:rPr>
          <w:rtl w:val="true"/>
        </w:rPr>
        <w:t>المسألة الرابعة</w:t>
      </w:r>
      <w:r>
        <w:rPr>
          <w:rtl w:val="true"/>
        </w:rPr>
        <w:t xml:space="preserve">: </w:t>
      </w:r>
      <w:r>
        <w:rPr>
          <w:rtl w:val="true"/>
        </w:rPr>
        <w:t>حول منصب الولایة والحکومة</w:t>
      </w:r>
      <w:bookmarkEnd w:id="783"/>
    </w:p>
    <w:p>
      <w:pPr>
        <w:pStyle w:val="BookText"/>
        <w:rPr/>
      </w:pPr>
      <w:r>
        <w:rPr>
          <w:rFonts w:ascii="IRNazanin" w:hAnsi="IRNazanin" w:eastAsia="IRNazanin"/>
          <w:color w:val="111111"/>
          <w:sz w:val="28"/>
          <w:sz w:val="28"/>
          <w:szCs w:val="28"/>
          <w:rtl w:val="true"/>
          <w:lang w:bidi="fa-IR"/>
        </w:rPr>
        <w:t>إنّ من الواضحات والامور البدیهیة حاجة المجتمع الانسانی إلی الحکومة وعدم إمکان تفکیکه عنها، وذلک من جهة أنّه لا یمکن الوصول إلی کثیر من أهداف الشریعة المقدّسة إلّامن طریق تشکیل الحکومة وتنفیذ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الأهداف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المجتمع، فلا إشکال فی لزوم اختلال النظام بدون الحکومة وهو ممّا لا یرضی الشارع به، بل هو من أهمّ الامور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کثیر من موارد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القضاء، فإنّه لا یمکن تحقّقه فی الخارج من دون اعتضاده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 والتعزیرات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الممالک الإسلامیّة وثغورها، ولا یمکن حصول شی‌ء منها من دون تشکیل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الحکومة تأخذ مشروعیتها من ناحیة الباری تعالی لا من جانب الناس وآرائهم، وأمّا قانون الانتخاب فی الحکومة الإسلامیّة فإنّه لجلب مشارکة الناس فی أمر الحکومة، الّتی هی من المقدّمات الواجبة لتحقیق الأهداف المزبورة، ولذا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الإسلامیّة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هذا المنصب جعل من ناحیة الإمام المعصوم علیه السلام للفقیه الواجد للشرائط المذکورة فی محلّها، ویدلّ علی هذا الجعل وجوه عدیدة، کما أنّ لولایته مراحل وشؤوناً مختلفة، لیس هنا محلّ ذکرها، وقد بحثنا عن هذه الشؤون وتلک الوجوه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784" w:name="pg16922_187848"/>
    </w:p>
    <w:p>
      <w:pPr>
        <w:pStyle w:val="Heading5"/>
        <w:numPr>
          <w:ilvl w:val="4"/>
          <w:numId w:val="1"/>
        </w:numPr>
        <w:rPr/>
      </w:pPr>
      <w:bookmarkStart w:id="785" w:name="__RefHeading___Toc142171_3244359995"/>
      <w:bookmarkStart w:id="786" w:name="_Toc299"/>
      <w:bookmarkEnd w:id="784"/>
      <w:bookmarkEnd w:id="785"/>
      <w:r>
        <w:rPr>
          <w:rtl w:val="true"/>
        </w:rPr>
        <w:t>المرحلة الثانیة</w:t>
      </w:r>
      <w:r>
        <w:rPr>
          <w:rtl w:val="true"/>
        </w:rPr>
        <w:t xml:space="preserve">: </w:t>
      </w:r>
      <w:r>
        <w:rPr>
          <w:rtl w:val="true"/>
        </w:rPr>
        <w:t>فی أحکام المجتهد المتجزّی</w:t>
      </w:r>
      <w:bookmarkEnd w:id="786"/>
    </w:p>
    <w:p>
      <w:pPr>
        <w:pStyle w:val="Heading6"/>
        <w:numPr>
          <w:ilvl w:val="5"/>
          <w:numId w:val="1"/>
        </w:numPr>
        <w:rPr/>
      </w:pPr>
      <w:bookmarkStart w:id="787" w:name="__RefHeading___Toc142173_3244359995"/>
      <w:bookmarkStart w:id="788" w:name="_Toc300"/>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وقبل الورود فیها لابدّ من بحث موضوعی وهو إمکان التجزّی فی الاجتهاد وعدمه، وقد وقع الخلاف فیه بین الأصحاب، فقال بعض بأنّه ممکن، وقال بعض آخر بأنّه محال، ولنا نظرة اخری وهی أنّ الاجتهاد المطلق یستحیل عادةً تحقّقه فی الخارج من دون العبور عن طریق الاجتهاد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القائلون بالاستحالة بأنّ الملکة من الکیفیات النفسانیة وهی بسیطة لا تقبل القسمة والتجزّی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الملکة وإن لم تنقسم ولا تتجزّی، لکنّها ذات مراتب متفاوتة باعتبار تفاوت متعلّقاتها من حیث الصعوبة والسهولة والکمال والنقص، فهی حینئذٍ ملکات کثیرة بعدد المسائل الّتی وقعت متعلّقة للملکة، وقد تحصل مرتبة ناقصة منها دون المرتبة الکاملة من دون تلازم بینهما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ملکة الاجتهاد، فإنّها کسائر الملکات تدریجیّة الحصول لا تصل إلی مرتبة أعلی إلّابعد العبور عن المرتبة الأدنی، ولا تتحقّق ملکة الاجتهاد فی المسائل المعقّدة المشکلة إلّابعد حصول القدرة علی استنباط المسائل الساذجة، کما أنّه کذلک فی القدرة علی الطبابة، فإنّها تبتدأ من المعالجات البسیطة إلی مراحل معقّدة 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الاجتهاد المطلق فی بعض العلوم الجدیدة کالطبّ من المحالات، فإنّ کلّ طبیب فی زماننا هذا یمکن له أن یجتهد فی مجال خاصّ من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ملکة الاجتهاد فی المسائل الفقهیّة بسائر الملکات قیاس مع الفارق، لأنّ مدارک الاستنباط واصوله وقواعده فی باب من الفقه متّحدة مع الاصول الجاریة فی أبواب اخر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کذلک، ولکن یمکن التفکیک فی المسائل الاصولیّة أیضاً من حیث الصعوبة والسهولة، فیتطرّق التقسیم والتجزّی فیها، ولا إشکال حینئذٍ فی ورود</w:t>
      </w:r>
      <w:bookmarkStart w:id="789" w:name="pg16922_187849"/>
    </w:p>
    <w:p>
      <w:pPr>
        <w:pStyle w:val="BookText"/>
        <w:rPr/>
      </w:pPr>
      <w:bookmarkEnd w:id="789"/>
      <w:r>
        <w:rPr>
          <w:rFonts w:ascii="IRNazanin" w:hAnsi="IRNazanin" w:eastAsia="IRNazanin"/>
          <w:color w:val="111111"/>
          <w:sz w:val="28"/>
          <w:sz w:val="28"/>
          <w:szCs w:val="28"/>
          <w:rtl w:val="true"/>
          <w:lang w:bidi="fa-IR"/>
        </w:rPr>
        <w:t>التجزّی إلی المسائل الفقهیّة الّتی تنطبق علیها، فمثلًا مسألة اجتماع الأمر والنهی من المسائل المشکلة فی الاصول، ومن لا یقدر علی حلّها والاجتهاد فیها لا یقدر علی حلّ ما یرتبط بها من الفروعات الفقهیّة فی باب الصلاة والصوم والحجّ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الإحاطة بعلم الاصول وحده لا تکفی لحصول ملکة الاجتهاد، بل لابدّ من التمرین والممارسة، ولا ریب فی أنّ للممارسة مراحل مختلفة ودرجات متفاوتة، وبحسبها یتجزّأ الاجتهاد فی الفقه، وهذا هو ما ذکرنا من أنّ الاجتهاد المطلق یستحیل عادةً من دون العبور عن الاجتهاد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أنّه یبحث فی أحکام المجتهد المتجزّی عن امور ثلاثة</w:t>
      </w:r>
      <w:r>
        <w:rPr>
          <w:rFonts w:eastAsia="IRNazanin" w:cs="IRNazanin"/>
          <w:color w:val="111111"/>
          <w:sz w:val="28"/>
          <w:szCs w:val="28"/>
          <w:rtl w:val="true"/>
          <w:lang w:bidi="fa-IR"/>
        </w:rPr>
        <w:t>:</w:t>
      </w:r>
    </w:p>
    <w:p>
      <w:pPr>
        <w:pStyle w:val="Heading6"/>
        <w:numPr>
          <w:ilvl w:val="5"/>
          <w:numId w:val="1"/>
        </w:numPr>
        <w:rPr/>
      </w:pPr>
      <w:bookmarkStart w:id="790" w:name="__RefHeading___Toc142175_3244359995"/>
      <w:bookmarkStart w:id="791" w:name="_Toc301"/>
      <w:bookmarkEnd w:id="790"/>
      <w:r>
        <w:rPr>
          <w:rtl w:val="true"/>
        </w:rPr>
        <w:t>الأوّل</w:t>
      </w:r>
      <w:r>
        <w:rPr>
          <w:rtl w:val="true"/>
        </w:rPr>
        <w:t xml:space="preserve">: </w:t>
      </w:r>
      <w:r>
        <w:rPr>
          <w:rtl w:val="true"/>
        </w:rPr>
        <w:t>جواز عمل المجتهد المتجزّی برأیه</w:t>
      </w:r>
      <w:bookmarkEnd w:id="791"/>
    </w:p>
    <w:p>
      <w:pPr>
        <w:pStyle w:val="BookText"/>
        <w:rPr/>
      </w:pPr>
      <w:r>
        <w:rPr>
          <w:rFonts w:ascii="IRNazanin" w:hAnsi="IRNazanin" w:eastAsia="IRNazanin"/>
          <w:color w:val="111111"/>
          <w:sz w:val="28"/>
          <w:sz w:val="28"/>
          <w:szCs w:val="28"/>
          <w:rtl w:val="true"/>
          <w:lang w:bidi="fa-IR"/>
        </w:rPr>
        <w:t>لا ریب فی وجوب تقلیده لنفسه والعمل برأیه، وحرمة تقلیده لغیره فیما اجتهد فیه؛ لأنّه لا إشکال فی کونه مخاطباً لأدلّة الأمارات الشرعیّة والاصول العملیّة، ولازمه أنّه إذا اجتهد واستنبط مثلًا فی الحکم بتنجّس الماء القلیل تمّت الحجّة علیه فی خصوص هذه المسألة من دون الحاجة إلی شی‌ء آخر</w:t>
      </w:r>
      <w:r>
        <w:rPr>
          <w:rFonts w:eastAsia="IRNazanin" w:cs="IRNazanin"/>
          <w:color w:val="111111"/>
          <w:sz w:val="28"/>
          <w:szCs w:val="28"/>
          <w:rtl w:val="true"/>
          <w:lang w:bidi="fa-IR"/>
        </w:rPr>
        <w:t>.</w:t>
      </w:r>
    </w:p>
    <w:p>
      <w:pPr>
        <w:pStyle w:val="Heading6"/>
        <w:numPr>
          <w:ilvl w:val="5"/>
          <w:numId w:val="1"/>
        </w:numPr>
        <w:rPr/>
      </w:pPr>
      <w:bookmarkStart w:id="792" w:name="__RefHeading___Toc142177_3244359995"/>
      <w:bookmarkStart w:id="793" w:name="_Toc302"/>
      <w:bookmarkEnd w:id="792"/>
      <w:r>
        <w:rPr>
          <w:rtl w:val="true"/>
        </w:rPr>
        <w:t>الثانی</w:t>
      </w:r>
      <w:r>
        <w:rPr>
          <w:rtl w:val="true"/>
        </w:rPr>
        <w:t xml:space="preserve">: </w:t>
      </w:r>
      <w:r>
        <w:rPr>
          <w:rtl w:val="true"/>
        </w:rPr>
        <w:t>جواز رجوع الغیر إلیه</w:t>
      </w:r>
      <w:bookmarkEnd w:id="793"/>
    </w:p>
    <w:p>
      <w:pPr>
        <w:pStyle w:val="BookText"/>
        <w:rPr/>
      </w:pPr>
      <w:r>
        <w:rPr>
          <w:rFonts w:ascii="IRNazanin" w:hAnsi="IRNazanin" w:eastAsia="IRNazanin"/>
          <w:color w:val="111111"/>
          <w:sz w:val="28"/>
          <w:sz w:val="28"/>
          <w:szCs w:val="28"/>
          <w:rtl w:val="true"/>
          <w:lang w:bidi="fa-IR"/>
        </w:rPr>
        <w:t>والتحقیق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له أن یجتهد فی شی‌ء معتدّ به من الأحکام، بحیث یصدق علیه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وحرامنا</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کتاب القضاء، أبواب صفات القاضی،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من</w:t>
      </w:r>
      <w:bookmarkStart w:id="794" w:name="pg16922_187850"/>
    </w:p>
    <w:p>
      <w:pPr>
        <w:pStyle w:val="BookText"/>
        <w:rPr/>
      </w:pPr>
      <w:bookmarkEnd w:id="794"/>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کتاب القضاء، أبواب صفات القاضی،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کما إذا حصلت له ملکة الاجتهاد فی أبواب المعاملات مثلًا، فلا ریب حینئذٍ فی جواز تقلید الغیر له، والشاهد علیه بناء العقلاء علی العمل برأی الطبیب المتجزّی المتخصّص فی فنّه، بل ترجیحه علی غیره، لکونه أعلم من غیره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له أن یجتهد مسائل طفیفة قلیلة، ففی هذه الصورة لا تصدق علیه العناوین المزبورة، أی لا تشمله الأدلّة النقلیّة الواردة فی باب التقلید، نعم لا إشکال فی جریان سیرة العقلاء وبنائهم علی تقلید الأخصّاء ولو فی مسائل معیّنة، کما لا إشکال فی عدم ثبوت الردع عنه بتلک الأدلّة النقلیّة؛ لأنّها ساکتة عنه، ونتیجته جواز تقلیده فی هذه الصورة أیضاً إذا کان واجداً لسائر شرائط التقلید</w:t>
      </w:r>
      <w:r>
        <w:rPr>
          <w:rFonts w:eastAsia="IRNazanin" w:cs="IRNazanin"/>
          <w:color w:val="111111"/>
          <w:sz w:val="28"/>
          <w:szCs w:val="28"/>
          <w:rtl w:val="true"/>
          <w:lang w:bidi="fa-IR"/>
        </w:rPr>
        <w:t>.</w:t>
      </w:r>
    </w:p>
    <w:p>
      <w:pPr>
        <w:pStyle w:val="Heading6"/>
        <w:numPr>
          <w:ilvl w:val="5"/>
          <w:numId w:val="1"/>
        </w:numPr>
        <w:rPr/>
      </w:pPr>
      <w:bookmarkStart w:id="795" w:name="__RefHeading___Toc142179_3244359995"/>
      <w:bookmarkStart w:id="796" w:name="_Toc303"/>
      <w:bookmarkEnd w:id="795"/>
      <w:r>
        <w:rPr>
          <w:rtl w:val="true"/>
        </w:rPr>
        <w:t>الثالث</w:t>
      </w:r>
      <w:r>
        <w:rPr>
          <w:rtl w:val="true"/>
        </w:rPr>
        <w:t xml:space="preserve">: </w:t>
      </w:r>
      <w:r>
        <w:rPr>
          <w:rtl w:val="true"/>
        </w:rPr>
        <w:t>تصدّی المجتهد المتجزّی لمنصب القضاء</w:t>
      </w:r>
      <w:bookmarkEnd w:id="796"/>
    </w:p>
    <w:p>
      <w:pPr>
        <w:pStyle w:val="BookText"/>
        <w:rPr/>
      </w:pPr>
      <w:r>
        <w:rPr>
          <w:rFonts w:ascii="IRNazanin" w:hAnsi="IRNazanin" w:eastAsia="IRNazanin"/>
          <w:color w:val="111111"/>
          <w:sz w:val="28"/>
          <w:sz w:val="28"/>
          <w:szCs w:val="28"/>
          <w:rtl w:val="true"/>
          <w:lang w:bidi="fa-IR"/>
        </w:rPr>
        <w:t>قد یقال بالتفصیل بین من کانت له ملکة الاستنباط علی مقدار معتنی به من الأحکام ومن کان قادراً علی استنباط أحکام قلیلة، فیجوز القضاء للأوّل دون الثانی، وذلک لعدم شمول العناوین الواردة فی مثل مقبولة عمر بن حنظلة ومشهورة أبی خدیجة لمثله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یستدلّ للجواز مطلقاً بسیرة الأصحاب، فإنّه استقرّ علی الرجوع إلی من هو عالم بأحکام القضاء مع کونه مجتهداً فی مسائل یبتلی بها عادة من الحقوق وغیرها، ولو لم یکن مثلًا مجتهداً فی الأبواب الطهارة والصلاة والحجّ</w:t>
      </w:r>
      <w:bookmarkStart w:id="797" w:name="pg16922_187851"/>
    </w:p>
    <w:p>
      <w:pPr>
        <w:pStyle w:val="BookText"/>
        <w:rPr/>
      </w:pPr>
      <w:bookmarkEnd w:id="797"/>
      <w:r>
        <w:rPr>
          <w:rFonts w:ascii="IRNazanin" w:hAnsi="IRNazanin" w:eastAsia="IRNazanin"/>
          <w:color w:val="111111"/>
          <w:sz w:val="28"/>
          <w:sz w:val="28"/>
          <w:szCs w:val="28"/>
          <w:rtl w:val="true"/>
          <w:lang w:bidi="fa-IR"/>
        </w:rPr>
        <w:t>وأمثالها، والظاهر أنّ المقبولة والمشهورة یشمله، فیجوز القضاء للمتجزّی علی هذا النحو</w:t>
      </w:r>
      <w:r>
        <w:rPr>
          <w:rFonts w:eastAsia="IRNazanin" w:cs="IRNazanin"/>
          <w:color w:val="111111"/>
          <w:sz w:val="28"/>
          <w:szCs w:val="28"/>
          <w:rtl w:val="true"/>
          <w:lang w:bidi="fa-IR"/>
        </w:rPr>
        <w:t>.</w:t>
      </w:r>
    </w:p>
    <w:p>
      <w:pPr>
        <w:pStyle w:val="Heading6"/>
        <w:numPr>
          <w:ilvl w:val="5"/>
          <w:numId w:val="1"/>
        </w:numPr>
        <w:rPr/>
      </w:pPr>
      <w:bookmarkStart w:id="798" w:name="__RefHeading___Toc142181_3244359995"/>
      <w:bookmarkStart w:id="799" w:name="_Toc304"/>
      <w:bookmarkEnd w:id="798"/>
      <w:r>
        <w:rPr>
          <w:rtl w:val="true"/>
        </w:rPr>
        <w:t>اعتبار الإذن من المجتهد المطلق</w:t>
      </w:r>
      <w:bookmarkEnd w:id="799"/>
    </w:p>
    <w:p>
      <w:pPr>
        <w:pStyle w:val="BookText"/>
        <w:rPr/>
      </w:pPr>
      <w:r>
        <w:rPr>
          <w:rFonts w:ascii="IRNazanin" w:hAnsi="IRNazanin" w:eastAsia="IRNazanin"/>
          <w:color w:val="111111"/>
          <w:sz w:val="28"/>
          <w:sz w:val="28"/>
          <w:szCs w:val="28"/>
          <w:rtl w:val="true"/>
          <w:lang w:bidi="fa-IR"/>
        </w:rPr>
        <w:t>ثمّ إنّه لا إشکال فی عدم اعتبار الإذن من المجتهد المطلق فی عمل المجتهد المتجزّی برأیه إذا کان مجتهداً فی المبانی الاصولیة المرتبطة بها، وحصل له القطع بالحجّة بعد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رجوع العامّی إلیه یحتاج إلی الإذن من المجتهد المطلق، أی لابدّ له من التقلید عن المجتهد المطلق فی خصوص هذه المسألة، أی مسألة جواز التقلید عن المجتهد المتجزّی ثمّ تقلیده وإلّا دار، وهذا نظیر ما یقال به فی مسألة جواز تقلید غیر الأعلم من أنّه لابدّ فی خصوص هذه المسألة من تقلید الأعلم، فإن أجاز هو تقلید غیر الأعلم فهو، وإلّا فلا یجوز تقلید غیر الأعلم، وهکذا بالنسبة إلی مسألة تقلید المیّت، فلابدّ فی خصوصها من تقلید الحیّ وهو واضح</w:t>
      </w:r>
      <w:r>
        <w:rPr>
          <w:rFonts w:eastAsia="IRNazanin" w:cs="IRNazanin"/>
          <w:color w:val="111111"/>
          <w:sz w:val="28"/>
          <w:szCs w:val="28"/>
          <w:rtl w:val="true"/>
          <w:lang w:bidi="fa-IR"/>
        </w:rPr>
        <w:t>.</w:t>
      </w:r>
    </w:p>
    <w:p>
      <w:pPr>
        <w:pStyle w:val="Heading4"/>
        <w:numPr>
          <w:ilvl w:val="3"/>
          <w:numId w:val="1"/>
        </w:numPr>
        <w:rPr/>
      </w:pPr>
      <w:bookmarkStart w:id="800" w:name="__RefHeading___Toc142183_3244359995"/>
      <w:bookmarkStart w:id="801" w:name="_Toc305"/>
      <w:bookmarkEnd w:id="800"/>
      <w:r>
        <w:rPr/>
        <w:t>4</w:t>
      </w:r>
      <w:r>
        <w:rPr>
          <w:rtl w:val="true"/>
        </w:rPr>
        <w:t xml:space="preserve">. </w:t>
      </w:r>
      <w:r>
        <w:rPr>
          <w:rtl w:val="true"/>
        </w:rPr>
        <w:t>مبانی الاجتهاد والعلوم اللازمة له</w:t>
      </w:r>
      <w:bookmarkEnd w:id="801"/>
    </w:p>
    <w:p>
      <w:pPr>
        <w:pStyle w:val="Heading5"/>
        <w:numPr>
          <w:ilvl w:val="4"/>
          <w:numId w:val="1"/>
        </w:numPr>
        <w:rPr/>
      </w:pPr>
      <w:bookmarkStart w:id="802" w:name="__RefHeading___Toc142185_3244359995"/>
      <w:bookmarkStart w:id="803" w:name="_Toc306"/>
      <w:bookmarkEnd w:id="802"/>
      <w:r>
        <w:rPr>
          <w:rtl w:val="true"/>
        </w:rPr>
        <w:t>اشارة</w:t>
      </w:r>
      <w:bookmarkEnd w:id="803"/>
    </w:p>
    <w:p>
      <w:pPr>
        <w:pStyle w:val="BookText"/>
        <w:rPr/>
      </w:pPr>
      <w:r>
        <w:rPr>
          <w:rFonts w:ascii="IRNazanin" w:hAnsi="IRNazanin" w:eastAsia="IRNazanin"/>
          <w:color w:val="111111"/>
          <w:sz w:val="28"/>
          <w:sz w:val="28"/>
          <w:szCs w:val="28"/>
          <w:rtl w:val="true"/>
          <w:lang w:bidi="fa-IR"/>
        </w:rPr>
        <w:t>قد ذکر أنّ الاجتهاد یبتنی علی علوم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لزومه إمّا اجتهاداً أو بالرجوع إلی أهل الخبرة، لأنّ عمدة الأدلّة هی الکتاب والسنّة، وهما بلسان العرب، فلابدّ من معرفة موادّ اللغة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الحاجة إلیه لدخالته فی فهم 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کسابقیه؛ لأنّ کلمة واحدة تقبل معانٍ مختلفة علی أساس إعرابات متفاوتة، فلابدّ من معرفته حتّی تتمیّز المعانی بعضها عن بعض، نعم اللازم منه ما یکون له أثر فی اختلاف المعانی فحسب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لکلّ واحد من هذه الثلاثة دخل فی فهم المعانی، فإنّ علم اللغة یبیّن المادّة، وعلم الصرف یبیّن هیئة الکلمة وعلم النحو یبیّن هیئة الجملة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ما یکون وراء الثلاثة السابقة وهو الإحاطة بالآیات القرآنیة، وردّ بعضها إلی بعض، ومعرفة المحکم والمتشابه، والناسخ والمنسوخ، وغیر ذلک من أشباهه، ولا إشکال فی دخله فی استنباط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إلیه عند من یقول بحجّیة الأخبار المدوّنة فی الکتب المشهورة المعروفة، وهکذا عند القائلین بحجّیة الأخبار الواردة فی الکتب الأربعة، وأمّا بناءً علی ما هو الحقّ من مبنی القائلین باعتبار الوثوق برجال السند أو الوثوق بالروایة الذی قد یحصل من طریق الوثوق بالراوی وقد یحصل من طریق الموافقة لعمل المشهور، وقد یحصل من طریق علوّ المضامین، أو من طریق تضافر الروایات، فلا إشکال فی لزوم علم الرجال ودخله فی الاستنباط والاجتهاد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یکون بمنزلة علم التفسیر، ومورداً للحاجة فی طریق الاستنباط، لأنّ المراد منه معرفة لسان الروایات، فإنّ لروایة الأئمّة المعصومین لسان خاصّ یفترق عن عبارات الفقهاء والعلماء، واللازم معرفة العامّ والخاصّ والمحکم والمتشابه فی کلماتهم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لزومه، فإنّ المراد منه هو معرفة أقسام الروایة من حیث أوصاف الخبر وصفات الراوی من الصحیح والحسن والضعیف والمقطوعة والموقوفة والمضمرة والمرسلة وغیرها، وبما أنّ المیزان فی حجّیة الروایة هو الوثوق بالروایة وأحد طرق حصوله هو الوثوق برجال الحدیث، فلابدّ من معرفة أقسام الحدیث علی أساس رجال السند وخصوصیّات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لزومه أیضاً؛ لأنّ إثبات حجّیة کلام المعصوم وفعله وتقریره متوقّف علی إثبات إمامته وعصمته فی الرتبة السابقة، کما أنّ إثبات حجّیة ظواهر الکتاب أیضاً مبنیّ علی إثبات حقّانیة کتاب اللَّه المجید وهکذا، ومحلّ</w:t>
      </w:r>
    </w:p>
    <w:p>
      <w:pPr>
        <w:pStyle w:val="BookText"/>
        <w:rPr/>
      </w:pPr>
      <w:r>
        <w:rPr>
          <w:rFonts w:ascii="IRNazanin" w:hAnsi="IRNazanin" w:eastAsia="IRNazanin"/>
          <w:color w:val="111111"/>
          <w:sz w:val="28"/>
          <w:sz w:val="28"/>
          <w:szCs w:val="28"/>
          <w:rtl w:val="true"/>
          <w:lang w:bidi="fa-IR"/>
        </w:rPr>
        <w:t>البحث عن مثل هذه الامور إنّما هو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ولزومه وشدّة الحاجة إلیه فی الاستنباط من القضایا الّتی قیاساتها معها، کما یلوح به تعریف علم الاصول بأنّه هو العلم بقواعد تقع فی طریق الاستنباط، أو بما هو حجّة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ممارسة الفقه، فقد یتوهّم أنّه لا معنی لکونه من مبانی الاجتهاد من باب أنّه نفس الغایة وذوالمقدّمة لا من المقدّمات، ولکن قد مرّ أنّ ملکة الاجتهاد لا تتحقّق إلّابالتمرین والممارسة فی الفقه کما فی غالب العلوم، وهی تحصل أوّلًا بتطبیق الاصول علی الفروع، وثانیاً بردّ الفروع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سئل مثلًا عن رجل صلّی الظهرین وهو یعلم إجمالًا بأنّه کان فی أحدهما فاقداً للطهارة، فاللازم أن یعلم أنّه هل یجب علیه الاحتیاط فیکون المورد من موارد تطبیق قاعدة الاحتیاط، أو أنّه من موارد تطبیق قاعدة الفراغ؟ وأنّه هل یکون الترتیب بین الظهر والعصر ترتیباً واقعیاً، أو لا؟ أو إذا سئل عمّن صار مستطیعاً وقد استُؤجر سابقاً لمناسک الحجّ فهل یبطل عقد الإجارة أو لا؟ من باب عدم کونه مستطیعاً شرعاً والممنوع شرعاً کالممنوع عقلًا، وهکذا إلی سائر الفروعات والمسائل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وممارسة هذه المسائل مقدّمة للإحاطة بجمیع مسائل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الشکّ فی الحاجة إلیه؛ لأنّ المقدار اللازم منه أمر فطری لکلّ إنسان فإنّ عمدة المنطق إنّما هی الأشکال الأربعة، وجلّ الاستدلالات ترجع إلی الشکل الأوّل، وقد ذکروا أنّه بدیهی الإنتاج، وأمّا سائر مسائله فقلّما یتفق الحاجة إلیها فی الفقه، نعم الإحاطة ببعض المصطلحات فیها ربّما توجب سهولة الأمر فی بیان الاستدلالات، کالإحاطة بالنسب الأربعة والکلّیات الخمس والوَحَدات المعتبرة فی التناقض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دخل لها بعلم الفقه؛ لأنّها تبحث عن الامور الحقیقیة،</w:t>
      </w:r>
      <w:bookmarkStart w:id="804" w:name="pg16922_187854"/>
    </w:p>
    <w:p>
      <w:pPr>
        <w:pStyle w:val="BookText"/>
        <w:rPr/>
      </w:pPr>
      <w:bookmarkEnd w:id="804"/>
      <w:r>
        <w:rPr>
          <w:rFonts w:ascii="IRNazanin" w:hAnsi="IRNazanin" w:eastAsia="IRNazanin"/>
          <w:color w:val="111111"/>
          <w:sz w:val="28"/>
          <w:sz w:val="28"/>
          <w:szCs w:val="28"/>
          <w:rtl w:val="true"/>
          <w:lang w:bidi="fa-IR"/>
        </w:rPr>
        <w:t>بینما یکون الفقه یبحث عن الأحکام الإلهیّة وهی من الإنشائیات والاعتباریات،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تأثیراً فی الفقه من باب تأثیرها فی علم الکلام فلیس لها دخل مباشرة وبلا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أنّه قد وقع أخیراً الخلط بین مسائلها ومسائل علم الاصول وأوجب غوامض وتعقیدات کثیرة فی هذا العلم وقد أشرنا إلیه فی بعض الأبحاث السابقة، وقد یلزم البحث عنها فی عصرنا هذا للمنع عن هذا التداخل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المعانی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قد یقال فی وجه تأثیرهما فی الاستنباط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المرجّحات فی الخبرین المتعارضین البلاغة والفصاحة، مع أنّ الصحیح أنّهما لیسا من المرجّحات؛ لأنّ کلمات المعصومین علیهم السلام مختلفة، قسم منها عبارة عن الخطب والمواعظ، وقد أعملوا فیها قواعد الفصاحة والبلاغة وبدائعها، نظیر خطب نهج البلاغة وأدعیة الصحیفة السجّادیة وأشباهها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آخر صدر لبیان الأحکام الفرعیة والمسائل العملیّة، فلم یصدر عنهم علیهم السلام ببدائع الفصاحة والبلاغة کما لا یخفی علی الخبیر، وفی الواقع القسم الأوّل نظیر الآیات القرآنیة، بینما یکون القسم الثانی شبیه الأحادیث القدسیة الإلهیّة، مضافاً إلی ما مرّ من وجوب الاقتصار علی المرجّحات المنصوصة ولیس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أبحاث من علم المعانی والبیان کمسألة تقدیم ما حقّه التأخیر، وأبواب الحقیقة والمجاز والکنایات والاستعارات، قد یکون لها دخل فی فهم الأحکام عن الأدلّة اللفظیة</w:t>
      </w:r>
      <w:r>
        <w:rPr>
          <w:rFonts w:eastAsia="IRNazanin" w:cs="IRNazanin"/>
          <w:color w:val="111111"/>
          <w:sz w:val="28"/>
          <w:szCs w:val="28"/>
          <w:rtl w:val="true"/>
          <w:lang w:bidi="fa-IR"/>
        </w:rPr>
        <w:t>.</w:t>
      </w:r>
    </w:p>
    <w:p>
      <w:pPr>
        <w:pStyle w:val="Heading5"/>
        <w:numPr>
          <w:ilvl w:val="4"/>
          <w:numId w:val="1"/>
        </w:numPr>
        <w:rPr/>
      </w:pPr>
      <w:bookmarkStart w:id="805" w:name="__RefHeading___Toc142187_3244359995"/>
      <w:bookmarkStart w:id="806" w:name="_Toc307"/>
      <w:bookmarkEnd w:id="805"/>
      <w:r>
        <w:rPr>
          <w:rtl w:val="true"/>
        </w:rPr>
        <w:t>بقی هنا امور</w:t>
      </w:r>
      <w:r>
        <w:rPr>
          <w:rtl w:val="true"/>
        </w:rPr>
        <w:t>:</w:t>
      </w:r>
      <w:bookmarkEnd w:id="806"/>
    </w:p>
    <w:p>
      <w:pPr>
        <w:pStyle w:val="Heading5"/>
        <w:numPr>
          <w:ilvl w:val="4"/>
          <w:numId w:val="1"/>
        </w:numPr>
        <w:rPr/>
      </w:pPr>
      <w:bookmarkStart w:id="807" w:name="__RefHeading___Toc142189_3244359995"/>
      <w:bookmarkStart w:id="808" w:name="_Toc308"/>
      <w:bookmarkEnd w:id="807"/>
      <w:r>
        <w:rPr>
          <w:rtl w:val="true"/>
        </w:rPr>
        <w:t>الأمر الأوّل</w:t>
      </w:r>
      <w:r>
        <w:rPr>
          <w:rtl w:val="true"/>
        </w:rPr>
        <w:t xml:space="preserve">: </w:t>
      </w:r>
      <w:r>
        <w:rPr>
          <w:rtl w:val="true"/>
        </w:rPr>
        <w:t>القواعد الفقهیّة و دوره الأساسی فی الاستنباط</w:t>
      </w:r>
      <w:bookmarkEnd w:id="8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القواعد الفقهیّة لها دور عظیم فی استنباط الأحکام الفرعیة، ولعلّ عدم ذکرها فی العلوم الّتی یبتنی علیها الاستنباط من باب عدّهم إیّاها من الفقه،</w:t>
      </w:r>
      <w:bookmarkStart w:id="809" w:name="pg16922_187855"/>
    </w:p>
    <w:p>
      <w:pPr>
        <w:pStyle w:val="BookText"/>
        <w:rPr/>
      </w:pPr>
      <w:bookmarkEnd w:id="809"/>
      <w:r>
        <w:rPr>
          <w:rFonts w:ascii="IRNazanin" w:hAnsi="IRNazanin" w:eastAsia="IRNazanin"/>
          <w:color w:val="111111"/>
          <w:sz w:val="28"/>
          <w:sz w:val="28"/>
          <w:szCs w:val="28"/>
          <w:rtl w:val="true"/>
          <w:lang w:bidi="fa-IR"/>
        </w:rPr>
        <w:t xml:space="preserve">ولکن قد ذکرنا فی محلّه أنّها علم برأسه ولیست من اصول الفقه وإن ذکر الأصحاب المتأخّرون غیر واحد منها فی طیّات علم الاصول، کما أنّها لیست من الفقه نفسه فراجع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42191_3244359995"/>
      <w:bookmarkStart w:id="811" w:name="_Toc309"/>
      <w:bookmarkEnd w:id="810"/>
      <w:r>
        <w:rPr>
          <w:rtl w:val="true"/>
        </w:rPr>
        <w:t>الأمر الثانی</w:t>
      </w:r>
      <w:r>
        <w:rPr>
          <w:rtl w:val="true"/>
        </w:rPr>
        <w:t xml:space="preserve">: </w:t>
      </w:r>
      <w:r>
        <w:rPr>
          <w:rtl w:val="true"/>
        </w:rPr>
        <w:t>شأن الفقیه فی تشخیص الموضوعات الفقهیّة</w:t>
      </w:r>
      <w:bookmarkEnd w:id="811"/>
    </w:p>
    <w:p>
      <w:pPr>
        <w:pStyle w:val="BookText"/>
        <w:rPr/>
      </w:pPr>
      <w:r>
        <w:rPr>
          <w:rFonts w:ascii="IRNazanin" w:hAnsi="IRNazanin" w:eastAsia="IRNazanin"/>
          <w:color w:val="111111"/>
          <w:sz w:val="28"/>
          <w:sz w:val="28"/>
          <w:szCs w:val="28"/>
          <w:rtl w:val="true"/>
          <w:lang w:bidi="fa-IR"/>
        </w:rPr>
        <w:t>إنّ لکلّ حکم موضوعاً، والمعروف فی الألسنة أنّ تشخیص الموضوع لیس من شؤون الفقیه، بل هو موکول إلی المقلِّد نفسه، ولکن الصحیح أنّه لا یمکن للفقیه المجانبة عنه، فإنّ لموضوعات الأحکام مصادیق معقّدة غامضة لا یقدر العوامّ علی تشخیصها، بل لابدّ للفقیه تفسیرها وتبیین حدودها وخصوصیاتها، کما یشهد علی ذلک أنّ کثیراً من الفروعات المعنونة فی الکتب الفقهیّة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الموضوع فی المقام هو الموضوعات الجزئیة، أی مصادیق الموضوعات الکلّیة للأحکام، کمصادیق الدم والخمر والماء المطلق والمضاف وغیرها فإنّه کذلک، أی لیس تشخیصها من شؤون الفقیه، وأمّا إن قلنا بأنّ المراد منه هو نفس الموضوعات الکلّیة الواردة فی لسان الأخبار فلا إشکال فی أنّ تشخیصها وتعیین حدودها من شؤون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القسم من الموضوعات یستنبطها الفقیه بعد معرفة لسان الدلیل، بارتکازه العرفی ویأخذها من العرف بما أنّه من أهل العرف، ثمّ یبیّن حدودها للمقلّدین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فانظر إلی فتاوی الفقهاء مثلًا فی ما یصحّ السجود علیه، فقد ورد فی الدلیل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السجود علی الأرض وما یخرج منها إلّاما اکل وما لبس</w:t>
      </w:r>
      <w:r>
        <w:rPr>
          <w:rFonts w:eastAsia="IRNazanin" w:cs="IRNazanin"/>
          <w:color w:val="111111"/>
          <w:sz w:val="28"/>
          <w:szCs w:val="28"/>
          <w:rtl w:val="true"/>
          <w:lang w:bidi="fa-IR"/>
        </w:rPr>
        <w:t>»</w:t>
      </w:r>
      <w:r>
        <w:rPr>
          <w:rStyle w:val="FootnoteAnchor"/>
          <w:rtl w:val="true"/>
        </w:rPr>
        <w:footnoteReference w:id="39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فهذا عنوان عرفی، وقد تکلّم فقهاؤنا قدس سرهم فی مصادیقه وأنّه أیّ شی‌ء یعدّ من المأکول</w:t>
      </w:r>
    </w:p>
    <w:p>
      <w:pPr>
        <w:pStyle w:val="BookText"/>
        <w:rPr/>
      </w:pPr>
      <w:r>
        <w:rPr>
          <w:rFonts w:ascii="IRNazanin" w:hAnsi="IRNazanin" w:eastAsia="IRNazanin"/>
          <w:color w:val="111111"/>
          <w:sz w:val="28"/>
          <w:sz w:val="28"/>
          <w:szCs w:val="28"/>
          <w:rtl w:val="true"/>
          <w:lang w:bidi="fa-IR"/>
        </w:rPr>
        <w:t>والملبوس وأیّ شی‌ء لا یعدّ منهما فقد یکون هناک مصادیق لا یقدر العرف علی تشخیص أنّها منهما أو لیست منهما، ولذا وقع البحث لتبیین المصادیق المشتبهة لجواز السجود وعدمه فی مثل الامور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الأدویة والعقاقیر کلسان الثور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الفواکه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تفالة الشای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نواة الفواکه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 الکرم بعد الیبوسة وقبلها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مأکول فی بعض البلاد دون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النبات الذی ینبت علی وجه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الأمثلة الّتی یمکن أن تذکر فی هذا المجال عنوان النظر المحرّم إلی الأجنبیّة فإنّه أیضاً من الموضوعات المشکلة من باب أنّ لها مصادیق معقّدة مبهمة، فهل یصدق علی النظر إلی تصویر الأجنبی فی المرآة أو الماء الصافی أو فی تلفزیون عنوان النظر إلی الأجنبیّة أو لا؟</w:t>
      </w:r>
    </w:p>
    <w:p>
      <w:pPr>
        <w:pStyle w:val="BookText"/>
        <w:rPr/>
      </w:pPr>
      <w:r>
        <w:rPr>
          <w:rFonts w:ascii="IRNazanin" w:hAnsi="IRNazanin" w:eastAsia="IRNazanin"/>
          <w:color w:val="111111"/>
          <w:sz w:val="28"/>
          <w:sz w:val="28"/>
          <w:szCs w:val="28"/>
          <w:rtl w:val="true"/>
          <w:lang w:bidi="fa-IR"/>
        </w:rPr>
        <w:t>إلی غیر ذلک من أشباهه فی مختلف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رجوع العوامّ إلی الفقیه فی هذا القسم من المصادیق من قبیل رجوع الجاهل إلی العالم؟ أی کیف تشمله أدلّة التقلید؟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التقلید تشملها ویکون الرجوع فیها من قبیل رجوع الجاهل إلی العالم من باب أنّه لیس لها متخصّص وخبیر غیر الفقیه، نعم لو کانت هناک موضوعات یکون لها فی العرف خبراء معروفون أعلم بها وبخصوصیاتها من الفقیه یجب الرجوع إلیهم دونه</w:t>
      </w:r>
      <w:r>
        <w:rPr>
          <w:rFonts w:eastAsia="IRNazanin" w:cs="IRNazanin"/>
          <w:color w:val="111111"/>
          <w:sz w:val="28"/>
          <w:szCs w:val="28"/>
          <w:rtl w:val="true"/>
          <w:lang w:bidi="fa-IR"/>
        </w:rPr>
        <w:t>.</w:t>
      </w:r>
      <w:bookmarkStart w:id="812" w:name="pg16922_187857"/>
    </w:p>
    <w:p>
      <w:pPr>
        <w:pStyle w:val="Heading5"/>
        <w:numPr>
          <w:ilvl w:val="4"/>
          <w:numId w:val="1"/>
        </w:numPr>
        <w:rPr/>
      </w:pPr>
      <w:bookmarkStart w:id="813" w:name="__RefHeading___Toc142193_3244359995"/>
      <w:bookmarkStart w:id="814" w:name="_Toc310"/>
      <w:bookmarkEnd w:id="812"/>
      <w:bookmarkEnd w:id="813"/>
      <w:r>
        <w:rPr>
          <w:rtl w:val="true"/>
        </w:rPr>
        <w:t>الأمر الثالث</w:t>
      </w:r>
      <w:r>
        <w:rPr>
          <w:rtl w:val="true"/>
        </w:rPr>
        <w:t xml:space="preserve">: </w:t>
      </w:r>
      <w:r>
        <w:rPr>
          <w:rtl w:val="true"/>
        </w:rPr>
        <w:t>دور الزمان والمکان فی الاجتهاد</w:t>
      </w:r>
      <w:bookmarkEnd w:id="814"/>
    </w:p>
    <w:p>
      <w:pPr>
        <w:pStyle w:val="BookText"/>
        <w:rPr/>
      </w:pPr>
      <w:r>
        <w:rPr>
          <w:rFonts w:ascii="IRNazanin" w:hAnsi="IRNazanin" w:eastAsia="IRNazanin"/>
          <w:color w:val="111111"/>
          <w:sz w:val="28"/>
          <w:sz w:val="28"/>
          <w:szCs w:val="28"/>
          <w:rtl w:val="true"/>
          <w:lang w:bidi="fa-IR"/>
        </w:rPr>
        <w:t>قد نعلم أنّ الأحکام تابعة لموضوعاتها متابعة الظلّ لذی الظلّ وقد یتبدّل الموضوع بتبدلّ الزمان أو المکان، فتری للماء فی المفازة والصحاری مالیة فیجوز بیعه فیها، بینما لا یکون له مالیة علی الشاطئ فیبطل بیعه، هذا من قبیل تأثیر المکان فی الموضوع، وتری الحکم بجواز بیع الثلج فی الصیف دون الشتاء لکونه مالًا فی الأوّل دون الثانی وهذا من قبیل تأثیر الزمان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أمثلتها الواضحة فی یومنا هذا الدم الذی کان بیعه وشراؤه حراماً فی الأزمنة السابقة باعتبار عدم وجود منفعة محلّلة معتدّ بها له، ولکن الآن لا إشکال فی جواز بیعه وشرائه لما له من منافع محلّلة مقصودة، حیث لا تنحصر منافعه فی الأکل المحرّم أو الصبغ الذی یعدّ من المنافع النادرة، فإنّ الدم فی یومنا هذا عنصر حیاتی یمکن به إنقاذ نفس إنسان من التهلکة، ولذا تکون له مالیة عظیمة محلّلة معتدّ بها لنجاة المصدومین والجرحی وکثیر من المرضی، لا سیّما فی العملیات الجراحیة فلِم لا یجوز بیعه فی زماننا والحال هذا؟</w:t>
      </w:r>
    </w:p>
    <w:p>
      <w:pPr>
        <w:pStyle w:val="BookText"/>
        <w:rPr/>
      </w:pPr>
      <w:r>
        <w:rPr>
          <w:rFonts w:ascii="IRNazanin" w:hAnsi="IRNazanin" w:eastAsia="IRNazanin"/>
          <w:color w:val="111111"/>
          <w:sz w:val="28"/>
          <w:sz w:val="28"/>
          <w:szCs w:val="28"/>
          <w:rtl w:val="true"/>
          <w:lang w:bidi="fa-IR"/>
        </w:rPr>
        <w:t>ومن أمثلتها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یقال فی مسألة تقلیل الموالید وأنّها کانت مرجوحة فی الأعصار السابقة، بینما هی راجحة فی زماننا فی بعض البلاد الّتی تکون کثرة النفوس فیها موجبة للفقر الشدید والتأخّر والمفاسد الأخلاقیة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ورد فی الترغیب علی تکثیر النسل والموالید کالنبوی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تکثروا فإنّی اباهی بکم الامم یوم القیامة ولو بالسقط</w:t>
      </w:r>
      <w:r>
        <w:rPr>
          <w:rFonts w:eastAsia="IRNazanin" w:cs="IRNazanin"/>
          <w:color w:val="111111"/>
          <w:sz w:val="28"/>
          <w:szCs w:val="28"/>
          <w:rtl w:val="true"/>
          <w:lang w:bidi="fa-IR"/>
        </w:rPr>
        <w:t>»</w:t>
      </w:r>
      <w:r>
        <w:rPr>
          <w:rStyle w:val="FootnoteAnchor"/>
          <w:rtl w:val="true"/>
        </w:rPr>
        <w:footnoteReference w:id="3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ناظرة إلی الأعصار السابقة والأمصار الّتی کانت کثرة النفوس فیها سبباً للقدرة والسلطة، فما کان من الجوامع الانسانیة أکثر نفراً کان أشدّ قدرة وأکثر قوّة، کما یشهد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أَشَدَّ مِنْکُمْ قُوَّةً وَأَکْثَرَ أَمْوَالًا وَأَوْلَاداً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نَحْنُ أَکْثَرُ</w:t>
      </w:r>
      <w:bookmarkStart w:id="815" w:name="pg16922_187858"/>
    </w:p>
    <w:p>
      <w:pPr>
        <w:pStyle w:val="BookText"/>
        <w:rPr/>
      </w:pPr>
      <w:bookmarkEnd w:id="815"/>
      <w:r>
        <w:rPr>
          <w:rFonts w:ascii="Amiri" w:hAnsi="Amiri" w:eastAsia="Amiri" w:cs="Amiri"/>
          <w:color w:val="111111"/>
          <w:sz w:val="28"/>
          <w:sz w:val="28"/>
          <w:szCs w:val="28"/>
          <w:rtl w:val="true"/>
          <w:lang w:bidi="ar-SA"/>
        </w:rPr>
        <w:t>أَمْوَالًا وَأَوْلَاداً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فهی تدلّ بظاهرها علی أنّ کثرة الأولاد کانت موجبة للقدرة والشوکة کما کانت کثرة الأموال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والنبوی ورد فی مثل هذا الظرف من المجتمع الانسانی، فهذه الخصیصة الاجتماعیة الموجودة فی عصر صدوره تکون بمنزلة قرینة لبّیة قد توجب انصرافه إلی خصوص ذلک الزمان، وهذه الدعوی بالنسبة إلی بعض البلاد وإن لم تکن ثابتة بالقطع والیقین، ولکنّها قابلة للدقّة والتأمّل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تأثیر الزمان والمکان فی الاجتهاد والاستنباط لکن لا علی نحو تأثیرهما فی الحکم بلا واسطة بل من طریق تأثیرهما فی الموضوع، فإنّ الأحکام ثابتة إلی الأبد،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وحلال محمّد صلی الله علیه و آله 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والمتغیّر علی مرّ الدهور والأزمان، والمتبدّل فی الأمکنة والأقطار إنّما هو الموضوعات فقط، وبتبعها تتغیّر الأحکام قهراً</w:t>
      </w:r>
      <w:r>
        <w:rPr>
          <w:rFonts w:eastAsia="IRNazanin" w:cs="IRNazanin"/>
          <w:color w:val="111111"/>
          <w:sz w:val="28"/>
          <w:szCs w:val="28"/>
          <w:rtl w:val="true"/>
          <w:lang w:bidi="fa-IR"/>
        </w:rPr>
        <w:t>.</w:t>
      </w:r>
    </w:p>
    <w:p>
      <w:pPr>
        <w:pStyle w:val="Heading4"/>
        <w:numPr>
          <w:ilvl w:val="3"/>
          <w:numId w:val="1"/>
        </w:numPr>
        <w:rPr/>
      </w:pPr>
      <w:bookmarkStart w:id="816" w:name="__RefHeading___Toc142195_3244359995"/>
      <w:bookmarkStart w:id="817" w:name="_Toc311"/>
      <w:bookmarkEnd w:id="816"/>
      <w:r>
        <w:rPr/>
        <w:t>5</w:t>
      </w:r>
      <w:r>
        <w:rPr>
          <w:rtl w:val="true"/>
        </w:rPr>
        <w:t xml:space="preserve">. </w:t>
      </w:r>
      <w:r>
        <w:rPr>
          <w:rtl w:val="true"/>
        </w:rPr>
        <w:t>التخطئة والتصویب</w:t>
      </w:r>
      <w:bookmarkEnd w:id="817"/>
    </w:p>
    <w:p>
      <w:pPr>
        <w:pStyle w:val="Heading5"/>
        <w:numPr>
          <w:ilvl w:val="4"/>
          <w:numId w:val="1"/>
        </w:numPr>
        <w:rPr/>
      </w:pPr>
      <w:bookmarkStart w:id="818" w:name="__RefHeading___Toc142197_3244359995"/>
      <w:bookmarkStart w:id="819" w:name="_Toc312"/>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والمراد من التخطئة أنّه عند اختلاف الآراء لا یکون الصواب إلّاواحداً منها فیکون الباقی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للَّه‌تعالی فی کلّ واقعة حکماً یشترک فیه الکلّ؛ العالم والجاهل، فمن أصابه أصابه ومن أخطأه أخطأه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التصویب أنّه عند اختلاف الآراء کلّها أحکام اللَّه وکلّها صواب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التصویب فی الشرعیات إلی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باطل عقلًا، وهو عبارة عن إنشاء أحکام إلهیّة علی وفق آراء المجتهدین بعد اجتهادهم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والوجه فی بطلانه عند العقل أنّه لابدّ للطلب من مطلوب، فلو کان اللَّه تعالی یجعل الحکم بعد اجتهاد المجتهد، والمجتهد یطلب فی استنباطه حکم اللَّه الواقعی فما هو مطلوبه؟</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منه الدور المحال؛ لأنّ اجتهاد المجتهد متفرّع علی وجود حکم قبله، والمفروض أنّ الحکم أیضاً متوقّف علی اجتهاده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لیس بباطل عقلًا ولکن یکون مجمعاً علی بطلانه، وهو أنّ اللَّه تعالی ینشئ أحکاماً عدیدة بعدد آراء المجتهدین قبل اجتهادهم، فیکون کلّ مجتهد طالباً فی استنباطه لحکمه الذی جعله اللَّه تعالی فی حقّه، وهذا وإن لم یکن محالًا عقلًا ولکنّه مجمع علی بطلانه عند الإمامیة، حیث إنّهم یعتقدون أنّ لکلّ واقعة حکماً إلهیاً واقعیاً واحداً للعالم والجاهل، أصابه المجتهد أو لم یصبه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لیس بباطل عقلًا ولا مجمعاً علی بطلانه ولکن الأقوی بطلانه، وهو أن یکون حکم اللَّه تعالی فی مقام الإنشاء واحداً ولکنّه متعدّد فی مقام الفعلیّة؛ لأنّ طرقه الشرعیّة متعدّدة ویکون کلّ طریق سبباً لإیجاد المصلحة فی مؤدّاه فیکون منشأ التعدّد فی الأحکام الفعلیّة هو القول بسببیّة الأمارات، وقد مرّ أنّ الصحیح بطلان السببیّة، وأنّ المستفاد من أدلّة حجّیة الأمارات إنّما هو الطریقیة فحسب، فالأقوی بطلان هذا القسم بحسب الأدلّة المعتبرة عندنا، وإن لم یکن باطلًا عقلًا ولا مجمعاً علی بطلانه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خارجاً عن هذه الأقسام الثلاثة ولا إشکال فی صحّته، وهو التصویب فی الأحکام الظاهریّة الذی یوافق مبنی القائلین بأنّ أدلّة حجّیة الأمارات وإن لم تکن سبباً لإیجاد المصلحة ولکنّها توجب جعل حکم ظاهری مماثل کما</w:t>
      </w:r>
      <w:bookmarkStart w:id="820" w:name="pg16922_187860"/>
    </w:p>
    <w:p>
      <w:pPr>
        <w:pStyle w:val="BookText"/>
        <w:rPr/>
      </w:pPr>
      <w:bookmarkEnd w:id="820"/>
      <w:r>
        <w:rPr>
          <w:rFonts w:ascii="IRNazanin" w:hAnsi="IRNazanin" w:eastAsia="IRNazanin"/>
          <w:color w:val="111111"/>
          <w:sz w:val="28"/>
          <w:sz w:val="28"/>
          <w:szCs w:val="28"/>
          <w:rtl w:val="true"/>
          <w:lang w:bidi="fa-IR"/>
        </w:rPr>
        <w:t>هو المختار، وهو الظاهر من کلمات المشهور، وقد یکون فی سلوک هذه الطرق مصلحة أهمّ من المصلحة الواقع الّتی تفوت من المکلّف ویعبّر عنه 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التقسیم الرباعی ناشٍ من وقوع خلط فی معنیی الاجتهاد، وإلّا یکون التقسیم ثلاثیاً؛ لما مرّ من أنّ الاجتهاد بالمعنی العامّ هو استنباط الحکم عن أدلّته التفصیلیة والاجتهاد بالمعنی الخاصّ هو تقنین المجتهد فیما لا نصّ فیه، ولا إشکال فی عدم لزوم التصویب المحال بناءً علی الاجتهاد بالمعنی الخاصّ؛ لأنّه لیس فیما لا نصّ فیه حکم علی زعمهم حتّی یقال بأنّه لابدّ للطلب من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الاجتهاد عندهم هو استفراغ الوسع فی طلب المصالح والمفاسد وتشریع الأحکام علی وفقها من ناحیة المجتهد فلیس هناک حکم واقعی یطلبه المجتهد حتّی یلزم المحال</w:t>
      </w:r>
      <w:r>
        <w:rPr>
          <w:rFonts w:eastAsia="IRNazanin" w:cs="IRNazanin"/>
          <w:color w:val="111111"/>
          <w:sz w:val="28"/>
          <w:szCs w:val="28"/>
          <w:rtl w:val="true"/>
          <w:lang w:bidi="fa-IR"/>
        </w:rPr>
        <w:t>.</w:t>
      </w:r>
    </w:p>
    <w:p>
      <w:pPr>
        <w:pStyle w:val="Heading5"/>
        <w:numPr>
          <w:ilvl w:val="4"/>
          <w:numId w:val="1"/>
        </w:numPr>
        <w:rPr/>
      </w:pPr>
      <w:bookmarkStart w:id="821" w:name="__RefHeading___Toc142199_3244359995"/>
      <w:bookmarkStart w:id="822" w:name="_Toc313"/>
      <w:bookmarkEnd w:id="821"/>
      <w:r>
        <w:rPr>
          <w:rtl w:val="true"/>
        </w:rPr>
        <w:t>بطلان القسم الأوّل من التصویب</w:t>
      </w:r>
      <w:bookmarkEnd w:id="822"/>
    </w:p>
    <w:p>
      <w:pPr>
        <w:pStyle w:val="BookText"/>
        <w:rPr/>
      </w:pPr>
      <w:r>
        <w:rPr>
          <w:rFonts w:ascii="IRNazanin" w:hAnsi="IRNazanin" w:eastAsia="IRNazanin"/>
          <w:color w:val="111111"/>
          <w:sz w:val="28"/>
          <w:sz w:val="28"/>
          <w:szCs w:val="28"/>
          <w:rtl w:val="true"/>
          <w:lang w:bidi="fa-IR"/>
        </w:rPr>
        <w:t>وهذا القسم یبتنی علی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وقائع خالیة عن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اختیار التقنین بید الفقیه فیکون من شؤون الفقیه جعل الحکم وتقنین الأحکام فیما لا 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ما یدلّ علی أنّ کلّ ما یحتاج إلیه الامّة إلی یوم القیامة فقد ورد فیه حکم، والدلیل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الکریم أی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w:t>
      </w:r>
    </w:p>
    <w:p>
      <w:pPr>
        <w:pStyle w:val="BookText"/>
        <w:rPr/>
      </w:pPr>
      <w:r>
        <w:rPr>
          <w:rFonts w:ascii="Amiri" w:hAnsi="Amiri" w:eastAsia="Amiri" w:cs="Amiri"/>
          <w:color w:val="111111"/>
          <w:sz w:val="28"/>
          <w:sz w:val="28"/>
          <w:szCs w:val="28"/>
          <w:rtl w:val="true"/>
          <w:lang w:bidi="ar-SA"/>
        </w:rPr>
        <w:t>الْکِتَابَ تِبْیَاناً لِکُلِّ شَیْ‌ءٍ</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فلو کانت بعض الوقائع خالیة عن الحکم لما کان الدین کاملًا والنعمة تامّة، ولم یکن الکتاب تبیاناً لکلّ شی‌ء، بل کان الدین ناقصاً فاستعان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خلقه علی إکماله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حدیث الثقلین الذی تواتر نقله بین الفریقین </w:t>
      </w:r>
      <w:r>
        <w:rPr>
          <w:rStyle w:val="FootnoteAnchor"/>
          <w:rtl w:val="true"/>
        </w:rPr>
        <w:footnoteReference w:id="402"/>
      </w:r>
      <w:r>
        <w:rPr>
          <w:rFonts w:ascii="IRNazanin" w:hAnsi="IRNazanin" w:eastAsia="IRNazanin"/>
          <w:color w:val="111111"/>
          <w:sz w:val="28"/>
          <w:sz w:val="28"/>
          <w:szCs w:val="28"/>
          <w:rtl w:val="true"/>
          <w:lang w:bidi="fa-IR"/>
        </w:rPr>
        <w:t>، منها ما رووه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حجّته یوم عرفة وهو علی ناقته القصواء یخطب 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أنّه نصّ علی کفایة الرجوع إلی کتاب اللَّه والعترة للأمن من الخطأ والضلالة، ولازمه عدم خلوّ الوقائع عن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الروایات تدلّ علی أنّ للَّه‌فی کلّ واقعة حکماً یشترک فیه جمیع الامّة، مثل ما ورد فی حدیث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الناس ما من شی‌ء یقرّبکم من الجنّة ویباعدکم من النار إلّاوقد أمرتکم به، وما من شی‌ء یقرّبکم من النار ویباعدکم من الجنّة إلّاوقد نهیتکم عنه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الروایات المتضافرة تحکم بالاحتیاط والوقوف عند الشبهات حتّی فی موارد الشکّ فی الحکم، وتأمر بوجوب الفحص والسؤال عند عدم العلم بحکم اللَّه الواقعی، فإنّها تدلّ بالملازمة علی وجود حکم واقعی فی کلّ واقعة، ومن جملتها ما رواه جمیل بن صالح عن الصادق علیه السلام عن آبائه علیهم السلام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رشده فاتّبعه، وأمر تبیّن لک غیّه فاجتنبه، وأمر اختلف فیه فردّه إلی اللَّه عزّوجلّ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823" w:name="pg16922_187862"/>
    </w:p>
    <w:p>
      <w:pPr>
        <w:pStyle w:val="BookText"/>
        <w:rPr/>
      </w:pPr>
      <w:bookmarkEnd w:id="823"/>
      <w:r>
        <w:rPr>
          <w:rFonts w:ascii="IRNazanin" w:hAnsi="IRNazanin" w:eastAsia="IRNazanin"/>
          <w:color w:val="111111"/>
          <w:sz w:val="28"/>
          <w:sz w:val="28"/>
          <w:szCs w:val="28"/>
          <w:rtl w:val="true"/>
          <w:lang w:bidi="fa-IR"/>
        </w:rPr>
        <w:t>ومفاد جمیعها عدم خلوّ الواقعة عن الحکم الشرعی ولذا لابدّ من الاحتیاط حتّی یسأل عن الإمام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من طرق العامّة أیضاً ما یوافق مذهب التخطئة وأنّ للَّه‌تعالی فی کلّ واقعة حکماً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هریرة عن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الحاکم فاجتهد فأصاب فله أجران، وإذا حکم فأخطأ فله أجر واحد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أصاب حکم اللَّه الواقعی وکذلک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بکر عن الکلالة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سأقول فیها برأی فإن کان صواباً فمن اللَّه وحده لا شریک له، وإن کان خطأً فمنّی ومن الشیطان واللَّه عنه بری‌ء</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نظائرهما، فقد ظهر ببرکة هذه الآیات والروایات الکثیرة بطلان الأمر الأوّل، وهو أنّ ما لا نصّ فیه لا 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جواز إعطاء حقّ التقنین بید الفقیه،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دعوی بلا دلیل، بل اللازم فی ما لا یوجد فیه نصّ خاصّ علی الحکم، الرجوع إلی الأحکام الظاهریّة المتّخذة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أهل السنّة حیث أعرضوا عن أحد الثقلین، بقی کثیر من الوقایع خال عن الحکم عندهم، نتیجة لإعراضهم عن التمسّک بما أمر النبی صلی الله علیه و آله بالتمسّک به لکی لا تضلّوا أبداً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4" w:name="__RefHeading___Toc142201_3244359995"/>
      <w:bookmarkStart w:id="825" w:name="_Toc314"/>
      <w:bookmarkEnd w:id="824"/>
      <w:r>
        <w:rPr>
          <w:rtl w:val="true"/>
        </w:rPr>
        <w:t>بطلان القسم الثانی والثالث</w:t>
      </w:r>
      <w:bookmarkStart w:id="826" w:name="pg16922_187863"/>
      <w:bookmarkEnd w:id="825"/>
    </w:p>
    <w:p>
      <w:pPr>
        <w:pStyle w:val="BookText"/>
        <w:rPr/>
      </w:pPr>
      <w:bookmarkEnd w:id="826"/>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للَّه‌فی کلّ واقعة حکماً لمن وصل إلیه الخطاب، وأمّا من لم یصل إلیه الخطاب فلا حکم فی حقّه، بل تصل النوبة حینئذٍ إلی تقنین الفقیه، فهو أیضاً باطل بکلتا مقدّمتیه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القول بأنّ الأحکام مخصوصة للعالمین فقط مخالف لظاهر جمیع أدلّتها، فإنّ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عامّ للجاهل والعالم، ولیس العلم مأخوذاً فی موضوعه، بل العلم طریق إلیه، ولو فرضنا اختصاص الأحکام بالعالمین فلا دلیل أیضاً علی إعطاء حقّ التقنین بید الفقیه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التصویب المبنی علی القول بسببیّة الأمارات، ففیه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دلیل علی سببیّة الأمارات، فإنّ ظاهر أدلّتها هو الطریقیّة کما مرّ بیانه فی محلّه، فقد قلنا هناک 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حتّی تعلموا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یؤکّد هذا المعنی ما مرّ کراراً من أنّ الأمارات الشرعیّة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امضاءات لبناءات العقلاء، ولا إشکال فی أنّها عند العقلاء طرق إلی الواقع فقط</w:t>
      </w:r>
      <w:r>
        <w:rPr>
          <w:rFonts w:eastAsia="IRNazanin" w:cs="IRNazanin"/>
          <w:color w:val="111111"/>
          <w:sz w:val="28"/>
          <w:szCs w:val="28"/>
          <w:rtl w:val="true"/>
          <w:lang w:bidi="fa-IR"/>
        </w:rPr>
        <w:t>.</w:t>
      </w:r>
    </w:p>
    <w:p>
      <w:pPr>
        <w:pStyle w:val="Heading5"/>
        <w:numPr>
          <w:ilvl w:val="4"/>
          <w:numId w:val="1"/>
        </w:numPr>
        <w:rPr/>
      </w:pPr>
      <w:bookmarkStart w:id="827" w:name="__RefHeading___Toc142203_3244359995"/>
      <w:bookmarkStart w:id="828" w:name="_Toc315"/>
      <w:bookmarkEnd w:id="827"/>
      <w:r>
        <w:rPr>
          <w:rtl w:val="true"/>
        </w:rPr>
        <w:t>المصلحة السلوکیة وخروجها عن التصویب موضوعاً</w:t>
      </w:r>
      <w:bookmarkEnd w:id="828"/>
    </w:p>
    <w:p>
      <w:pPr>
        <w:pStyle w:val="BookText"/>
        <w:rPr/>
      </w:pPr>
      <w:r>
        <w:rPr>
          <w:rFonts w:ascii="IRNazanin" w:hAnsi="IRNazanin" w:eastAsia="IRNazanin"/>
          <w:color w:val="111111"/>
          <w:sz w:val="28"/>
          <w:sz w:val="28"/>
          <w:szCs w:val="28"/>
          <w:rtl w:val="true"/>
          <w:lang w:bidi="fa-IR"/>
        </w:rPr>
        <w:t>وأمّا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المراد من التصویب جعل أحکام ظاهریّة مماثلة لمؤدّیات الطرق والأمارات فلا إشکال فیه، بل لا یسمّی هذا تصویباً، فإنّ تسمیته بالتصویب خلاف الاصطلاح؛ لأنّ مصطلح الفقهاء فیه إنّما هو فی الأحکام الواقعیّة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فی سلوک هذه الطرق مصالح أهمّ من المصالح الواقعیّة الّتی تفوت من المکلّف، وهی الّتی یعبّر عنها بالمصالح السلوکیة، وبهذا یندفع ما اورد علی حجّیة</w:t>
      </w:r>
    </w:p>
    <w:p>
      <w:pPr>
        <w:pStyle w:val="BookText"/>
        <w:rPr/>
      </w:pPr>
      <w:r>
        <w:rPr>
          <w:rFonts w:ascii="IRNazanin" w:hAnsi="IRNazanin" w:eastAsia="IRNazanin"/>
          <w:color w:val="111111"/>
          <w:sz w:val="28"/>
          <w:sz w:val="28"/>
          <w:szCs w:val="28"/>
          <w:rtl w:val="true"/>
          <w:lang w:bidi="fa-IR"/>
        </w:rPr>
        <w:t>الأمارات من أنّ لازمه تفویت المصلحة أو إلقاء العبد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بعضهم علی هذا القسم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للالتزام بهذه المصلحة لتصحیح اعتبار الأمارات وحجّیتها؛ لأنّ اعتبار الأمارات من دون أن ترتّب علیه مصلحة وإن کان لغواً فلا یمکن صدوره من الشارع الحکیم، إلّاأنّه یکفی فی ذلک ترتّب مصلحة سهولة الأمر علی المکلّفین؛ حیث إنّ تحصیل العلم الوجدانی بکلّ حکم شرعی لکلّ واحد من المکلّفین غیر ممکن فی زمان الحضور فضلًا عن زماننا هذا، ولو أمکن هذا فبطبیعة الحال کان حرجیاً لعامّة المکلّفین فی عصر الحضور فما ظنّک بهذا العصر، ومن الواضح أنّ هذا منافٍ لکون الشریعة الإسلامیّة شریعة سهلة وسمحة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هذا القول هو السببیّة وانقلاب الواقع وتبدّله لأنّنا إذا فرضنا قیام مصلحة فی سلوک الأمارة الّتی توجب تدارک مصلحة الواقع فالإیجاب الواقعی عندئذٍ تعییناً غیر معقول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الأوّل فهو عجیب، فإنّ مصلحة التسهیل هی نوع من المصلحة السلوکیة ومصداق بیّن منها، فلولا هذه المسألة لما أمر الشارع بسلوک هذه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فالجواب عنه ظاهر بعد ما عرفت من أنّ مصلحة التسهیل هی من المصالح السلوکیة، فما یجاب عن هذه المصلحة هو الجواب فی أشباهها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المصلحة السلوکیة فی عرض مصلحة الواقع، فإنّ المصالح الواقعیّة إنّما هی مصالح فی أفعال المکلّفین، وأمّا المصلحة السلوکیة فإنّما هی مصلحة فی سلوک هذا الطریق بقصد الوصول إلی الحکم الواقعی، فیکون أحدهما فی طول الآخر، ولا معنی للتخییر حینئذٍ</w:t>
      </w:r>
      <w:r>
        <w:rPr>
          <w:rFonts w:eastAsia="IRNazanin" w:cs="IRNazanin"/>
          <w:color w:val="111111"/>
          <w:sz w:val="28"/>
          <w:szCs w:val="28"/>
          <w:rtl w:val="true"/>
          <w:lang w:bidi="fa-IR"/>
        </w:rPr>
        <w:t>.</w:t>
      </w:r>
      <w:bookmarkStart w:id="829" w:name="pg16922_187865"/>
    </w:p>
    <w:p>
      <w:pPr>
        <w:pStyle w:val="Heading4"/>
        <w:numPr>
          <w:ilvl w:val="3"/>
          <w:numId w:val="1"/>
        </w:numPr>
        <w:rPr/>
      </w:pPr>
      <w:bookmarkStart w:id="830" w:name="__RefHeading___Toc142205_3244359995"/>
      <w:bookmarkStart w:id="831" w:name="_Toc316"/>
      <w:bookmarkEnd w:id="829"/>
      <w:bookmarkEnd w:id="830"/>
      <w:r>
        <w:rPr/>
        <w:t>6</w:t>
      </w:r>
      <w:r>
        <w:rPr>
          <w:rtl w:val="true"/>
        </w:rPr>
        <w:t xml:space="preserve">. </w:t>
      </w:r>
      <w:r>
        <w:rPr>
          <w:rtl w:val="true"/>
        </w:rPr>
        <w:t>تبدّل رأی المجتهد</w:t>
      </w:r>
      <w:bookmarkEnd w:id="831"/>
    </w:p>
    <w:p>
      <w:pPr>
        <w:pStyle w:val="Heading5"/>
        <w:numPr>
          <w:ilvl w:val="4"/>
          <w:numId w:val="1"/>
        </w:numPr>
        <w:rPr/>
      </w:pPr>
      <w:bookmarkStart w:id="832" w:name="__RefHeading___Toc142207_3244359995"/>
      <w:bookmarkStart w:id="833" w:name="_Toc317"/>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وفیه یبحث أیضاً عن مسألة العدول عن مجتهد إلی آخر، من حیّ إلی حیّ أو من میّت إلی حیّ؛ لاشتراک المسألتین فی الأدلّة، وهو بحث مبتلی به کثیراً، ویطرح تارةً بالنسبة إلی المجتهد نفسه فی العمل برأیه، واخری بالنسبة إلی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الکلام فیه تارةً یقع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فی المعاملات بالمعنی الأخصّ، کما إذا اشتری داراً بالبیع الفضولی أو المعاطاة معتقداً صحّتهما، ثمّ تبدّل رأیه إلی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فی المعاملات بالمعنی الأعمّ، کما إذا تزوّج بالعقد الفارسی، ثمّ تبدّل رأیه واعتقد اشتراط العربیة، أو کان قائلًا فی باب الرضاع باعتبار أکثر من عشر رضعات فی حصول المحرمیة فتزوّج بمن ارتضعت من امّه عشر رضعات، ثمّ تبدّل رأیه وذهب إلی کفایتها فی حصول المحرمیة، أو کان قائلًا فی باب النجاسات بعدم نجاسة عرق الجنب عن الحرام، وفی باب الطهارة بعدم اعتبار عصر الثوب فی التطهیر، ثمّ تبدّل رأیه إلی نجاسة عرق الجنب عن الحرام أو اعتبار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تارةً یکون الموضوع موجوداً، کما إذا کانت الذبیحة موجودة أو کان متلبّساً بثوب لم یعصره حین تطهیره، واخری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کلّه إنّما هو فی ما إذا کانت الفتوی السابقة مخالفة للاحتیاط، وأمّا إذا کانت موافقة له کما إذا کان قائلًا باعتبار إتیان التسبیح ثلاث مرّات وتبدّل رأیه إلی کفایة مرّة واحدة فلا إشکال فی أنّه خارج عن محلّ النزاع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مصادیق مسألة الإجزاء؛ لأنّ من أقسامه هو الإجزاء فی الأوامر الظاهریّة، والمقام من هذا القبیل، لأنّ حجّیة فتوی المجتهد للمقلّد حکم ظاهری له، نعم إنّها أعمّ منها من جهة اخری، فإنّ مسألة الإجزاء مختصّة بباب الأوامر والأحکام التکلیفیّة فحسب، بینما البحث هنا أی مسألة التبدّل والعدول یعمّ الأحکام التکلیفیّة والوضعیّة معاً، فکلّ من المسألتین أعمّ من الاخری من جهة،</w:t>
      </w:r>
      <w:bookmarkStart w:id="834" w:name="pg16922_187866"/>
    </w:p>
    <w:p>
      <w:pPr>
        <w:pStyle w:val="BookText"/>
        <w:rPr/>
      </w:pPr>
      <w:bookmarkEnd w:id="834"/>
      <w:r>
        <w:rPr>
          <w:rFonts w:ascii="IRNazanin" w:hAnsi="IRNazanin" w:eastAsia="IRNazanin"/>
          <w:color w:val="111111"/>
          <w:sz w:val="28"/>
          <w:sz w:val="28"/>
          <w:szCs w:val="28"/>
          <w:rtl w:val="true"/>
          <w:lang w:bidi="fa-IR"/>
        </w:rPr>
        <w:t>وأخصّ منها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فی المقام هو الفساد فإنّ الأصل مثلًا هو عدم وقوع التذکیة شرعاً أو عدم الإتیان بالصلاة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القواعد الخاصّة الّتی یمکن جریانها کقاعدة الفراغ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یوافق القول بعدم الإجزاء، فلابدّ للقائلین بالصحّة من إقامة الدلیل علیه</w:t>
      </w:r>
      <w:r>
        <w:rPr>
          <w:rFonts w:eastAsia="IRNazanin" w:cs="IRNazanin"/>
          <w:color w:val="111111"/>
          <w:sz w:val="28"/>
          <w:szCs w:val="28"/>
          <w:rtl w:val="true"/>
          <w:lang w:bidi="fa-IR"/>
        </w:rPr>
        <w:t>.</w:t>
      </w:r>
    </w:p>
    <w:p>
      <w:pPr>
        <w:pStyle w:val="Heading5"/>
        <w:numPr>
          <w:ilvl w:val="4"/>
          <w:numId w:val="1"/>
        </w:numPr>
        <w:rPr/>
      </w:pPr>
      <w:bookmarkStart w:id="835" w:name="__RefHeading___Toc142209_3244359995"/>
      <w:bookmarkStart w:id="836" w:name="_Toc318"/>
      <w:bookmarkEnd w:id="835"/>
      <w:r>
        <w:rPr>
          <w:rtl w:val="true"/>
        </w:rPr>
        <w:t>التفصیل فی المسألة بین القطع والأمارات</w:t>
      </w:r>
      <w:bookmarkEnd w:id="836"/>
    </w:p>
    <w:p>
      <w:pPr>
        <w:pStyle w:val="BookText"/>
        <w:rPr/>
      </w:pPr>
      <w:r>
        <w:rPr>
          <w:rFonts w:ascii="IRNazanin" w:hAnsi="IRNazanin" w:eastAsia="IRNazanin"/>
          <w:color w:val="111111"/>
          <w:sz w:val="28"/>
          <w:sz w:val="28"/>
          <w:szCs w:val="28"/>
          <w:rtl w:val="true"/>
          <w:lang w:bidi="fa-IR"/>
        </w:rPr>
        <w:t>الحق فی المسألة التفصیل بین ما إذا کان مدرک الاجتهاد السابق هو القطع ثمّ انکشف خلافه بالقطع أیضاً، فلا وجه حینئذٍ للقول بالإجزاء؛ لأنّ المفروض أنّه لم یکن فی الواقع أمر من جانب المولی، بل إنّه امتثل أمراً خیالیاً ذهنیاً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القطع لیس من الأمارات الشرعیّة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أمارة کسائر الأمارات یتولّد منها حکم ظاهری شرعی، بل هو من الأمارات العقلیّة الّتی تکون مجرّد طریق إلی الواقع فحسب، ومنه یعلم الحال فیما إذا زال القطع السابق وقامت أمارة شرعیّة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موارد تبدّل رأی المجتهد لیست من هذا القبیل غالباً؛ لأنّ ما یتبدّل عند المجتهد فی غالب الموارد إنّما هو الأمارات الظنّیة المعتبرة، کما أنّ رجوع المقلّد إلی مجتهد آخر أیضاً لیس من هذا القبیل أصلًا؛ لأنّ الحجّة عنده إنّما هو قول المجتهد وهو أمارة ظنّیة عقلائیّة أمضاها الشارع المقدّس</w:t>
      </w:r>
      <w:r>
        <w:rPr>
          <w:rFonts w:eastAsia="IRNazanin" w:cs="IRNazanin"/>
          <w:color w:val="111111"/>
          <w:sz w:val="28"/>
          <w:szCs w:val="28"/>
          <w:rtl w:val="true"/>
          <w:lang w:bidi="fa-IR"/>
        </w:rPr>
        <w:t>.</w:t>
      </w:r>
    </w:p>
    <w:p>
      <w:pPr>
        <w:pStyle w:val="Heading5"/>
        <w:numPr>
          <w:ilvl w:val="4"/>
          <w:numId w:val="1"/>
        </w:numPr>
        <w:rPr/>
      </w:pPr>
      <w:bookmarkStart w:id="837" w:name="__RefHeading___Toc142211_3244359995"/>
      <w:bookmarkStart w:id="838" w:name="_Toc319"/>
      <w:bookmarkEnd w:id="837"/>
      <w:r>
        <w:rPr>
          <w:rtl w:val="true"/>
        </w:rPr>
        <w:t>مقتضی إطلاقات أدلّة حجّیة الأمارات</w:t>
      </w:r>
      <w:bookmarkEnd w:id="8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فتوی المجتهد علی أساس أمارة شرعیّة وکان المبنی فی حجّیة الأمارات، الطریقیة کما هو الحقّ، فحینئذٍ یستدلّ للإجزاء بوجوه عمدتها أنّ إطلاقات أدلّة حجّیة الأمارات لا تشمل الأعمال السابقة الّتی أتی بها المکلّف وفقاً</w:t>
      </w:r>
    </w:p>
    <w:p>
      <w:pPr>
        <w:pStyle w:val="BookText"/>
        <w:rPr/>
      </w:pPr>
      <w:r>
        <w:rPr>
          <w:rFonts w:ascii="IRNazanin" w:hAnsi="IRNazanin" w:eastAsia="IRNazanin"/>
          <w:color w:val="111111"/>
          <w:sz w:val="28"/>
          <w:sz w:val="28"/>
          <w:szCs w:val="28"/>
          <w:rtl w:val="true"/>
          <w:lang w:bidi="fa-IR"/>
        </w:rPr>
        <w:t>لأمارات کانت حجّة علیه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الاجتهاد الثانی لیشمل موارد الاجتهاد الأوّل ویعمّ الواقعة السابقة، ولا أقلّ من الشکّ فی ذلک، ولعلّ هذا هو مراد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 الواحدة لا تتحمّل اجتهادین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ولعلّه هو العلّة للسیرة المدّعاة فی کلمات بعضهم علی عدم إعادة الأعمال السابقة وکون الإعادة أمراً مستغرباً فی أذهان أهل الشرع بأن یعمل بفتوی مجتهد عشرات سنة، ثمّ بعد تبدّله أو تقلید مجتهد آخر یعید جمیع أعماله الّتی عملها فی هذه السنوات، وکذلک فیما بعده من تبدّلات الرأی، ولعلّه أیضاً المصدر الوحید لما ادّعی من الإجماع فی المسألة، ولا أقلّ فی العبادات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المدّعی والسیرة المستمرّة الّتی وردت فی کلمات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قبولها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مؤیّدتان لما ذکرنا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کانت فتوی المجتهد علی أساس أمارة من الأمارات الشرعیّة، ومنه یظهر الکلام فی الاصول العملیّة العقلیّة أو الشرعیّة، فإنّ الحکم الحاصل منها حکم ظاهری، وقد عمل به المکلّف، ثمّ تبیّن بحسب الاجتهاد الثانی خلافه، فیأتی جمیع ما ذکرنا فی الأمارات والأدلّة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تبدّل الرأی علی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العمل قد مضی ثمّ تبدّل الرأی، ففی هذه الصورة لا إشکال فی الإجزاء إلّافیما إذا کان مدرک الاجتهاد السابق هو القطع وانکشف خلافه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قد مضی والمسبّب باقٍ علی حاله کما فی مثال الذبیحة فإنّ عمل التذکیة فیها قد مضی وأمّا الحیوان المذکّی فهو موجود فی الحال، ومثل عقد النکاح بالفارسیة فالعقد قد مضی وأمّا مسبّبه وهو الزوجیّة باقٍ علی حاله، ومثل ما إذا اشتری داراً بعقد المعاطاة فمسبّبه وهو ملکیّة الدار باقیة علی حالها، ففی هذه</w:t>
      </w:r>
    </w:p>
    <w:p>
      <w:pPr>
        <w:pStyle w:val="BookText"/>
        <w:rPr/>
      </w:pPr>
      <w:r>
        <w:rPr>
          <w:rFonts w:ascii="IRNazanin" w:hAnsi="IRNazanin" w:eastAsia="IRNazanin"/>
          <w:color w:val="111111"/>
          <w:sz w:val="28"/>
          <w:sz w:val="28"/>
          <w:szCs w:val="28"/>
          <w:rtl w:val="true"/>
          <w:lang w:bidi="fa-IR"/>
        </w:rPr>
        <w:t>الصورة أیضاً إذا تبدّل رأی المجتهد، فالحقّ هو الإجزاء من دون فرق بین مثال الذبیحة وإنشاء العقد باللغة الفارسیة لأنّ کلیهما من باب واحد، والمسبّب باقٍ علی حاله فی کلیهما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باقیاً علی حاله، کما إذا اجتهد سابقاً ورأی کفایة سبعة وعشرین شبراً فی تحقّق الکرّیة، واجتهد فی اللاحق علی عدم کفایتها، وکان الماء المحکوم بالکرّیة سابقاً باقیاً علی حاله، أو رأی سابقاً عدم نجاسة ملاقی الشبهة المحصورة أو عدم نجاسة عرق الجنب عن الحرام أو دم البیض، والآن یری نجاستها وهی باقیة علی حالها، ففی هذه الصورة الحقّ عدم الإجزاء، لأنّ الکلام فیه لیس فی الأعمال الماضیة، بل بالنسبة إلی الحال والمستقبل، بأن یعامل مع هذا الماء معاملة الکرّ فی الحال والآتی فلا ریب فی عدم الإجزاء</w:t>
      </w:r>
      <w:r>
        <w:rPr>
          <w:rFonts w:eastAsia="IRNazanin" w:cs="IRNazanin"/>
          <w:color w:val="111111"/>
          <w:sz w:val="28"/>
          <w:szCs w:val="28"/>
          <w:rtl w:val="true"/>
          <w:lang w:bidi="fa-IR"/>
        </w:rPr>
        <w:t>.</w:t>
      </w:r>
      <w:bookmarkStart w:id="839" w:name="pg16922_187869"/>
    </w:p>
    <w:p>
      <w:pPr>
        <w:pStyle w:val="Heading3"/>
        <w:numPr>
          <w:ilvl w:val="2"/>
          <w:numId w:val="1"/>
        </w:numPr>
        <w:rPr/>
      </w:pPr>
      <w:bookmarkStart w:id="840" w:name="__RefHeading___Toc142213_3244359995"/>
      <w:bookmarkStart w:id="841" w:name="_Toc320"/>
      <w:bookmarkEnd w:id="839"/>
      <w:bookmarkEnd w:id="840"/>
      <w:r>
        <w:rPr>
          <w:rtl w:val="true"/>
        </w:rPr>
        <w:t>المقام الثانی</w:t>
      </w:r>
      <w:r>
        <w:rPr>
          <w:rtl w:val="true"/>
        </w:rPr>
        <w:t xml:space="preserve">: </w:t>
      </w:r>
      <w:r>
        <w:rPr>
          <w:rtl w:val="true"/>
        </w:rPr>
        <w:t>مباحث التقلید</w:t>
      </w:r>
      <w:bookmarkEnd w:id="841"/>
    </w:p>
    <w:p>
      <w:pPr>
        <w:pStyle w:val="Heading4"/>
        <w:numPr>
          <w:ilvl w:val="3"/>
          <w:numId w:val="1"/>
        </w:numPr>
        <w:rPr/>
      </w:pPr>
      <w:bookmarkStart w:id="842" w:name="__RefHeading___Toc142215_3244359995"/>
      <w:bookmarkStart w:id="843" w:name="_Toc321"/>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 xml:space="preserve">وهو فی اللغة جعل القلّادة علی العنق، قلّده تقلیداً جعل القلّادة علی عنقه </w:t>
      </w:r>
      <w:r>
        <w:rPr>
          <w:rStyle w:val="FootnoteAnchor"/>
          <w:rtl w:val="true"/>
        </w:rPr>
        <w:footnoteReference w:id="413"/>
      </w:r>
      <w:r>
        <w:rPr>
          <w:rFonts w:ascii="IRNazanin" w:hAnsi="IRNazanin" w:eastAsia="IRNazanin"/>
          <w:color w:val="111111"/>
          <w:sz w:val="28"/>
          <w:sz w:val="28"/>
          <w:szCs w:val="28"/>
          <w:rtl w:val="true"/>
          <w:lang w:bidi="fa-IR"/>
        </w:rPr>
        <w:t>، وهکذا المقلِّد یجعل عمله کالقلّادة علی عنق المجتهد، وقیل أنّ المقلِّد یجعل طوق التبعیة علی عنق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الاصطلاح فقد ذکر له معانٍ ترجع إلی الوجوه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بقول الغیر بغیر دلیل، والمراد من الدلیل إنّما هو الدلیل التفصیلی، وإلّا یکون للمقلّد دلیل فی تقلیده إجمالًا بلا إشکال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 بالعمل بقول مجتهد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بفتوی المجتهد للعمل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الاستناد إلی رأی المجتهد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الأخیر، فإنّ التقلید إنّما هو العمل استناداً إلی قول المجتهد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المناسب للمعنی اللغوی حیث إنّه عبارة عن جعل القلادة فی العنق، ولا ریب فی أنّ قلادة التقلید تعلّق علی عنق المجتهد بعد أن عمل المقلّد بفتاویه استناداً إلیها، لا بمجرّد الفتوی</w:t>
      </w:r>
      <w:r>
        <w:rPr>
          <w:rFonts w:eastAsia="IRNazanin" w:cs="IRNazanin"/>
          <w:color w:val="111111"/>
          <w:sz w:val="28"/>
          <w:szCs w:val="28"/>
          <w:rtl w:val="true"/>
          <w:lang w:bidi="fa-IR"/>
        </w:rPr>
        <w:t>.</w:t>
      </w:r>
      <w:bookmarkStart w:id="844" w:name="pg16922_187870"/>
    </w:p>
    <w:p>
      <w:pPr>
        <w:pStyle w:val="BookText"/>
        <w:rPr/>
      </w:pPr>
      <w:bookmarkEnd w:id="84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بعدم جواز التقلید استدلّوا بالآیات الناهیة عن العمل بغیر علم، حیث إنّ لازمه کون التقلید هو العمل بغیر علمٍ، ولم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جانب المستدلّین بها لعدم جواز التقلید ولا من جانب المجیبین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الآیات لا ربط لها بمسألة التقلید لأنّه لیس من مقولة العمل، فکأنّ الطرفین توافقا علی کونه من قبیل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التقلید والأثر الشرعی المترتّب علیه إنّما هو صحّة العمل وهی لا تحصل بدون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الآثار الشرعیّة الّتی تترتّب علی التقلید هی الآثار فی مقام العمل فلیکن معناه أیضاً کذلک، فلابدّ من إدخال العمل فی معناه</w:t>
      </w:r>
      <w:r>
        <w:rPr>
          <w:rFonts w:eastAsia="IRNazanin" w:cs="IRNazanin"/>
          <w:color w:val="111111"/>
          <w:sz w:val="28"/>
          <w:szCs w:val="28"/>
          <w:rtl w:val="true"/>
          <w:lang w:bidi="fa-IR"/>
        </w:rPr>
        <w:t>.</w:t>
      </w:r>
    </w:p>
    <w:p>
      <w:pPr>
        <w:pStyle w:val="Heading4"/>
        <w:numPr>
          <w:ilvl w:val="3"/>
          <w:numId w:val="1"/>
        </w:numPr>
        <w:rPr/>
      </w:pPr>
      <w:bookmarkStart w:id="845" w:name="__RefHeading___Toc142217_3244359995"/>
      <w:bookmarkStart w:id="846" w:name="_Toc322"/>
      <w:bookmarkEnd w:id="845"/>
      <w:r>
        <w:rPr>
          <w:rtl w:val="true"/>
        </w:rPr>
        <w:t>نقد أدلّة القول بأنّ التقلید لیس من مقولة العمل</w:t>
      </w:r>
      <w:bookmarkEnd w:id="846"/>
    </w:p>
    <w:p>
      <w:pPr>
        <w:pStyle w:val="BookText"/>
        <w:rPr/>
      </w:pPr>
      <w:r>
        <w:rPr>
          <w:rFonts w:ascii="IRNazanin" w:hAnsi="IRNazanin" w:eastAsia="IRNazanin"/>
          <w:color w:val="111111"/>
          <w:sz w:val="28"/>
          <w:sz w:val="28"/>
          <w:szCs w:val="28"/>
          <w:rtl w:val="true"/>
          <w:lang w:bidi="fa-IR"/>
        </w:rPr>
        <w:t>عمدة الدلیل عند القائلین بأنّ التقلید عبارة عن الالتزام القلبی أو الأخذ بالفتوی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یکون العمل عن تقلید، فیکون التقلید فی رتبة سابقة علی العمل، فلو کان التقلید عبارة عن نفس العمل کان فی رتبة متأخّرة عنه، فیلزم منه الدور وتقدیم ما حقّه التأخیر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التقلید فی اللغة جعل القلّادة علی عنق المقلِّد، وهو یتحقّق بالالتزام وإن لم یعمل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فی آیة ولا روایة من أنّه لابدّ أن یکون العمل مسبوقاً بالتقلید وناشئاً عنه کی یجب أن یکون التقلید سابقاً علی العمل، بل الذی یجب علی المقلّد إنّما هو العمل بقول المجتهد والأخذ بکلامه، فلو عمل بقوله فقد صدق أنّه قلّده وإن لم یصدق أنّه عمل عن تقلید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الخلط بین التقلید والحجّة، فإنّ ما یجب علی المقلّد</w:t>
      </w:r>
    </w:p>
    <w:p>
      <w:pPr>
        <w:pStyle w:val="BookText"/>
        <w:rPr/>
      </w:pPr>
      <w:r>
        <w:rPr>
          <w:rFonts w:ascii="IRNazanin" w:hAnsi="IRNazanin" w:eastAsia="IRNazanin"/>
          <w:color w:val="111111"/>
          <w:sz w:val="28"/>
          <w:sz w:val="28"/>
          <w:szCs w:val="28"/>
          <w:rtl w:val="true"/>
          <w:lang w:bidi="fa-IR"/>
        </w:rPr>
        <w:t>إنّما هو إتیان العمل عن حجّة، والتقلید عبارة عن العمل عن حجّة، وهو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الثانی ففیه ما مرّ من معنی التقلید فی اللغة، فإنّه لیس عبارة عن جعل القلّادة علی عنق المقلّد، بل هو عبارة عن جعل قلّادة المسؤولیة علی عنق المجتهد ولا یحصل ذلک إلّابعد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الخطب أنّ التکلّم فی مفهوم التقلید لا یترتّب علیه ثمرة فقهیّة، وذلک لأنّ هذا العنوان أمر حادث فی مصطلح الفقهاء لم یرد فی آیة ولا روایة ولا معقد إجماع إلّافی مرسلة الاحتجاج عن أبی محمّد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مضافاً إلی ضعفها من ناحیة السند مؤیّدة لما ذکرنا لأنّ الذمّ الوارد فیها إنّما هو علی عملهم بفتاوی من لا یوثق به من علماء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اخری عن محمّد بن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 أنتم أشدّ تقلیداً أم المرجئة؟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قلّدنا وقلّدوا،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أسألک عن هذا،</w:t>
      </w:r>
    </w:p>
    <w:p>
      <w:pPr>
        <w:pStyle w:val="BookText"/>
        <w:rPr/>
      </w:pPr>
      <w:r>
        <w:rPr>
          <w:rFonts w:ascii="IRNazanin" w:hAnsi="IRNazanin" w:eastAsia="IRNazanin"/>
          <w:color w:val="111111"/>
          <w:sz w:val="28"/>
          <w:sz w:val="28"/>
          <w:szCs w:val="28"/>
          <w:rtl w:val="true"/>
          <w:lang w:bidi="fa-IR"/>
        </w:rPr>
        <w:t>فلم یکن عندی جواب أکثر من الجواب الأوّل، 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المرجئة نصبت رجلًا لم تفرض طاعته وقلّدوه، وأنّکم نصبتم رجلًا وفرضتم طاعته ثمّ لم تقلّدوه، فهم أشدّ منکم تقلیداً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محلّ البحث وهو التقلید عن غیر المعصوم، مضافاً إلی أنّه ظاهر أیضاً فی کون التقلید هو العمل لأنّ شکوی الإمام علیه السلام إنّما هو علی ترک العمل بأقواله وهدایاته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البحث عن مفهوم التقلید تظهر فی مسألتی البقاء علی تقلید المیّت، والعدول من حیّ إلی غیره، فإنّا إذا فسّرناه بالالتزام وفرضنا أنّ المکلّف التزم</w:t>
      </w:r>
      <w:bookmarkStart w:id="847" w:name="pg16922_187872"/>
    </w:p>
    <w:p>
      <w:pPr>
        <w:pStyle w:val="BookText"/>
        <w:rPr/>
      </w:pPr>
      <w:bookmarkEnd w:id="847"/>
      <w:r>
        <w:rPr>
          <w:rFonts w:ascii="IRNazanin" w:hAnsi="IRNazanin" w:eastAsia="IRNazanin"/>
          <w:color w:val="111111"/>
          <w:sz w:val="28"/>
          <w:sz w:val="28"/>
          <w:szCs w:val="28"/>
          <w:rtl w:val="true"/>
          <w:lang w:bidi="fa-IR"/>
        </w:rPr>
        <w:t>بالعمل بفتوی مجتهد ثمّ مات ذلک المجتهد فله أن یعمل علی فتاواه لأنّه من قبیل البقاء علی تقلید المیّت، ولیس تقلیداً ابتدائیاً له، وهذا بخلاف ما إذا فسّرناه بالاستناد إلی فتوی المجتهد فی مقام العمل لأنّه حینئذٍ من قبیل تقلید المیّت ابتداءً لعدم استناد المکلّف إلی شی‌ء من فتاوی المجتهد المیّت حال حیاته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مسألة العدول من حیّ إلی غیره، لأنّه إذا التزم بالعمل بفتیا مجتهد، وفسّرنا التقلید بالالتزام حرم علیه العدول عن تقلیده لأنّه قد قلّده تقلیداً صحیحاً ولا مرخّص له للعدول، وهذا بخلاف ما إذا قلنا أنّ التقلید هو الاستناد إلی فتوی المجتهد فی مقام العمل، لأنّه حینئذٍ لم یتحقّق منه تقلید المجتهد لیحرم علیه العدول بل لا یکون رجوعه لغیره عدولًا من مجتهد إلی مجتهد آخر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کان دلیل الجواز علی البقاء علی تقلید المیّت أو العدول من حیّ إلی آخر هو معاقد الإجماعات المشتملة علی لفظ التقلید، ولکن قد عرفت أنّه لیس کذلک، فلا ثمرة عملیّة لهذا البحث، نعم له ثمرة علمیّة ظاهرة</w:t>
      </w:r>
      <w:r>
        <w:rPr>
          <w:rFonts w:eastAsia="IRNazanin" w:cs="IRNazanin"/>
          <w:color w:val="111111"/>
          <w:sz w:val="28"/>
          <w:szCs w:val="28"/>
          <w:rtl w:val="true"/>
          <w:lang w:bidi="fa-IR"/>
        </w:rPr>
        <w:t>.</w:t>
      </w:r>
    </w:p>
    <w:p>
      <w:pPr>
        <w:pStyle w:val="Heading4"/>
        <w:numPr>
          <w:ilvl w:val="3"/>
          <w:numId w:val="1"/>
        </w:numPr>
        <w:rPr/>
      </w:pPr>
      <w:bookmarkStart w:id="848" w:name="__RefHeading___Toc142219_3244359995"/>
      <w:bookmarkStart w:id="849" w:name="_Toc323"/>
      <w:bookmarkEnd w:id="848"/>
      <w:r>
        <w:rPr>
          <w:rtl w:val="true"/>
        </w:rPr>
        <w:t>مسائل التقلید</w:t>
      </w:r>
      <w:bookmarkEnd w:id="849"/>
    </w:p>
    <w:p>
      <w:pPr>
        <w:pStyle w:val="Heading5"/>
        <w:numPr>
          <w:ilvl w:val="4"/>
          <w:numId w:val="1"/>
        </w:numPr>
        <w:rPr/>
      </w:pPr>
      <w:bookmarkStart w:id="850" w:name="__RefHeading___Toc142221_3244359995"/>
      <w:bookmarkStart w:id="851" w:name="_Toc324"/>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ویقع البحث فیه فی ثلاث مقامات</w:t>
      </w:r>
      <w:r>
        <w:rPr>
          <w:rFonts w:eastAsia="IRNazanin" w:cs="IRNazanin"/>
          <w:color w:val="111111"/>
          <w:sz w:val="28"/>
          <w:szCs w:val="28"/>
          <w:rtl w:val="true"/>
          <w:lang w:bidi="fa-IR"/>
        </w:rPr>
        <w:t>:</w:t>
      </w:r>
    </w:p>
    <w:p>
      <w:pPr>
        <w:pStyle w:val="Heading5"/>
        <w:numPr>
          <w:ilvl w:val="4"/>
          <w:numId w:val="1"/>
        </w:numPr>
        <w:rPr/>
      </w:pPr>
      <w:bookmarkStart w:id="852" w:name="__RefHeading___Toc142223_3244359995"/>
      <w:bookmarkStart w:id="853" w:name="_Toc325"/>
      <w:bookmarkEnd w:id="852"/>
      <w:r>
        <w:rPr/>
        <w:t>1</w:t>
      </w:r>
      <w:r>
        <w:rPr>
          <w:rtl w:val="true"/>
        </w:rPr>
        <w:t xml:space="preserve">. </w:t>
      </w:r>
      <w:r>
        <w:rPr>
          <w:rtl w:val="true"/>
        </w:rPr>
        <w:t>جواز التقلید للعامّی</w:t>
      </w:r>
      <w:bookmarkEnd w:id="85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أنّه لابدّ من أن یکون العامّی مجتهداً فی خصوص هذه المسألة الّتی لا مؤونة لاستنباطها واجتهادها، فإنّ لزوم رجوع الجاهل إلی العالم أمر إرتکازی لجمیع العقلاء، ولا طریق لهم فی الامور الّتی تحتاج إلی آراء أهل الخبرة إلّا هذا، فالعامّی أیضاً مجتهد فی خصوص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استدلّ لجواز التقلید بامور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فی جمیع الأعصار وفی جمیع الصنائع والتجارات والعلوم البشریة کعلم الطب وشعبه وسائر العلوم، بل جمیع المجتهدین والمتخصّصین للعلوم البشریة یکون تخصّصهم واجتهادهم فی فنون طفیفة معدودة، وأمّا بالنسبة إلی سائر الفنون فیکونون مقلّدین، فالمجتهد فی علم الفقه مثلًا یقلِّد الأطبّاء فی علم الطبّ، والطبیب یرجع إلی الفقهاء فی أحکام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البناء للعقلاء یکون فی الواقع ناشئاً من انسداد صغیر فإنّهم یلاحظون فی الأموال مثلًا أنّهم لو اعتمدوا فیه علی العلم فقط وأنکروا حجّیة الید علی الملکیّة لانسدّ باب العلم فی هذا المقام، ولذلک یعتبرون حجّیة کثیر من الاصول والقواعد کقاعدة الید وغیرها، وهکذا بالنسبة إلی الرجوع إلی أهل الخبرة فی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بالکتاب العزیز بجملة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النفر،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 تفصیلًا فی مبحث حجّیة خبر الواحد، وینبغی هنا أن نشیر إلی نکتة منها فقط، وهی أنّ هذه الآیة ناظرة إلی باب الاجتهاد والتقلید لا باب الروایة، فإنّ التفقّه الوارد فیها بمعنی الاجتهاد والاستنباط عن نظر وبصیرة، وإلّا ربّ حامل روایة وفقه إلی من هو أفقه منه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الإنذار أیضاً من شؤون المجتهد لا الراوی، وإنّما یقدر علی الإنذار من کان بصیراً بالحکم الإلهی، وعالماً متیقّناً به، وقادراً علی تمییز الواجب عن المستحبّ، وناظراً فی الحلال والحرام، وقد مرّ أیضاً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کنایة عن</w:t>
      </w:r>
    </w:p>
    <w:p>
      <w:pPr>
        <w:pStyle w:val="BookText"/>
        <w:rPr/>
      </w:pPr>
      <w:r>
        <w:rPr>
          <w:rFonts w:ascii="IRNazanin" w:hAnsi="IRNazanin" w:eastAsia="IRNazanin"/>
          <w:color w:val="111111"/>
          <w:sz w:val="28"/>
          <w:sz w:val="28"/>
          <w:szCs w:val="28"/>
          <w:rtl w:val="true"/>
          <w:lang w:bidi="fa-IR"/>
        </w:rPr>
        <w:t>الوجوب، وإلّا فمادّة الحذر وماهیته لا تقبل الاستحباب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لا إطلاق لها حتّی تشمل صورة العلم وعدمه من قول المنذرین، فلعلّ المقصود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إذا حصل من الإنذار العلم والیقین بحکم اللَّه فلا یعمّ صورة حصول الظنّ کما هو محلّ النزاع فی المقام،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للآیة قدر متیقّن فی مقام التخاطب فإطلاقها لیس بحجّة لعدم حصول جمیع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مطلقة، ومجرّد وجود قدر متیقّن فی مقام التخاطب لا ینافی الإطلاق کما ذکرناه فی محلّه، وإلّا لاختلّ غالب النصوص المطلقة لنزولها أو ورودها فی مقامات خاصّة ولها قدر متیقّن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السؤال،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إِلَّا رِجَالًا نُوحِی إِلَیْهِمْ فَاسْأَلُوا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من بعض الجهات أقوی دلالة من آیة النفر لأنّها فی مقام بیان وظیفة المقلّد وتلک کانت فی مقام بیان وظیفة الفقیه والمجتهد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واضح، فإنّ المراد من أهل الذکر أهل العلم، کما نصّ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موردها إنّما هو أهل الکتاب فی باب اصول الدین الّتی یعتبر فیها تحصیل العلم، فیکون الأمر بالسؤال من أهل الذکر لتحصیل العلم من أقوالهم فیعمل بالعلم لا بأقوالهم تعبّداً الذی نحن بصدده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ذیلها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أقوی شاهد علی أنّ الغرض من السؤال هو تحصیل العلم فالآیة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لا تعلم فاسأل حتّی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الإنصاف إمکان دفع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المورد لیس مخصّصاً والآیة مطلقة تعمّ السؤال عن اصول الدین وغیرها، وتقیید بعض المصادیق بالعلم بدلیل من الخارج لا یوجب تقیید سائر المصادیق به واعتباره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الإیراد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مقام بیان الموضوع، ومعنی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عند عدم العلم حتّی تکون لک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إذا 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لا تعلم دواء داءک فارجع إلی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معناه أنّ قول الطبیب یوجب العلم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العلم موضوعاً واخری یکون غایةً، وما نحن فیه من قبیل الأوّل، ومعناها أنّ الموضوع للرجوع إلی البیّنة والقسم أو الموضوع للرجوع إلی الخبرة إنّما هو الجهل، وهذا لا یعنی حصول العلم بعد الرجوع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کونه غایة، لکن لیس المراد من العلم فی المقام الیقین الفلسفی کما مرّ کراراً بل المراد منه هو العلم العرفی الذی یحصل من ناحیة إقامة أیّة حجّة، فإنّ العرف والعقلاء یعبّرون بالعلم فی کلّ مورد قامت فیه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خصوص المقام، وهی کثیرة إلی حدّ تغنینا عن البحث حول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ولا هدی من اللَّه لعنته ملائکة الرحمة وملائکة العذاب ولحقه وزر من عمل بفتیاه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یدلّ بمفهومه علی جواز الإفتاء بعلم، ولا ریب فی أنّ المقصود من العلم فیه إنّما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أمیر المؤمنین 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مجاری الامور والأحکام علی أیدی</w:t>
      </w:r>
      <w:bookmarkStart w:id="854" w:name="pg16922_187876"/>
    </w:p>
    <w:p>
      <w:pPr>
        <w:pStyle w:val="BookText"/>
        <w:rPr/>
      </w:pPr>
      <w:bookmarkEnd w:id="854"/>
      <w:r>
        <w:rPr>
          <w:rFonts w:ascii="IRNazanin" w:hAnsi="IRNazanin" w:eastAsia="IRNazanin"/>
          <w:color w:val="111111"/>
          <w:sz w:val="28"/>
          <w:sz w:val="28"/>
          <w:szCs w:val="28"/>
          <w:rtl w:val="true"/>
          <w:lang w:bidi="fa-IR"/>
        </w:rPr>
        <w:t>العلماء باللَّه الامناء علی حلاله وحرامه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عن أبی محمّد العسکری علیه السلام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إسحاق بن یعقوب عن الإمام الحجّة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أحادیثنا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ورد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المسلمین، وقد یعبّر عنه بسیرة المتشرّعة؛ لأنّه إجماع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أیضاً ینشأ من بناء العقلاء علی رجوع الجاهل إلی العالم، ولا أقلّ من احتماله، أی احتمال أنّ المتشرّعین والمتدیّنین بنوا علی الرجوع إلی العالم بالمسائل الشرعیّة لا بما هم متشرّعون بهذا الشرع المقدّس بل بما هم عقلاء من أهل العرف أو بما أنّه من الامور الفطریة الإرتکازیة، ثمّ أمضاه الشارع المقدّس وإذن لیس الإجماع أو السیرة دلیلًا مستقلًاّ برأسه</w:t>
      </w:r>
      <w:r>
        <w:rPr>
          <w:rFonts w:eastAsia="IRNazanin" w:cs="IRNazanin"/>
          <w:color w:val="111111"/>
          <w:sz w:val="28"/>
          <w:szCs w:val="28"/>
          <w:rtl w:val="true"/>
          <w:lang w:bidi="fa-IR"/>
        </w:rPr>
        <w:t>.</w:t>
      </w:r>
    </w:p>
    <w:p>
      <w:pPr>
        <w:pStyle w:val="Heading5"/>
        <w:numPr>
          <w:ilvl w:val="4"/>
          <w:numId w:val="1"/>
        </w:numPr>
        <w:rPr/>
      </w:pPr>
      <w:bookmarkStart w:id="855" w:name="__RefHeading___Toc142225_3244359995"/>
      <w:bookmarkStart w:id="856" w:name="_Toc326"/>
      <w:bookmarkEnd w:id="855"/>
      <w:r>
        <w:rPr/>
        <w:t>2</w:t>
      </w:r>
      <w:r>
        <w:rPr>
          <w:rtl w:val="true"/>
        </w:rPr>
        <w:t xml:space="preserve">. </w:t>
      </w:r>
      <w:r>
        <w:rPr>
          <w:rtl w:val="true"/>
        </w:rPr>
        <w:t>تقلید الأعلم</w:t>
      </w:r>
      <w:bookmarkEnd w:id="856"/>
    </w:p>
    <w:p>
      <w:pPr>
        <w:pStyle w:val="BookText"/>
        <w:rPr/>
      </w:pPr>
      <w:r>
        <w:rPr>
          <w:rFonts w:ascii="IRNazanin" w:hAnsi="IRNazanin" w:eastAsia="IRNazanin"/>
          <w:color w:val="111111"/>
          <w:sz w:val="28"/>
          <w:sz w:val="28"/>
          <w:szCs w:val="28"/>
          <w:rtl w:val="true"/>
          <w:lang w:bidi="fa-IR"/>
        </w:rPr>
        <w:t>إذا اختلفت العلماء فی العلم والفضیلة فهل یجب علی العامّی اختیار الأعلم أو لا؟</w:t>
      </w:r>
    </w:p>
    <w:p>
      <w:pPr>
        <w:pStyle w:val="BookText"/>
        <w:rPr/>
      </w:pPr>
      <w:r>
        <w:rPr>
          <w:rFonts w:ascii="IRNazanin" w:hAnsi="IRNazanin" w:eastAsia="IRNazanin"/>
          <w:color w:val="111111"/>
          <w:sz w:val="28"/>
          <w:sz w:val="28"/>
          <w:szCs w:val="28"/>
          <w:rtl w:val="true"/>
          <w:lang w:bidi="fa-IR"/>
        </w:rPr>
        <w:t>المعروف بین الأصحاب وجوب تقلید الأعلم، وحکی عن جماعة من المتأخّرین عدم وجوبه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قول ثالث وهو الصحیح من التفصیل بین ما علم إجمالًا أو تفصیلًا بوجود الخلاف فیه مع کونه محلًاّ للابتلاء فیکون تقلید الأعلم واجباً، وبین غیره من سائر</w:t>
      </w:r>
    </w:p>
    <w:p>
      <w:pPr>
        <w:pStyle w:val="BookText"/>
        <w:rPr/>
      </w:pPr>
      <w:r>
        <w:rPr>
          <w:rFonts w:ascii="IRNazanin" w:hAnsi="IRNazanin" w:eastAsia="IRNazanin"/>
          <w:color w:val="111111"/>
          <w:sz w:val="28"/>
          <w:sz w:val="28"/>
          <w:szCs w:val="28"/>
          <w:rtl w:val="true"/>
          <w:lang w:bidi="fa-IR"/>
        </w:rPr>
        <w:t>الموارد فلا یکون واجباً، ولعلّ مقصود من یدّعی الإجماع علی وجوب تقلید الأعلم إنّما هو الصورة الاولی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الأصل فی المسألة هو عدم حجّیة قول غیر الأعلم؛ لأنّ الأصل فی موارد الشکّ فی حجّیة الظنون هو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إجمالًا باشتغال الذمّة بعدّة من التکالیف الشرعیّة والاشتغال الیقینی یقتضی البراءة الیقینیة، وهی لا تحصل إلّابالعمل بآراء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بطلان کلام من توهم أنّ الأصل فی المسألة هو الجواز من باب انتفاء التعیین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أصالة التخییر عند دوران الأمر بین التعیین والتخییر إنّما هی فی باب التکالیف أی فیما إذا کان الشکّ فی أصل التکلیف لا فی ما إذا کان الشکّ فی أداء التکلیف، فإنّ الأصل فیه هو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أنّه استدلّ علی جواز تقلید غیر الأعلم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من باب دوران الأمر بین التعیین والتخییر والحکم فیه هو البرائة، وقد مرّ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العسر والحرج؛ ببیان أنّ معرفة مفهوم الأعلم من أنّه الأعلم بالاصول، أو الأعلم بالفروع والتفریعات، أو من هو أعلم فی تشخیص الذوق العرفی والظواهر، أو من هو أعلم فی علم الرجال، أو من هو أدقّ نظراً من غیره، أو جمیع هذه، ومعرفة مصادیقه أیضاً مشکلة جدّاً لتلامذة الأعلام المجتهدین فضلًا عن العوامّ المقلّدین، ولذلک یجاب غالباً عند السؤال عن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أعرف مصداق الأعلم ولکن فلان یجوز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فلان وفلان یجوز تقلیده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الکبری فإنّه لا عسر ولا حرج فی تعیین مفهوم الأعلم لأنّ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أعرف بالقواعد والمدارک للمسألة، وأکثر اطّلاعاً</w:t>
      </w:r>
    </w:p>
    <w:p>
      <w:pPr>
        <w:pStyle w:val="BookText"/>
        <w:rPr/>
      </w:pPr>
      <w:r>
        <w:rPr>
          <w:rFonts w:ascii="IRNazanin" w:hAnsi="IRNazanin" w:eastAsia="IRNazanin"/>
          <w:color w:val="111111"/>
          <w:sz w:val="28"/>
          <w:sz w:val="28"/>
          <w:szCs w:val="28"/>
          <w:rtl w:val="true"/>
          <w:lang w:bidi="fa-IR"/>
        </w:rPr>
        <w:t xml:space="preserve">لنظائرها وأشباهها، وأجود فهماً للأخبار الواردة فیها، والحاصل أن یکون أجود استنباطاً وقد ذکر هذا التعریف المحقّق الیزدی فی العروة الوثقی فی المسألة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وتلقّوه الأعلام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تشخیص مصداق هذا المعنی لا یخلو من إشکال فیما إذا کان البُعد والمسافة بین الأفراد قصیرة، أمّا إذا کانت التفاوت العلمی بینهم کثیراً فلا عسر ولا حرج فی تشخیص الأعلم وتعیینه، کما أنّه کذلک فی باب الطبابة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وجود العسر والحرج فیه، ولکن قد ذکرنا فی محلّه أنّ الحرج فی بابه شخصی لا نوعی </w:t>
      </w:r>
      <w:r>
        <w:rPr>
          <w:rStyle w:val="FootnoteAnchor"/>
          <w:rtl w:val="true"/>
        </w:rPr>
        <w:footnoteReference w:id="423"/>
      </w:r>
      <w:r>
        <w:rPr>
          <w:rFonts w:ascii="IRNazanin" w:hAnsi="IRNazanin" w:eastAsia="IRNazanin"/>
          <w:color w:val="111111"/>
          <w:sz w:val="28"/>
          <w:sz w:val="28"/>
          <w:szCs w:val="28"/>
          <w:rtl w:val="true"/>
          <w:lang w:bidi="fa-IR"/>
        </w:rPr>
        <w:t>، فوظیفة تعیین الأعلم تسقط عن کلّ من یقع فی العسر والحرج لا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کذلک فی باب الوضوء والصیام ونحوهما، فإذا لم یکن التوضّی بالماء البارد لشخص حرجاً، لم یسقط عنه وإن کان لغیره حرجاً ومشقّة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ما یلزم من العسر والحرج إنّما هو التخییر بین عدّة من المجتهدین الذین هم فی مظنّة الأعلمیة، لا أن یسقط اعتبارها برأسها، فیجوز تقلید غیرهم من آحاد المجتهدین وإن کانوا بمکان بعید من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إطلاقات آیة النفر أو آیة السؤال أو إطلاق الروایات، فإنّ مدلول آیة النفر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ولینذر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آیة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فللعوامّ أن یقلّدوا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إلی أعلم رواة 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الروایات الّتی فیها إرجاع المکلّفین إلی أصحابهم علیهم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الإطلاقات منزّلة علی بناء العقلاء وإمضاء له فإنّه قد مرّ أنّ الأساس فی باب التقلید إنّما هو بناء العقلاء، وهو قائم علی تقلید الأعلم فی موارد العلم بالمخالفة علی الأقلّ، والظاهر أنّ الإطلاقات المذکورة ناظرة إلی دائرة هذا البناء لا أن تکون رادعة عنها أو موسّعة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أیضاً أنّ إطلاقات أدلّة الحجّیة لا تعمّ الحجّتین المتعارضتین کما فی ما نحن فیه، وحینئذٍ لابدّ أن یقال إمّا بتعارضهما ثمّ تساقطهما، أو یقال بأنّ القدر المتیقّن منهما هو الأعلم، ولا ریب فی أنّ المتعیّن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أدلّة المنکرین لاعتبار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فی المسألة</w:t>
      </w:r>
    </w:p>
    <w:p>
      <w:pPr>
        <w:pStyle w:val="BookText"/>
        <w:rPr/>
      </w:pPr>
      <w:r>
        <w:rPr>
          <w:rFonts w:ascii="IRNazanin" w:hAnsi="IRNazanin" w:eastAsia="IRNazanin"/>
          <w:color w:val="111111"/>
          <w:sz w:val="28"/>
          <w:sz w:val="28"/>
          <w:szCs w:val="28"/>
          <w:rtl w:val="true"/>
          <w:lang w:bidi="fa-IR"/>
        </w:rPr>
        <w:t>المختار هو التفصیل بین 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تفصیلًا بالخلاف بین الأعلم وغیره، کما إذا ذهب أحدهما إلی وجوب صلاة الجمعة والآخر إلی حرمتها أو عدم وجوبها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 ریب فی وجوب تقلید الأعلم، ومن البعید جدّاً شمول کلمات القائلین بجواز تقلید غیر الأعلم لهذه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العلم بموافقتهما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وجود محذور لتقلید غیر الأعلم فی هذه الصورة؛ لأنّ المفروض أنّ عمل المقلّد حینئذٍ مطابق للحجّة علی أیّ حال، إنّما الکلام فی لزوم استناده إلی خصوص قول الأعلم، ولا إشکال فی عدم لزومه بعد العلم بموافقتهما معاً، مضافاً إلی أنّ بناء العقلاء أیضاً علی عدم ترجیح رأی الأعلم فی هذه الصورة لعدم فائدة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إجمالًا بوجود الخلاف بینهما فی ما یبتلی به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أیضاً لا ینبغی الإشکال فی وجوب تقلید الأعلم؛ لأنّ العلم الإجمالی المزبور یوجب عدم شمول إطلاقات الحجّیة لمثل هذه الموارد وانصرافها عنها، ولا أقلّ من إجمالها، والقدر المتیقّن حینئذٍ هو الرجوع إلی الأعلم، کما أنّ سیرة العقلاء أیضاً ترجیح الأعلم فی هذه الموارد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شککنا فی وجود الخلاف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جواز تقلید غیر الأعلم فی هذه الصورة، والدلیل علیه جریان سیرة العقلاء علیه کما نشاهده بالوجدان، وإلّا لانسدّت أبواب الأطبّاء غیر الأعلم وغیرهم من خبراء سائر الفنون والحرف؛ لأنّه لا ریب فی أنّ الشکّ فی الخلاف موجود فی غالب الموارد، کما أنّ کون بعضهم أعلم من بعض ثابت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مانع لشمول إطلاقات أدلّة الحجّیة لغیر الأعلم فی هذه الموارد لأنّه لا موجب لانصرافها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الأعلمیة علی ماذا؟</w:t>
      </w:r>
    </w:p>
    <w:p>
      <w:pPr>
        <w:pStyle w:val="BookText"/>
        <w:rPr/>
      </w:pPr>
      <w:r>
        <w:rPr>
          <w:rFonts w:ascii="IRNazanin" w:hAnsi="IRNazanin" w:eastAsia="IRNazanin"/>
          <w:color w:val="111111"/>
          <w:sz w:val="28"/>
          <w:sz w:val="28"/>
          <w:szCs w:val="28"/>
          <w:rtl w:val="true"/>
          <w:lang w:bidi="fa-IR"/>
        </w:rPr>
        <w:t>قد مرّ أنّ المعیار فیها هو شدّة القوّة والقدرة علی استخراج الأحکام الشرعیّة من أدلّتها، ولا إشکال فی أنّ معرفة هذا لیس مشکلًا لأهل الخبرة ولو کانوا فی المراتب التالیة بالنسبة إلی المجتهد محتمل الأعلمیة، وهذا ما ندرکه بوجداننا العرفی، فمن کان له معرفة بقواعد الشعر وموازینه مثلًا یقدر علی أن یرجّح بعض الشعراء علی بعض، وکذا فی الأطبّاء والحکماء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تلخیص موازین الأعلمیة فی عدّة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أعلم فی معرفة اصول الفقه ومبانیه وکیفیة الورود فی المسألة والخروج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أعلم بمنابع الأحکام من الآیات والروایات ورجال الحدیث وسائر الأدلّة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أدقّ وأعمق نظراً فی فهم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أقوی حفظاً وأشدّ تسلّطاً علی الفروع فإنّ مسائل الفقه مع افتراق بعضها عن بعض وانتشارها فی أبواب مختلفة تکون ذا ارتباط ونسج خاصّ فی کثیر منها، کما لا یخفی علی الخبیر، فإنّ ملاحظة بعضها مع بعض یورث معرفة خاصّة بمواقع الأحکام</w:t>
      </w:r>
      <w:r>
        <w:rPr>
          <w:rFonts w:eastAsia="IRNazanin" w:cs="IRNazanin"/>
          <w:color w:val="111111"/>
          <w:sz w:val="28"/>
          <w:szCs w:val="28"/>
          <w:rtl w:val="true"/>
          <w:lang w:bidi="fa-IR"/>
        </w:rPr>
        <w:t>.</w:t>
      </w:r>
      <w:bookmarkStart w:id="857" w:name="pg16922_187881"/>
    </w:p>
    <w:p>
      <w:pPr>
        <w:pStyle w:val="BookText"/>
        <w:rPr/>
      </w:pPr>
      <w:bookmarkEnd w:id="85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أعرف فی تشخیص الموضوعات العرفیّة ومذاق أهل العرف، فإنّ لمعرفة الموضوعات دخل تامّ فی معرفة الأحکام، مع أنّ کثیراً من مسائل الشرع امضاء لما عند العقلاء فلابدّ للعلم بها من معرفة ما یدور بین العقلاء والعرف والإرتکازات العقلائیّة والمناسبات العرفیّة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أکثر ممارسة فی المسائل الشرعیّة لکثرة الرجوع إلیه فی أبواب مختلفة من الفقه، ولهذا فاحتمال أعلمیّة من تربّی فی الحوزات العلمیة الکبری یکون أکثر من احتمال أعلمیّة غیره ممّن ترعرع فی غیرها، کما أنّه کذلک فی سائر الفنون کالطبابة مثلًا فإنّ من داوی الجرحی وعالج کثیراً من المجروحین فی أیّام الحرب مثلًا یصیر أقوی ملکة فی الطبابة وعملیّة الجراحة من غیره ممّن لم یوفّق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له حسن سلیقة واعتدال وذهن مستقیم فی اختیار الرأی، لا طبع سقیم واعوجاج فی السلیقة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کثیراً من أعاظم الفقه مثل الفقیه الماهر صاحب الجواهر أو الشیخ الأعظم الأنصاری رحمه الله کانوا واجدین لجمیع هذه الخصوصیّات کما هو ظاهر لمن تتبّع آثارهم</w:t>
      </w:r>
      <w:r>
        <w:rPr>
          <w:rFonts w:eastAsia="IRNazanin" w:cs="IRNazanin"/>
          <w:color w:val="111111"/>
          <w:sz w:val="28"/>
          <w:szCs w:val="28"/>
          <w:rtl w:val="true"/>
          <w:lang w:bidi="fa-IR"/>
        </w:rPr>
        <w:t>.</w:t>
      </w:r>
    </w:p>
    <w:p>
      <w:pPr>
        <w:pStyle w:val="Heading5"/>
        <w:numPr>
          <w:ilvl w:val="4"/>
          <w:numId w:val="1"/>
        </w:numPr>
        <w:rPr/>
      </w:pPr>
      <w:bookmarkStart w:id="858" w:name="__RefHeading___Toc142227_3244359995"/>
      <w:bookmarkStart w:id="859" w:name="_Toc327"/>
      <w:bookmarkEnd w:id="858"/>
      <w:r>
        <w:rPr/>
        <w:t>3</w:t>
      </w:r>
      <w:r>
        <w:rPr>
          <w:rtl w:val="true"/>
        </w:rPr>
        <w:t xml:space="preserve">. </w:t>
      </w:r>
      <w:r>
        <w:rPr>
          <w:rtl w:val="true"/>
        </w:rPr>
        <w:t>تقلید المیّت</w:t>
      </w:r>
      <w:bookmarkEnd w:id="859"/>
    </w:p>
    <w:p>
      <w:pPr>
        <w:pStyle w:val="BookText"/>
        <w:rPr/>
      </w:pPr>
      <w:r>
        <w:rPr>
          <w:rFonts w:ascii="IRNazanin" w:hAnsi="IRNazanin" w:eastAsia="IRNazanin"/>
          <w:color w:val="111111"/>
          <w:sz w:val="28"/>
          <w:sz w:val="28"/>
          <w:szCs w:val="28"/>
          <w:rtl w:val="true"/>
          <w:lang w:bidi="fa-IR"/>
        </w:rPr>
        <w:t>الأقوال فیه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وهو المشهور بین الإمامیة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وهو المشهور بین العامّة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بین التقلید الابتدائی فلا یجوز، وبین التقلید الاستمراری؛ أی البقاء</w:t>
      </w:r>
    </w:p>
    <w:p>
      <w:pPr>
        <w:pStyle w:val="BookText"/>
        <w:rPr/>
      </w:pPr>
      <w:r>
        <w:rPr>
          <w:rFonts w:ascii="IRNazanin" w:hAnsi="IRNazanin" w:eastAsia="IRNazanin"/>
          <w:color w:val="111111"/>
          <w:sz w:val="28"/>
          <w:sz w:val="28"/>
          <w:szCs w:val="28"/>
          <w:rtl w:val="true"/>
          <w:lang w:bidi="fa-IR"/>
        </w:rPr>
        <w:t>علی التقلید بعد الموت فیجوز</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القائلون بالجواز بوجوه عمدتها السیرة المستمرّة للعقلاء علی أنّ آراء الأموات المکتوبة فی کتبهم کآراء الأحیاء فی جمیع الفنون کاللغة والطبّ والرجال ونحوها، وأمّا مهجوریّة بعض الآراء فلا ربط لها بالممات أو الحیاة، فإنّه کثیراً ما یترک بعض آراء الحیّ أیضاً فی زمان حیاته لظهور رأی أقوی منه، وصیرورته مهجوراً بعد أن کان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القائلون بعدم الجواز بوجوه عمدتها الإجماع، فقد نقل عن صاحب المسالک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الأصحاب باشتراط الحیاة</w:t>
      </w:r>
      <w:r>
        <w:rPr>
          <w:rStyle w:val="FootnoteAnchor"/>
          <w:rtl w:val="true"/>
        </w:rPr>
        <w:footnoteReference w:id="427"/>
      </w:r>
      <w:r>
        <w:rPr>
          <w:rFonts w:ascii="IRNazanin" w:hAnsi="IRNazanin" w:eastAsia="IRNazanin"/>
          <w:color w:val="111111"/>
          <w:sz w:val="28"/>
          <w:sz w:val="28"/>
          <w:szCs w:val="28"/>
          <w:rtl w:val="true"/>
          <w:lang w:bidi="fa-IR"/>
        </w:rPr>
        <w:t>، وعن صاحب المعالم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بفتاوی الموتی مخالف لما یظهر من اتفاق أصحابنا علی المنع من الرجوع إلی فتوی المیّت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الإجماع لیس مدرکیاً بل إنّه ضدّ المدرک، لما مرّ من أنّ القائلین بجواز تقلید المیّت یستدلّون علیه ببناء العقلاء؛ لأنّهم یعتبرون لجمیع الکتب العلمیة بعد الموت ما یعتبرونه فی زمن الحیاة، فإنّ الفقهاء خالفوا هذا البناء بإجماعهم علی عدم الجواز، وهذا من الموارد الّتی یکون الإجماع فیها مخالفاً للقواعد، فضلًا عن أن یکون مستنداً إلیها، فلا یبعد اعتباره بما هو إجماع وقد عرف الشیعة بهذه الفتوی فی مقابل العامّة القائلین بوجوب تقلید أئمّتهم الأربعة بعد موتهم بقرون کثیرة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هذا الإجماع دلیل لبّی لابدّ من الاکتفاء فیه بالقدر المتیقّن، والقدر المتیقّن منه إنّما هو التقلید الابتدائی فحسب، فهو رادع عن بناء العقلاء بالنسبة إلی خصوص الابتدائی، وأمّا الاستمراری فحجّیة بناء العقلاء فیه بلا مزاحم، وحینئذٍ</w:t>
      </w:r>
    </w:p>
    <w:p>
      <w:pPr>
        <w:pStyle w:val="BookText"/>
        <w:rPr/>
      </w:pPr>
      <w:r>
        <w:rPr>
          <w:rFonts w:ascii="IRNazanin" w:hAnsi="IRNazanin" w:eastAsia="IRNazanin"/>
          <w:color w:val="111111"/>
          <w:sz w:val="28"/>
          <w:sz w:val="28"/>
          <w:szCs w:val="28"/>
          <w:rtl w:val="true"/>
          <w:lang w:bidi="fa-IR"/>
        </w:rPr>
        <w:t>فالحقّ فی المسألة هو القول الثالث من التفصیل بین التقلید الابتدائی والاستمراری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نکتة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تتقدّم وتربو علی مرّ الزمان والأحیاء من العلماء یأخذون علوم العلماء الماضین وینتفعون منها مع علوم أنفسهم، فکم ترک الأوّلون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فربما یکون طبیب من الأطبّاء غیر المعروفین فی عصرنا أعلم فی الطبّ من بعض مشاهیر الأطبّاء المتقدّمین، وهکذا یکون بعض الفضلاء فی الحوزات العلمیة مثلًا أعلم فی علم الاصول من بعض أعاظم الاصولیین الماضین؛ لتقدّم العلوم وتکاملها علی مرّ الدهور والأزمنة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الأحیاء غالباً أعلم من الأموات بملاحظة سیر العلوم، ومن هنا یعلم سرّ وجوب تقلید الأعلم فی مذهبنا فقد صار ذلک سبباً لتقدّم شیعة أهل البیت علیهم السلام علی غیرهم فی الفقاهة ومعرفة الأحکام،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تمّ ما أردنا إیراده من مهمّات مسائل علم الاصول فی هذا الکتاب</w:t>
      </w:r>
    </w:p>
    <w:p>
      <w:pPr>
        <w:pStyle w:val="BookText"/>
        <w:rPr/>
      </w:pPr>
      <w:r>
        <w:rPr>
          <w:rFonts w:ascii="Amiri" w:hAnsi="Amiri" w:eastAsia="Amiri" w:cs="Amiri"/>
          <w:color w:val="111111"/>
          <w:sz w:val="28"/>
          <w:sz w:val="28"/>
          <w:szCs w:val="28"/>
          <w:rtl w:val="true"/>
          <w:lang w:bidi="ar-SA"/>
        </w:rPr>
        <w:t>والحمد للَّه‌أوّلًا وآخراً وظاهراً و باطناً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علی رسوله وآله أبداً سرمداً وعجّل اللَّه تعالی فرجهم قریباً سریعاً</w:t>
      </w:r>
      <w:bookmarkStart w:id="860" w:name="pg16922_187885"/>
    </w:p>
    <w:p>
      <w:pPr>
        <w:pStyle w:val="Heading5"/>
        <w:numPr>
          <w:ilvl w:val="4"/>
          <w:numId w:val="1"/>
        </w:numPr>
        <w:rPr/>
      </w:pPr>
      <w:bookmarkStart w:id="861" w:name="__RefHeading___Toc142229_3244359995"/>
      <w:bookmarkStart w:id="862" w:name="_Toc328"/>
      <w:bookmarkEnd w:id="860"/>
      <w:bookmarkEnd w:id="861"/>
      <w:r>
        <w:rPr>
          <w:rtl w:val="true"/>
        </w:rPr>
        <w:t>مصادر التحقیق</w:t>
      </w:r>
      <w:bookmarkEnd w:id="8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التقریرات، المحقّق الخوئی السید أبوالقاسم بن علی أکبر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قم،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النعمان،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اصول الأحکام، علی بن محمّد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اصول الأحکام، علی 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العاصمة،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الأذکار النوویة، یحیی بن شرف النووی الشافعی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الأخبار، شیخ الطائفة أبوجعفر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والتنبیهات، الشیخ الرئیس أبوعلیّ الحسین بن عبداللَّه 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السرخسی، محمّد بن أبی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العامّة للفقه المقارن، السیّد محمّد تقی الحکیم، مؤسسة آل البیت علیهم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الشیخ محمّد رضا المظفّر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العلّامة المجلسی محمّد باقر بن محمّد تقی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المجلسی، أصفهان،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السید محسن بن عبدالکریم الأمین العاملی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الهادی إلی الرشاد، 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 فی تفسیر کتاب اللَّه المنزل، آیة اللَّه العظمی مکارم الشیرازی، مدرسة الإمام علی بن أبی طالب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الاصول، تقریر الأبحاث الاصولیة لآیة اللَّه العظمی مکارم الشیرازی، أحمد القدسی، مدرسة الإمام علی بن أبی طالب علیه السلام،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الفقاهة، کتاب البیع، آیة اللَّه العظمی مکارم الشیرازی، مدرسة الإمام علی بن أبی طالب علیه السلام،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الشیخ المفید محمّد بن محمّد بن النعمان العکبری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الأفکار، المحقّق المیرزا حبیب اللَّه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الأفکار، الشیخ المیرزا هاشم الآملی، تقریرات أبحاث المحقّق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أبوبکر بن مسعود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الحبیبیة، پاکستان،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محمّد بن أحمد ابن رشد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فی تفسیر القرآن، المحقّق الخوئی السید أبوالقاسم بن علی أکبر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دارالزهراء،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رضا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 الرحمن بن خلدون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أبوعبد اللَّه الزنجانی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علیهم السلام، الحسن بن علی 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الاصول، الشیخ علی بن فتح اللَّه النهاوندی، الطبعة الحجریّة،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الکفایة، المیرزا أبوالحسن المشکینی، المطبوع بهامش کفایة الاصول، مطبعة 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عبد علی بن جمعة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فخر الدین الرازی محمّد بن عمر بن الحسین الطبری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القواعد، الشهید الثانی زین الدین بن علیّ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فی شرح العروة الوثقی، المیرزا علی الغروی التبریزی، تقریرات أبحاث المحقّق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للمطبوعات،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الشیخ عبداللَّه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النجف،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الاصول، الشیخ جعفر السبحانی، تقریرات أبحاث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الخمینی،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آیة اللَّه العظمی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بن عبدالعالی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الشیخ محمّد حسن بن باقر النجفی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النضید، العلّامة الحلّی جمال الدین الحسن بن یوسف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علی الشرح الکبیر، الشیخ محمّد عرفة الدسوقی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معالم الدین، سلطان العلماء السیّد علاءالدین حسین بن رفیع الدین المرعشی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الشیخ المحدّث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الاصول، السید محسن الطباطبائی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الحکمة المتعالیة فی الأسفار العقلیّة الأربعة، صدر المتألهین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المصطفویة،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فی معرفة الرجال، العلّامة الحلّی جمال الدین الحسن بن یوسف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المحقّق الحائری الشیخ عبد الکریم،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الفرزدق، همام بن غالب بن صعصعة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فی شرح الإرشاد، المحقّق السبزواری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 قم،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اصول الشریعة، الشریف المرتضی علی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الشیخ آغا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فی أحکام الشریعة، الشهید الأوّل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الحسن بن علی بن داود الحلّی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الی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الغضائری، أحمد بن الحسین بن عبید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أحمد بن علی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التسع، المحقق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الشریف المرتضی، علی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فقهیّة، الشیخ الأعظم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تحقیق التراث الشیخ الأعظم،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الطالبین، یحیی بن شرف النووی الشافعی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الاصول، بهاء الدین محمّد بن الحسین بن عبدالصمد العاملی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ولی العصر علیه السلام،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ابن إدریس الحلی،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عبداللَّه بن عبدالرحمن الدارمی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الاعتدال،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العقائد، علی بن محمّد القوشجی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الرضی علی الکافیة، رضی الدین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قاریونس، لیبیا،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شافیة ابن الحاجب، رضی الدین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الشمسیة، قطب الدین محمد الرازی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إیران،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العضدی علی مختصر ابن الحاجب، عبدالرحمن بن أحمد بن عبدالغفار،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المطالع، قطب الدین محمّد بن محمّد الرازی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الکتبی،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المنظومة، المولی هادی بن مهدی السبزواری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العلّامة،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السیّد الشریف علیّ بن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الربوبیة فی المناهج السلوکیة، صدر المتألهین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دانشگاهی،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العجاب فی بیان الأسباب، ابن حجر العسقلانی، أحمد بن علی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السعودیة،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فی اصول الفقه، 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ستاره،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ونجاح الساعی، الشیخ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المحقّق النراقی، أحمد بن محمّد مهدی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الخلیل بن أحمد الفراهیدی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إیران،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أبوعبید القاسم بن سلام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حیدر آباد الدکن،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بشرح صحیح البخاری، ابن حجر العسقلانی، أحمد بن علی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ابن العربی محمّد بن علی الحاتمی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الشیخ الأعظم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اللغویة، 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الغرویة فی الاصول الفقهیّة، الشیخ محمّد حسین بن عبدالرحیم الطهرانی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فی الاصول، أحمد بن علی الرازی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عجیل جاسم النشمی،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فواتح الرحموت بشرح مسلّم الثبوت، المطبوع فی ذیل المستصفی من علم الاصول، عبد العلی محمّد بن نظام‌الدین الأنصاری اللکنوی‌الهندی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الشیخ محمّد علی الکاظمی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أبحاث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السید محمد المهدی بحر العلوم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المدنیة، محمّد أمین بن محمّد شریف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الفیروزآبادی، دار العلم للجمیع،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آیة اللَّه العظمی مکارم الشیرازی، مدرسة الإمام علی بن أبی طالب علیه السلام،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الاصول، المحقق المیرزا أبوالقاسم القمّی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ثقة الإسلام محمّد بن یعقوب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الامّ، 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محمود بن عمر جار اللَّه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الحلبی،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عن خفیّات مبهمات الشریعة الغرّاء، الشیخ جعفر بن خضر، المعروف بکاشف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العلّامة الحلّی جمال الدین الحسن بن یوسف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الآخوند الخراسانی المولی محمّد کاظم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فی اصول الفقه، أبوإسحاق إبراهیم بن علی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الاصول، 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أبحاث المحقّق البروجردی، مؤسسة تنظیم ونشر آثار الإمام الخمینی،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الوصول إلی علم الاصول، العلّامة جمال الدین الحسن بن یوسف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محمّد بن أبی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الشیخ فخر الدین الطریحی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الإسلامیّة، طهران،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ومنبع الفوائد،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فی شرح إرشاد الأذهان،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فی شرح المهذّب، یحیی بن شرف النووی الشافعی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اصول الفقه، محمّد إسحاق الفیّاض، تقریرات أبحاث المحقّق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للمطبوعات،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 الفقه، فخرالدین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التذکرة باصول الفقه، الشیخ المفید محمّد بن محمّد بن النعمان العکبری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إلی آیات الأحکام، جواد بن سعد الکاظمی، المشهور بالفاضل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الناصریات، الشریف المرتضی، علی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والعلاقات الإسلامیّة، طهران،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المحدّث النوری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أبوعبد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من علم الاصول، أبوحامد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الاصول، السیّد محمّد سرور الواعظ البهسودی، تقریرات أبحاث المحقّق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مطارح الأنظار، العلّامة أبوالقاسم کلانتری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أبحاث الشیخ الأعظم الأنصاری، الطبعة الحجریة، 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المطوّل فی شرح تلخیص المفتاح، 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w:t>
      </w:r>
    </w:p>
    <w:p>
      <w:pPr>
        <w:pStyle w:val="BookText"/>
        <w:rPr/>
      </w:pPr>
      <w:r>
        <w:rPr>
          <w:rFonts w:ascii="IRNazanin" w:hAnsi="IRNazanin" w:eastAsia="IRNazanin"/>
          <w:color w:val="111111"/>
          <w:sz w:val="28"/>
          <w:sz w:val="28"/>
          <w:szCs w:val="28"/>
          <w:rtl w:val="true"/>
          <w:lang w:bidi="fa-IR"/>
        </w:rPr>
        <w:t xml:space="preserve">النجفی،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المحقق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للطباعة والنشر،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وملاذ المجتهدین، 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المحقق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علیه السلام،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آیة اللَّه العظمی السید أبوالقاسم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مقائیس اللّغة،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الأعاریب،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الاصول، السید محمّد الطباطبائی المجاهد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 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یوسف بن أبی بکر محمّد بن علی السکاکی،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السید محمّد جواد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الأصفهانی، دفتر نشر کتاب،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الاصول، المحقّق العراقی الشیخ ضیاء الدین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الاصول، السیّد المیرزا حسن الموسوی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مطبعة العروج، طهران،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المنخول من تعلیقات الاصول، أبوحامد محمّد بن محمّد الغزالی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الشیخ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المیسّرة، الشیخ محمد علی الأنصاری، مجمع الفکر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النجاة، الشیخ الرئیس أبوعلی الحسین بن عبداللَّه 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فی مقدّمات الاصول، الشیخ المفید محمّد بن محمّد بن النعمان العکبری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الاصول، الشیخ حسینعلی المنتظری، تقریرات أبحاث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تفکّر،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الأفکار، الشیخ محمّد تقی بن عبدالکریم البروجردی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أبحاث المحقّق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فی شرح الکفایة، المحقّق الأصفهانی الشیخ محمّد حسین بن محمّد حسن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السؤل، عبدالرحیم بن الحسن الأسنوی الشافعی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النهایة فی شرح الکفایة، المیرزا علی الإیروانی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الشریف الرضی محمّد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صبحی</w:t>
      </w:r>
    </w:p>
    <w:p>
      <w:pPr>
        <w:pStyle w:val="BookText"/>
        <w:rPr/>
      </w:pPr>
      <w:r>
        <w:rPr>
          <w:rFonts w:ascii="IRNazanin" w:hAnsi="IRNazanin" w:eastAsia="IRNazanin"/>
          <w:color w:val="111111"/>
          <w:sz w:val="28"/>
          <w:sz w:val="28"/>
          <w:szCs w:val="28"/>
          <w:rtl w:val="true"/>
          <w:lang w:bidi="fa-IR"/>
        </w:rPr>
        <w:t xml:space="preserve">الصالح،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نواسخ القرآن، عبد الرحمن بن الجوزی البغدادی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المسترشدین، الشیخ محمد تقی الرازی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المولی محسن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 المؤمنین علی علیه السلام، أصفهان،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الوافیة فی اصول الفقه، الفاضل التونی عبداللَّه بن محمّد البشروی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طهران،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وقایة الأذهان، الشیخ أبوالمجد النجفی الأصفهانی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الإجماع عند أهل السنّة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عند الأصحاب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الدخولی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اللطفی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المسلک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التشرّفی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الحدسی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بخبر الواحد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تقویم الإجماعات المنقولة من جهة کیفیة النقل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القاعدة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ملاحظة ألفاظ نقل الإجماع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الکاشفة عن قول المعصوم علیه السلام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بحجّیة الشهرة مطلقاً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بالتفصیل بین الشهرة عند القدماء وعند المتأخّرین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تذییل حول الشهرة العملیّة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المرحلة الاولی علل الاحکام ومبادیها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للأشیاء حسن وقبح ذاتاً؟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أدلّة المنکرین للحسن والقبح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إدراک الحسن والقبح الذاتیین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الملازمة بین حکم العقل وحکم الشرع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أدلّة منکری الملازمة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القول بالتفصیل فی ثبوت الملازمة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معلولات الاحکام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الاستلزامات الحکمیة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المأمور به عن أمر نفسه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تنبیه حول جواز الإمتثال بعد الإمتثال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المأمور به الاضطراری عن الاختیاری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مقتضی الأدلّة بحسب مقام الإثبات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الأوامر الظاهریّة الشرعیّة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الأحکام الظاهریّة الّتی تجری لتنقیح موضوع تکلیف آخر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الظاهریّة الّتی تجری لإثبات أصل التکلیف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الأوامر الظاهریّة العقلیّة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ومسألة التصویب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مکانة البحث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المقدّمة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الداخلیة والمقدّمة الخارجیّة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العقلیّة والشرعیّة والعادیة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الوجود ومقدّمةالصحّة ومقدّمة الوجوب ومقدّمة العلم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الشرط المتقدّم والمقارن والمتأخّر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القول بوجوب المقدّمة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الأصل فی المسألة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القائلین بوجوب المقدّمة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وجوب المقدّمة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المختار فی المسألة هو وجوب المقدّمة الموصلة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ثمرة القول بوجوب المقدّمة الموصلة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المستحبّ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الحرام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الضد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الضدّ العامّ </w:t>
      </w:r>
      <w:r>
        <w:rPr>
          <w:rFonts w:eastAsia="Amiri" w:cs="Amiri" w:ascii="Amiri" w:hAnsi="Amiri"/>
          <w:color w:val="111111"/>
          <w:sz w:val="28"/>
          <w:szCs w:val="28"/>
          <w:lang w:bidi="ar-SA"/>
        </w:rPr>
        <w:t>82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الضدّ الخاصّ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تفصیل فی المقام بین صور المسألة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ثمرة البحث فی مسألة الضدّ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الکلام فی الترتّب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بیان المختار فی المسألة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المناقشة فی بعض الأمثلة المذکورة للأمرین المترتّبین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تعدّد العقاب فی صورة مخالفة الأمر الترتّبی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البحث عن الترتّب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من المسائل الاصولیّة العقلیّة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قید المندوحة ولزوم أخذه فی محلّ النزاع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اعتبار وجود الملاکین فی المجمع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بیان ما یحرز به الملاکان فی المجمع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بحث الاجتماع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بحث صغروی حول الأمثلة المذکورة لمسألة الاجتماع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العبادات المکروهة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تنبیهات مسألة الاجتماع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إلی المحرّم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الخروج فی نفسه </w:t>
      </w:r>
      <w:r>
        <w:rPr>
          <w:rFonts w:eastAsia="IRNazanin" w:cs="IRNazanin"/>
          <w:color w:val="111111"/>
          <w:sz w:val="28"/>
          <w:szCs w:val="28"/>
          <w:lang w:bidi="fa-IR"/>
        </w:rPr>
        <w:t>110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الصلاة حین الخروج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 باب التزاحم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مرجّحات النهی علی الأمر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العبادات والمعاملات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کون المسألة من المسائل اللفظیّة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المراد من النهی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العبادة والمعاملة فی محلّ النزاع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النزاع فی المسألة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 فی المسألة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تعلّق النهی بالعبادة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جریان الأقسام المتقدّمة فی المعاملات وعدمه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 المسألة وبیان المختار فیها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النهی فی المعاملات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الاستدلال ببعض الروایات فی المقام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الأدلّة العقلیة الظنیة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القیاس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القیاس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النافین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القائلین بالحجّیة </w:t>
      </w:r>
      <w:r>
        <w:rPr>
          <w:rFonts w:eastAsia="IRNazanin" w:cs="IRNazanin"/>
          <w:color w:val="111111"/>
          <w:sz w:val="28"/>
          <w:szCs w:val="28"/>
          <w:lang w:bidi="fa-IR"/>
        </w:rPr>
        <w:t>133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الاستحسان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تعریفه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النافین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المصالح المرسلة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الذرائع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المراد منه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یمکن أن یقال فی حجّیته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الاصول العملیّة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حصر الاصول العملیّة فی الأربعة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حکومة الأمارات والأدلّة الاجتهادیّة علی الاصول العملیّة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أدلّة الاصولیین علی البراءة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الحلّ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الإطلاق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العقل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أدلّة الأخباریین علی وجوب الاحتیاط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مسألة الحظر والإباحة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تنبیهات أصالة البراءة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اشتراط عدم وجود أصل موضوعی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الاحتیاط وترتّب الثواب علیه وإمکانه فی العبادات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تذییل حول أخبار من بلغ والتسامح فی أدلّة السنن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البراءة فی الشبهات الموضوعیّة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المناط فی حسن الاحتیاط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التخییر فی الواقعة المتکرّرة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التخییر فی التعبدیّات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الأمر بین التعیین و التخییر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جانب الحرمة فی دوران الأمر بین المحذورین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الاشتغال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المتباینین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المخالفة القطعیّة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المخالفة الاحتمالیة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الاضطرار إلی بعض الأطراف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المختار فی المسألة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بعض الأطراف عن محلّ الابتلاء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حکم الشکّ فی الخروج عن محلّ الابتلاء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عدم جریان الاصول فی أطراف العلم الإجمالی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الضابط فی الشبهة غیر المحصورة وتحدیدها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غیر المحصورة الوجوبیّة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اعتبار اندراج طرفی العلم الإجمالی تحت عنوان واحد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ملاقی بعض أطراف الشبهة المحصورة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والأکثر الإرتباطیین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الأجزاء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بقی هنا أمر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الشرائط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القیود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228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والأکثر الاستقلالیین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الاستصحاب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الاستصحاب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الاستصحاب من المسائل الاصولیة؟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أرکان الاستصحاب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الاستصحاب من الاصول أو الأمارات؟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الحکم الشرعی المستکشف من دلیل العقل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الاستصحاب وقاعدتی الیقین والمقتضی والمانع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حجیةُ الاستصحاب وبیان أدلّتها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الصحیحة الاولی لزرارة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الصحیحة الثانیة لزرارة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الصحیحة الثالثة لزرارة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الخصال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علی بن محمّد القاسانی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التفصیل بین الشبهات الحکمیّة والشبهات الموضوعیّة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المراد من الشکّ الذی هو من أرکان الاستصحاب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فعلیّة الیقین والشکّ فی الاستصحاب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کون المستصحب حکماً شرعیاً أو ذا حکم شرعی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الاستصحاب فیما ثبت بالأمارة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بقاء الموضوع فی الاستصحاب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تبدّل الموضوع فی الشبهات الحکمیّة والموضوعیّة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المعیار فی بقاء الموضوع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الاستصحاب فی الأحکام الوضعیّة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بیان الفرق بین الاعتباریّات و الانتزاعیّات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بیان الأقوال قی حقیقة الأحکام الوضعیّة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الکلّی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جریان الاستصحاب فی الأقسام الأربعة وعدمه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الامور التدریجیّة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الاستصحاب التعلیقی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بقی أمران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أحکام الشرائع السابقة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کلمة حول حقیقة نسخ الشرائع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المثبتة وعدم حجّیتها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القول الفصل فی حجّیة مثبتات الأمارات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تأخّر الحادث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القول فی توارد الحالتین المتضادّتین فی محلّ واحد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حکم المخصّص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الأمارات علی الاستصحاب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النسبة بین الاستصحاب وسائر الاصول العملیّة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ما هو الوجه فی تقدیم الأصل السببی علی المسبّبی </w:t>
      </w:r>
      <w:r>
        <w:rPr>
          <w:rFonts w:eastAsia="IRNazanin" w:cs="IRNazanin"/>
          <w:color w:val="111111"/>
          <w:sz w:val="28"/>
          <w:szCs w:val="28"/>
          <w:lang w:bidi="fa-IR"/>
        </w:rPr>
        <w:t>299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الاستصحابین إذا کان أحدهما فی عرض الآخر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نسبة الاستصحاب مع القواعد الجاریة فی الشبهات الموضوعیّة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وجه تقدیم الاستصحاب علی القرعة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جریان الاصول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جریان أصالة الاحتیاط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جواز العمل بالاحتیاط مع إمکان الاجتهاد أو التقلید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جریان سائر الأصول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الموضوعیّة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مقدار الواجب من الفحص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فی الشبهات الموضوعیّة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المقام الأوّل فی مباحث الاجتهاد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المقام الثانی فی مباحث التقلید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الاجتهاد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فی اللغة والاصطلاح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بالمعنی العامّ والخاصّ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المجتهد المطلق والمتجزّی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المجتهد المطلق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تحقّق الاجتهاد المطلق </w:t>
      </w:r>
      <w:r>
        <w:rPr>
          <w:rFonts w:eastAsia="IRNazanin" w:cs="IRNazanin"/>
          <w:color w:val="111111"/>
          <w:sz w:val="28"/>
          <w:szCs w:val="28"/>
          <w:lang w:bidi="fa-IR"/>
        </w:rPr>
        <w:t>322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العمل برأی المجتهد المطلق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القضاء للمجتهد المطلق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منصب الولایة والحکومة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المجتهد المتجزّی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عمل المجتهد المتجزّی برأیه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رجوع الغیر إلیه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المجتهد المتجزّی لمنصب القضاء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اعتبار الإذن من المجتهد المطلق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الاجتهاد والعلوم اللازمة 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و دوره الأساسی فی الاستنباط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الفقیه فی تشخیص الموضوعات الفقهیّة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الزمان والمکان فی الاجتهاد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التخطئة والتصویب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بطلان القسم الأوّل من التصویب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بطلان القسم الثانی والثالث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المصلحة السلوکیة وخروجها عن التصویب موضوعاً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تبدّل رأی المجتهد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التفصیل فی المسألة بین القطع والأمارات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مقتضی إطلاقات أدلّة حجّیة الأمارات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التقلید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نقد أدلّة القول بأنّ التقلید لیس من مقولة العمل </w:t>
      </w:r>
      <w:r>
        <w:rPr>
          <w:rFonts w:eastAsia="IRNazanin" w:cs="IRNazanin"/>
          <w:color w:val="111111"/>
          <w:sz w:val="28"/>
          <w:szCs w:val="28"/>
          <w:lang w:bidi="fa-IR"/>
        </w:rPr>
        <w:t>350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التقلید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التقلید للعامّی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الأعلم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المیّت </w:t>
      </w:r>
      <w:r>
        <w:rPr>
          <w:rFonts w:eastAsia="IRNazanin" w:cs="IRNazanin"/>
          <w:color w:val="111111"/>
          <w:sz w:val="28"/>
          <w:szCs w:val="28"/>
          <w:lang w:bidi="fa-IR"/>
        </w:rPr>
        <w:t>361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lang w:bidi="fa-IR"/>
        </w:rPr>
        <w:t>365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للغزالی،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المحصول للفخر الرازی،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إلی البخاری والکرمانی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فواتح الرحموت بشرح مسلم الثبوت، المطبوع فی ذیل المستصفی،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القزوینی،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490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291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کذلک فی کثیر من المسائل الفقهیّة، فلا یوجد فیها دلیل معتبر غیر الإجماع، بل إنّها انتهت إلی‌خمسمائة مورد علی ما سمعته من السیّد الاستاذ المحقّق البروجردی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الناصریات، ص </w:t>
      </w:r>
      <w:r>
        <w:rPr>
          <w:rFonts w:eastAsia="IRNazanin" w:cs="IRNazanin"/>
          <w:b w:val="false"/>
          <w:bCs w:val="false"/>
          <w:i w:val="false"/>
          <w:iCs w:val="false"/>
          <w:color w:val="333333"/>
          <w:sz w:val="20"/>
          <w:szCs w:val="20"/>
        </w:rPr>
        <w:t>105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216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اصول الفقه للمظفّر،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173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الإشارات والتنبیهات،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مبادئ‌الوصول،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قوانین الاصول،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116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125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مطارح الأنظار، ص </w:t>
      </w:r>
      <w:r>
        <w:rPr>
          <w:rFonts w:eastAsia="IRNazanin" w:cs="IRNazanin"/>
          <w:b w:val="false"/>
          <w:bCs w:val="false"/>
          <w:i w:val="false"/>
          <w:iCs w:val="false"/>
          <w:color w:val="333333"/>
          <w:sz w:val="20"/>
          <w:szCs w:val="20"/>
        </w:rPr>
        <w:t>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فی علم الأصول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الحجّ، أبواب کفّارات الاستمتاع،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الآیة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87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90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للسبزواری، قسم الحکمة، ص </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مبادئ‌الوصول،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القواعد الکلامیّة عند العدلیّة،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قدس 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کشف المراد فی‌شرح تجرید الاعتقاد،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83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أحکام المساجد،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الخامس من شروط التقصیر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یظهر أنّ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الضدّ بمعناه اللغوی فیعمّ النقیض الفلسفی؛ فإنّ الضدّ العامّ أمر عدمی، مع أنّ الضدّین فی الفلسفة أمران وجودیان بینهما غایة التباعد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مقالات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فصل فی القراءة، المسألة </w:t>
      </w:r>
      <w:r>
        <w:rPr>
          <w:rFonts w:eastAsia="IRNazanin" w:cs="IRNazanin"/>
          <w:b w:val="false"/>
          <w:bCs w:val="false"/>
          <w:i w:val="false"/>
          <w:iCs w:val="false"/>
          <w:color w:val="333333"/>
          <w:sz w:val="20"/>
          <w:szCs w:val="20"/>
        </w:rPr>
        <w:t>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درر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158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260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138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الاستحاضة،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أبواب‌أعداد الفرائض، الباب </w:t>
      </w:r>
      <w:r>
        <w:rPr>
          <w:rFonts w:eastAsia="IRNazanin" w:cs="IRNazanin"/>
          <w:b w:val="false"/>
          <w:bCs w:val="false"/>
          <w:i w:val="false"/>
          <w:iCs w:val="false"/>
          <w:color w:val="333333"/>
          <w:sz w:val="20"/>
          <w:szCs w:val="20"/>
        </w:rPr>
        <w:t>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185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منسوب إلی أبی حنیفة و الشیبانی،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96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نکاح العبید والإماء،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305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النضید،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المنظومة للسبزواری، قسم المنطق،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منسوب إلی القفّال وأبی الحسین البصری،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مبادئ‌الوصول،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107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علی هذه الأحادیث وطرق أحادیث الثقلین راجع مقدّمة کتاب جامع أحادیث الشیعة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روایات کثیرة فی هذا المجال،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وورد فی کتبهم الروائیّة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برهة بالقیاس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برهة بالرأی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الزوائد، للهیثمی،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الروایة بهذه الصورة فی الکتب الروائیّة لأهل السنّة،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الاصول، للجصّاص،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کسابقه لم یرد فی کتبهم الروائیّة بهذه الصورة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وانظر أیضاً،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الأیمان و النذور؛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قضاء الصیام عن المیّت؛ 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361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لابن حزم،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مبادی الوصول، ص </w:t>
      </w:r>
      <w:r>
        <w:rPr>
          <w:rFonts w:eastAsia="IRNazanin" w:cs="IRNazanin"/>
          <w:b w:val="false"/>
          <w:bCs w:val="false"/>
          <w:i w:val="false"/>
          <w:iCs w:val="false"/>
          <w:color w:val="333333"/>
          <w:sz w:val="20"/>
          <w:szCs w:val="20"/>
        </w:rPr>
        <w:t>241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لابن حزم،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الاصول، للجصّاص،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التفسیر الکبیر، للفخر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فی اصول الفقه،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الاصول، للجصّاص،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فواتح الرحموت بشرح مسلم الثبوت،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الاصول، للجصّاص،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376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385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للفخر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شطراً منها فی المقصد الثانی من الجزء الأوّل عند البحث عن السنّة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387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108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الآیه </w:t>
      </w:r>
      <w:r>
        <w:rPr>
          <w:rFonts w:eastAsia="IRNazanin" w:cs="IRNazanin"/>
          <w:b w:val="false"/>
          <w:bCs w:val="false"/>
          <w:i w:val="false"/>
          <w:iCs w:val="false"/>
          <w:color w:val="333333"/>
          <w:sz w:val="20"/>
          <w:szCs w:val="20"/>
        </w:rPr>
        <w:t>59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339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الفوائد المدنیة،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115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الآیة </w:t>
      </w:r>
      <w:r>
        <w:rPr>
          <w:rFonts w:eastAsia="IRNazanin" w:cs="IRNazanin"/>
          <w:b w:val="false"/>
          <w:bCs w:val="false"/>
          <w:i w:val="false"/>
          <w:iCs w:val="false"/>
          <w:color w:val="333333"/>
          <w:sz w:val="20"/>
          <w:szCs w:val="20"/>
        </w:rPr>
        <w:t>34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339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106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الصید والذبائح، أبواب الذبائح،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الزکاة، أبواب ما تجب فیه،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لابن‌أثیر،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الشافیة للأسترابادی،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التفسیر الکبیر للفخر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ص الآیه </w:t>
      </w:r>
      <w:r>
        <w:rPr>
          <w:rFonts w:eastAsia="IRNazanin" w:cs="IRNazanin"/>
          <w:b w:val="false"/>
          <w:bCs w:val="false"/>
          <w:i w:val="false"/>
          <w:iCs w:val="false"/>
          <w:color w:val="333333"/>
          <w:sz w:val="20"/>
          <w:szCs w:val="20"/>
        </w:rPr>
        <w:t>33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10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ولکنّ الشهید رحمه الله نقل هذه العبارة من النووی صاحب روضة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من فقهاء الشافعیة فی ضمن کلام طویل له وهذا الکلام موجود بعینه فی کتابه الآخر وهو الأذکار النوویة،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واشتبه الأمر علی عدّة من الأعاظم منهم صاحب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وشیخنا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رسالة فی التسامح فی أدلّة السنن،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فنسبوه إلی الشهید 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حاشیة المشکینی علی 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أبواب الأمر والنهی وما یناسبهما،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المحرّمة،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الأطعمة والأشربة، أبواب الأطعمة المحرّمة،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لم نظفر علیه بهذا التعبیر فی الجوامع الروائیّة، نعم ورد فی الرسائل‌التسع للمحقّق الحلّی قدس سره،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اترکوا ما لابأس به حذار ما به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 مصباح الشریعة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التقوی ترک ما لیس بأخذه بأس حذراً عمّا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تحف العقول،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لایبلغ عبد أن یکون من المتّقین حتّی یدع ما لا بأس به حذراً لما به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العامّة أیضاً کما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106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66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مذکور بتمامه فی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وعنه فی جامع أحادیث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ص </w:t>
      </w:r>
      <w:r>
        <w:rPr>
          <w:rFonts w:eastAsia="IRNazanin" w:cs="IRNazanin"/>
          <w:b w:val="false"/>
          <w:bCs w:val="false"/>
          <w:i w:val="false"/>
          <w:iCs w:val="false"/>
          <w:color w:val="333333"/>
          <w:sz w:val="20"/>
          <w:szCs w:val="20"/>
        </w:rPr>
        <w:t>86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الصوم، أبواب أحکام شهر رمضان،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397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10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78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الصافات،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ص </w:t>
      </w:r>
      <w:r>
        <w:rPr>
          <w:rFonts w:eastAsia="IRNazanin" w:cs="IRNazanin"/>
          <w:b w:val="false"/>
          <w:bCs w:val="false"/>
          <w:i w:val="false"/>
          <w:iCs w:val="false"/>
          <w:color w:val="333333"/>
          <w:sz w:val="20"/>
          <w:szCs w:val="20"/>
        </w:rPr>
        <w:t>171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374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193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101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زبدةالاصول،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نهایة الدرایة،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کتاب الاجتهاد والتقلید،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411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464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کتاب الاجتهاد والتقلید،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ورد فی مقبولة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رجلین من أصحابنا بینهما منازعة فی‌دین أو میراث، فتحاکما إلی السلطان وإلی القضاة، أیحلّ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تحاکم إلیهم فی حقّ أو باطل فإنّما تحاکم إلی الطاغوت، وما یحکم له فإنّما یأخذ سحتاً، وإن کان حقّاً ثابتاً له، لأنّه أخذه بحکم الطاغوت وما أمر اللَّه أن یکفر به،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 یتحاکموا إلی الطاغوت وقد امروا أن یکفروا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 الشرک باللَّه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موثّقة أبی خدیجة سالم بن مکرّم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ما یسجد علیه، الباب </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35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38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فقد جمع فیه طرق الحدیث من کتب الفریقین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409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کتاب الاجتهاد والتقلید،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253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للرازی،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علّق علیها کثیر من الأعلام المتأخّرین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56211</Words>
  <Characters>256432</Characters>
  <CharactersWithSpaces>309742</CharactersWithSpaces>
  <Paragraphs>2902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2026-08-24T01:03:26Z</dcterms:created>
  <dc:creator>ghaemiyeh.com</dc:creator>
  <dc:description/>
  <dc:language>en-US</dc:language>
  <cp:lastModifiedBy/>
  <dcterms:modified xsi:type="dcterms:W3CDTF">2026-08-24T04:33:49Z</dcterms:modified>
  <cp:revision>1</cp:revision>
  <dc:subject/>
  <dc:title>طریق الوصول الی مهمات علم الاصول اصول الفقه باسلوب حدیث و آراء جدیدة جلد 2</dc:title>
</cp:coreProperties>
</file>

<file path=docProps/custom.xml><?xml version="1.0" encoding="utf-8"?>
<Properties xmlns="http://schemas.openxmlformats.org/officeDocument/2006/custom-properties" xmlns:vt="http://schemas.openxmlformats.org/officeDocument/2006/docPropsVTypes"/>
</file>