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الطهاره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51860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451862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451864_3224264995">
            <w:r>
              <w:rPr>
                <w:webHidden/>
                <w:rStyle w:val="IndexLink"/>
                <w:rtl w:val="true"/>
              </w:rPr>
              <w:t xml:space="preserve">شرح </w:t>
            </w:r>
            <w:r>
              <w:rPr>
                <w:rStyle w:val="IndexLink"/>
                <w:rtl w:val="true"/>
              </w:rPr>
              <w:t>[</w:t>
            </w:r>
            <w:r>
              <w:rPr>
                <w:rStyle w:val="IndexLink"/>
                <w:rtl w:val="true"/>
              </w:rPr>
              <w:t>کتاب الطهارة</w:t>
            </w:r>
            <w:r>
              <w:rPr>
                <w:rStyle w:val="IndexLink"/>
                <w:rtl w:val="true"/>
              </w:rPr>
              <w:t xml:space="preserve">] </w:t>
            </w:r>
            <w:r>
              <w:rPr>
                <w:rStyle w:val="IndexLink"/>
                <w:rtl w:val="true"/>
              </w:rPr>
              <w:t>من إرشاد الأذهان</w:t>
            </w:r>
            <w:r>
              <w:rPr>
                <w:rStyle w:val="IndexLink"/>
                <w:rtl w:val="true"/>
              </w:rPr>
              <w:tab/>
            </w:r>
            <w:r>
              <w:rPr>
                <w:rStyle w:val="IndexLink"/>
              </w:rPr>
              <w:t>6</w:t>
            </w:r>
          </w:hyperlink>
        </w:p>
        <w:p>
          <w:pPr>
            <w:pStyle w:val="Contents3"/>
            <w:tabs>
              <w:tab w:val="clear" w:pos="8459"/>
              <w:tab w:val="right" w:pos="9026" w:leader="dot"/>
            </w:tabs>
            <w:rPr/>
          </w:pPr>
          <w:hyperlink w:anchor="__RefHeading___Toc6451866_3224264995">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451868_3224264995">
            <w:r>
              <w:rPr>
                <w:webHidden/>
                <w:rStyle w:val="IndexLink"/>
                <w:rtl w:val="true"/>
              </w:rPr>
              <w:t>[</w:t>
            </w:r>
            <w:r>
              <w:rPr>
                <w:rStyle w:val="IndexLink"/>
                <w:rtl w:val="true"/>
              </w:rPr>
              <w:t>النظر الأوّل فی أقسامها</w:t>
            </w:r>
            <w:r>
              <w:rPr>
                <w:rStyle w:val="IndexLink"/>
                <w:rtl w:val="true"/>
              </w:rPr>
              <w:t>]</w:t>
              <w:tab/>
            </w:r>
            <w:r>
              <w:rPr>
                <w:rStyle w:val="IndexLink"/>
              </w:rPr>
              <w:t>9</w:t>
            </w:r>
          </w:hyperlink>
        </w:p>
        <w:p>
          <w:pPr>
            <w:pStyle w:val="Contents4"/>
            <w:tabs>
              <w:tab w:val="clear" w:pos="8176"/>
              <w:tab w:val="right" w:pos="9026" w:leader="dot"/>
            </w:tabs>
            <w:rPr/>
          </w:pPr>
          <w:hyperlink w:anchor="__RefHeading___Toc6451870_3224264995">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6451872_3224264995">
            <w:r>
              <w:rPr>
                <w:webHidden/>
                <w:rStyle w:val="IndexLink"/>
                <w:rtl w:val="true"/>
              </w:rPr>
              <w:t>[</w:t>
            </w:r>
            <w:r>
              <w:rPr>
                <w:rStyle w:val="IndexLink"/>
                <w:rtl w:val="true"/>
              </w:rPr>
              <w:t>الوضوء</w:t>
            </w:r>
            <w:r>
              <w:rPr>
                <w:rStyle w:val="IndexLink"/>
                <w:rtl w:val="true"/>
              </w:rPr>
              <w:t>]</w:t>
              <w:tab/>
            </w:r>
            <w:r>
              <w:rPr>
                <w:rStyle w:val="IndexLink"/>
              </w:rPr>
              <w:t>10</w:t>
            </w:r>
          </w:hyperlink>
        </w:p>
        <w:p>
          <w:pPr>
            <w:pStyle w:val="Contents4"/>
            <w:tabs>
              <w:tab w:val="clear" w:pos="8176"/>
              <w:tab w:val="right" w:pos="9026" w:leader="dot"/>
            </w:tabs>
            <w:rPr/>
          </w:pPr>
          <w:hyperlink w:anchor="__RefHeading___Toc6451874_3224264995">
            <w:r>
              <w:rPr>
                <w:webHidden/>
                <w:rStyle w:val="IndexLink"/>
                <w:rtl w:val="true"/>
              </w:rPr>
              <w:t>[</w:t>
            </w:r>
            <w:r>
              <w:rPr>
                <w:rStyle w:val="IndexLink"/>
                <w:rtl w:val="true"/>
              </w:rPr>
              <w:t>الغسل</w:t>
            </w:r>
            <w:r>
              <w:rPr>
                <w:rStyle w:val="IndexLink"/>
                <w:rtl w:val="true"/>
              </w:rPr>
              <w:t>]</w:t>
              <w:tab/>
            </w:r>
            <w:r>
              <w:rPr>
                <w:rStyle w:val="IndexLink"/>
              </w:rPr>
              <w:t>10</w:t>
            </w:r>
          </w:hyperlink>
        </w:p>
        <w:p>
          <w:pPr>
            <w:pStyle w:val="Contents5"/>
            <w:tabs>
              <w:tab w:val="clear" w:pos="7892"/>
              <w:tab w:val="right" w:pos="9026" w:leader="dot"/>
            </w:tabs>
            <w:rPr/>
          </w:pPr>
          <w:hyperlink w:anchor="__RefHeading___Toc6451876_3224264995">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6451878_3224264995">
            <w:r>
              <w:rPr>
                <w:webHidden/>
                <w:rStyle w:val="IndexLink"/>
                <w:rtl w:val="true"/>
              </w:rPr>
              <w:t>[</w:t>
            </w:r>
            <w:r>
              <w:rPr>
                <w:rStyle w:val="IndexLink"/>
                <w:rtl w:val="true"/>
              </w:rPr>
              <w:t>الأغسال المستحبة</w:t>
            </w:r>
            <w:r>
              <w:rPr>
                <w:rStyle w:val="IndexLink"/>
                <w:rtl w:val="true"/>
              </w:rPr>
              <w:t>]</w:t>
              <w:tab/>
            </w:r>
            <w:r>
              <w:rPr>
                <w:rStyle w:val="IndexLink"/>
              </w:rPr>
              <w:t>10</w:t>
            </w:r>
          </w:hyperlink>
        </w:p>
        <w:p>
          <w:pPr>
            <w:pStyle w:val="Contents6"/>
            <w:tabs>
              <w:tab w:val="clear" w:pos="7609"/>
              <w:tab w:val="right" w:pos="9026" w:leader="dot"/>
            </w:tabs>
            <w:rPr/>
          </w:pPr>
          <w:hyperlink w:anchor="__RefHeading___Toc6451880_3224264995">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6451882_3224264995">
            <w:r>
              <w:rPr>
                <w:webHidden/>
                <w:rStyle w:val="IndexLink"/>
                <w:rtl w:val="true"/>
              </w:rPr>
              <w:t>[</w:t>
            </w:r>
            <w:r>
              <w:rPr>
                <w:rStyle w:val="IndexLink"/>
                <w:rtl w:val="true"/>
              </w:rPr>
              <w:t>الأغسال الزمانیة</w:t>
            </w:r>
            <w:r>
              <w:rPr>
                <w:rStyle w:val="IndexLink"/>
                <w:rtl w:val="true"/>
              </w:rPr>
              <w:t>]</w:t>
              <w:tab/>
            </w:r>
            <w:r>
              <w:rPr>
                <w:rStyle w:val="IndexLink"/>
              </w:rPr>
              <w:t>10</w:t>
            </w:r>
          </w:hyperlink>
        </w:p>
        <w:p>
          <w:pPr>
            <w:pStyle w:val="Contents6"/>
            <w:tabs>
              <w:tab w:val="clear" w:pos="7609"/>
              <w:tab w:val="right" w:pos="9026" w:leader="dot"/>
            </w:tabs>
            <w:rPr/>
          </w:pPr>
          <w:hyperlink w:anchor="__RefHeading___Toc6451884_3224264995">
            <w:r>
              <w:rPr>
                <w:webHidden/>
                <w:rStyle w:val="IndexLink"/>
                <w:rtl w:val="true"/>
              </w:rPr>
              <w:t>[</w:t>
            </w:r>
            <w:r>
              <w:rPr>
                <w:rStyle w:val="IndexLink"/>
                <w:rtl w:val="true"/>
              </w:rPr>
              <w:t>غسل الجمعة</w:t>
            </w:r>
            <w:r>
              <w:rPr>
                <w:rStyle w:val="IndexLink"/>
                <w:rtl w:val="true"/>
              </w:rPr>
              <w:t>]</w:t>
              <w:tab/>
            </w:r>
            <w:r>
              <w:rPr>
                <w:rStyle w:val="IndexLink"/>
              </w:rPr>
              <w:t>10</w:t>
            </w:r>
          </w:hyperlink>
        </w:p>
        <w:p>
          <w:pPr>
            <w:pStyle w:val="Contents6"/>
            <w:tabs>
              <w:tab w:val="clear" w:pos="7609"/>
              <w:tab w:val="right" w:pos="9026" w:leader="dot"/>
            </w:tabs>
            <w:rPr/>
          </w:pPr>
          <w:hyperlink w:anchor="__RefHeading___Toc6451886_3224264995">
            <w:r>
              <w:rPr>
                <w:webHidden/>
                <w:rStyle w:val="IndexLink"/>
                <w:rtl w:val="true"/>
              </w:rPr>
              <w:t>[</w:t>
            </w:r>
            <w:r>
              <w:rPr>
                <w:rStyle w:val="IndexLink"/>
                <w:rtl w:val="true"/>
              </w:rPr>
              <w:t>غسل أوّل لیلة من شهر رمضان</w:t>
            </w:r>
            <w:r>
              <w:rPr>
                <w:rStyle w:val="IndexLink"/>
                <w:rtl w:val="true"/>
              </w:rPr>
              <w:t>]</w:t>
              <w:tab/>
            </w:r>
            <w:r>
              <w:rPr>
                <w:rStyle w:val="IndexLink"/>
              </w:rPr>
              <w:t>32</w:t>
            </w:r>
          </w:hyperlink>
        </w:p>
        <w:p>
          <w:pPr>
            <w:pStyle w:val="Contents6"/>
            <w:tabs>
              <w:tab w:val="clear" w:pos="7609"/>
              <w:tab w:val="right" w:pos="9026" w:leader="dot"/>
            </w:tabs>
            <w:rPr/>
          </w:pPr>
          <w:hyperlink w:anchor="__RefHeading___Toc6451888_3224264995">
            <w:r>
              <w:rPr>
                <w:webHidden/>
                <w:rStyle w:val="IndexLink"/>
                <w:rtl w:val="true"/>
              </w:rPr>
              <w:t>[</w:t>
            </w:r>
            <w:r>
              <w:rPr>
                <w:rStyle w:val="IndexLink"/>
                <w:rtl w:val="true"/>
              </w:rPr>
              <w:t>غسل لیلة النصف من شهر رمضان</w:t>
            </w:r>
            <w:r>
              <w:rPr>
                <w:rStyle w:val="IndexLink"/>
                <w:rtl w:val="true"/>
              </w:rPr>
              <w:t>]</w:t>
              <w:tab/>
            </w:r>
            <w:r>
              <w:rPr>
                <w:rStyle w:val="IndexLink"/>
              </w:rPr>
              <w:t>35</w:t>
            </w:r>
          </w:hyperlink>
        </w:p>
        <w:p>
          <w:pPr>
            <w:pStyle w:val="Contents6"/>
            <w:tabs>
              <w:tab w:val="clear" w:pos="7609"/>
              <w:tab w:val="right" w:pos="9026" w:leader="dot"/>
            </w:tabs>
            <w:rPr/>
          </w:pPr>
          <w:hyperlink w:anchor="__RefHeading___Toc6451890_3224264995">
            <w:r>
              <w:rPr>
                <w:webHidden/>
                <w:rStyle w:val="IndexLink"/>
                <w:rtl w:val="true"/>
              </w:rPr>
              <w:t>[</w:t>
            </w:r>
            <w:r>
              <w:rPr>
                <w:rStyle w:val="IndexLink"/>
                <w:rtl w:val="true"/>
              </w:rPr>
              <w:t>غسل لیلة السابعة عشر و لیالی قدر</w:t>
            </w:r>
            <w:r>
              <w:rPr>
                <w:rStyle w:val="IndexLink"/>
                <w:rtl w:val="true"/>
              </w:rPr>
              <w:t>]</w:t>
              <w:tab/>
            </w:r>
            <w:r>
              <w:rPr>
                <w:rStyle w:val="IndexLink"/>
              </w:rPr>
              <w:t>36</w:t>
            </w:r>
          </w:hyperlink>
        </w:p>
        <w:p>
          <w:pPr>
            <w:pStyle w:val="Contents6"/>
            <w:tabs>
              <w:tab w:val="clear" w:pos="7609"/>
              <w:tab w:val="right" w:pos="9026" w:leader="dot"/>
            </w:tabs>
            <w:rPr/>
          </w:pPr>
          <w:hyperlink w:anchor="__RefHeading___Toc6451892_3224264995">
            <w:r>
              <w:rPr>
                <w:webHidden/>
                <w:rStyle w:val="IndexLink"/>
                <w:rtl w:val="true"/>
              </w:rPr>
              <w:t>[</w:t>
            </w:r>
            <w:r>
              <w:rPr>
                <w:rStyle w:val="IndexLink"/>
                <w:rtl w:val="true"/>
              </w:rPr>
              <w:t>غسل لیلة الفطر</w:t>
            </w:r>
            <w:r>
              <w:rPr>
                <w:rStyle w:val="IndexLink"/>
                <w:rtl w:val="true"/>
              </w:rPr>
              <w:t>]</w:t>
              <w:tab/>
            </w:r>
            <w:r>
              <w:rPr>
                <w:rStyle w:val="IndexLink"/>
              </w:rPr>
              <w:t>39</w:t>
            </w:r>
          </w:hyperlink>
        </w:p>
        <w:p>
          <w:pPr>
            <w:pStyle w:val="Contents6"/>
            <w:tabs>
              <w:tab w:val="clear" w:pos="7609"/>
              <w:tab w:val="right" w:pos="9026" w:leader="dot"/>
            </w:tabs>
            <w:rPr/>
          </w:pPr>
          <w:hyperlink w:anchor="__RefHeading___Toc6451894_3224264995">
            <w:r>
              <w:rPr>
                <w:webHidden/>
                <w:rStyle w:val="IndexLink"/>
                <w:rtl w:val="true"/>
              </w:rPr>
              <w:t>[</w:t>
            </w:r>
            <w:r>
              <w:rPr>
                <w:rStyle w:val="IndexLink"/>
                <w:rtl w:val="true"/>
              </w:rPr>
              <w:t>غسل یوم العیدین</w:t>
            </w:r>
            <w:r>
              <w:rPr>
                <w:rStyle w:val="IndexLink"/>
                <w:rtl w:val="true"/>
              </w:rPr>
              <w:t>]</w:t>
              <w:tab/>
            </w:r>
            <w:r>
              <w:rPr>
                <w:rStyle w:val="IndexLink"/>
              </w:rPr>
              <w:t>39</w:t>
            </w:r>
          </w:hyperlink>
        </w:p>
        <w:p>
          <w:pPr>
            <w:pStyle w:val="Contents6"/>
            <w:tabs>
              <w:tab w:val="clear" w:pos="7609"/>
              <w:tab w:val="right" w:pos="9026" w:leader="dot"/>
            </w:tabs>
            <w:rPr/>
          </w:pPr>
          <w:hyperlink w:anchor="__RefHeading___Toc6451896_3224264995">
            <w:r>
              <w:rPr>
                <w:webHidden/>
                <w:rStyle w:val="IndexLink"/>
                <w:rtl w:val="true"/>
              </w:rPr>
              <w:t>[</w:t>
            </w:r>
            <w:r>
              <w:rPr>
                <w:rStyle w:val="IndexLink"/>
                <w:rtl w:val="true"/>
              </w:rPr>
              <w:t>غسل لیلة النصف من شعبان</w:t>
            </w:r>
            <w:r>
              <w:rPr>
                <w:rStyle w:val="IndexLink"/>
                <w:rtl w:val="true"/>
              </w:rPr>
              <w:t>]</w:t>
              <w:tab/>
            </w:r>
            <w:r>
              <w:rPr>
                <w:rStyle w:val="IndexLink"/>
              </w:rPr>
              <w:t>44</w:t>
            </w:r>
          </w:hyperlink>
        </w:p>
        <w:p>
          <w:pPr>
            <w:pStyle w:val="Contents6"/>
            <w:tabs>
              <w:tab w:val="clear" w:pos="7609"/>
              <w:tab w:val="right" w:pos="9026" w:leader="dot"/>
            </w:tabs>
            <w:rPr/>
          </w:pPr>
          <w:hyperlink w:anchor="__RefHeading___Toc6451898_3224264995">
            <w:r>
              <w:rPr>
                <w:webHidden/>
                <w:rStyle w:val="IndexLink"/>
                <w:rtl w:val="true"/>
              </w:rPr>
              <w:t>[</w:t>
            </w:r>
            <w:r>
              <w:rPr>
                <w:rStyle w:val="IndexLink"/>
                <w:rtl w:val="true"/>
              </w:rPr>
              <w:t>غسل یوم المبعث</w:t>
            </w:r>
            <w:r>
              <w:rPr>
                <w:rStyle w:val="IndexLink"/>
                <w:rtl w:val="true"/>
              </w:rPr>
              <w:t>]</w:t>
              <w:tab/>
            </w:r>
            <w:r>
              <w:rPr>
                <w:rStyle w:val="IndexLink"/>
              </w:rPr>
              <w:t>45</w:t>
            </w:r>
          </w:hyperlink>
        </w:p>
        <w:p>
          <w:pPr>
            <w:pStyle w:val="Contents6"/>
            <w:tabs>
              <w:tab w:val="clear" w:pos="7609"/>
              <w:tab w:val="right" w:pos="9026" w:leader="dot"/>
            </w:tabs>
            <w:rPr/>
          </w:pPr>
          <w:hyperlink w:anchor="__RefHeading___Toc6451900_3224264995">
            <w:r>
              <w:rPr>
                <w:webHidden/>
                <w:rStyle w:val="IndexLink"/>
                <w:rtl w:val="true"/>
              </w:rPr>
              <w:t>[</w:t>
            </w:r>
            <w:r>
              <w:rPr>
                <w:rStyle w:val="IndexLink"/>
                <w:rtl w:val="true"/>
              </w:rPr>
              <w:t>غسل یوم الغدیر</w:t>
            </w:r>
            <w:r>
              <w:rPr>
                <w:rStyle w:val="IndexLink"/>
                <w:rtl w:val="true"/>
              </w:rPr>
              <w:t>]</w:t>
              <w:tab/>
            </w:r>
            <w:r>
              <w:rPr>
                <w:rStyle w:val="IndexLink"/>
              </w:rPr>
              <w:t>46</w:t>
            </w:r>
          </w:hyperlink>
        </w:p>
        <w:p>
          <w:pPr>
            <w:pStyle w:val="Contents6"/>
            <w:tabs>
              <w:tab w:val="clear" w:pos="7609"/>
              <w:tab w:val="right" w:pos="9026" w:leader="dot"/>
            </w:tabs>
            <w:rPr/>
          </w:pPr>
          <w:hyperlink w:anchor="__RefHeading___Toc6451902_3224264995">
            <w:r>
              <w:rPr>
                <w:webHidden/>
                <w:rStyle w:val="IndexLink"/>
                <w:rtl w:val="true"/>
              </w:rPr>
              <w:t>[</w:t>
            </w:r>
            <w:r>
              <w:rPr>
                <w:rStyle w:val="IndexLink"/>
                <w:rtl w:val="true"/>
              </w:rPr>
              <w:t>غسل یوم المباهلة</w:t>
            </w:r>
            <w:r>
              <w:rPr>
                <w:rStyle w:val="IndexLink"/>
                <w:rtl w:val="true"/>
              </w:rPr>
              <w:t>]</w:t>
              <w:tab/>
            </w:r>
            <w:r>
              <w:rPr>
                <w:rStyle w:val="IndexLink"/>
              </w:rPr>
              <w:t>47</w:t>
            </w:r>
          </w:hyperlink>
        </w:p>
        <w:p>
          <w:pPr>
            <w:pStyle w:val="Contents6"/>
            <w:tabs>
              <w:tab w:val="clear" w:pos="7609"/>
              <w:tab w:val="right" w:pos="9026" w:leader="dot"/>
            </w:tabs>
            <w:rPr/>
          </w:pPr>
          <w:hyperlink w:anchor="__RefHeading___Toc6451904_3224264995">
            <w:r>
              <w:rPr>
                <w:webHidden/>
                <w:rStyle w:val="IndexLink"/>
                <w:rtl w:val="true"/>
              </w:rPr>
              <w:t>[</w:t>
            </w:r>
            <w:r>
              <w:rPr>
                <w:rStyle w:val="IndexLink"/>
                <w:rtl w:val="true"/>
              </w:rPr>
              <w:t>غسل یوم عرفة</w:t>
            </w:r>
            <w:r>
              <w:rPr>
                <w:rStyle w:val="IndexLink"/>
                <w:rtl w:val="true"/>
              </w:rPr>
              <w:t>]</w:t>
              <w:tab/>
            </w:r>
            <w:r>
              <w:rPr>
                <w:rStyle w:val="IndexLink"/>
              </w:rPr>
              <w:t>50</w:t>
            </w:r>
          </w:hyperlink>
        </w:p>
        <w:p>
          <w:pPr>
            <w:pStyle w:val="Contents6"/>
            <w:tabs>
              <w:tab w:val="clear" w:pos="7609"/>
              <w:tab w:val="right" w:pos="9026" w:leader="dot"/>
            </w:tabs>
            <w:rPr/>
          </w:pPr>
          <w:hyperlink w:anchor="__RefHeading___Toc6451906_3224264995">
            <w:r>
              <w:rPr>
                <w:webHidden/>
                <w:rStyle w:val="IndexLink"/>
                <w:rtl w:val="true"/>
              </w:rPr>
              <w:t>[</w:t>
            </w:r>
            <w:r>
              <w:rPr>
                <w:rStyle w:val="IndexLink"/>
                <w:rtl w:val="true"/>
              </w:rPr>
              <w:t>الأغسال الغیر الزمانیة</w:t>
            </w:r>
            <w:r>
              <w:rPr>
                <w:rStyle w:val="IndexLink"/>
                <w:rtl w:val="true"/>
              </w:rPr>
              <w:t>]</w:t>
              <w:tab/>
            </w:r>
            <w:r>
              <w:rPr>
                <w:rStyle w:val="IndexLink"/>
              </w:rPr>
              <w:t>60</w:t>
            </w:r>
          </w:hyperlink>
        </w:p>
        <w:p>
          <w:pPr>
            <w:pStyle w:val="Contents6"/>
            <w:tabs>
              <w:tab w:val="clear" w:pos="7609"/>
              <w:tab w:val="right" w:pos="9026" w:leader="dot"/>
            </w:tabs>
            <w:rPr/>
          </w:pPr>
          <w:hyperlink w:anchor="__RefHeading___Toc6451908_3224264995">
            <w:r>
              <w:rPr>
                <w:webHidden/>
                <w:rStyle w:val="IndexLink"/>
                <w:rtl w:val="true"/>
              </w:rPr>
              <w:t>[</w:t>
            </w:r>
            <w:r>
              <w:rPr>
                <w:rStyle w:val="IndexLink"/>
                <w:rtl w:val="true"/>
              </w:rPr>
              <w:t>غسل الإحرام</w:t>
            </w:r>
            <w:r>
              <w:rPr>
                <w:rStyle w:val="IndexLink"/>
                <w:rtl w:val="true"/>
              </w:rPr>
              <w:t>]</w:t>
              <w:tab/>
            </w:r>
            <w:r>
              <w:rPr>
                <w:rStyle w:val="IndexLink"/>
              </w:rPr>
              <w:t>60</w:t>
            </w:r>
          </w:hyperlink>
        </w:p>
        <w:p>
          <w:pPr>
            <w:pStyle w:val="Contents6"/>
            <w:tabs>
              <w:tab w:val="clear" w:pos="7609"/>
              <w:tab w:val="right" w:pos="9026" w:leader="dot"/>
            </w:tabs>
            <w:rPr/>
          </w:pPr>
          <w:hyperlink w:anchor="__RefHeading___Toc6451910_3224264995">
            <w:r>
              <w:rPr>
                <w:webHidden/>
                <w:rStyle w:val="IndexLink"/>
                <w:rtl w:val="true"/>
              </w:rPr>
              <w:t>[</w:t>
            </w:r>
            <w:r>
              <w:rPr>
                <w:rStyle w:val="IndexLink"/>
                <w:rtl w:val="true"/>
              </w:rPr>
              <w:t>غسل الطواف</w:t>
            </w:r>
            <w:r>
              <w:rPr>
                <w:rStyle w:val="IndexLink"/>
                <w:rtl w:val="true"/>
              </w:rPr>
              <w:t>]</w:t>
              <w:tab/>
            </w:r>
            <w:r>
              <w:rPr>
                <w:rStyle w:val="IndexLink"/>
              </w:rPr>
              <w:t>62</w:t>
            </w:r>
          </w:hyperlink>
        </w:p>
        <w:p>
          <w:pPr>
            <w:pStyle w:val="Contents6"/>
            <w:tabs>
              <w:tab w:val="clear" w:pos="7609"/>
              <w:tab w:val="right" w:pos="9026" w:leader="dot"/>
            </w:tabs>
            <w:rPr/>
          </w:pPr>
          <w:hyperlink w:anchor="__RefHeading___Toc6451912_3224264995">
            <w:r>
              <w:rPr>
                <w:webHidden/>
                <w:rStyle w:val="IndexLink"/>
                <w:rtl w:val="true"/>
              </w:rPr>
              <w:t>[</w:t>
            </w:r>
            <w:r>
              <w:rPr>
                <w:rStyle w:val="IndexLink"/>
                <w:rtl w:val="true"/>
              </w:rPr>
              <w:t>غسل زیارة النبیّ و الأئمة صلوات اللّٰه علیهم أجمعین</w:t>
            </w:r>
            <w:r>
              <w:rPr>
                <w:rStyle w:val="IndexLink"/>
                <w:rtl w:val="true"/>
              </w:rPr>
              <w:t>]</w:t>
              <w:tab/>
            </w:r>
            <w:r>
              <w:rPr>
                <w:rStyle w:val="IndexLink"/>
              </w:rPr>
              <w:t>63</w:t>
            </w:r>
          </w:hyperlink>
        </w:p>
        <w:p>
          <w:pPr>
            <w:pStyle w:val="Contents6"/>
            <w:tabs>
              <w:tab w:val="clear" w:pos="7609"/>
              <w:tab w:val="right" w:pos="9026" w:leader="dot"/>
            </w:tabs>
            <w:rPr/>
          </w:pPr>
          <w:hyperlink w:anchor="__RefHeading___Toc6451914_3224264995">
            <w:r>
              <w:rPr>
                <w:webHidden/>
                <w:rStyle w:val="IndexLink"/>
                <w:rtl w:val="true"/>
              </w:rPr>
              <w:t>[</w:t>
            </w:r>
            <w:r>
              <w:rPr>
                <w:rStyle w:val="IndexLink"/>
                <w:rtl w:val="true"/>
              </w:rPr>
              <w:t>غسل قضاء صلاة الکسوف</w:t>
            </w:r>
            <w:r>
              <w:rPr>
                <w:rStyle w:val="IndexLink"/>
                <w:rtl w:val="true"/>
              </w:rPr>
              <w:t>]</w:t>
              <w:tab/>
            </w:r>
            <w:r>
              <w:rPr>
                <w:rStyle w:val="IndexLink"/>
              </w:rPr>
              <w:t>66</w:t>
            </w:r>
          </w:hyperlink>
        </w:p>
        <w:p>
          <w:pPr>
            <w:pStyle w:val="Contents6"/>
            <w:tabs>
              <w:tab w:val="clear" w:pos="7609"/>
              <w:tab w:val="right" w:pos="9026" w:leader="dot"/>
            </w:tabs>
            <w:rPr/>
          </w:pPr>
          <w:hyperlink w:anchor="__RefHeading___Toc6451916_3224264995">
            <w:r>
              <w:rPr>
                <w:webHidden/>
                <w:rStyle w:val="IndexLink"/>
                <w:rtl w:val="true"/>
              </w:rPr>
              <w:t>[</w:t>
            </w:r>
            <w:r>
              <w:rPr>
                <w:rStyle w:val="IndexLink"/>
                <w:rtl w:val="true"/>
              </w:rPr>
              <w:t>غسل المولود</w:t>
            </w:r>
            <w:r>
              <w:rPr>
                <w:rStyle w:val="IndexLink"/>
                <w:rtl w:val="true"/>
              </w:rPr>
              <w:t>]</w:t>
              <w:tab/>
            </w:r>
            <w:r>
              <w:rPr>
                <w:rStyle w:val="IndexLink"/>
              </w:rPr>
              <w:t>70</w:t>
            </w:r>
          </w:hyperlink>
        </w:p>
        <w:p>
          <w:pPr>
            <w:pStyle w:val="Contents6"/>
            <w:tabs>
              <w:tab w:val="clear" w:pos="7609"/>
              <w:tab w:val="right" w:pos="9026" w:leader="dot"/>
            </w:tabs>
            <w:rPr/>
          </w:pPr>
          <w:hyperlink w:anchor="__RefHeading___Toc6451918_3224264995">
            <w:r>
              <w:rPr>
                <w:webHidden/>
                <w:rStyle w:val="IndexLink"/>
                <w:rtl w:val="true"/>
              </w:rPr>
              <w:t>[</w:t>
            </w:r>
            <w:r>
              <w:rPr>
                <w:rStyle w:val="IndexLink"/>
                <w:rtl w:val="true"/>
              </w:rPr>
              <w:t>الغسل للسعی إلی رؤیة المصلوب بعد ثلاثة أیّام من حین صلبه</w:t>
            </w:r>
            <w:r>
              <w:rPr>
                <w:rStyle w:val="IndexLink"/>
                <w:rtl w:val="true"/>
              </w:rPr>
              <w:t>]</w:t>
              <w:tab/>
            </w:r>
            <w:r>
              <w:rPr>
                <w:rStyle w:val="IndexLink"/>
              </w:rPr>
              <w:t>72</w:t>
            </w:r>
          </w:hyperlink>
        </w:p>
        <w:p>
          <w:pPr>
            <w:pStyle w:val="Contents6"/>
            <w:tabs>
              <w:tab w:val="clear" w:pos="7609"/>
              <w:tab w:val="right" w:pos="9026" w:leader="dot"/>
            </w:tabs>
            <w:rPr/>
          </w:pPr>
          <w:hyperlink w:anchor="__RefHeading___Toc6451920_3224264995">
            <w:r>
              <w:rPr>
                <w:webHidden/>
                <w:rStyle w:val="IndexLink"/>
                <w:rtl w:val="true"/>
              </w:rPr>
              <w:t>[</w:t>
            </w:r>
            <w:r>
              <w:rPr>
                <w:rStyle w:val="IndexLink"/>
                <w:rtl w:val="true"/>
              </w:rPr>
              <w:t>الغسل للتوبة</w:t>
            </w:r>
            <w:r>
              <w:rPr>
                <w:rStyle w:val="IndexLink"/>
                <w:rtl w:val="true"/>
              </w:rPr>
              <w:t>]</w:t>
              <w:tab/>
            </w:r>
            <w:r>
              <w:rPr>
                <w:rStyle w:val="IndexLink"/>
              </w:rPr>
              <w:t>74</w:t>
            </w:r>
          </w:hyperlink>
        </w:p>
        <w:p>
          <w:pPr>
            <w:pStyle w:val="Contents6"/>
            <w:tabs>
              <w:tab w:val="clear" w:pos="7609"/>
              <w:tab w:val="right" w:pos="9026" w:leader="dot"/>
            </w:tabs>
            <w:rPr/>
          </w:pPr>
          <w:hyperlink w:anchor="__RefHeading___Toc6451922_3224264995">
            <w:r>
              <w:rPr>
                <w:webHidden/>
                <w:rStyle w:val="IndexLink"/>
                <w:rtl w:val="true"/>
              </w:rPr>
              <w:t>[</w:t>
            </w:r>
            <w:r>
              <w:rPr>
                <w:rStyle w:val="IndexLink"/>
                <w:rtl w:val="true"/>
              </w:rPr>
              <w:t>الغسل لصلاة الحاجة و الاستخارة</w:t>
            </w:r>
            <w:r>
              <w:rPr>
                <w:rStyle w:val="IndexLink"/>
                <w:rtl w:val="true"/>
              </w:rPr>
              <w:t>]</w:t>
              <w:tab/>
            </w:r>
            <w:r>
              <w:rPr>
                <w:rStyle w:val="IndexLink"/>
              </w:rPr>
              <w:t>76</w:t>
            </w:r>
          </w:hyperlink>
        </w:p>
        <w:p>
          <w:pPr>
            <w:pStyle w:val="Contents6"/>
            <w:tabs>
              <w:tab w:val="clear" w:pos="7609"/>
              <w:tab w:val="right" w:pos="9026" w:leader="dot"/>
            </w:tabs>
            <w:rPr/>
          </w:pPr>
          <w:hyperlink w:anchor="__RefHeading___Toc6451924_3224264995">
            <w:r>
              <w:rPr>
                <w:webHidden/>
                <w:rStyle w:val="IndexLink"/>
                <w:rtl w:val="true"/>
              </w:rPr>
              <w:t>[</w:t>
            </w:r>
            <w:r>
              <w:rPr>
                <w:rStyle w:val="IndexLink"/>
                <w:rtl w:val="true"/>
              </w:rPr>
              <w:t>غسل دخول الحرم</w:t>
            </w:r>
            <w:r>
              <w:rPr>
                <w:rStyle w:val="IndexLink"/>
                <w:rtl w:val="true"/>
              </w:rPr>
              <w:t>]</w:t>
              <w:tab/>
            </w:r>
            <w:r>
              <w:rPr>
                <w:rStyle w:val="IndexLink"/>
              </w:rPr>
              <w:t>78</w:t>
            </w:r>
          </w:hyperlink>
        </w:p>
        <w:p>
          <w:pPr>
            <w:pStyle w:val="Contents6"/>
            <w:tabs>
              <w:tab w:val="clear" w:pos="7609"/>
              <w:tab w:val="right" w:pos="9026" w:leader="dot"/>
            </w:tabs>
            <w:rPr/>
          </w:pPr>
          <w:hyperlink w:anchor="__RefHeading___Toc6451926_3224264995">
            <w:r>
              <w:rPr>
                <w:webHidden/>
                <w:rStyle w:val="IndexLink"/>
                <w:rtl w:val="true"/>
              </w:rPr>
              <w:t>[</w:t>
            </w:r>
            <w:r>
              <w:rPr>
                <w:rStyle w:val="IndexLink"/>
                <w:rtl w:val="true"/>
              </w:rPr>
              <w:t>غسل دخول مکّة</w:t>
            </w:r>
            <w:r>
              <w:rPr>
                <w:rStyle w:val="IndexLink"/>
                <w:rtl w:val="true"/>
              </w:rPr>
              <w:t>]</w:t>
              <w:tab/>
            </w:r>
            <w:r>
              <w:rPr>
                <w:rStyle w:val="IndexLink"/>
              </w:rPr>
              <w:t>78</w:t>
            </w:r>
          </w:hyperlink>
        </w:p>
        <w:p>
          <w:pPr>
            <w:pStyle w:val="Contents6"/>
            <w:tabs>
              <w:tab w:val="clear" w:pos="7609"/>
              <w:tab w:val="right" w:pos="9026" w:leader="dot"/>
            </w:tabs>
            <w:rPr/>
          </w:pPr>
          <w:hyperlink w:anchor="__RefHeading___Toc6451928_3224264995">
            <w:r>
              <w:rPr>
                <w:webHidden/>
                <w:rStyle w:val="IndexLink"/>
                <w:rtl w:val="true"/>
              </w:rPr>
              <w:t>[</w:t>
            </w:r>
            <w:r>
              <w:rPr>
                <w:rStyle w:val="IndexLink"/>
                <w:rtl w:val="true"/>
              </w:rPr>
              <w:t>غسل دخول الکعبة</w:t>
            </w:r>
            <w:r>
              <w:rPr>
                <w:rStyle w:val="IndexLink"/>
                <w:rtl w:val="true"/>
              </w:rPr>
              <w:t>]</w:t>
              <w:tab/>
            </w:r>
            <w:r>
              <w:rPr>
                <w:rStyle w:val="IndexLink"/>
              </w:rPr>
              <w:t>79</w:t>
            </w:r>
          </w:hyperlink>
        </w:p>
        <w:p>
          <w:pPr>
            <w:pStyle w:val="Contents6"/>
            <w:tabs>
              <w:tab w:val="clear" w:pos="7609"/>
              <w:tab w:val="right" w:pos="9026" w:leader="dot"/>
            </w:tabs>
            <w:rPr/>
          </w:pPr>
          <w:hyperlink w:anchor="__RefHeading___Toc6451930_3224264995">
            <w:r>
              <w:rPr>
                <w:webHidden/>
                <w:rStyle w:val="IndexLink"/>
                <w:rtl w:val="true"/>
              </w:rPr>
              <w:t>[</w:t>
            </w:r>
            <w:r>
              <w:rPr>
                <w:rStyle w:val="IndexLink"/>
                <w:rtl w:val="true"/>
              </w:rPr>
              <w:t>غسل دخول المدینة</w:t>
            </w:r>
            <w:r>
              <w:rPr>
                <w:rStyle w:val="IndexLink"/>
                <w:rtl w:val="true"/>
              </w:rPr>
              <w:t>]</w:t>
              <w:tab/>
            </w:r>
            <w:r>
              <w:rPr>
                <w:rStyle w:val="IndexLink"/>
              </w:rPr>
              <w:t>79</w:t>
            </w:r>
          </w:hyperlink>
        </w:p>
        <w:p>
          <w:pPr>
            <w:pStyle w:val="Contents6"/>
            <w:tabs>
              <w:tab w:val="clear" w:pos="7609"/>
              <w:tab w:val="right" w:pos="9026" w:leader="dot"/>
            </w:tabs>
            <w:rPr/>
          </w:pPr>
          <w:hyperlink w:anchor="__RefHeading___Toc6451932_3224264995">
            <w:r>
              <w:rPr>
                <w:webHidden/>
                <w:rStyle w:val="IndexLink"/>
                <w:rtl w:val="true"/>
              </w:rPr>
              <w:t>[</w:t>
            </w:r>
            <w:r>
              <w:rPr>
                <w:rStyle w:val="IndexLink"/>
                <w:rtl w:val="true"/>
              </w:rPr>
              <w:t>غسل دخول مسجد النبیّ صلّی اللّٰه علیه و آله</w:t>
            </w:r>
            <w:r>
              <w:rPr>
                <w:rStyle w:val="IndexLink"/>
                <w:rtl w:val="true"/>
              </w:rPr>
              <w:t>]</w:t>
              <w:tab/>
            </w:r>
            <w:r>
              <w:rPr>
                <w:rStyle w:val="IndexLink"/>
              </w:rPr>
              <w:t>79</w:t>
            </w:r>
          </w:hyperlink>
        </w:p>
        <w:p>
          <w:pPr>
            <w:pStyle w:val="Contents6"/>
            <w:tabs>
              <w:tab w:val="clear" w:pos="7609"/>
              <w:tab w:val="right" w:pos="9026" w:leader="dot"/>
            </w:tabs>
            <w:rPr/>
          </w:pPr>
          <w:hyperlink w:anchor="__RefHeading___Toc6451934_3224264995">
            <w:r>
              <w:rPr>
                <w:webHidden/>
                <w:rStyle w:val="IndexLink"/>
                <w:rtl w:val="true"/>
              </w:rPr>
              <w:t>ثمّ إنّه قد بقی هنا أغسال لم یذکرها المصنّف قدّس سرّه</w:t>
            </w:r>
            <w:r>
              <w:rPr>
                <w:rStyle w:val="IndexLink"/>
                <w:rtl w:val="true"/>
              </w:rPr>
              <w:t>:</w:t>
              <w:tab/>
            </w:r>
            <w:r>
              <w:rPr>
                <w:rStyle w:val="IndexLink"/>
              </w:rPr>
              <w:t>79</w:t>
            </w:r>
          </w:hyperlink>
        </w:p>
        <w:p>
          <w:pPr>
            <w:pStyle w:val="Contents3"/>
            <w:tabs>
              <w:tab w:val="clear" w:pos="8459"/>
              <w:tab w:val="right" w:pos="9026" w:leader="dot"/>
            </w:tabs>
            <w:rPr/>
          </w:pPr>
          <w:hyperlink w:anchor="__RefHeading___Toc6451936_3224264995">
            <w:r>
              <w:rPr>
                <w:webHidden/>
                <w:rStyle w:val="IndexLink"/>
                <w:rtl w:val="true"/>
              </w:rPr>
              <w:t>[</w:t>
            </w:r>
            <w:r>
              <w:rPr>
                <w:rStyle w:val="IndexLink"/>
                <w:rtl w:val="true"/>
              </w:rPr>
              <w:t>النظر الثانی فی أسباب الوضوء و کیفیّته</w:t>
            </w:r>
            <w:r>
              <w:rPr>
                <w:rStyle w:val="IndexLink"/>
                <w:rtl w:val="true"/>
              </w:rPr>
              <w:t>]</w:t>
              <w:tab/>
            </w:r>
            <w:r>
              <w:rPr>
                <w:rStyle w:val="IndexLink"/>
              </w:rPr>
              <w:t>104</w:t>
            </w:r>
          </w:hyperlink>
        </w:p>
        <w:p>
          <w:pPr>
            <w:pStyle w:val="Contents3"/>
            <w:tabs>
              <w:tab w:val="clear" w:pos="8459"/>
              <w:tab w:val="right" w:pos="9026" w:leader="dot"/>
            </w:tabs>
            <w:rPr/>
          </w:pPr>
          <w:hyperlink w:anchor="__RefHeading___Toc6451938_3224264995">
            <w:r>
              <w:rPr>
                <w:webHidden/>
                <w:rStyle w:val="IndexLink"/>
                <w:rtl w:val="true"/>
              </w:rPr>
              <w:t>[</w:t>
            </w:r>
            <w:r>
              <w:rPr>
                <w:rStyle w:val="IndexLink"/>
                <w:rtl w:val="true"/>
              </w:rPr>
              <w:t>النظر الثالث فی أسباب الغسل</w:t>
            </w:r>
            <w:r>
              <w:rPr>
                <w:rStyle w:val="IndexLink"/>
                <w:rtl w:val="true"/>
              </w:rPr>
              <w:t>]</w:t>
              <w:tab/>
            </w:r>
            <w:r>
              <w:rPr>
                <w:rStyle w:val="IndexLink"/>
              </w:rPr>
              <w:t>109</w:t>
            </w:r>
          </w:hyperlink>
        </w:p>
        <w:p>
          <w:pPr>
            <w:pStyle w:val="Contents4"/>
            <w:tabs>
              <w:tab w:val="clear" w:pos="8176"/>
              <w:tab w:val="right" w:pos="9026" w:leader="dot"/>
            </w:tabs>
            <w:rPr/>
          </w:pPr>
          <w:hyperlink w:anchor="__RefHeading___Toc6451940_322426499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6451942_3224264995">
            <w:r>
              <w:rPr>
                <w:webHidden/>
                <w:rStyle w:val="IndexLink"/>
                <w:rtl w:val="true"/>
              </w:rPr>
              <w:t>[</w:t>
            </w:r>
            <w:r>
              <w:rPr>
                <w:rStyle w:val="IndexLink"/>
                <w:rtl w:val="true"/>
              </w:rPr>
              <w:t>المقصد الأوّل فی الجنابة</w:t>
            </w:r>
            <w:r>
              <w:rPr>
                <w:rStyle w:val="IndexLink"/>
                <w:rtl w:val="true"/>
              </w:rPr>
              <w:t>]</w:t>
              <w:tab/>
            </w:r>
            <w:r>
              <w:rPr>
                <w:rStyle w:val="IndexLink"/>
              </w:rPr>
              <w:t>110</w:t>
            </w:r>
          </w:hyperlink>
        </w:p>
        <w:p>
          <w:pPr>
            <w:pStyle w:val="Contents4"/>
            <w:tabs>
              <w:tab w:val="clear" w:pos="8176"/>
              <w:tab w:val="right" w:pos="9026" w:leader="dot"/>
            </w:tabs>
            <w:rPr/>
          </w:pPr>
          <w:hyperlink w:anchor="__RefHeading___Toc6451944_3224264995">
            <w:r>
              <w:rPr>
                <w:webHidden/>
                <w:rStyle w:val="IndexLink"/>
                <w:rtl w:val="true"/>
              </w:rPr>
              <w:t>[</w:t>
            </w:r>
            <w:r>
              <w:rPr>
                <w:rStyle w:val="IndexLink"/>
                <w:rtl w:val="true"/>
              </w:rPr>
              <w:t>المقصد الثانی فی الحیض</w:t>
            </w:r>
            <w:r>
              <w:rPr>
                <w:rStyle w:val="IndexLink"/>
                <w:rtl w:val="true"/>
              </w:rPr>
              <w:t>]</w:t>
              <w:tab/>
            </w:r>
            <w:r>
              <w:rPr>
                <w:rStyle w:val="IndexLink"/>
              </w:rPr>
              <w:t>112</w:t>
            </w:r>
          </w:hyperlink>
        </w:p>
        <w:p>
          <w:pPr>
            <w:pStyle w:val="Contents5"/>
            <w:tabs>
              <w:tab w:val="clear" w:pos="7892"/>
              <w:tab w:val="right" w:pos="9026" w:leader="dot"/>
            </w:tabs>
            <w:rPr/>
          </w:pPr>
          <w:hyperlink w:anchor="__RefHeading___Toc6451946_322426499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6451948_3224264995">
            <w:r>
              <w:rPr>
                <w:webHidden/>
                <w:rStyle w:val="IndexLink"/>
                <w:rtl w:val="true"/>
              </w:rPr>
              <w:t>[</w:t>
            </w:r>
            <w:r>
              <w:rPr>
                <w:rStyle w:val="IndexLink"/>
                <w:rtl w:val="true"/>
              </w:rPr>
              <w:t>أحکام الحیض</w:t>
            </w:r>
            <w:r>
              <w:rPr>
                <w:rStyle w:val="IndexLink"/>
                <w:rtl w:val="true"/>
              </w:rPr>
              <w:t>]</w:t>
              <w:tab/>
            </w:r>
            <w:r>
              <w:rPr>
                <w:rStyle w:val="IndexLink"/>
              </w:rPr>
              <w:t>112</w:t>
            </w:r>
          </w:hyperlink>
        </w:p>
        <w:p>
          <w:pPr>
            <w:pStyle w:val="Contents6"/>
            <w:tabs>
              <w:tab w:val="clear" w:pos="7609"/>
              <w:tab w:val="right" w:pos="9026" w:leader="dot"/>
            </w:tabs>
            <w:rPr/>
          </w:pPr>
          <w:hyperlink w:anchor="__RefHeading___Toc6451950_3224264995">
            <w:r>
              <w:rPr>
                <w:webHidden/>
                <w:rStyle w:val="IndexLink"/>
                <w:rtl w:val="true"/>
              </w:rPr>
              <w:t>[</w:t>
            </w:r>
            <w:r>
              <w:rPr>
                <w:rStyle w:val="IndexLink"/>
                <w:rtl w:val="true"/>
              </w:rPr>
              <w:t>ماهیة الحیض</w:t>
            </w:r>
            <w:r>
              <w:rPr>
                <w:rStyle w:val="IndexLink"/>
                <w:rtl w:val="true"/>
              </w:rPr>
              <w:t>]</w:t>
              <w:tab/>
            </w:r>
            <w:r>
              <w:rPr>
                <w:rStyle w:val="IndexLink"/>
              </w:rPr>
              <w:t>112</w:t>
            </w:r>
          </w:hyperlink>
        </w:p>
        <w:p>
          <w:pPr>
            <w:pStyle w:val="Contents6"/>
            <w:tabs>
              <w:tab w:val="clear" w:pos="7609"/>
              <w:tab w:val="right" w:pos="9026" w:leader="dot"/>
            </w:tabs>
            <w:rPr/>
          </w:pPr>
          <w:hyperlink w:anchor="__RefHeading___Toc6451952_3224264995">
            <w:r>
              <w:rPr>
                <w:webHidden/>
                <w:rStyle w:val="IndexLink"/>
                <w:rtl w:val="true"/>
              </w:rPr>
              <w:t>[</w:t>
            </w:r>
            <w:r>
              <w:rPr>
                <w:rStyle w:val="IndexLink"/>
                <w:rtl w:val="true"/>
              </w:rPr>
              <w:t>خواص دم الحیض</w:t>
            </w:r>
            <w:r>
              <w:rPr>
                <w:rStyle w:val="IndexLink"/>
                <w:rtl w:val="true"/>
              </w:rPr>
              <w:t>]</w:t>
              <w:tab/>
            </w:r>
            <w:r>
              <w:rPr>
                <w:rStyle w:val="IndexLink"/>
              </w:rPr>
              <w:t>117</w:t>
            </w:r>
          </w:hyperlink>
        </w:p>
        <w:p>
          <w:pPr>
            <w:pStyle w:val="Contents6"/>
            <w:tabs>
              <w:tab w:val="clear" w:pos="7609"/>
              <w:tab w:val="right" w:pos="9026" w:leader="dot"/>
            </w:tabs>
            <w:rPr/>
          </w:pPr>
          <w:hyperlink w:anchor="__RefHeading___Toc6451954_3224264995">
            <w:r>
              <w:rPr>
                <w:webHidden/>
                <w:rStyle w:val="IndexLink"/>
                <w:rtl w:val="true"/>
              </w:rPr>
              <w:t>[</w:t>
            </w:r>
            <w:r>
              <w:rPr>
                <w:rStyle w:val="IndexLink"/>
                <w:rtl w:val="true"/>
              </w:rPr>
              <w:t>لو اشتبه دم الحیض بدم البکارة</w:t>
            </w:r>
            <w:r>
              <w:rPr>
                <w:rStyle w:val="IndexLink"/>
                <w:rtl w:val="true"/>
              </w:rPr>
              <w:t>]</w:t>
              <w:tab/>
            </w:r>
            <w:r>
              <w:rPr>
                <w:rStyle w:val="IndexLink"/>
              </w:rPr>
              <w:t>123</w:t>
            </w:r>
          </w:hyperlink>
        </w:p>
        <w:p>
          <w:pPr>
            <w:pStyle w:val="Contents6"/>
            <w:tabs>
              <w:tab w:val="clear" w:pos="7609"/>
              <w:tab w:val="right" w:pos="9026" w:leader="dot"/>
            </w:tabs>
            <w:rPr/>
          </w:pPr>
          <w:hyperlink w:anchor="__RefHeading___Toc6451956_3224264995">
            <w:r>
              <w:rPr>
                <w:webHidden/>
                <w:rStyle w:val="IndexLink"/>
                <w:rtl w:val="true"/>
              </w:rPr>
              <w:t>[</w:t>
            </w:r>
            <w:r>
              <w:rPr>
                <w:rStyle w:val="IndexLink"/>
                <w:rtl w:val="true"/>
              </w:rPr>
              <w:t>ما تراه الصبیّة قبل إکمال التسع</w:t>
            </w:r>
            <w:r>
              <w:rPr>
                <w:rStyle w:val="IndexLink"/>
                <w:rtl w:val="true"/>
              </w:rPr>
              <w:t>]</w:t>
              <w:tab/>
            </w:r>
            <w:r>
              <w:rPr>
                <w:rStyle w:val="IndexLink"/>
              </w:rPr>
              <w:t>132</w:t>
            </w:r>
          </w:hyperlink>
        </w:p>
        <w:p>
          <w:pPr>
            <w:pStyle w:val="Contents6"/>
            <w:tabs>
              <w:tab w:val="clear" w:pos="7609"/>
              <w:tab w:val="right" w:pos="9026" w:leader="dot"/>
            </w:tabs>
            <w:rPr/>
          </w:pPr>
          <w:hyperlink w:anchor="__RefHeading___Toc6451958_3224264995">
            <w:r>
              <w:rPr>
                <w:webHidden/>
                <w:rStyle w:val="IndexLink"/>
                <w:rtl w:val="true"/>
              </w:rPr>
              <w:t>[</w:t>
            </w:r>
            <w:r>
              <w:rPr>
                <w:rStyle w:val="IndexLink"/>
                <w:rtl w:val="true"/>
              </w:rPr>
              <w:t>لو رأت المرأة الدم بعد سنّ الیأس</w:t>
            </w:r>
            <w:r>
              <w:rPr>
                <w:rStyle w:val="IndexLink"/>
                <w:rtl w:val="true"/>
              </w:rPr>
              <w:t>]</w:t>
              <w:tab/>
            </w:r>
            <w:r>
              <w:rPr>
                <w:rStyle w:val="IndexLink"/>
              </w:rPr>
              <w:t>142</w:t>
            </w:r>
          </w:hyperlink>
        </w:p>
        <w:p>
          <w:pPr>
            <w:pStyle w:val="Contents6"/>
            <w:tabs>
              <w:tab w:val="clear" w:pos="7609"/>
              <w:tab w:val="right" w:pos="9026" w:leader="dot"/>
            </w:tabs>
            <w:rPr/>
          </w:pPr>
          <w:hyperlink w:anchor="__RefHeading___Toc6451960_3224264995">
            <w:r>
              <w:rPr>
                <w:webHidden/>
                <w:rStyle w:val="IndexLink"/>
                <w:rtl w:val="true"/>
              </w:rPr>
              <w:t>[</w:t>
            </w:r>
            <w:r>
              <w:rPr>
                <w:rStyle w:val="IndexLink"/>
                <w:rtl w:val="true"/>
              </w:rPr>
              <w:t>رؤیة الدم أقلّ من ثلاثة أیام و أکثر من عشرة أیّام</w:t>
            </w:r>
            <w:r>
              <w:rPr>
                <w:rStyle w:val="IndexLink"/>
                <w:rtl w:val="true"/>
              </w:rPr>
              <w:t>]</w:t>
              <w:tab/>
            </w:r>
            <w:r>
              <w:rPr>
                <w:rStyle w:val="IndexLink"/>
              </w:rPr>
              <w:t>146</w:t>
            </w:r>
          </w:hyperlink>
        </w:p>
        <w:p>
          <w:pPr>
            <w:pStyle w:val="Contents6"/>
            <w:tabs>
              <w:tab w:val="clear" w:pos="7609"/>
              <w:tab w:val="right" w:pos="9026" w:leader="dot"/>
            </w:tabs>
            <w:rPr/>
          </w:pPr>
          <w:hyperlink w:anchor="__RefHeading___Toc6451962_3224264995">
            <w:r>
              <w:rPr>
                <w:webHidden/>
                <w:rStyle w:val="IndexLink"/>
                <w:rtl w:val="true"/>
              </w:rPr>
              <w:t>[</w:t>
            </w:r>
            <w:r>
              <w:rPr>
                <w:rStyle w:val="IndexLink"/>
                <w:rtl w:val="true"/>
              </w:rPr>
              <w:t>و أقلّه ثلاثة أیّام</w:t>
            </w:r>
            <w:r>
              <w:rPr>
                <w:rStyle w:val="IndexLink"/>
                <w:rtl w:val="true"/>
              </w:rPr>
              <w:t>]</w:t>
              <w:tab/>
            </w:r>
            <w:r>
              <w:rPr>
                <w:rStyle w:val="IndexLink"/>
              </w:rPr>
              <w:t>150</w:t>
            </w:r>
          </w:hyperlink>
        </w:p>
        <w:p>
          <w:pPr>
            <w:pStyle w:val="Contents6"/>
            <w:tabs>
              <w:tab w:val="clear" w:pos="7609"/>
              <w:tab w:val="right" w:pos="9026" w:leader="dot"/>
            </w:tabs>
            <w:rPr/>
          </w:pPr>
          <w:hyperlink w:anchor="__RefHeading___Toc6451964_3224264995">
            <w:r>
              <w:rPr>
                <w:webHidden/>
                <w:rStyle w:val="IndexLink"/>
                <w:rtl w:val="true"/>
              </w:rPr>
              <w:t>[</w:t>
            </w:r>
            <w:r>
              <w:rPr>
                <w:rStyle w:val="IndexLink"/>
                <w:rtl w:val="true"/>
              </w:rPr>
              <w:t>أکثر الحیض عشرة أیّام</w:t>
            </w:r>
            <w:r>
              <w:rPr>
                <w:rStyle w:val="IndexLink"/>
                <w:rtl w:val="true"/>
              </w:rPr>
              <w:t>]</w:t>
              <w:tab/>
            </w:r>
            <w:r>
              <w:rPr>
                <w:rStyle w:val="IndexLink"/>
              </w:rPr>
              <w:t>166</w:t>
            </w:r>
          </w:hyperlink>
        </w:p>
        <w:p>
          <w:pPr>
            <w:pStyle w:val="Contents6"/>
            <w:tabs>
              <w:tab w:val="clear" w:pos="7609"/>
              <w:tab w:val="right" w:pos="9026" w:leader="dot"/>
            </w:tabs>
            <w:rPr/>
          </w:pPr>
          <w:hyperlink w:anchor="__RefHeading___Toc6451966_3224264995">
            <w:r>
              <w:rPr>
                <w:webHidden/>
                <w:rStyle w:val="IndexLink"/>
                <w:rtl w:val="true"/>
              </w:rPr>
              <w:t>[</w:t>
            </w:r>
            <w:r>
              <w:rPr>
                <w:rStyle w:val="IndexLink"/>
                <w:rtl w:val="true"/>
              </w:rPr>
              <w:t>حکم ذات العادة</w:t>
            </w:r>
            <w:r>
              <w:rPr>
                <w:rStyle w:val="IndexLink"/>
                <w:rtl w:val="true"/>
              </w:rPr>
              <w:t>]</w:t>
              <w:tab/>
            </w:r>
            <w:r>
              <w:rPr>
                <w:rStyle w:val="IndexLink"/>
              </w:rPr>
              <w:t>181</w:t>
            </w:r>
          </w:hyperlink>
        </w:p>
        <w:p>
          <w:pPr>
            <w:pStyle w:val="Contents6"/>
            <w:tabs>
              <w:tab w:val="clear" w:pos="7609"/>
              <w:tab w:val="right" w:pos="9026" w:leader="dot"/>
            </w:tabs>
            <w:rPr/>
          </w:pPr>
          <w:hyperlink w:anchor="__RefHeading___Toc6451968_3224264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6451970_3224264995">
            <w:r>
              <w:rPr>
                <w:webHidden/>
                <w:rStyle w:val="IndexLink"/>
                <w:rtl w:val="true"/>
              </w:rPr>
              <w:t>[</w:t>
            </w:r>
            <w:r>
              <w:rPr>
                <w:rStyle w:val="IndexLink"/>
                <w:rtl w:val="true"/>
              </w:rPr>
              <w:t>لو رأت الدم الصفرة أو الکدرة فی أیام الحیض و الأسود الحار فی أیام الطهر</w:t>
            </w:r>
            <w:r>
              <w:rPr>
                <w:rStyle w:val="IndexLink"/>
                <w:rtl w:val="true"/>
              </w:rPr>
              <w:t>]</w:t>
              <w:tab/>
            </w:r>
            <w:r>
              <w:rPr>
                <w:rStyle w:val="IndexLink"/>
              </w:rPr>
              <w:t>199</w:t>
            </w:r>
          </w:hyperlink>
        </w:p>
        <w:p>
          <w:pPr>
            <w:pStyle w:val="Contents6"/>
            <w:tabs>
              <w:tab w:val="clear" w:pos="7609"/>
              <w:tab w:val="right" w:pos="9026" w:leader="dot"/>
            </w:tabs>
            <w:rPr/>
          </w:pPr>
          <w:hyperlink w:anchor="__RefHeading___Toc6451972_3224264995">
            <w:r>
              <w:rPr>
                <w:webHidden/>
                <w:rStyle w:val="IndexLink"/>
                <w:rtl w:val="true"/>
              </w:rPr>
              <w:t>[</w:t>
            </w:r>
            <w:r>
              <w:rPr>
                <w:rStyle w:val="IndexLink"/>
                <w:rtl w:val="true"/>
              </w:rPr>
              <w:t>لو تجاوز الدم عشرة أیّام</w:t>
            </w:r>
            <w:r>
              <w:rPr>
                <w:rStyle w:val="IndexLink"/>
                <w:rtl w:val="true"/>
              </w:rPr>
              <w:t>]</w:t>
              <w:tab/>
            </w:r>
            <w:r>
              <w:rPr>
                <w:rStyle w:val="IndexLink"/>
              </w:rPr>
              <w:t>215</w:t>
            </w:r>
          </w:hyperlink>
        </w:p>
        <w:p>
          <w:pPr>
            <w:pStyle w:val="Contents6"/>
            <w:tabs>
              <w:tab w:val="clear" w:pos="7609"/>
              <w:tab w:val="right" w:pos="9026" w:leader="dot"/>
            </w:tabs>
            <w:rPr/>
          </w:pPr>
          <w:hyperlink w:anchor="__RefHeading___Toc6451974_3224264995">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6451976_3224264995">
            <w:r>
              <w:rPr>
                <w:webHidden/>
                <w:rStyle w:val="IndexLink"/>
                <w:rtl w:val="true"/>
              </w:rPr>
              <w:t>[</w:t>
            </w:r>
            <w:r>
              <w:rPr>
                <w:rStyle w:val="IndexLink"/>
                <w:rtl w:val="true"/>
              </w:rPr>
              <w:t>ذات العادة</w:t>
            </w:r>
            <w:r>
              <w:rPr>
                <w:rStyle w:val="IndexLink"/>
                <w:rtl w:val="true"/>
              </w:rPr>
              <w:t>]</w:t>
              <w:tab/>
            </w:r>
            <w:r>
              <w:rPr>
                <w:rStyle w:val="IndexLink"/>
              </w:rPr>
              <w:t>225</w:t>
            </w:r>
          </w:hyperlink>
        </w:p>
        <w:p>
          <w:pPr>
            <w:pStyle w:val="Contents6"/>
            <w:tabs>
              <w:tab w:val="clear" w:pos="7609"/>
              <w:tab w:val="right" w:pos="9026" w:leader="dot"/>
            </w:tabs>
            <w:rPr/>
          </w:pPr>
          <w:hyperlink w:anchor="__RefHeading___Toc6451978_3224264995">
            <w:r>
              <w:rPr>
                <w:webHidden/>
                <w:rStyle w:val="IndexLink"/>
                <w:rtl w:val="true"/>
              </w:rPr>
              <w:t>[</w:t>
            </w:r>
            <w:r>
              <w:rPr>
                <w:rStyle w:val="IndexLink"/>
                <w:rtl w:val="true"/>
              </w:rPr>
              <w:t>ذات التمییز</w:t>
            </w:r>
            <w:r>
              <w:rPr>
                <w:rStyle w:val="IndexLink"/>
                <w:rtl w:val="true"/>
              </w:rPr>
              <w:t>]</w:t>
              <w:tab/>
            </w:r>
            <w:r>
              <w:rPr>
                <w:rStyle w:val="IndexLink"/>
              </w:rPr>
              <w:t>237</w:t>
            </w:r>
          </w:hyperlink>
        </w:p>
        <w:p>
          <w:pPr>
            <w:pStyle w:val="Contents6"/>
            <w:tabs>
              <w:tab w:val="clear" w:pos="7609"/>
              <w:tab w:val="right" w:pos="9026" w:leader="dot"/>
            </w:tabs>
            <w:rPr/>
          </w:pPr>
          <w:hyperlink w:anchor="__RefHeading___Toc6451980_3224264995">
            <w:r>
              <w:rPr>
                <w:webHidden/>
                <w:rStyle w:val="IndexLink"/>
                <w:rtl w:val="true"/>
              </w:rPr>
              <w:t>[</w:t>
            </w:r>
            <w:r>
              <w:rPr>
                <w:rStyle w:val="IndexLink"/>
                <w:rtl w:val="true"/>
              </w:rPr>
              <w:t>رجوع المبتدأة إلی عادة أهلها فإن اختلفن أو فقدن إلی عادة أقرانها</w:t>
            </w:r>
            <w:r>
              <w:rPr>
                <w:rStyle w:val="IndexLink"/>
                <w:rtl w:val="true"/>
              </w:rPr>
              <w:t>]</w:t>
              <w:tab/>
            </w:r>
            <w:r>
              <w:rPr>
                <w:rStyle w:val="IndexLink"/>
              </w:rPr>
              <w:t>261</w:t>
            </w:r>
          </w:hyperlink>
        </w:p>
        <w:p>
          <w:pPr>
            <w:pStyle w:val="Contents6"/>
            <w:tabs>
              <w:tab w:val="clear" w:pos="7609"/>
              <w:tab w:val="right" w:pos="9026" w:leader="dot"/>
            </w:tabs>
            <w:rPr/>
          </w:pPr>
          <w:hyperlink w:anchor="__RefHeading___Toc6451982_3224264995">
            <w:r>
              <w:rPr>
                <w:webHidden/>
                <w:rStyle w:val="IndexLink"/>
                <w:rtl w:val="true"/>
              </w:rPr>
              <w:t>[</w:t>
            </w:r>
            <w:r>
              <w:rPr>
                <w:rStyle w:val="IndexLink"/>
                <w:rtl w:val="true"/>
              </w:rPr>
              <w:t>إمّا المضطربة</w:t>
            </w:r>
            <w:r>
              <w:rPr>
                <w:rStyle w:val="IndexLink"/>
                <w:rtl w:val="true"/>
              </w:rPr>
              <w:t>]</w:t>
              <w:tab/>
            </w:r>
            <w:r>
              <w:rPr>
                <w:rStyle w:val="IndexLink"/>
              </w:rPr>
              <w:t>286</w:t>
            </w:r>
          </w:hyperlink>
        </w:p>
        <w:p>
          <w:pPr>
            <w:pStyle w:val="Contents6"/>
            <w:tabs>
              <w:tab w:val="clear" w:pos="7609"/>
              <w:tab w:val="right" w:pos="9026" w:leader="dot"/>
            </w:tabs>
            <w:rPr/>
          </w:pPr>
          <w:hyperlink w:anchor="__RefHeading___Toc6451984_3224264995">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6451986_3224264995">
            <w:r>
              <w:rPr>
                <w:webHidden/>
                <w:rStyle w:val="IndexLink"/>
                <w:rtl w:val="true"/>
              </w:rPr>
              <w:t>[</w:t>
            </w:r>
            <w:r>
              <w:rPr>
                <w:rStyle w:val="IndexLink"/>
                <w:rtl w:val="true"/>
              </w:rPr>
              <w:t>لو ذکرت الوقت</w:t>
            </w:r>
            <w:r>
              <w:rPr>
                <w:rStyle w:val="IndexLink"/>
                <w:rtl w:val="true"/>
              </w:rPr>
              <w:t>]</w:t>
              <w:tab/>
            </w:r>
            <w:r>
              <w:rPr>
                <w:rStyle w:val="IndexLink"/>
              </w:rPr>
              <w:t>304</w:t>
            </w:r>
          </w:hyperlink>
        </w:p>
        <w:p>
          <w:pPr>
            <w:pStyle w:val="Contents6"/>
            <w:tabs>
              <w:tab w:val="clear" w:pos="7609"/>
              <w:tab w:val="right" w:pos="9026" w:leader="dot"/>
            </w:tabs>
            <w:rPr/>
          </w:pPr>
          <w:hyperlink w:anchor="__RefHeading___Toc6451988_3224264995">
            <w:r>
              <w:rPr>
                <w:webHidden/>
                <w:rStyle w:val="IndexLink"/>
                <w:rtl w:val="true"/>
              </w:rPr>
              <w:t>[</w:t>
            </w:r>
            <w:r>
              <w:rPr>
                <w:rStyle w:val="IndexLink"/>
                <w:rtl w:val="true"/>
              </w:rPr>
              <w:t>و لو ذکرت العدد</w:t>
            </w:r>
            <w:r>
              <w:rPr>
                <w:rStyle w:val="IndexLink"/>
                <w:rtl w:val="true"/>
              </w:rPr>
              <w:t>]</w:t>
              <w:tab/>
            </w:r>
            <w:r>
              <w:rPr>
                <w:rStyle w:val="IndexLink"/>
              </w:rPr>
              <w:t>310</w:t>
            </w:r>
          </w:hyperlink>
        </w:p>
        <w:p>
          <w:pPr>
            <w:pStyle w:val="Contents6"/>
            <w:tabs>
              <w:tab w:val="clear" w:pos="7609"/>
              <w:tab w:val="right" w:pos="9026" w:leader="dot"/>
            </w:tabs>
            <w:rPr/>
          </w:pPr>
          <w:hyperlink w:anchor="__RefHeading___Toc6451990_3224264995">
            <w:r>
              <w:rPr>
                <w:webHidden/>
                <w:rStyle w:val="IndexLink"/>
                <w:rtl w:val="true"/>
              </w:rPr>
              <w:t>[</w:t>
            </w:r>
            <w:r>
              <w:rPr>
                <w:rStyle w:val="IndexLink"/>
                <w:rtl w:val="true"/>
              </w:rPr>
              <w:t>کلّ دم یمکن أن یکون حیضاً فهو حیض</w:t>
            </w:r>
            <w:r>
              <w:rPr>
                <w:rStyle w:val="IndexLink"/>
                <w:rtl w:val="true"/>
              </w:rPr>
              <w:t>]</w:t>
              <w:tab/>
            </w:r>
            <w:r>
              <w:rPr>
                <w:rStyle w:val="IndexLink"/>
              </w:rPr>
              <w:t>315</w:t>
            </w:r>
          </w:hyperlink>
        </w:p>
        <w:p>
          <w:pPr>
            <w:pStyle w:val="Contents6"/>
            <w:tabs>
              <w:tab w:val="clear" w:pos="7609"/>
              <w:tab w:val="right" w:pos="9026" w:leader="dot"/>
            </w:tabs>
            <w:rPr/>
          </w:pPr>
          <w:hyperlink w:anchor="__RefHeading___Toc6451992_3224264995">
            <w:r>
              <w:rPr>
                <w:webHidden/>
                <w:rStyle w:val="IndexLink"/>
                <w:rtl w:val="true"/>
              </w:rPr>
              <w:t>[</w:t>
            </w:r>
            <w:r>
              <w:rPr>
                <w:rStyle w:val="IndexLink"/>
                <w:rtl w:val="true"/>
              </w:rPr>
              <w:t>لو رأت الدم ثلاثة أیّام و انقطع ثمّ رأت یوم العاشر</w:t>
            </w:r>
            <w:r>
              <w:rPr>
                <w:rStyle w:val="IndexLink"/>
                <w:rtl w:val="true"/>
              </w:rPr>
              <w:t>]</w:t>
              <w:tab/>
            </w:r>
            <w:r>
              <w:rPr>
                <w:rStyle w:val="IndexLink"/>
              </w:rPr>
              <w:t>331</w:t>
            </w:r>
          </w:hyperlink>
        </w:p>
        <w:p>
          <w:pPr>
            <w:pStyle w:val="Contents6"/>
            <w:tabs>
              <w:tab w:val="clear" w:pos="7609"/>
              <w:tab w:val="right" w:pos="9026" w:leader="dot"/>
            </w:tabs>
            <w:rPr/>
          </w:pPr>
          <w:hyperlink w:anchor="__RefHeading___Toc6451994_3224264995">
            <w:r>
              <w:rPr>
                <w:webHidden/>
                <w:rStyle w:val="IndexLink"/>
                <w:rtl w:val="true"/>
              </w:rPr>
              <w:t>[</w:t>
            </w:r>
            <w:r>
              <w:rPr>
                <w:rStyle w:val="IndexLink"/>
                <w:rtl w:val="true"/>
              </w:rPr>
              <w:t>وجوب الاستظهار عند الانقطاع لدون العشرة فی المعتادة</w:t>
            </w:r>
            <w:r>
              <w:rPr>
                <w:rStyle w:val="IndexLink"/>
                <w:rtl w:val="true"/>
              </w:rPr>
              <w:t>]</w:t>
              <w:tab/>
            </w:r>
            <w:r>
              <w:rPr>
                <w:rStyle w:val="IndexLink"/>
              </w:rPr>
              <w:t>333</w:t>
            </w:r>
          </w:hyperlink>
        </w:p>
        <w:p>
          <w:pPr>
            <w:pStyle w:val="Contents6"/>
            <w:tabs>
              <w:tab w:val="clear" w:pos="7609"/>
              <w:tab w:val="right" w:pos="9026" w:leader="dot"/>
            </w:tabs>
            <w:rPr/>
          </w:pPr>
          <w:hyperlink w:anchor="__RefHeading___Toc6451996_3224264995">
            <w:r>
              <w:rPr>
                <w:webHidden/>
                <w:rStyle w:val="IndexLink"/>
                <w:rtl w:val="true"/>
              </w:rPr>
              <w:t>[</w:t>
            </w:r>
            <w:r>
              <w:rPr>
                <w:rStyle w:val="IndexLink"/>
                <w:rtl w:val="true"/>
              </w:rPr>
              <w:t>و المبتدأة تصبر حتّی تنقی أو تمضی عشرة أیام</w:t>
            </w:r>
            <w:r>
              <w:rPr>
                <w:rStyle w:val="IndexLink"/>
                <w:rtl w:val="true"/>
              </w:rPr>
              <w:t>]</w:t>
              <w:tab/>
            </w:r>
            <w:r>
              <w:rPr>
                <w:rStyle w:val="IndexLink"/>
              </w:rPr>
              <w:t>363</w:t>
            </w:r>
          </w:hyperlink>
        </w:p>
        <w:p>
          <w:pPr>
            <w:pStyle w:val="Contents6"/>
            <w:tabs>
              <w:tab w:val="clear" w:pos="7609"/>
              <w:tab w:val="right" w:pos="9026" w:leader="dot"/>
            </w:tabs>
            <w:rPr/>
          </w:pPr>
          <w:hyperlink w:anchor="__RefHeading___Toc6451998_3224264995">
            <w:r>
              <w:rPr>
                <w:webHidden/>
                <w:rStyle w:val="IndexLink"/>
                <w:rtl w:val="true"/>
              </w:rPr>
              <w:t>[</w:t>
            </w:r>
            <w:r>
              <w:rPr>
                <w:rStyle w:val="IndexLink"/>
                <w:rtl w:val="true"/>
              </w:rPr>
              <w:t>لو رأت الدم فی العادة و طرفیها و لم یتجاوز العشرة فالمجموع حیض</w:t>
            </w:r>
            <w:r>
              <w:rPr>
                <w:rStyle w:val="IndexLink"/>
                <w:rtl w:val="true"/>
              </w:rPr>
              <w:t>]</w:t>
              <w:tab/>
            </w:r>
            <w:r>
              <w:rPr>
                <w:rStyle w:val="IndexLink"/>
              </w:rPr>
              <w:t>370</w:t>
            </w:r>
          </w:hyperlink>
        </w:p>
        <w:p>
          <w:pPr>
            <w:pStyle w:val="Contents5"/>
            <w:tabs>
              <w:tab w:val="clear" w:pos="7892"/>
              <w:tab w:val="right" w:pos="9026" w:leader="dot"/>
            </w:tabs>
            <w:rPr/>
          </w:pPr>
          <w:hyperlink w:anchor="__RefHeading___Toc6452000_3224264995">
            <w:r>
              <w:rPr>
                <w:webHidden/>
                <w:rStyle w:val="IndexLink"/>
                <w:rtl w:val="true"/>
              </w:rPr>
              <w:t>[</w:t>
            </w:r>
            <w:r>
              <w:rPr>
                <w:rStyle w:val="IndexLink"/>
                <w:rtl w:val="true"/>
              </w:rPr>
              <w:t>أحکام الحائض عند انقطاع الدم</w:t>
            </w:r>
            <w:r>
              <w:rPr>
                <w:rStyle w:val="IndexLink"/>
                <w:rtl w:val="true"/>
              </w:rPr>
              <w:t>]</w:t>
              <w:tab/>
            </w:r>
            <w:r>
              <w:rPr>
                <w:rStyle w:val="IndexLink"/>
              </w:rPr>
              <w:t>370</w:t>
            </w:r>
          </w:hyperlink>
        </w:p>
        <w:p>
          <w:pPr>
            <w:pStyle w:val="Contents6"/>
            <w:tabs>
              <w:tab w:val="clear" w:pos="7609"/>
              <w:tab w:val="right" w:pos="9026" w:leader="dot"/>
            </w:tabs>
            <w:rPr/>
          </w:pPr>
          <w:hyperlink w:anchor="__RefHeading___Toc6452002_3224264995">
            <w:r>
              <w:rPr>
                <w:webHidden/>
                <w:rStyle w:val="IndexLink"/>
                <w:rtl w:val="true"/>
              </w:rPr>
              <w:t>[</w:t>
            </w:r>
            <w:r>
              <w:rPr>
                <w:rStyle w:val="IndexLink"/>
                <w:rtl w:val="true"/>
              </w:rPr>
              <w:t>وجوب الغسل علیها</w:t>
            </w:r>
            <w:r>
              <w:rPr>
                <w:rStyle w:val="IndexLink"/>
                <w:rtl w:val="true"/>
              </w:rPr>
              <w:t>]</w:t>
              <w:tab/>
            </w:r>
            <w:r>
              <w:rPr>
                <w:rStyle w:val="IndexLink"/>
              </w:rPr>
              <w:t>370</w:t>
            </w:r>
          </w:hyperlink>
        </w:p>
        <w:p>
          <w:pPr>
            <w:pStyle w:val="Contents6"/>
            <w:tabs>
              <w:tab w:val="clear" w:pos="7609"/>
              <w:tab w:val="right" w:pos="9026" w:leader="dot"/>
            </w:tabs>
            <w:rPr/>
          </w:pPr>
          <w:hyperlink w:anchor="__RefHeading___Toc6452004_3224264995">
            <w:r>
              <w:rPr>
                <w:webHidden/>
                <w:rStyle w:val="IndexLink"/>
                <w:rtl w:val="true"/>
              </w:rPr>
              <w:t>[</w:t>
            </w:r>
            <w:r>
              <w:rPr>
                <w:rStyle w:val="IndexLink"/>
                <w:rtl w:val="true"/>
              </w:rPr>
              <w:t>حرمة الصلاة علیها و بطلان صومها</w:t>
            </w:r>
            <w:r>
              <w:rPr>
                <w:rStyle w:val="IndexLink"/>
                <w:rtl w:val="true"/>
              </w:rPr>
              <w:t>]</w:t>
              <w:tab/>
            </w:r>
            <w:r>
              <w:rPr>
                <w:rStyle w:val="IndexLink"/>
              </w:rPr>
              <w:t>371</w:t>
            </w:r>
          </w:hyperlink>
        </w:p>
        <w:p>
          <w:pPr>
            <w:pStyle w:val="Contents6"/>
            <w:tabs>
              <w:tab w:val="clear" w:pos="7609"/>
              <w:tab w:val="right" w:pos="9026" w:leader="dot"/>
            </w:tabs>
            <w:rPr/>
          </w:pPr>
          <w:hyperlink w:anchor="__RefHeading___Toc6452006_3224264995">
            <w:r>
              <w:rPr>
                <w:webHidden/>
                <w:rStyle w:val="IndexLink"/>
                <w:rtl w:val="true"/>
              </w:rPr>
              <w:t>[</w:t>
            </w:r>
            <w:r>
              <w:rPr>
                <w:rStyle w:val="IndexLink"/>
                <w:rtl w:val="true"/>
              </w:rPr>
              <w:t>حرمة طلاقها</w:t>
            </w:r>
            <w:r>
              <w:rPr>
                <w:rStyle w:val="IndexLink"/>
                <w:rtl w:val="true"/>
              </w:rPr>
              <w:t>]</w:t>
              <w:tab/>
            </w:r>
            <w:r>
              <w:rPr>
                <w:rStyle w:val="IndexLink"/>
              </w:rPr>
              <w:t>373</w:t>
            </w:r>
          </w:hyperlink>
        </w:p>
        <w:p>
          <w:pPr>
            <w:pStyle w:val="Contents6"/>
            <w:tabs>
              <w:tab w:val="clear" w:pos="7609"/>
              <w:tab w:val="right" w:pos="9026" w:leader="dot"/>
            </w:tabs>
            <w:rPr/>
          </w:pPr>
          <w:hyperlink w:anchor="__RefHeading___Toc6452008_3224264995">
            <w:r>
              <w:rPr>
                <w:webHidden/>
                <w:rStyle w:val="IndexLink"/>
                <w:rtl w:val="true"/>
              </w:rPr>
              <w:t>[</w:t>
            </w:r>
            <w:r>
              <w:rPr>
                <w:rStyle w:val="IndexLink"/>
                <w:rtl w:val="true"/>
              </w:rPr>
              <w:t>حرمة قراءة العزائم و سجدة التلاوة علیها</w:t>
            </w:r>
            <w:r>
              <w:rPr>
                <w:rStyle w:val="IndexLink"/>
                <w:rtl w:val="true"/>
              </w:rPr>
              <w:t>]</w:t>
              <w:tab/>
            </w:r>
            <w:r>
              <w:rPr>
                <w:rStyle w:val="IndexLink"/>
              </w:rPr>
              <w:t>375</w:t>
            </w:r>
          </w:hyperlink>
        </w:p>
        <w:p>
          <w:pPr>
            <w:pStyle w:val="Contents6"/>
            <w:tabs>
              <w:tab w:val="clear" w:pos="7609"/>
              <w:tab w:val="right" w:pos="9026" w:leader="dot"/>
            </w:tabs>
            <w:rPr/>
          </w:pPr>
          <w:hyperlink w:anchor="__RefHeading___Toc6452010_3224264995">
            <w:r>
              <w:rPr>
                <w:webHidden/>
                <w:rStyle w:val="IndexLink"/>
                <w:rtl w:val="true"/>
              </w:rPr>
              <w:t>[</w:t>
            </w:r>
            <w:r>
              <w:rPr>
                <w:rStyle w:val="IndexLink"/>
                <w:rtl w:val="true"/>
              </w:rPr>
              <w:t>حرمة وطؤها علی زوجها</w:t>
            </w:r>
            <w:r>
              <w:rPr>
                <w:rStyle w:val="IndexLink"/>
                <w:rtl w:val="true"/>
              </w:rPr>
              <w:t>]</w:t>
              <w:tab/>
            </w:r>
            <w:r>
              <w:rPr>
                <w:rStyle w:val="IndexLink"/>
              </w:rPr>
              <w:t>379</w:t>
            </w:r>
          </w:hyperlink>
        </w:p>
        <w:p>
          <w:pPr>
            <w:pStyle w:val="Contents6"/>
            <w:tabs>
              <w:tab w:val="clear" w:pos="7609"/>
              <w:tab w:val="right" w:pos="9026" w:leader="dot"/>
            </w:tabs>
            <w:rPr/>
          </w:pPr>
          <w:hyperlink w:anchor="__RefHeading___Toc6452012_3224264995">
            <w:r>
              <w:rPr>
                <w:webHidden/>
                <w:rStyle w:val="IndexLink"/>
                <w:rtl w:val="true"/>
              </w:rPr>
              <w:t>[</w:t>
            </w:r>
            <w:r>
              <w:rPr>
                <w:rStyle w:val="IndexLink"/>
                <w:rtl w:val="true"/>
              </w:rPr>
              <w:t>کراهة وطؤها بعد انقطاع الدم قبل الغسل</w:t>
            </w:r>
            <w:r>
              <w:rPr>
                <w:rStyle w:val="IndexLink"/>
                <w:rtl w:val="true"/>
              </w:rPr>
              <w:t>]</w:t>
              <w:tab/>
            </w:r>
            <w:r>
              <w:rPr>
                <w:rStyle w:val="IndexLink"/>
              </w:rPr>
              <w:t>396</w:t>
            </w:r>
          </w:hyperlink>
        </w:p>
        <w:p>
          <w:pPr>
            <w:pStyle w:val="Contents6"/>
            <w:tabs>
              <w:tab w:val="clear" w:pos="7609"/>
              <w:tab w:val="right" w:pos="9026" w:leader="dot"/>
            </w:tabs>
            <w:rPr/>
          </w:pPr>
          <w:hyperlink w:anchor="__RefHeading___Toc6452014_3224264995">
            <w:r>
              <w:rPr>
                <w:webHidden/>
                <w:rStyle w:val="IndexLink"/>
                <w:rtl w:val="true"/>
              </w:rPr>
              <w:t>[</w:t>
            </w:r>
            <w:r>
              <w:rPr>
                <w:rStyle w:val="IndexLink"/>
                <w:rtl w:val="true"/>
              </w:rPr>
              <w:t>کراهة الخضاب و حمل المصحف و قراءة غیر العزائم لها</w:t>
            </w:r>
            <w:r>
              <w:rPr>
                <w:rStyle w:val="IndexLink"/>
                <w:rtl w:val="true"/>
              </w:rPr>
              <w:t>]</w:t>
              <w:tab/>
            </w:r>
            <w:r>
              <w:rPr>
                <w:rStyle w:val="IndexLink"/>
              </w:rPr>
              <w:t>403</w:t>
            </w:r>
          </w:hyperlink>
        </w:p>
        <w:p>
          <w:pPr>
            <w:pStyle w:val="Contents6"/>
            <w:tabs>
              <w:tab w:val="clear" w:pos="7609"/>
              <w:tab w:val="right" w:pos="9026" w:leader="dot"/>
            </w:tabs>
            <w:rPr/>
          </w:pPr>
          <w:hyperlink w:anchor="__RefHeading___Toc6452016_3224264995">
            <w:r>
              <w:rPr>
                <w:webHidden/>
                <w:rStyle w:val="IndexLink"/>
                <w:rtl w:val="true"/>
              </w:rPr>
              <w:t>[</w:t>
            </w:r>
            <w:r>
              <w:rPr>
                <w:rStyle w:val="IndexLink"/>
                <w:rtl w:val="true"/>
              </w:rPr>
              <w:t>استحباب الوضوء لها عند کلّ صلاة</w:t>
            </w:r>
            <w:r>
              <w:rPr>
                <w:rStyle w:val="IndexLink"/>
                <w:rtl w:val="true"/>
              </w:rPr>
              <w:t>]</w:t>
              <w:tab/>
            </w:r>
            <w:r>
              <w:rPr>
                <w:rStyle w:val="IndexLink"/>
              </w:rPr>
              <w:t>409</w:t>
            </w:r>
          </w:hyperlink>
        </w:p>
        <w:p>
          <w:pPr>
            <w:pStyle w:val="Contents6"/>
            <w:tabs>
              <w:tab w:val="clear" w:pos="7609"/>
              <w:tab w:val="right" w:pos="9026" w:leader="dot"/>
            </w:tabs>
            <w:rPr/>
          </w:pPr>
          <w:hyperlink w:anchor="__RefHeading___Toc6452018_3224264995">
            <w:r>
              <w:rPr>
                <w:webHidden/>
                <w:rStyle w:val="IndexLink"/>
                <w:rtl w:val="true"/>
              </w:rPr>
              <w:t>[</w:t>
            </w:r>
            <w:r>
              <w:rPr>
                <w:rStyle w:val="IndexLink"/>
                <w:rtl w:val="true"/>
              </w:rPr>
              <w:t>وجوب قضاء الصوم علیها دون الصلاة</w:t>
            </w:r>
            <w:r>
              <w:rPr>
                <w:rStyle w:val="IndexLink"/>
                <w:rtl w:val="true"/>
              </w:rPr>
              <w:t>]</w:t>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9_115104"/>
      <w:bookmarkStart w:id="1" w:name="pg13039_115104"/>
      <w:bookmarkEnd w:id="1"/>
    </w:p>
    <w:p>
      <w:pPr>
        <w:pStyle w:val="Heading2"/>
        <w:numPr>
          <w:ilvl w:val="1"/>
          <w:numId w:val="1"/>
        </w:numPr>
        <w:rPr/>
      </w:pPr>
      <w:bookmarkStart w:id="2" w:name="pg13039_115104"/>
      <w:bookmarkStart w:id="3" w:name="__RefHeading___Toc645186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دزفولی، مرتضی بن محمد امین انصاری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بزرگداشت شیخ اعظم انصاری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کنگره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51862_3224264995"/>
      <w:bookmarkStart w:id="6" w:name="_Toc2"/>
      <w:bookmarkEnd w:id="5"/>
      <w:r>
        <w:rPr>
          <w:rtl w:val="true"/>
        </w:rPr>
        <w:t>اشارة</w:t>
      </w:r>
      <w:bookmarkStart w:id="7" w:name="pg13039_115108"/>
      <w:bookmarkEnd w:id="6"/>
    </w:p>
    <w:p>
      <w:pPr>
        <w:pStyle w:val="Heading2"/>
        <w:numPr>
          <w:ilvl w:val="1"/>
          <w:numId w:val="1"/>
        </w:numPr>
        <w:rPr/>
      </w:pPr>
      <w:bookmarkStart w:id="8" w:name="__RefHeading___Toc6451864_3224264995"/>
      <w:bookmarkStart w:id="9" w:name="_Toc3"/>
      <w:bookmarkEnd w:id="7"/>
      <w:bookmarkEnd w:id="8"/>
      <w:r>
        <w:rPr>
          <w:rtl w:val="true"/>
        </w:rPr>
        <w:t xml:space="preserve">شرح </w:t>
      </w:r>
      <w:r>
        <w:rPr>
          <w:rtl w:val="true"/>
        </w:rPr>
        <w:t>[</w:t>
      </w:r>
      <w:r>
        <w:rPr>
          <w:rtl w:val="true"/>
        </w:rPr>
        <w:t>کتاب الطهارة</w:t>
      </w:r>
      <w:r>
        <w:rPr>
          <w:rtl w:val="true"/>
        </w:rPr>
        <w:t xml:space="preserve">] </w:t>
      </w:r>
      <w:r>
        <w:rPr>
          <w:rtl w:val="true"/>
        </w:rPr>
        <w:t>من إرشاد الأذهان</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451866_3224264995"/>
      <w:bookmarkStart w:id="11" w:name="_Toc4"/>
      <w:bookmarkEnd w:id="10"/>
      <w:r>
        <w:rPr>
          <w:rtl w:val="true"/>
        </w:rPr>
        <w:t>اشارة</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و النظر فی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أقسامها و أسبابها و ما تحصل به و توابعها</w:t>
      </w:r>
      <w:r>
        <w:rPr>
          <w:rFonts w:eastAsia="IRNazanin" w:cs="IRNazanin"/>
          <w:color w:val="111111"/>
          <w:sz w:val="28"/>
          <w:szCs w:val="28"/>
          <w:rtl w:val="true"/>
          <w:lang w:bidi="fa-IR"/>
        </w:rPr>
        <w:t>)</w:t>
      </w:r>
      <w:bookmarkStart w:id="12" w:name="pg13039_115112"/>
    </w:p>
    <w:p>
      <w:pPr>
        <w:pStyle w:val="Heading3"/>
        <w:numPr>
          <w:ilvl w:val="2"/>
          <w:numId w:val="1"/>
        </w:numPr>
        <w:rPr/>
      </w:pPr>
      <w:bookmarkStart w:id="13" w:name="__RefHeading___Toc6451868_3224264995"/>
      <w:bookmarkStart w:id="14" w:name="_Toc5"/>
      <w:bookmarkEnd w:id="12"/>
      <w:bookmarkEnd w:id="13"/>
      <w:r>
        <w:rPr>
          <w:rtl w:val="true"/>
        </w:rPr>
        <w:t>[</w:t>
      </w:r>
      <w:r>
        <w:rPr>
          <w:rtl w:val="true"/>
        </w:rPr>
        <w:t>النظر الأوّل فی أقسامها</w:t>
      </w:r>
      <w:r>
        <w:rPr>
          <w:rtl w:val="true"/>
        </w:rPr>
        <w:t>]</w:t>
      </w:r>
      <w:bookmarkEnd w:id="14"/>
    </w:p>
    <w:p>
      <w:pPr>
        <w:pStyle w:val="Heading4"/>
        <w:numPr>
          <w:ilvl w:val="3"/>
          <w:numId w:val="1"/>
        </w:numPr>
        <w:rPr/>
      </w:pPr>
      <w:bookmarkStart w:id="15" w:name="__RefHeading___Toc6451870_3224264995"/>
      <w:bookmarkStart w:id="16" w:name="_Toc6"/>
      <w:bookmarkEnd w:id="15"/>
      <w:r>
        <w:rPr>
          <w:rtl w:val="true"/>
        </w:rPr>
        <w:t>اشارة</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الأوّل فی أقسامها</w:t>
      </w:r>
      <w:bookmarkStart w:id="17" w:name="pg13039_115114"/>
    </w:p>
    <w:p>
      <w:pPr>
        <w:pStyle w:val="BookText"/>
        <w:rPr/>
      </w:pPr>
      <w:bookmarkEnd w:id="17"/>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w:t>
      </w:r>
    </w:p>
    <w:p>
      <w:pPr>
        <w:pStyle w:val="Heading4"/>
        <w:numPr>
          <w:ilvl w:val="3"/>
          <w:numId w:val="1"/>
        </w:numPr>
        <w:rPr/>
      </w:pPr>
      <w:bookmarkStart w:id="18" w:name="__RefHeading___Toc6451872_3224264995"/>
      <w:bookmarkStart w:id="19" w:name="_Toc7"/>
      <w:bookmarkEnd w:id="18"/>
      <w:r>
        <w:rPr>
          <w:rtl w:val="true"/>
        </w:rPr>
        <w:t>[</w:t>
      </w:r>
      <w:r>
        <w:rPr>
          <w:rtl w:val="true"/>
        </w:rPr>
        <w:t>الوضوء</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و الطواف الواجبین، و مسّ کتابة القرآن إن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لمندوبی الأوَّلین، و دخول المساجد، و قراءة القرآن، و حمل المصحف، و النوم، و صلاة الجنائز، و السعی فی حاجة، و زیارة المقابر، و نوم الجنب، و جماع المحتلم، و ذکر الحائض، و الکون علی طهارة</w:t>
      </w:r>
      <w:r>
        <w:rPr>
          <w:rFonts w:eastAsia="IRNazanin" w:cs="IRNazanin"/>
          <w:color w:val="111111"/>
          <w:sz w:val="28"/>
          <w:szCs w:val="28"/>
          <w:rtl w:val="true"/>
          <w:lang w:bidi="fa-IR"/>
        </w:rPr>
        <w:t>.)</w:t>
      </w:r>
    </w:p>
    <w:p>
      <w:pPr>
        <w:pStyle w:val="Heading4"/>
        <w:numPr>
          <w:ilvl w:val="3"/>
          <w:numId w:val="1"/>
        </w:numPr>
        <w:rPr/>
      </w:pPr>
      <w:bookmarkStart w:id="20" w:name="__RefHeading___Toc6451874_3224264995"/>
      <w:bookmarkStart w:id="21" w:name="_Toc8"/>
      <w:bookmarkEnd w:id="20"/>
      <w:r>
        <w:rPr>
          <w:rtl w:val="true"/>
        </w:rPr>
        <w:t>[</w:t>
      </w:r>
      <w:r>
        <w:rPr>
          <w:rtl w:val="true"/>
        </w:rPr>
        <w:t>الغسل</w:t>
      </w:r>
      <w:r>
        <w:rPr>
          <w:rtl w:val="true"/>
        </w:rPr>
        <w:t>]</w:t>
      </w:r>
      <w:bookmarkEnd w:id="21"/>
    </w:p>
    <w:p>
      <w:pPr>
        <w:pStyle w:val="Heading5"/>
        <w:numPr>
          <w:ilvl w:val="4"/>
          <w:numId w:val="1"/>
        </w:numPr>
        <w:rPr/>
      </w:pPr>
      <w:bookmarkStart w:id="22" w:name="__RefHeading___Toc6451876_3224264995"/>
      <w:bookmarkStart w:id="23" w:name="_Toc9"/>
      <w:bookmarkEnd w:id="22"/>
      <w:r>
        <w:rPr>
          <w:rtl w:val="true"/>
        </w:rPr>
        <w:t>اشارة</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وجب له الوضوء، و لدخول المساجد و قراءة العزائم إن وجبا، و لصوم الجنب، و المستحاضة مع غمس القطنة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6451878_3224264995"/>
      <w:bookmarkStart w:id="25" w:name="_Toc10"/>
      <w:bookmarkEnd w:id="24"/>
      <w:r>
        <w:rPr>
          <w:rtl w:val="true"/>
        </w:rPr>
        <w:t>[</w:t>
      </w:r>
      <w:r>
        <w:rPr>
          <w:rtl w:val="true"/>
        </w:rPr>
        <w:t>الأغسال المستحبة</w:t>
      </w:r>
      <w:r>
        <w:rPr>
          <w:rtl w:val="true"/>
        </w:rPr>
        <w:t>]</w:t>
      </w:r>
      <w:bookmarkEnd w:id="25"/>
    </w:p>
    <w:p>
      <w:pPr>
        <w:pStyle w:val="Heading6"/>
        <w:numPr>
          <w:ilvl w:val="5"/>
          <w:numId w:val="1"/>
        </w:numPr>
        <w:rPr/>
      </w:pPr>
      <w:bookmarkStart w:id="26" w:name="__RefHeading___Toc6451880_3224264995"/>
      <w:bookmarkStart w:id="27" w:name="_Toc11"/>
      <w:bookmarkEnd w:id="26"/>
      <w:r>
        <w:rPr>
          <w:rtl w:val="true"/>
        </w:rPr>
        <w:t>اشارة</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p>
    <w:p>
      <w:pPr>
        <w:pStyle w:val="Heading6"/>
        <w:numPr>
          <w:ilvl w:val="5"/>
          <w:numId w:val="1"/>
        </w:numPr>
        <w:rPr/>
      </w:pPr>
      <w:bookmarkStart w:id="28" w:name="__RefHeading___Toc6451882_3224264995"/>
      <w:bookmarkStart w:id="29" w:name="_Toc12"/>
      <w:bookmarkEnd w:id="28"/>
      <w:r>
        <w:rPr>
          <w:rtl w:val="true"/>
        </w:rPr>
        <w:t>[</w:t>
      </w:r>
      <w:r>
        <w:rPr>
          <w:rtl w:val="true"/>
        </w:rPr>
        <w:t>الأغسال الزمانیة</w:t>
      </w:r>
      <w:r>
        <w:rPr>
          <w:rtl w:val="true"/>
        </w:rPr>
        <w:t>]</w:t>
      </w:r>
      <w:bookmarkEnd w:id="29"/>
    </w:p>
    <w:p>
      <w:pPr>
        <w:pStyle w:val="Heading6"/>
        <w:numPr>
          <w:ilvl w:val="5"/>
          <w:numId w:val="1"/>
        </w:numPr>
        <w:rPr/>
      </w:pPr>
      <w:bookmarkStart w:id="30" w:name="__RefHeading___Toc6451884_3224264995"/>
      <w:bookmarkStart w:id="31" w:name="_Toc13"/>
      <w:bookmarkEnd w:id="30"/>
      <w:r>
        <w:rPr>
          <w:rtl w:val="true"/>
        </w:rPr>
        <w:t>[</w:t>
      </w:r>
      <w:r>
        <w:rPr>
          <w:rtl w:val="true"/>
        </w:rPr>
        <w:t>غسل الجمعة</w:t>
      </w:r>
      <w:r>
        <w:rPr>
          <w:rtl w:val="true"/>
        </w:rPr>
        <w:t>]</w:t>
      </w:r>
      <w:bookmarkEnd w:id="3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للجمعة</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علی المشهور المحکیّ صریحاً عن</w:t>
      </w:r>
    </w:p>
    <w:p>
      <w:pPr>
        <w:pStyle w:val="BookText"/>
        <w:rPr/>
      </w:pPr>
      <w:r>
        <w:rPr>
          <w:rFonts w:ascii="IRNazanin" w:hAnsi="IRNazanin" w:eastAsia="IRNazanin"/>
          <w:color w:val="111111"/>
          <w:sz w:val="28"/>
          <w:sz w:val="28"/>
          <w:szCs w:val="28"/>
          <w:rtl w:val="true"/>
          <w:lang w:bidi="fa-IR"/>
        </w:rPr>
        <w:t xml:space="preserve">المشایخ الثلاثة </w:t>
      </w:r>
      <w:r>
        <w:rPr>
          <w:rStyle w:val="FootnoteAnchor"/>
          <w:rtl w:val="true"/>
        </w:rPr>
        <w:footnoteReference w:id="4"/>
      </w:r>
      <w:r>
        <w:rPr>
          <w:rFonts w:ascii="IRNazanin" w:hAnsi="IRNazanin" w:eastAsia="IRNazanin"/>
          <w:color w:val="111111"/>
          <w:sz w:val="28"/>
          <w:sz w:val="28"/>
          <w:szCs w:val="28"/>
          <w:rtl w:val="true"/>
          <w:lang w:bidi="fa-IR"/>
        </w:rPr>
        <w:t xml:space="preserve">و أتباعهم </w:t>
      </w:r>
      <w:r>
        <w:rPr>
          <w:rStyle w:val="FootnoteAnchor"/>
          <w:rtl w:val="true"/>
        </w:rPr>
        <w:footnoteReference w:id="5"/>
      </w:r>
      <w:r>
        <w:rPr>
          <w:rFonts w:ascii="Amiri" w:hAnsi="Amiri" w:eastAsia="Amiri" w:cs="Amiri"/>
          <w:color w:val="111111"/>
          <w:sz w:val="28"/>
          <w:sz w:val="28"/>
          <w:szCs w:val="28"/>
          <w:rtl w:val="true"/>
          <w:lang w:bidi="ar-SA"/>
        </w:rPr>
        <w:t xml:space="preserve">و الحلیّ </w:t>
      </w:r>
      <w:r>
        <w:rPr>
          <w:rStyle w:val="FootnoteAnchor"/>
          <w:rtl w:val="true"/>
        </w:rPr>
        <w:footnoteReference w:id="6"/>
      </w:r>
      <w:r>
        <w:rPr>
          <w:rFonts w:ascii="IRNazanin" w:hAnsi="IRNazanin" w:eastAsia="IRNazanin"/>
          <w:color w:val="111111"/>
          <w:sz w:val="28"/>
          <w:sz w:val="28"/>
          <w:szCs w:val="28"/>
          <w:rtl w:val="true"/>
          <w:lang w:bidi="fa-IR"/>
        </w:rPr>
        <w:t xml:space="preserve">و ابن سعید </w:t>
      </w:r>
      <w:r>
        <w:rPr>
          <w:rStyle w:val="FootnoteAnchor"/>
          <w:rtl w:val="true"/>
        </w:rPr>
        <w:footnoteReference w:id="7"/>
      </w:r>
      <w:r>
        <w:rPr>
          <w:rFonts w:ascii="IRNazanin" w:hAnsi="IRNazanin" w:eastAsia="IRNazanin"/>
          <w:color w:val="111111"/>
          <w:sz w:val="28"/>
          <w:sz w:val="28"/>
          <w:szCs w:val="28"/>
          <w:rtl w:val="true"/>
          <w:lang w:bidi="fa-IR"/>
        </w:rPr>
        <w:t xml:space="preserve">و جمهور المتأخّرین </w:t>
      </w:r>
      <w:r>
        <w:rPr>
          <w:rStyle w:val="FootnoteAnchor"/>
          <w:rtl w:val="true"/>
        </w:rPr>
        <w:footnoteReference w:id="8"/>
      </w:r>
      <w:r>
        <w:rPr>
          <w:rFonts w:ascii="IRNazanin" w:hAnsi="IRNazanin" w:eastAsia="IRNazanin"/>
          <w:color w:val="111111"/>
          <w:sz w:val="28"/>
          <w:sz w:val="28"/>
          <w:szCs w:val="28"/>
          <w:rtl w:val="true"/>
          <w:lang w:bidi="fa-IR"/>
        </w:rPr>
        <w:t>،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أنّه سنّة مؤکّدة، و لیس بواجب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یحک الوجوب إلّا عن الحسن البصری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الغنیة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الأغسال المسنونة التی ادّعی الإجماع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إنّ غسل الجمعة من السنن المؤکّدة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الوجوب عن بعض العامّة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مضافاً إلی ما تقدّم من الإجماعات المعتضدة بالشهرة المطابقة لمقتضی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الغسل فی الجمعة و الأضحی و الفطر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لیس بفریضة</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غسل</w:t>
      </w:r>
    </w:p>
    <w:p>
      <w:pPr>
        <w:pStyle w:val="BookText"/>
        <w:rPr/>
      </w:pPr>
      <w:r>
        <w:rPr>
          <w:rFonts w:ascii="IRNazanin" w:hAnsi="IRNazanin" w:eastAsia="IRNazanin"/>
          <w:color w:val="111111"/>
          <w:sz w:val="28"/>
          <w:sz w:val="28"/>
          <w:szCs w:val="28"/>
          <w:rtl w:val="true"/>
          <w:lang w:bidi="fa-IR"/>
        </w:rPr>
        <w:t>العیدین أ واجب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فإنّ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الروایتین مقابل الواجب، أمّا فی الثانیة فبقرینة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الأُولی فبقرینة ضمّ العیدین؛ فإنّ الغسل فیهما لا یجب اتّفاقاً، کما نقله غیر واحد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الحسین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الأوّل علیه السلام کیف صار غسل الجمعة واجباً؟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أتمّ صلاة الفریضة بصلاة النافلة، و أتمّ صوم الفریضة بصوم النافلة، و أتمّ وضوء الفریضة بغسل الجمعة، ما کان فیه من سهو أو تقصیر أو نسیان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العیون فی الحسن کالصحیح إلی الفضل بن شاذان، عن مولانا الرضا علیه السلام أنّه قال بعد ذکر غسل الجمعة و العیدین و کثیر من الأغسال المسنونة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الأغسال سنّة و غسل الجنابة فریضة، و غسل الحیض مثله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مرسلة یونس المجمع علی تصحیح ما یصحّ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الغسل فی سبعة عشر موطناً، منها الفرض ثلاثة،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الفرض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 غسل من مسّ میّتاً، و غسل الإحرام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أبی البختری عن جعفر عن أبیه عن جدّه صلوات اللّٰه علیهم عن</w:t>
      </w:r>
    </w:p>
    <w:p>
      <w:pPr>
        <w:pStyle w:val="BookText"/>
        <w:rPr/>
      </w:pPr>
      <w:r>
        <w:rPr>
          <w:rFonts w:ascii="Amiri" w:hAnsi="Amiri" w:eastAsia="Amiri" w:cs="Amiri"/>
          <w:color w:val="111111"/>
          <w:sz w:val="28"/>
          <w:sz w:val="28"/>
          <w:szCs w:val="28"/>
          <w:rtl w:val="true"/>
          <w:lang w:bidi="ar-SA"/>
        </w:rPr>
        <w:t>النبیّ صلّی اللّٰه علیه و آله، أنّه 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علی الناس فی سبعة </w:t>
      </w:r>
      <w:r>
        <w:rPr>
          <w:rStyle w:val="FootnoteAnchor"/>
          <w:rtl w:val="true"/>
        </w:rPr>
        <w:footnoteReference w:id="19"/>
      </w:r>
      <w:r>
        <w:rPr>
          <w:rFonts w:ascii="IRNazanin" w:hAnsi="IRNazanin" w:eastAsia="IRNazanin"/>
          <w:color w:val="111111"/>
          <w:sz w:val="28"/>
          <w:sz w:val="28"/>
          <w:szCs w:val="28"/>
          <w:rtl w:val="true"/>
          <w:lang w:bidi="fa-IR"/>
        </w:rPr>
        <w:t>أیّام الغسل، فاغتسل فی کلّ جمعة، و لو أنّک تشتری الماء بقوت یومک و تطویه، فإنّه لیس من التطوّع أعظم منه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إلی غیر ذلک من الأخبار الظاهرة فی عدم الوجوب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بإزائها ما یخالفها عدا ما ورد فی عدّة أخبار من وصفه بالوجوب </w:t>
      </w:r>
      <w:r>
        <w:rPr>
          <w:rStyle w:val="FootnoteAnchor"/>
          <w:rtl w:val="true"/>
        </w:rPr>
        <w:footnoteReference w:id="22"/>
      </w:r>
      <w:r>
        <w:rPr>
          <w:rFonts w:ascii="IRNazanin" w:hAnsi="IRNazanin" w:eastAsia="IRNazanin"/>
          <w:color w:val="111111"/>
          <w:sz w:val="28"/>
          <w:sz w:val="28"/>
          <w:szCs w:val="28"/>
          <w:rtl w:val="true"/>
          <w:lang w:bidi="fa-IR"/>
        </w:rPr>
        <w:t xml:space="preserve">کما فی کلام الصدوقین </w:t>
      </w:r>
      <w:r>
        <w:rPr>
          <w:rStyle w:val="FootnoteAnchor"/>
          <w:rtl w:val="true"/>
        </w:rPr>
        <w:footnoteReference w:id="23"/>
      </w:r>
      <w:r>
        <w:rPr>
          <w:rFonts w:ascii="IRNazanin" w:hAnsi="IRNazanin" w:eastAsia="IRNazanin"/>
          <w:color w:val="111111"/>
          <w:sz w:val="28"/>
          <w:sz w:val="28"/>
          <w:szCs w:val="28"/>
          <w:rtl w:val="true"/>
          <w:lang w:bidi="fa-IR"/>
        </w:rPr>
        <w:t xml:space="preserve">و ظاهر عنوان الکافی </w:t>
      </w:r>
      <w:r>
        <w:rPr>
          <w:rStyle w:val="FootnoteAnchor"/>
          <w:rtl w:val="true"/>
        </w:rPr>
        <w:footnoteReference w:id="24"/>
      </w:r>
      <w:r>
        <w:rPr>
          <w:rFonts w:ascii="IRNazanin" w:hAnsi="IRNazanin" w:eastAsia="IRNazanin"/>
          <w:color w:val="111111"/>
          <w:sz w:val="28"/>
          <w:sz w:val="28"/>
          <w:szCs w:val="28"/>
          <w:rtl w:val="true"/>
          <w:lang w:bidi="fa-IR"/>
        </w:rPr>
        <w:t>، و هو غیر صریح بل و لا ظاهر فی مقابلة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سهل بن الیسع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رجل یدع غسل الجمعة ناسیاً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ناسیاً فقد تمّت صلاته، و إن کان متعمّداً فالغسل أحبّ إلیّ، و إن هو فعل ذلک فلیستغفر اللّٰه و لا یعود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ناسیاً فقد تمّت صلاته، و إن کان متعمّداً فلیستغفر اللّٰه و لا یعد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الرجل ینسی الغسل</w:t>
      </w:r>
    </w:p>
    <w:p>
      <w:pPr>
        <w:pStyle w:val="BookText"/>
        <w:rPr/>
      </w:pPr>
      <w:r>
        <w:rPr>
          <w:rFonts w:ascii="IRNazanin" w:hAnsi="IRNazanin" w:eastAsia="IRNazanin"/>
          <w:color w:val="111111"/>
          <w:sz w:val="28"/>
          <w:sz w:val="28"/>
          <w:szCs w:val="28"/>
          <w:rtl w:val="true"/>
          <w:lang w:bidi="fa-IR"/>
        </w:rPr>
        <w:t>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فعلیه أن یغتسل و یعید الصلاة، و إن مضی الوقت فقد جازت صلاته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المرسل المحکیّ عن کتاب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غسل یوم الجمعة إلّا فاسق، و من فاته غسل یوم الجمعة فلیقضه یوم السبت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إلی غیر ذلک ممّا یتراءی منه الوجوب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 الخبیر العارف عدم معارضتها لما تقدّم، فضلًا عن مقاومتها لها، و علی تقدیرها فالمرجع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العجیب ما عن بعض متأخّری المتأخّرین </w:t>
      </w:r>
      <w:r>
        <w:rPr>
          <w:rStyle w:val="FootnoteAnchor"/>
          <w:rtl w:val="true"/>
        </w:rPr>
        <w:footnoteReference w:id="30"/>
      </w:r>
      <w:r>
        <w:rPr>
          <w:rFonts w:ascii="IRNazanin" w:hAnsi="IRNazanin" w:eastAsia="IRNazanin"/>
          <w:color w:val="111111"/>
          <w:sz w:val="28"/>
          <w:sz w:val="28"/>
          <w:szCs w:val="28"/>
          <w:rtl w:val="true"/>
          <w:lang w:bidi="fa-IR"/>
        </w:rPr>
        <w:t>من المیل إلی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الأخبار </w:t>
      </w:r>
      <w:r>
        <w:rPr>
          <w:rStyle w:val="FootnoteAnchor"/>
          <w:rtl w:val="true"/>
        </w:rPr>
        <w:footnoteReference w:id="31"/>
      </w:r>
      <w:r>
        <w:rPr>
          <w:rFonts w:ascii="IRNazanin" w:hAnsi="IRNazanin" w:eastAsia="IRNazanin"/>
          <w:color w:val="111111"/>
          <w:sz w:val="28"/>
          <w:sz w:val="28"/>
          <w:szCs w:val="28"/>
          <w:rtl w:val="true"/>
          <w:lang w:bidi="fa-IR"/>
        </w:rPr>
        <w:t>ثبوت الغسل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محکیّ الحلبی فی إشارة السبق </w:t>
      </w:r>
      <w:r>
        <w:rPr>
          <w:rStyle w:val="FootnoteAnchor"/>
          <w:rtl w:val="true"/>
        </w:rPr>
        <w:footnoteReference w:id="32"/>
      </w:r>
      <w:r>
        <w:rPr>
          <w:rFonts w:ascii="IRNazanin" w:hAnsi="IRNazanin" w:eastAsia="IRNazanin"/>
          <w:color w:val="111111"/>
          <w:sz w:val="28"/>
          <w:sz w:val="28"/>
          <w:szCs w:val="28"/>
          <w:rtl w:val="true"/>
          <w:lang w:bidi="fa-IR"/>
        </w:rPr>
        <w:t>إثبات غسل آخر للیلتها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له علی مستند و لا موافق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عن الإسکافی ثبوته لکلّ زمان شریف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 هذا الغسل من طلوع فجر یوم الجمعة إلی زوال الشمس، فلا یجوز تقدیمه علی الفجر فی غیر ما استثنی بلا خلاف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الخلاف </w:t>
      </w:r>
      <w:r>
        <w:rPr>
          <w:rStyle w:val="FootnoteAnchor"/>
          <w:rtl w:val="true"/>
        </w:rPr>
        <w:footnoteReference w:id="34"/>
      </w:r>
      <w:r>
        <w:rPr>
          <w:rFonts w:ascii="IRNazanin" w:hAnsi="IRNazanin" w:eastAsia="IRNazanin"/>
          <w:color w:val="111111"/>
          <w:sz w:val="28"/>
          <w:sz w:val="28"/>
          <w:szCs w:val="28"/>
          <w:rtl w:val="true"/>
          <w:lang w:bidi="fa-IR"/>
        </w:rPr>
        <w:t xml:space="preserve">و التذکرة </w:t>
      </w:r>
      <w:r>
        <w:rPr>
          <w:rStyle w:val="FootnoteAnchor"/>
          <w:rtl w:val="true"/>
        </w:rPr>
        <w:footnoteReference w:id="35"/>
      </w:r>
      <w:r>
        <w:rPr>
          <w:rFonts w:ascii="IRNazanin" w:hAnsi="IRNazanin" w:eastAsia="IRNazanin"/>
          <w:color w:val="111111"/>
          <w:sz w:val="28"/>
          <w:sz w:val="28"/>
          <w:szCs w:val="28"/>
          <w:rtl w:val="true"/>
          <w:lang w:bidi="fa-IR"/>
        </w:rPr>
        <w:t xml:space="preserve">و غیرهما </w:t>
      </w:r>
      <w:r>
        <w:rPr>
          <w:rStyle w:val="FootnoteAnchor"/>
          <w:rtl w:val="true"/>
        </w:rPr>
        <w:footnoteReference w:id="36"/>
      </w:r>
      <w:r>
        <w:rPr>
          <w:rFonts w:ascii="IRNazanin" w:hAnsi="IRNazanin" w:eastAsia="IRNazanin"/>
          <w:color w:val="111111"/>
          <w:sz w:val="28"/>
          <w:sz w:val="28"/>
          <w:szCs w:val="28"/>
          <w:rtl w:val="true"/>
          <w:lang w:bidi="fa-IR"/>
        </w:rPr>
        <w:t>،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مضافاً إلی مقتضی توقیفیّة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ذلک للجنابة و الجمعة و عرفة</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بکیر الوارد فی أغسال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غسل الجمعة إذا اغتسلت بعد الفجر أجزأک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امتداده إلی الزوال فهو ممّا لا خلاف فیه، بل إجماعاً کما عن الذکری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المعتبر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التحدید بما قبل الزوال علیه إجماع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نسبه فی التذکرة </w:t>
      </w:r>
      <w:r>
        <w:rPr>
          <w:rStyle w:val="FootnoteAnchor"/>
          <w:rtl w:val="true"/>
        </w:rPr>
        <w:footnoteReference w:id="41"/>
      </w:r>
      <w:r>
        <w:rPr>
          <w:rFonts w:ascii="IRNazanin" w:hAnsi="IRNazanin" w:eastAsia="IRNazanin"/>
          <w:color w:val="111111"/>
          <w:sz w:val="28"/>
          <w:sz w:val="28"/>
          <w:szCs w:val="28"/>
          <w:rtl w:val="true"/>
          <w:lang w:bidi="fa-IR"/>
        </w:rPr>
        <w:t xml:space="preserve">إلی علمائنا، و فی مجمع البرهان إلی الأصحاب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فراغک من</w:t>
      </w:r>
    </w:p>
    <w:p>
      <w:pPr>
        <w:pStyle w:val="BookText"/>
        <w:rPr/>
      </w:pPr>
      <w:r>
        <w:rPr>
          <w:rFonts w:ascii="IRNazanin" w:hAnsi="IRNazanin" w:eastAsia="IRNazanin"/>
          <w:color w:val="111111"/>
          <w:sz w:val="28"/>
          <w:sz w:val="28"/>
          <w:szCs w:val="28"/>
          <w:rtl w:val="true"/>
          <w:lang w:bidi="fa-IR"/>
        </w:rPr>
        <w:t>الغسل قبل الزوال</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و فی دلالته علی الوجوب الشرطی نظر، بل حمله علی الاستحباب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بکیر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فاته الغسل یوم الجمعة فی أوّل النهار </w:t>
      </w:r>
      <w:r>
        <w:rPr>
          <w:rStyle w:val="FootnoteAnchor"/>
          <w:rtl w:val="true"/>
        </w:rPr>
        <w:footnoteReference w:id="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بینه و بین اللیل، فإن فاته اغتسل یوم السبت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و ظاهره عدم بقاء وقته إلی اللیل، إلّا أنّه لا یدلّ علی التحدید بالزوال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سماعة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لا یغتسل یوم الجمعة فی أوّل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فی آخر النهار، فإن فاته فلیقضه من یوم السبت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قریب منه المرسلة الآتیة فی قضاء الغسل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یؤیّد مذهب الشیخ </w:t>
      </w:r>
      <w:r>
        <w:rPr>
          <w:rStyle w:val="FootnoteAnchor"/>
          <w:rtl w:val="true"/>
        </w:rPr>
        <w:footnoteReference w:id="48"/>
      </w:r>
      <w:r>
        <w:rPr>
          <w:rFonts w:ascii="IRNazanin" w:hAnsi="IRNazanin" w:eastAsia="IRNazanin"/>
          <w:color w:val="111111"/>
          <w:sz w:val="28"/>
          <w:sz w:val="28"/>
          <w:szCs w:val="28"/>
          <w:rtl w:val="true"/>
          <w:lang w:bidi="fa-IR"/>
        </w:rPr>
        <w:t>بقول الرضا علیه السلام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علیه السلام یغتسل للجمعة عند الرواح</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بناءً علی أنّ المراد الرواح إلی الجمعة، فیکون فی المداومة إشارة إلی أنّ وقته ذلک و إن مضی قلیل من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مداومة الإمام علیه السلام علی الرواح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العجیب ما عن البحار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فیؤیّد القول بامتداد وقته إلی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ما تقدّم من الإجماعات، کان المحکیّ عن الشیخ فی صلاة الخلاف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وقته إلی أن یصلّی الجمعة، مدّعیاً علیه الإجماع </w:t>
      </w:r>
      <w:r>
        <w:rPr>
          <w:rStyle w:val="FootnoteAnchor"/>
          <w:rtl w:val="true"/>
        </w:rPr>
        <w:footnoteReference w:id="51"/>
      </w:r>
      <w:r>
        <w:rPr>
          <w:rFonts w:ascii="IRNazanin" w:hAnsi="IRNazanin" w:eastAsia="IRNazanin"/>
          <w:color w:val="111111"/>
          <w:sz w:val="28"/>
          <w:sz w:val="28"/>
          <w:szCs w:val="28"/>
          <w:rtl w:val="true"/>
          <w:lang w:bidi="fa-IR"/>
        </w:rPr>
        <w:t>قویّاً، لو کان المراد امتداده إلی وقت فوتها لا مجرّد فعلها، إذ ربما لا یفعلها الشخص، بل و لا غیره فی ذلک المکان و لا امتداده إلی أوّل وقتها؛ لأنّه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هذا مراد الشیخ بقرینة تصریحه فی طهارة الخلاف بأنّه یجوز غسل الجمعة من طلوع الفجر إلی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علی ذلک الإجماع </w:t>
      </w:r>
      <w:r>
        <w:rPr>
          <w:rStyle w:val="FootnoteAnchor"/>
          <w:rtl w:val="true"/>
        </w:rPr>
        <w:footnoteReference w:id="52"/>
      </w:r>
      <w:r>
        <w:rPr>
          <w:rFonts w:ascii="IRNazanin" w:hAnsi="IRNazanin" w:eastAsia="IRNazanin"/>
          <w:color w:val="111111"/>
          <w:sz w:val="28"/>
          <w:sz w:val="28"/>
          <w:szCs w:val="28"/>
          <w:rtl w:val="true"/>
          <w:lang w:bidi="fa-IR"/>
        </w:rPr>
        <w:t xml:space="preserve">، کما مال إلیه فی مجمع الفائدة </w:t>
      </w:r>
      <w:r>
        <w:rPr>
          <w:rStyle w:val="FootnoteAnchor"/>
          <w:rtl w:val="true"/>
        </w:rPr>
        <w:footnoteReference w:id="53"/>
      </w:r>
      <w:r>
        <w:rPr>
          <w:rFonts w:ascii="IRNazanin" w:hAnsi="IRNazanin" w:eastAsia="IRNazanin"/>
          <w:color w:val="111111"/>
          <w:sz w:val="28"/>
          <w:sz w:val="28"/>
          <w:szCs w:val="28"/>
          <w:rtl w:val="true"/>
          <w:lang w:bidi="fa-IR"/>
        </w:rPr>
        <w:t xml:space="preserve">و الذخیرة </w:t>
      </w:r>
      <w:r>
        <w:rPr>
          <w:rStyle w:val="FootnoteAnchor"/>
          <w:rtl w:val="true"/>
        </w:rPr>
        <w:footnoteReference w:id="54"/>
      </w:r>
      <w:r>
        <w:rPr>
          <w:rFonts w:ascii="IRNazanin" w:hAnsi="IRNazanin" w:eastAsia="IRNazanin"/>
          <w:color w:val="111111"/>
          <w:sz w:val="28"/>
          <w:sz w:val="28"/>
          <w:szCs w:val="28"/>
          <w:rtl w:val="true"/>
          <w:lang w:bidi="fa-IR"/>
        </w:rPr>
        <w:t xml:space="preserve">و شرح الدروس </w:t>
      </w:r>
      <w:r>
        <w:rPr>
          <w:rStyle w:val="FootnoteAnchor"/>
          <w:rtl w:val="true"/>
        </w:rPr>
        <w:footnoteReference w:id="55"/>
      </w:r>
      <w:r>
        <w:rPr>
          <w:rFonts w:ascii="IRNazanin" w:hAnsi="IRNazanin" w:eastAsia="IRNazanin"/>
          <w:color w:val="111111"/>
          <w:sz w:val="28"/>
          <w:sz w:val="28"/>
          <w:szCs w:val="28"/>
          <w:rtl w:val="true"/>
          <w:lang w:bidi="fa-IR"/>
        </w:rPr>
        <w:t>استناداً إلی إطلاق الأخبار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المدارک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لولا الإجماع المنقول و عدم وجود القائل لکان القول به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ظهور الأخبار، بل قاعدة توقیفیّة العبادة، بناءً علی عدم جریان الاستصحاب فی مثل المقام من الأوامر الموسّعة، بناءً علی أنّ الزمان قید للواجب لا ظرف للوجوب؛ إذ الوجوب و هو الحکم الإنشائی أمر حاصل فی أوّل الوقت متعلّق بفعل مقیّد بوقوعه فی جملة من الزمان قصیرة کانت أو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الأُصول، إلّا أن یمنع جریان قاعدة التوقیف بعد الاتّفاق علی استحبابه بعد الزوال أیضاً، فلا یبقی ثمرة إلّا فی نیّة الأداء و القضاء، و هی لا تقدح فی التوقیفیّة و إن اتّفقت مخالفتها للواقع فضلًا عن صورة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تثمر فیما لو یشرع القضاء کما لو قدّمه یوم الخمیس ثمّ تمکّن من الماء یوم الجمعة بعد الزوال، فإنّه یسقط علی القول بالقضاء دون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استثنی من عدم جواز تقدیمه علی طلوع الفجر فی ظاهر الأصحاب کما عن کشف اللثام </w:t>
      </w:r>
      <w:r>
        <w:rPr>
          <w:rStyle w:val="FootnoteAnchor"/>
          <w:rtl w:val="true"/>
        </w:rPr>
        <w:footnoteReference w:id="57"/>
      </w:r>
      <w:r>
        <w:rPr>
          <w:rFonts w:ascii="IRNazanin" w:hAnsi="IRNazanin" w:eastAsia="IRNazanin"/>
          <w:color w:val="111111"/>
          <w:sz w:val="28"/>
          <w:sz w:val="28"/>
          <w:szCs w:val="28"/>
          <w:rtl w:val="true"/>
          <w:lang w:bidi="fa-IR"/>
        </w:rPr>
        <w:t xml:space="preserve">، و بلا خلاف بینهم کما عن الحدائق </w:t>
      </w:r>
      <w:r>
        <w:rPr>
          <w:rStyle w:val="FootnoteAnchor"/>
          <w:rtl w:val="true"/>
        </w:rPr>
        <w:footnoteReference w:id="58"/>
      </w:r>
      <w:r>
        <w:rPr>
          <w:rFonts w:ascii="IRNazanin" w:hAnsi="IRNazanin" w:eastAsia="IRNazanin"/>
          <w:color w:val="111111"/>
          <w:sz w:val="28"/>
          <w:sz w:val="28"/>
          <w:szCs w:val="28"/>
          <w:rtl w:val="true"/>
          <w:lang w:bidi="fa-IR"/>
        </w:rPr>
        <w:t>ما لو خاف فوته، لعدم الماء أو قلّته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الحسین بن موسی بن جعفر علیهما السلام، عن امّه و أُمّ أحمد بن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کنّا مع أبی الحسن موسی بن جعفر علیهما السلام فی البادیة و نحن نرید بغداد، فقال لنا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اغتسلا الیوم لغد یوم الجمعة، فإنّ الماء غداً بها قلیل، فاغتسلنا یوم الخمیس لیوم الجمعة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الحسین عن بعض أصحابه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لتأتون غداً منزلًا لیس فیه ماء فاغتسلوا الیوم لغدٍ، فاغتسلنا یوم الخمیس لیوم الجمعة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مسافراً و تخوّفت عدم الماء یوم الجمعة، فاغتسل یوم الخمیس</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ظاهرهما کالمحکیّ عن ظاهر الفقیه </w:t>
      </w:r>
      <w:r>
        <w:rPr>
          <w:rStyle w:val="FootnoteAnchor"/>
          <w:rtl w:val="true"/>
        </w:rPr>
        <w:footnoteReference w:id="62"/>
      </w:r>
      <w:r>
        <w:rPr>
          <w:rFonts w:ascii="Amiri" w:hAnsi="Amiri" w:eastAsia="Amiri" w:cs="Amiri"/>
          <w:color w:val="111111"/>
          <w:sz w:val="28"/>
          <w:sz w:val="28"/>
          <w:szCs w:val="28"/>
          <w:rtl w:val="true"/>
          <w:lang w:bidi="ar-SA"/>
        </w:rPr>
        <w:t xml:space="preserve">و المهذّب </w:t>
      </w:r>
      <w:r>
        <w:rPr>
          <w:rStyle w:val="FootnoteAnchor"/>
          <w:rtl w:val="true"/>
        </w:rPr>
        <w:footnoteReference w:id="63"/>
      </w:r>
      <w:r>
        <w:rPr>
          <w:rFonts w:ascii="IRNazanin" w:hAnsi="IRNazanin" w:eastAsia="IRNazanin"/>
          <w:color w:val="111111"/>
          <w:sz w:val="28"/>
          <w:sz w:val="28"/>
          <w:szCs w:val="28"/>
          <w:rtl w:val="true"/>
          <w:lang w:bidi="fa-IR"/>
        </w:rPr>
        <w:t xml:space="preserve">و الجامع </w:t>
      </w:r>
      <w:r>
        <w:rPr>
          <w:rStyle w:val="FootnoteAnchor"/>
          <w:rtl w:val="true"/>
        </w:rPr>
        <w:footnoteReference w:id="64"/>
      </w:r>
      <w:r>
        <w:rPr>
          <w:rFonts w:ascii="IRNazanin" w:hAnsi="IRNazanin" w:eastAsia="IRNazanin"/>
          <w:color w:val="111111"/>
          <w:sz w:val="28"/>
          <w:sz w:val="28"/>
          <w:szCs w:val="28"/>
          <w:rtl w:val="true"/>
          <w:lang w:bidi="fa-IR"/>
        </w:rPr>
        <w:t xml:space="preserve">و الشرائع </w:t>
      </w:r>
      <w:r>
        <w:rPr>
          <w:rStyle w:val="FootnoteAnchor"/>
          <w:rtl w:val="true"/>
        </w:rPr>
        <w:footnoteReference w:id="65"/>
      </w:r>
      <w:r>
        <w:rPr>
          <w:rFonts w:ascii="IRNazanin" w:hAnsi="IRNazanin" w:eastAsia="IRNazanin"/>
          <w:color w:val="111111"/>
          <w:sz w:val="28"/>
          <w:sz w:val="28"/>
          <w:szCs w:val="28"/>
          <w:rtl w:val="true"/>
          <w:lang w:bidi="fa-IR"/>
        </w:rPr>
        <w:t xml:space="preserve">و المصنّف فی أکثر کتبه </w:t>
      </w:r>
      <w:r>
        <w:rPr>
          <w:rStyle w:val="FootnoteAnchor"/>
          <w:rtl w:val="true"/>
        </w:rPr>
        <w:footnoteReference w:id="66"/>
      </w:r>
      <w:r>
        <w:rPr>
          <w:rFonts w:ascii="IRNazanin" w:hAnsi="IRNazanin" w:eastAsia="IRNazanin"/>
          <w:color w:val="111111"/>
          <w:sz w:val="28"/>
          <w:sz w:val="28"/>
          <w:szCs w:val="28"/>
          <w:rtl w:val="true"/>
          <w:lang w:bidi="fa-IR"/>
        </w:rPr>
        <w:t xml:space="preserve">و الذکری </w:t>
      </w:r>
      <w:r>
        <w:rPr>
          <w:rStyle w:val="FootnoteAnchor"/>
          <w:rtl w:val="true"/>
        </w:rPr>
        <w:footnoteReference w:id="67"/>
      </w:r>
      <w:r>
        <w:rPr>
          <w:rFonts w:ascii="IRNazanin" w:hAnsi="IRNazanin" w:eastAsia="IRNazanin"/>
          <w:color w:val="111111"/>
          <w:sz w:val="28"/>
          <w:sz w:val="28"/>
          <w:szCs w:val="28"/>
          <w:rtl w:val="true"/>
          <w:lang w:bidi="fa-IR"/>
        </w:rPr>
        <w:t xml:space="preserve">و جماعة من متأخّری المتأخّرین کأصحاب البحار </w:t>
      </w:r>
      <w:r>
        <w:rPr>
          <w:rStyle w:val="FootnoteAnchor"/>
          <w:rtl w:val="true"/>
        </w:rPr>
        <w:footnoteReference w:id="68"/>
      </w:r>
      <w:r>
        <w:rPr>
          <w:rFonts w:ascii="IRNazanin" w:hAnsi="IRNazanin" w:eastAsia="IRNazanin"/>
          <w:color w:val="111111"/>
          <w:sz w:val="28"/>
          <w:sz w:val="28"/>
          <w:szCs w:val="28"/>
          <w:rtl w:val="true"/>
          <w:lang w:bidi="fa-IR"/>
        </w:rPr>
        <w:t xml:space="preserve">و المشارق </w:t>
      </w:r>
      <w:r>
        <w:rPr>
          <w:rStyle w:val="FootnoteAnchor"/>
          <w:rtl w:val="true"/>
        </w:rPr>
        <w:footnoteReference w:id="69"/>
      </w:r>
      <w:r>
        <w:rPr>
          <w:rFonts w:ascii="IRNazanin" w:hAnsi="IRNazanin" w:eastAsia="IRNazanin"/>
          <w:color w:val="111111"/>
          <w:sz w:val="28"/>
          <w:sz w:val="28"/>
          <w:szCs w:val="28"/>
          <w:rtl w:val="true"/>
          <w:lang w:bidi="fa-IR"/>
        </w:rPr>
        <w:t xml:space="preserve">و الذخیرة </w:t>
      </w:r>
      <w:r>
        <w:rPr>
          <w:rStyle w:val="FootnoteAnchor"/>
          <w:rtl w:val="true"/>
        </w:rPr>
        <w:footnoteReference w:id="70"/>
      </w:r>
      <w:r>
        <w:rPr>
          <w:rFonts w:ascii="IRNazanin" w:hAnsi="IRNazanin" w:eastAsia="IRNazanin"/>
          <w:color w:val="111111"/>
          <w:sz w:val="28"/>
          <w:sz w:val="28"/>
          <w:szCs w:val="28"/>
          <w:rtl w:val="true"/>
          <w:lang w:bidi="fa-IR"/>
        </w:rPr>
        <w:t xml:space="preserve">و الحدائق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الرخصة بصورة إعواز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المحکیّ عن ظاهر النهایة </w:t>
      </w:r>
      <w:r>
        <w:rPr>
          <w:rStyle w:val="FootnoteAnchor"/>
          <w:rtl w:val="true"/>
        </w:rPr>
        <w:footnoteReference w:id="72"/>
      </w:r>
      <w:r>
        <w:rPr>
          <w:rFonts w:ascii="IRNazanin" w:hAnsi="IRNazanin" w:eastAsia="IRNazanin"/>
          <w:color w:val="111111"/>
          <w:sz w:val="28"/>
          <w:sz w:val="28"/>
          <w:szCs w:val="28"/>
          <w:rtl w:val="true"/>
          <w:lang w:bidi="fa-IR"/>
        </w:rPr>
        <w:t xml:space="preserve">و المبسوط </w:t>
      </w:r>
      <w:r>
        <w:rPr>
          <w:rStyle w:val="FootnoteAnchor"/>
          <w:rtl w:val="true"/>
        </w:rPr>
        <w:footnoteReference w:id="73"/>
      </w:r>
      <w:r>
        <w:rPr>
          <w:rFonts w:ascii="IRNazanin" w:hAnsi="IRNazanin" w:eastAsia="IRNazanin"/>
          <w:color w:val="111111"/>
          <w:sz w:val="28"/>
          <w:sz w:val="28"/>
          <w:szCs w:val="28"/>
          <w:rtl w:val="true"/>
          <w:lang w:bidi="fa-IR"/>
        </w:rPr>
        <w:t xml:space="preserve">و السرائر </w:t>
      </w:r>
      <w:r>
        <w:rPr>
          <w:rStyle w:val="FootnoteAnchor"/>
          <w:rtl w:val="true"/>
        </w:rPr>
        <w:footnoteReference w:id="74"/>
      </w:r>
      <w:r>
        <w:rPr>
          <w:rFonts w:ascii="IRNazanin" w:hAnsi="IRNazanin" w:eastAsia="IRNazanin"/>
          <w:color w:val="111111"/>
          <w:sz w:val="28"/>
          <w:sz w:val="28"/>
          <w:szCs w:val="28"/>
          <w:rtl w:val="true"/>
          <w:lang w:bidi="fa-IR"/>
        </w:rPr>
        <w:t xml:space="preserve">و التذکرة </w:t>
      </w:r>
      <w:r>
        <w:rPr>
          <w:rStyle w:val="FootnoteAnchor"/>
          <w:rtl w:val="true"/>
        </w:rPr>
        <w:footnoteReference w:id="75"/>
      </w:r>
      <w:r>
        <w:rPr>
          <w:rFonts w:ascii="IRNazanin" w:hAnsi="IRNazanin" w:eastAsia="IRNazanin"/>
          <w:color w:val="111111"/>
          <w:sz w:val="28"/>
          <w:sz w:val="28"/>
          <w:szCs w:val="28"/>
          <w:rtl w:val="true"/>
          <w:lang w:bidi="fa-IR"/>
        </w:rPr>
        <w:t xml:space="preserve">و الدروس </w:t>
      </w:r>
      <w:r>
        <w:rPr>
          <w:rStyle w:val="FootnoteAnchor"/>
          <w:rtl w:val="true"/>
        </w:rPr>
        <w:footnoteReference w:id="76"/>
      </w:r>
      <w:r>
        <w:rPr>
          <w:rFonts w:ascii="IRNazanin" w:hAnsi="IRNazanin" w:eastAsia="IRNazanin"/>
          <w:color w:val="111111"/>
          <w:sz w:val="28"/>
          <w:sz w:val="28"/>
          <w:szCs w:val="28"/>
          <w:rtl w:val="true"/>
          <w:lang w:bidi="fa-IR"/>
        </w:rPr>
        <w:t xml:space="preserve">و البیان </w:t>
      </w:r>
      <w:r>
        <w:rPr>
          <w:rStyle w:val="FootnoteAnchor"/>
          <w:rtl w:val="true"/>
        </w:rPr>
        <w:footnoteReference w:id="77"/>
      </w:r>
      <w:r>
        <w:rPr>
          <w:rFonts w:ascii="Amiri" w:hAnsi="Amiri" w:eastAsia="Amiri" w:cs="Amiri"/>
          <w:color w:val="111111"/>
          <w:sz w:val="28"/>
          <w:sz w:val="28"/>
          <w:szCs w:val="28"/>
          <w:rtl w:val="true"/>
          <w:lang w:bidi="ar-SA"/>
        </w:rPr>
        <w:t xml:space="preserve">و النفلیّة </w:t>
      </w:r>
      <w:r>
        <w:rPr>
          <w:rStyle w:val="FootnoteAnchor"/>
          <w:rtl w:val="true"/>
        </w:rPr>
        <w:footnoteReference w:id="78"/>
      </w:r>
      <w:r>
        <w:rPr>
          <w:rFonts w:ascii="IRNazanin" w:hAnsi="IRNazanin" w:eastAsia="IRNazanin"/>
          <w:color w:val="111111"/>
          <w:sz w:val="28"/>
          <w:sz w:val="28"/>
          <w:szCs w:val="28"/>
          <w:rtl w:val="true"/>
          <w:lang w:bidi="fa-IR"/>
        </w:rPr>
        <w:t xml:space="preserve">و الروض </w:t>
      </w:r>
      <w:r>
        <w:rPr>
          <w:rStyle w:val="FootnoteAnchor"/>
          <w:rtl w:val="true"/>
        </w:rPr>
        <w:footnoteReference w:id="79"/>
      </w:r>
      <w:r>
        <w:rPr>
          <w:rFonts w:ascii="IRNazanin" w:hAnsi="IRNazanin" w:eastAsia="IRNazanin"/>
          <w:color w:val="111111"/>
          <w:sz w:val="28"/>
          <w:sz w:val="28"/>
          <w:szCs w:val="28"/>
          <w:rtl w:val="true"/>
          <w:lang w:bidi="fa-IR"/>
        </w:rPr>
        <w:t xml:space="preserve">و المسالک </w:t>
      </w:r>
      <w:r>
        <w:rPr>
          <w:rStyle w:val="FootnoteAnchor"/>
          <w:rtl w:val="true"/>
        </w:rPr>
        <w:footnoteReference w:id="80"/>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مطلق الفوت و لو بسبب آخر، قیل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یحتمله کلام الأوّلین تنزیلًا لمورد فتاویهم منزلة المثال، و کأنّه لتنقیح المناط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فالأقوی الاقتصار فی مخالفة الأصل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جعل استناد الجماعة أو بعضهم فیما ذکره </w:t>
      </w:r>
      <w:r>
        <w:rPr>
          <w:rStyle w:val="FootnoteAnchor"/>
          <w:rtl w:val="true"/>
        </w:rPr>
        <w:footnoteReference w:id="83"/>
      </w:r>
      <w:r>
        <w:rPr>
          <w:rFonts w:ascii="IRNazanin" w:hAnsi="IRNazanin" w:eastAsia="IRNazanin"/>
          <w:color w:val="111111"/>
          <w:sz w:val="28"/>
          <w:sz w:val="28"/>
          <w:szCs w:val="28"/>
          <w:rtl w:val="true"/>
          <w:lang w:bidi="fa-IR"/>
        </w:rPr>
        <w:t>علی وصول خبر غیر هذین الخبرین کان المقام حقیقاً بالتسامح؛ لتحقّق معنی بلوغ الثواب عن الحجّة المنصرف إلیه إطلاق البلوغ فی أدلّة التسامح</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یعتبر الیأس؟ کما هو ظاهر الروایة الثانیة </w:t>
      </w:r>
      <w:r>
        <w:rPr>
          <w:rStyle w:val="FootnoteAnchor"/>
          <w:rtl w:val="true"/>
        </w:rPr>
        <w:footnoteReference w:id="84"/>
      </w:r>
      <w:r>
        <w:rPr>
          <w:rFonts w:ascii="IRNazanin" w:hAnsi="IRNazanin" w:eastAsia="IRNazanin"/>
          <w:color w:val="111111"/>
          <w:sz w:val="28"/>
          <w:sz w:val="28"/>
          <w:szCs w:val="28"/>
          <w:rtl w:val="true"/>
          <w:lang w:bidi="fa-IR"/>
        </w:rPr>
        <w:t>، و المحکیّ عن</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85"/>
      </w:r>
      <w:r>
        <w:rPr>
          <w:rFonts w:ascii="IRNazanin" w:hAnsi="IRNazanin" w:eastAsia="IRNazanin"/>
          <w:color w:val="111111"/>
          <w:sz w:val="28"/>
          <w:sz w:val="28"/>
          <w:szCs w:val="28"/>
          <w:rtl w:val="true"/>
          <w:lang w:bidi="fa-IR"/>
        </w:rPr>
        <w:t xml:space="preserve">و التلخیص </w:t>
      </w:r>
      <w:r>
        <w:rPr>
          <w:rStyle w:val="FootnoteAnchor"/>
          <w:rtl w:val="true"/>
        </w:rPr>
        <w:footnoteReference w:id="86"/>
      </w:r>
      <w:r>
        <w:rPr>
          <w:rFonts w:ascii="IRNazanin" w:hAnsi="IRNazanin" w:eastAsia="IRNazanin"/>
          <w:color w:val="111111"/>
          <w:sz w:val="28"/>
          <w:sz w:val="28"/>
          <w:szCs w:val="28"/>
          <w:rtl w:val="true"/>
          <w:lang w:bidi="fa-IR"/>
        </w:rPr>
        <w:t xml:space="preserve">أم یکفی الخوف؟ کما عن ظاهر المشهور </w:t>
      </w:r>
      <w:r>
        <w:rPr>
          <w:rStyle w:val="FootnoteAnchor"/>
          <w:rtl w:val="true"/>
        </w:rPr>
        <w:footnoteReference w:id="87"/>
      </w:r>
      <w:r>
        <w:rPr>
          <w:rFonts w:ascii="IRNazanin" w:hAnsi="IRNazanin" w:eastAsia="IRNazanin"/>
          <w:color w:val="111111"/>
          <w:sz w:val="28"/>
          <w:sz w:val="28"/>
          <w:szCs w:val="28"/>
          <w:rtl w:val="true"/>
          <w:lang w:bidi="fa-IR"/>
        </w:rPr>
        <w:t>و الرضوی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المصابیح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کاد یکون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الأقوی الثانی؛ لظاهر الروایة الأُولی </w:t>
      </w:r>
      <w:r>
        <w:rPr>
          <w:rStyle w:val="FootnoteAnchor"/>
          <w:rtl w:val="true"/>
        </w:rPr>
        <w:footnoteReference w:id="89"/>
      </w:r>
      <w:r>
        <w:rPr>
          <w:rFonts w:ascii="IRNazanin" w:hAnsi="IRNazanin" w:eastAsia="IRNazanin"/>
          <w:color w:val="111111"/>
          <w:sz w:val="28"/>
          <w:sz w:val="28"/>
          <w:szCs w:val="28"/>
          <w:rtl w:val="true"/>
          <w:lang w:bidi="fa-IR"/>
        </w:rPr>
        <w:t>و صریح الرضوی المؤیّد بشهادة التتبّع بکفایة الخوف فی الضرورات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المصنّف فی المنتهی و النهایة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غلبة الظنّ بعدم الماء مرّةً، و الاکتفاء بالخوف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فالمعتبر هو خوف عوز الماء أو الیأس منه لوقت الأداء، فلا عبرة بالمتمکّن من القضاء، کما هو ظاهر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المصابیح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جواز التقدیم لو تمکّن یوم السبت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المحکیّ عن الأکثر عدم العبرة بالتمکّن بعد الزوال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ظاهر کلّ من عبّر بخوف الفوت؛ لأنّ الظاهر منه فوت الأداء، کما صرّح به فی محکیّ البیان </w:t>
      </w:r>
      <w:r>
        <w:rPr>
          <w:rStyle w:val="FootnoteAnchor"/>
          <w:rtl w:val="true"/>
        </w:rPr>
        <w:footnoteReference w:id="93"/>
      </w:r>
      <w:r>
        <w:rPr>
          <w:rFonts w:ascii="IRNazanin" w:hAnsi="IRNazanin" w:eastAsia="IRNazanin"/>
          <w:color w:val="111111"/>
          <w:sz w:val="28"/>
          <w:sz w:val="28"/>
          <w:szCs w:val="28"/>
          <w:rtl w:val="true"/>
          <w:lang w:bidi="fa-IR"/>
        </w:rPr>
        <w:t xml:space="preserve">و روض الجنان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الذکری </w:t>
      </w:r>
      <w:r>
        <w:rPr>
          <w:rStyle w:val="FootnoteAnchor"/>
          <w:rtl w:val="true"/>
        </w:rPr>
        <w:footnoteReference w:id="95"/>
      </w:r>
      <w:r>
        <w:rPr>
          <w:rFonts w:ascii="IRNazanin" w:hAnsi="IRNazanin" w:eastAsia="IRNazanin"/>
          <w:color w:val="111111"/>
          <w:sz w:val="28"/>
          <w:sz w:val="28"/>
          <w:szCs w:val="28"/>
          <w:rtl w:val="true"/>
          <w:lang w:bidi="fa-IR"/>
        </w:rPr>
        <w:t xml:space="preserve">و الموجز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التعجیل علی القضاء لو تعارضا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 ظاهر الفقیه </w:t>
      </w:r>
      <w:r>
        <w:rPr>
          <w:rStyle w:val="FootnoteAnchor"/>
          <w:rtl w:val="true"/>
        </w:rPr>
        <w:footnoteReference w:id="97"/>
      </w:r>
      <w:r>
        <w:rPr>
          <w:rFonts w:ascii="IRNazanin" w:hAnsi="IRNazanin" w:eastAsia="IRNazanin"/>
          <w:color w:val="111111"/>
          <w:sz w:val="28"/>
          <w:sz w:val="28"/>
          <w:szCs w:val="28"/>
          <w:rtl w:val="true"/>
          <w:lang w:bidi="fa-IR"/>
        </w:rPr>
        <w:t xml:space="preserve">و النهایة </w:t>
      </w:r>
      <w:r>
        <w:rPr>
          <w:rStyle w:val="FootnoteAnchor"/>
          <w:rtl w:val="true"/>
        </w:rPr>
        <w:footnoteReference w:id="98"/>
      </w:r>
      <w:r>
        <w:rPr>
          <w:rFonts w:ascii="Amiri" w:hAnsi="Amiri" w:eastAsia="Amiri" w:cs="Amiri"/>
          <w:color w:val="111111"/>
          <w:sz w:val="28"/>
          <w:sz w:val="28"/>
          <w:szCs w:val="28"/>
          <w:rtl w:val="true"/>
          <w:lang w:bidi="ar-SA"/>
        </w:rPr>
        <w:t xml:space="preserve">و المهذّب </w:t>
      </w:r>
      <w:r>
        <w:rPr>
          <w:rStyle w:val="FootnoteAnchor"/>
          <w:rtl w:val="true"/>
        </w:rPr>
        <w:footnoteReference w:id="99"/>
      </w:r>
      <w:r>
        <w:rPr>
          <w:rFonts w:ascii="IRNazanin" w:hAnsi="IRNazanin" w:eastAsia="IRNazanin"/>
          <w:color w:val="111111"/>
          <w:sz w:val="28"/>
          <w:sz w:val="28"/>
          <w:szCs w:val="28"/>
          <w:rtl w:val="true"/>
          <w:lang w:bidi="fa-IR"/>
        </w:rPr>
        <w:t xml:space="preserve">و الجامع </w:t>
      </w:r>
      <w:r>
        <w:rPr>
          <w:rStyle w:val="FootnoteAnchor"/>
          <w:rtl w:val="true"/>
        </w:rPr>
        <w:footnoteReference w:id="100"/>
      </w:r>
      <w:r>
        <w:rPr>
          <w:rFonts w:ascii="IRNazanin" w:hAnsi="IRNazanin" w:eastAsia="IRNazanin"/>
          <w:color w:val="111111"/>
          <w:sz w:val="28"/>
          <w:sz w:val="28"/>
          <w:szCs w:val="28"/>
          <w:rtl w:val="true"/>
          <w:lang w:bidi="fa-IR"/>
        </w:rPr>
        <w:t xml:space="preserve">و غیرها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التقدیم بخوف الفوت یوم الجمعة، الظاهر فی تمام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المتبادر من هذا فی الفتاوی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المعهود المتعارف المضروب للغسل من یوم الجمعة لا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أفضلیّة التعجیل علی القضاء فلعلّه لظاهر الأمر فی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إدراک زمان الجمعة ظاهراً و استحباب المسارعة إلی فعل الخیر، و أنّ فی التأخیر آفات، کما یشهد به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 فإنّک لا تدری ما یکون</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ترجیح قضاء صلاة اللیل علی تعجیلها إنّما ثبت بالدلیل، مع أنّ المقدّم أداء فعل قبل وقته، و الأداء أفضل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فما عن المنتهی </w:t>
      </w:r>
      <w:r>
        <w:rPr>
          <w:rStyle w:val="FootnoteAnchor"/>
          <w:rtl w:val="true"/>
        </w:rPr>
        <w:footnoteReference w:id="103"/>
      </w:r>
      <w:r>
        <w:rPr>
          <w:rFonts w:ascii="IRNazanin" w:hAnsi="IRNazanin" w:eastAsia="IRNazanin"/>
          <w:color w:val="111111"/>
          <w:sz w:val="28"/>
          <w:sz w:val="28"/>
          <w:szCs w:val="28"/>
          <w:rtl w:val="true"/>
          <w:lang w:bidi="fa-IR"/>
        </w:rPr>
        <w:t>من احتمال استحباب التأخیر و القضاء</w:t>
      </w:r>
    </w:p>
    <w:p>
      <w:pPr>
        <w:pStyle w:val="BookText"/>
        <w:rPr/>
      </w:pPr>
      <w:r>
        <w:rPr>
          <w:rFonts w:ascii="IRNazanin" w:hAnsi="IRNazanin" w:eastAsia="IRNazanin"/>
          <w:color w:val="111111"/>
          <w:sz w:val="28"/>
          <w:sz w:val="28"/>
          <w:szCs w:val="28"/>
          <w:rtl w:val="true"/>
          <w:lang w:bidi="fa-IR"/>
        </w:rPr>
        <w:t>یوم السبت، کما فی صلاة اللیل للشابّ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إشکال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التقدیم علی یوم الخمیس و لو فی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المصابیح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لیلة الجمعة فالمحکیّ عن ظاهر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کذلک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للاقتصار فی الروایتین علی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المحکیّ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اغتسل قبل الفجر یوم الجمعة لم یجزه عن غسل الجمعة، إلّا إذا کان آیساً من وجود الماء فیجوز تقدیمه و لو من أوّل الخمیس، ثمّ ادّعی علی ذلک الإجماع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إلحاق لیلة الجمعة بالیوم، و لعلّه المنساق من العلّة فی الروایتین، فلا یخلو عن قوّة و لو لأجل استصحاب بقاء الأمر، بناءً علی الإغماض عمّا ذکرنا فی الموقّتات، إلّا أن یقال علی تقدیر تسلیم جریان الاستصحاب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الروایتین المتقدّمتین إنّما تعلّق بالاغتسال یوم الخمیس فلا معنی لاستصحابه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یفرق بین ما نحن فیه و بین مسألة امتداد وقت الأداء إلی آخر نهار الجمعة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هناک إنّما تعلّق بالغسل من دون تقیید بزمان خاصّ من الجمعة فیحکم بثبوته فی مجموع النهار، إمّا بإطلاقات بعض الأوامر کما تقدّم، و إمّا بالإغماض و الرجوع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تمکّن من الماء قبل زوال الجمعة فالمحکیّ عن جماعة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الإعادة، کما عن جماعة، منهم المصنّف فی المنتهی </w:t>
      </w:r>
      <w:r>
        <w:rPr>
          <w:rStyle w:val="FootnoteAnchor"/>
          <w:rtl w:val="true"/>
        </w:rPr>
        <w:footnoteReference w:id="109"/>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110"/>
      </w:r>
      <w:r>
        <w:rPr>
          <w:rFonts w:ascii="IRNazanin" w:hAnsi="IRNazanin" w:eastAsia="IRNazanin"/>
          <w:color w:val="111111"/>
          <w:sz w:val="28"/>
          <w:sz w:val="28"/>
          <w:szCs w:val="28"/>
          <w:rtl w:val="true"/>
          <w:lang w:bidi="fa-IR"/>
        </w:rPr>
        <w:t>معلّلین بسقوط حکم البدل عند التمکّن من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أبدله شارح الدروس بإطلاق الأوامر،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سلّمنا أنّ ظاهر الروایتین بدلیّة هذا الغسل المتقدّم لغسل الجمعة مطلقاً، لکن تخصیص الأخبار الکثیرة بمثل هاتین الروایتین مشکل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البدل قد وقع صحیحاً فلا یجمع بینه و بین المبدل، کما لو قدّم صلاة اللیل أو الوقوف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بعد تسلیم عدم انصراف الإطلاقات إلی من لم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التقدیم دالّة علی أنّ ما یؤتی غسل الجمعة الذی أراده الشارع من المتمکّن، فهی حاکمة علی الإطلاق، کما فی کلّ واجب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الذبّ عن الأُولی بأنّ عدم التمکّن من المبدل شرط فی صحّة البدل واقعاً، فانکشاف التمکّن منه یکشف عن عدم صحّة البدل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سوّغ الدخول فیه ظاهراً بمجرّد خوف العجز عن المبدل؛ صوناً للفعل عن الفوات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الجواب عن المناقشة فی الإطلاقات؛ إذ بعد تبیّن عدم تحقّق</w:t>
      </w:r>
    </w:p>
    <w:p>
      <w:pPr>
        <w:pStyle w:val="BookText"/>
        <w:rPr/>
      </w:pPr>
      <w:r>
        <w:rPr>
          <w:rFonts w:ascii="IRNazanin" w:hAnsi="IRNazanin" w:eastAsia="IRNazanin"/>
          <w:color w:val="111111"/>
          <w:sz w:val="28"/>
          <w:sz w:val="28"/>
          <w:szCs w:val="28"/>
          <w:rtl w:val="true"/>
          <w:lang w:bidi="fa-IR"/>
        </w:rPr>
        <w:t>الشرط الواقعی للبدل فلا مخرج له عن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یفعله الخائف هو الغسل الذی یفعله المتمکّن فی یوم الجمعة، فلو صحّ سندهما و استغنینا عن الجابر لم یکن مناص عن العمل بهما فی الحکم بالبدلیّة الواقعیّة، إلّا أنّهما لضعفهما لا یقومان علی إثبات حکم زائد علی أصل استحباب الفعل، و الجابر لهما من الشهرة و عدم ظهور الخلاف أیضاً لم یجبر الزائد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خلاف ظاهراً فی مشروعیّة قضاء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المصابیح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أجمع علماؤنا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مضافاً إلی ما ربما یستفاد من الحدیث القدسی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یقضی ما لم أفترض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استحباب قضاء کلّ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مثل 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فاته الغسل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بینه و بین اللیل فإن فاته اغتسل یوم السبت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لا یغتسل یوم الجمعة أوّل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فی آخر النهار، فإن لم یجد فلیقضه یوم السبت</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المرسل المحکیّ عن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نسیت الغسل أو فاتک لعلّة، فاغتسل بعد العصر أو یوم السبت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الغسل یوم الجمعة فی السفر و الحضر، فمن نسی فلیعد من الغد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نسیت الغسل ثمّ ذکرت وقت العصر أو من الغد فاغتسل</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تقدّم من کتاب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فاته غسل یوم الجمعة فلیقضه یوم السبت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هذا کلّه، فلا یظهر وجه للمناقشة فی هذا الحکم من صاحب المدارک </w:t>
      </w:r>
      <w:r>
        <w:rPr>
          <w:rStyle w:val="FootnoteAnchor"/>
          <w:rtl w:val="true"/>
        </w:rPr>
        <w:footnoteReference w:id="120"/>
      </w:r>
      <w:r>
        <w:rPr>
          <w:rFonts w:ascii="IRNazanin" w:hAnsi="IRNazanin" w:eastAsia="IRNazanin"/>
          <w:color w:val="111111"/>
          <w:sz w:val="28"/>
          <w:sz w:val="28"/>
          <w:szCs w:val="28"/>
          <w:rtl w:val="true"/>
          <w:lang w:bidi="fa-IR"/>
        </w:rPr>
        <w:t>مستنداً إلی موثّقة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یقضی غسل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مع احتمالها لوجوه من المحامل، و عدم مکافئتها لما مرّ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مقتضی إطلاق روایة سماعة عدم الفرق فی مشروعیّة قضائه بعد الزوال بین ترک الأداء لعذر و بین تعمّده، کما حکی عن ظاهر المبسوط و المهذّب و السرائر و الجامع و الشرائع و کثیر من کتب المصنّف قدّس سرّه و الدروس و البیان و النفلیّة و المعالم و السرائر </w:t>
      </w:r>
      <w:r>
        <w:rPr>
          <w:rStyle w:val="FootnoteAnchor"/>
          <w:rtl w:val="true"/>
        </w:rPr>
        <w:footnoteReference w:id="122"/>
      </w:r>
      <w:r>
        <w:rPr>
          <w:rFonts w:ascii="IRNazanin" w:hAnsi="IRNazanin" w:eastAsia="IRNazanin"/>
          <w:color w:val="111111"/>
          <w:sz w:val="28"/>
          <w:sz w:val="28"/>
          <w:szCs w:val="28"/>
          <w:rtl w:val="true"/>
          <w:lang w:bidi="fa-IR"/>
        </w:rPr>
        <w:t xml:space="preserve">و المسالک </w:t>
      </w:r>
      <w:r>
        <w:rPr>
          <w:rStyle w:val="FootnoteAnchor"/>
          <w:rtl w:val="true"/>
        </w:rPr>
        <w:footnoteReference w:id="123"/>
      </w:r>
      <w:r>
        <w:rPr>
          <w:rFonts w:ascii="IRNazanin" w:hAnsi="IRNazanin" w:eastAsia="IRNazanin"/>
          <w:color w:val="111111"/>
          <w:sz w:val="28"/>
          <w:sz w:val="28"/>
          <w:szCs w:val="28"/>
          <w:rtl w:val="true"/>
          <w:lang w:bidi="fa-IR"/>
        </w:rPr>
        <w:t xml:space="preserve">و صریح الذکری </w:t>
      </w:r>
      <w:r>
        <w:rPr>
          <w:rStyle w:val="FootnoteAnchor"/>
          <w:rtl w:val="true"/>
        </w:rPr>
        <w:footnoteReference w:id="124"/>
      </w:r>
      <w:r>
        <w:rPr>
          <w:rFonts w:ascii="IRNazanin" w:hAnsi="IRNazanin" w:eastAsia="IRNazanin"/>
          <w:color w:val="111111"/>
          <w:sz w:val="28"/>
          <w:sz w:val="28"/>
          <w:szCs w:val="28"/>
          <w:rtl w:val="true"/>
          <w:lang w:bidi="fa-IR"/>
        </w:rPr>
        <w:t xml:space="preserve">و الروض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شرح الدروس </w:t>
      </w:r>
      <w:r>
        <w:rPr>
          <w:rStyle w:val="FootnoteAnchor"/>
          <w:rtl w:val="true"/>
        </w:rPr>
        <w:footnoteReference w:id="126"/>
      </w:r>
      <w:r>
        <w:rPr>
          <w:rFonts w:ascii="IRNazanin" w:hAnsi="IRNazanin" w:eastAsia="IRNazanin"/>
          <w:color w:val="111111"/>
          <w:sz w:val="28"/>
          <w:sz w:val="28"/>
          <w:szCs w:val="28"/>
          <w:rtl w:val="true"/>
          <w:lang w:bidi="fa-IR"/>
        </w:rPr>
        <w:t xml:space="preserve">و الذخیرة </w:t>
      </w:r>
      <w:r>
        <w:rPr>
          <w:rStyle w:val="FootnoteAnchor"/>
          <w:rtl w:val="true"/>
        </w:rPr>
        <w:footnoteReference w:id="127"/>
      </w:r>
      <w:r>
        <w:rPr>
          <w:rFonts w:ascii="IRNazanin" w:hAnsi="IRNazanin" w:eastAsia="IRNazanin"/>
          <w:color w:val="111111"/>
          <w:sz w:val="28"/>
          <w:sz w:val="28"/>
          <w:szCs w:val="28"/>
          <w:rtl w:val="true"/>
          <w:lang w:bidi="fa-IR"/>
        </w:rPr>
        <w:t xml:space="preserve">و الکفایة </w:t>
      </w:r>
      <w:r>
        <w:rPr>
          <w:rStyle w:val="FootnoteAnchor"/>
          <w:rtl w:val="true"/>
        </w:rPr>
        <w:footnoteReference w:id="128"/>
      </w:r>
      <w:r>
        <w:rPr>
          <w:rFonts w:ascii="IRNazanin" w:hAnsi="IRNazanin" w:eastAsia="IRNazanin"/>
          <w:color w:val="111111"/>
          <w:sz w:val="28"/>
          <w:sz w:val="28"/>
          <w:szCs w:val="28"/>
          <w:rtl w:val="true"/>
          <w:lang w:bidi="fa-IR"/>
        </w:rPr>
        <w:t xml:space="preserve">، و حکی عنها </w:t>
      </w:r>
      <w:r>
        <w:rPr>
          <w:rStyle w:val="FootnoteAnchor"/>
          <w:rtl w:val="true"/>
        </w:rPr>
        <w:footnoteReference w:id="129"/>
      </w:r>
      <w:r>
        <w:rPr>
          <w:rFonts w:ascii="IRNazanin" w:hAnsi="IRNazanin" w:eastAsia="IRNazanin"/>
          <w:color w:val="111111"/>
          <w:sz w:val="28"/>
          <w:sz w:val="28"/>
          <w:szCs w:val="28"/>
          <w:rtl w:val="true"/>
          <w:lang w:bidi="fa-IR"/>
        </w:rPr>
        <w:t>إسناده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إلی الأکثر </w:t>
      </w:r>
      <w:r>
        <w:rPr>
          <w:rStyle w:val="FootnoteAnchor"/>
          <w:rtl w:val="true"/>
        </w:rPr>
        <w:footnoteReference w:id="130"/>
      </w:r>
      <w:r>
        <w:rPr>
          <w:rFonts w:ascii="IRNazanin" w:hAnsi="IRNazanin" w:eastAsia="IRNazanin"/>
          <w:color w:val="111111"/>
          <w:sz w:val="28"/>
          <w:sz w:val="28"/>
          <w:szCs w:val="28"/>
          <w:rtl w:val="true"/>
          <w:lang w:bidi="fa-IR"/>
        </w:rPr>
        <w:t xml:space="preserve">، بل لا یبعد الاستدلال بما تضمّن الفوت من الأخبار </w:t>
      </w:r>
      <w:r>
        <w:rPr>
          <w:rStyle w:val="FootnoteAnchor"/>
          <w:rtl w:val="true"/>
        </w:rPr>
        <w:footnoteReference w:id="131"/>
      </w:r>
      <w:r>
        <w:rPr>
          <w:rFonts w:ascii="IRNazanin" w:hAnsi="IRNazanin" w:eastAsia="IRNazanin"/>
          <w:color w:val="111111"/>
          <w:sz w:val="28"/>
          <w:sz w:val="28"/>
          <w:szCs w:val="28"/>
          <w:rtl w:val="true"/>
          <w:lang w:bidi="fa-IR"/>
        </w:rPr>
        <w:t>لصدقه بعد ما ترک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لظاهر المحکیّ عن الصدوقین </w:t>
      </w:r>
      <w:r>
        <w:rPr>
          <w:rStyle w:val="FootnoteAnchor"/>
          <w:rtl w:val="true"/>
        </w:rPr>
        <w:footnoteReference w:id="132"/>
      </w:r>
      <w:r>
        <w:rPr>
          <w:rFonts w:ascii="IRNazanin" w:hAnsi="IRNazanin" w:eastAsia="IRNazanin"/>
          <w:color w:val="111111"/>
          <w:sz w:val="28"/>
          <w:sz w:val="28"/>
          <w:szCs w:val="28"/>
          <w:rtl w:val="true"/>
          <w:lang w:bidi="fa-IR"/>
        </w:rPr>
        <w:t xml:space="preserve">فعبّرا بمثل المرسلة المتقدّمة عن الهدایة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یقضی لو ترک ضرورة إلی آخر السبت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ترکه تهاوناً ففی استحباب قضائه یوم السبت إشکال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اختصاص الإشکال بالقضاء یوم السبت، و أمّا القضاء یوم الجمعة فلا إشکال فی مشروعیّته مطلقاً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المحکیّ عن نهایة الشیخ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زالت الشمس و لم یکن قد اغتسل، قضاه بعد الزوال، و إن لم یمکنه قضاه یوم السبت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موافقة الصدوقین فی خصوص قضاء یوم السبت، و هو الذی استشکله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التفصیل لروایة سماعة المتقدّمة </w:t>
      </w:r>
      <w:r>
        <w:rPr>
          <w:rStyle w:val="FootnoteAnchor"/>
          <w:rtl w:val="true"/>
        </w:rPr>
        <w:footnoteReference w:id="137"/>
      </w:r>
      <w:r>
        <w:rPr>
          <w:rFonts w:ascii="IRNazanin" w:hAnsi="IRNazanin" w:eastAsia="IRNazanin"/>
          <w:color w:val="111111"/>
          <w:sz w:val="28"/>
          <w:sz w:val="28"/>
          <w:szCs w:val="28"/>
          <w:rtl w:val="true"/>
          <w:lang w:bidi="fa-IR"/>
        </w:rPr>
        <w:t xml:space="preserve">، فلا یبقی مستند للمشهور عدا موثّقة ابن بکیر </w:t>
      </w:r>
      <w:r>
        <w:rPr>
          <w:rStyle w:val="FootnoteAnchor"/>
          <w:rtl w:val="true"/>
        </w:rPr>
        <w:footnoteReference w:id="138"/>
      </w:r>
      <w:r>
        <w:rPr>
          <w:rFonts w:ascii="IRNazanin" w:hAnsi="IRNazanin" w:eastAsia="IRNazanin"/>
          <w:color w:val="111111"/>
          <w:sz w:val="28"/>
          <w:sz w:val="28"/>
          <w:szCs w:val="28"/>
          <w:rtl w:val="true"/>
          <w:lang w:bidi="fa-IR"/>
        </w:rPr>
        <w:t>، بناءً علی عموم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یقیّد روایة سماعة لإمکان ورود التقیید فیها للتنبیه علی المبالغة فی أنّه لا ینبغی ترک الغسل یوم الجمعة حتّی کان فواته لا یتصوّر إلّا من عدم الوجدان، و هذا الاحتمال أیضاً جارٍ فی مرسلة الهدایة و فتوی الصدوقین کما صرّح به بعض المحقّقین </w:t>
      </w:r>
      <w:r>
        <w:rPr>
          <w:rStyle w:val="FootnoteAnchor"/>
          <w:rtl w:val="true"/>
        </w:rPr>
        <w:footnoteReference w:id="139"/>
      </w:r>
      <w:r>
        <w:rPr>
          <w:rFonts w:ascii="IRNazanin" w:hAnsi="IRNazanin" w:eastAsia="IRNazanin"/>
          <w:color w:val="111111"/>
          <w:sz w:val="28"/>
          <w:sz w:val="28"/>
          <w:szCs w:val="28"/>
          <w:rtl w:val="true"/>
          <w:lang w:bidi="fa-IR"/>
        </w:rPr>
        <w:t xml:space="preserve">تبعاً لشارح الدروس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مقتضی أکثر الأخبار المتقدّمة مشروعیّة القضاء بعد الزوال و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عن ظاهر المهذّب؛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زالت الشمس و لم یکن اغتسل قضاه یوم السبت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ظاهر الشرائع </w:t>
      </w:r>
      <w:r>
        <w:rPr>
          <w:rStyle w:val="FootnoteAnchor"/>
          <w:rtl w:val="true"/>
        </w:rPr>
        <w:footnoteReference w:id="142"/>
      </w:r>
      <w:r>
        <w:rPr>
          <w:rFonts w:ascii="IRNazanin" w:hAnsi="IRNazanin" w:eastAsia="IRNazanin"/>
          <w:color w:val="111111"/>
          <w:sz w:val="28"/>
          <w:sz w:val="28"/>
          <w:szCs w:val="28"/>
          <w:rtl w:val="true"/>
          <w:lang w:bidi="fa-IR"/>
        </w:rPr>
        <w:t xml:space="preserve">و التلخیص </w:t>
      </w:r>
      <w:r>
        <w:rPr>
          <w:rStyle w:val="FootnoteAnchor"/>
          <w:rtl w:val="true"/>
        </w:rPr>
        <w:footnoteReference w:id="143"/>
      </w:r>
      <w:r>
        <w:rPr>
          <w:rFonts w:ascii="Amiri" w:hAnsi="Amiri" w:eastAsia="Amiri" w:cs="Amiri"/>
          <w:color w:val="111111"/>
          <w:sz w:val="28"/>
          <w:sz w:val="28"/>
          <w:szCs w:val="28"/>
          <w:rtl w:val="true"/>
          <w:lang w:bidi="ar-SA"/>
        </w:rPr>
        <w:t xml:space="preserve">و النفلیّة </w:t>
      </w:r>
      <w:r>
        <w:rPr>
          <w:rStyle w:val="FootnoteAnchor"/>
          <w:rtl w:val="true"/>
        </w:rPr>
        <w:footnoteReference w:id="144"/>
      </w:r>
      <w:r>
        <w:rPr>
          <w:rFonts w:ascii="IRNazanin" w:hAnsi="IRNazanin" w:eastAsia="IRNazanin"/>
          <w:color w:val="111111"/>
          <w:sz w:val="28"/>
          <w:sz w:val="28"/>
          <w:szCs w:val="28"/>
          <w:rtl w:val="true"/>
          <w:lang w:bidi="fa-IR"/>
        </w:rPr>
        <w:t xml:space="preserve">و شرحها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الموجود فی النصوص فلذا اقتصر المصنّف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لیس فی النصوص ما یوهم الاختصاص عدا مرسلة حریز </w:t>
      </w:r>
      <w:r>
        <w:rPr>
          <w:rStyle w:val="FootnoteAnchor"/>
          <w:rtl w:val="true"/>
        </w:rPr>
        <w:footnoteReference w:id="146"/>
      </w:r>
      <w:r>
        <w:rPr>
          <w:rFonts w:ascii="IRNazanin" w:hAnsi="IRNazanin" w:eastAsia="IRNazanin"/>
          <w:color w:val="111111"/>
          <w:sz w:val="28"/>
          <w:sz w:val="28"/>
          <w:szCs w:val="28"/>
          <w:rtl w:val="true"/>
          <w:lang w:bidi="fa-IR"/>
        </w:rPr>
        <w:t>و الروایة المتقدّمة عن کتاب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فاته غسل یوم الجمعة قضاه یوم السبت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یبعد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مطلق الغسل الواقع فیه و لو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ذلک فی عبارة الشرائع و المحکیّ عن النفلیّة و التلخیص، و أن یکون مراد شارح النفلیّة الاختصاص بیوم السبت فی مقابلة لیلته لا فی مقابل عصر الجمعة، فهو حینئذٍ حسن؛ لما عرفت من خلوّ الأخبار عن ذکر لیلة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إرادتها من یوم السبت تغلیباً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الأولویّة ممنوعة سیّما مع احتمال اعتبار المماثلة بین القضاء 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بالاستصحاب مع تقیّد الأمر فی الروایات بیوم الجمعة أو بیوم السبت فاسد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یتخیّل أنّ التمسّک بالاستصحاب مبنیّ علی إرادة المفهوم من القیود و هو ضعیف، إلّا أن یستصحب الوجوب الثابت من الإجماع القابل</w:t>
      </w:r>
    </w:p>
    <w:p>
      <w:pPr>
        <w:pStyle w:val="BookText"/>
        <w:rPr/>
      </w:pPr>
      <w:r>
        <w:rPr>
          <w:rFonts w:ascii="IRNazanin" w:hAnsi="IRNazanin" w:eastAsia="IRNazanin"/>
          <w:color w:val="111111"/>
          <w:sz w:val="28"/>
          <w:sz w:val="28"/>
          <w:szCs w:val="28"/>
          <w:rtl w:val="true"/>
          <w:lang w:bidi="fa-IR"/>
        </w:rPr>
        <w:t>للاستمرار إلی ما بعد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یعمل بهذا التقیید لقوّة وروده مورد الغالب من أنّ قضاء الغسل لا یفعل إلّا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یوجب عدم اختصاص المراد من الکلام مورد القید، غایة الأمر أن لا یدلّ علی اختصاص الحکم، فالاقتصار علی نهاری الجمعة و السبت أقوی من حیث الاستدلال لا من باب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وفاقاً للمحکیّ عن النهایة </w:t>
      </w:r>
      <w:r>
        <w:rPr>
          <w:rStyle w:val="FootnoteAnchor"/>
          <w:rtl w:val="true"/>
        </w:rPr>
        <w:footnoteReference w:id="148"/>
      </w:r>
      <w:r>
        <w:rPr>
          <w:rFonts w:ascii="IRNazanin" w:hAnsi="IRNazanin" w:eastAsia="IRNazanin"/>
          <w:color w:val="111111"/>
          <w:sz w:val="28"/>
          <w:sz w:val="28"/>
          <w:szCs w:val="28"/>
          <w:rtl w:val="true"/>
          <w:lang w:bidi="fa-IR"/>
        </w:rPr>
        <w:t xml:space="preserve">و المبسوط </w:t>
      </w:r>
      <w:r>
        <w:rPr>
          <w:rStyle w:val="FootnoteAnchor"/>
          <w:rtl w:val="true"/>
        </w:rPr>
        <w:footnoteReference w:id="149"/>
      </w:r>
      <w:r>
        <w:rPr>
          <w:rFonts w:ascii="IRNazanin" w:hAnsi="IRNazanin" w:eastAsia="IRNazanin"/>
          <w:color w:val="111111"/>
          <w:sz w:val="28"/>
          <w:sz w:val="28"/>
          <w:szCs w:val="28"/>
          <w:rtl w:val="true"/>
          <w:lang w:bidi="fa-IR"/>
        </w:rPr>
        <w:t xml:space="preserve">و السرائر </w:t>
      </w:r>
      <w:r>
        <w:rPr>
          <w:rStyle w:val="FootnoteAnchor"/>
          <w:rtl w:val="true"/>
        </w:rPr>
        <w:footnoteReference w:id="150"/>
      </w:r>
      <w:r>
        <w:rPr>
          <w:rFonts w:ascii="IRNazanin" w:hAnsi="IRNazanin" w:eastAsia="IRNazanin"/>
          <w:color w:val="111111"/>
          <w:sz w:val="28"/>
          <w:sz w:val="28"/>
          <w:szCs w:val="28"/>
          <w:rtl w:val="true"/>
          <w:lang w:bidi="fa-IR"/>
        </w:rPr>
        <w:t xml:space="preserve">و الجامع </w:t>
      </w:r>
      <w:r>
        <w:rPr>
          <w:rStyle w:val="FootnoteAnchor"/>
          <w:rtl w:val="true"/>
        </w:rPr>
        <w:footnoteReference w:id="151"/>
      </w:r>
      <w:r>
        <w:rPr>
          <w:rFonts w:ascii="IRNazanin" w:hAnsi="IRNazanin" w:eastAsia="IRNazanin"/>
          <w:color w:val="111111"/>
          <w:sz w:val="28"/>
          <w:sz w:val="28"/>
          <w:szCs w:val="28"/>
          <w:rtl w:val="true"/>
          <w:lang w:bidi="fa-IR"/>
        </w:rPr>
        <w:t xml:space="preserve">و المعتبر </w:t>
      </w:r>
      <w:r>
        <w:rPr>
          <w:rStyle w:val="FootnoteAnchor"/>
          <w:rtl w:val="true"/>
        </w:rPr>
        <w:footnoteReference w:id="152"/>
      </w:r>
      <w:r>
        <w:rPr>
          <w:rFonts w:ascii="IRNazanin" w:hAnsi="IRNazanin" w:eastAsia="IRNazanin"/>
          <w:color w:val="111111"/>
          <w:sz w:val="28"/>
          <w:sz w:val="28"/>
          <w:szCs w:val="28"/>
          <w:rtl w:val="true"/>
          <w:lang w:bidi="fa-IR"/>
        </w:rPr>
        <w:t xml:space="preserve">و المنتهی </w:t>
      </w:r>
      <w:r>
        <w:rPr>
          <w:rStyle w:val="FootnoteAnchor"/>
          <w:rtl w:val="true"/>
        </w:rPr>
        <w:footnoteReference w:id="153"/>
      </w:r>
      <w:r>
        <w:rPr>
          <w:rFonts w:ascii="IRNazanin" w:hAnsi="IRNazanin" w:eastAsia="IRNazanin"/>
          <w:color w:val="111111"/>
          <w:sz w:val="28"/>
          <w:sz w:val="28"/>
          <w:szCs w:val="28"/>
          <w:rtl w:val="true"/>
          <w:lang w:bidi="fa-IR"/>
        </w:rPr>
        <w:t xml:space="preserve">و التذکرة </w:t>
      </w:r>
      <w:r>
        <w:rPr>
          <w:rStyle w:val="FootnoteAnchor"/>
          <w:rtl w:val="true"/>
        </w:rPr>
        <w:footnoteReference w:id="154"/>
      </w:r>
      <w:r>
        <w:rPr>
          <w:rFonts w:ascii="IRNazanin" w:hAnsi="IRNazanin" w:eastAsia="IRNazanin"/>
          <w:color w:val="111111"/>
          <w:sz w:val="28"/>
          <w:sz w:val="28"/>
          <w:szCs w:val="28"/>
          <w:rtl w:val="true"/>
          <w:lang w:bidi="fa-IR"/>
        </w:rPr>
        <w:t xml:space="preserve">و الذکری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خلافاً للمحکیّ عن القواعد </w:t>
      </w:r>
      <w:r>
        <w:rPr>
          <w:rStyle w:val="FootnoteAnchor"/>
          <w:rtl w:val="true"/>
        </w:rPr>
        <w:footnoteReference w:id="156"/>
      </w:r>
      <w:r>
        <w:rPr>
          <w:rFonts w:ascii="IRNazanin" w:hAnsi="IRNazanin" w:eastAsia="IRNazanin"/>
          <w:color w:val="111111"/>
          <w:sz w:val="28"/>
          <w:sz w:val="28"/>
          <w:szCs w:val="28"/>
          <w:rtl w:val="true"/>
          <w:lang w:bidi="fa-IR"/>
        </w:rPr>
        <w:t xml:space="preserve">و الدروس </w:t>
      </w:r>
      <w:r>
        <w:rPr>
          <w:rStyle w:val="FootnoteAnchor"/>
          <w:rtl w:val="true"/>
        </w:rPr>
        <w:footnoteReference w:id="157"/>
      </w:r>
      <w:r>
        <w:rPr>
          <w:rFonts w:ascii="IRNazanin" w:hAnsi="IRNazanin" w:eastAsia="IRNazanin"/>
          <w:color w:val="111111"/>
          <w:sz w:val="28"/>
          <w:sz w:val="28"/>
          <w:szCs w:val="28"/>
          <w:rtl w:val="true"/>
          <w:lang w:bidi="fa-IR"/>
        </w:rPr>
        <w:t xml:space="preserve">و البیان </w:t>
      </w:r>
      <w:r>
        <w:rPr>
          <w:rStyle w:val="FootnoteAnchor"/>
          <w:rtl w:val="true"/>
        </w:rPr>
        <w:footnoteReference w:id="158"/>
      </w:r>
      <w:r>
        <w:rPr>
          <w:rFonts w:ascii="IRNazanin" w:hAnsi="IRNazanin" w:eastAsia="IRNazanin"/>
          <w:color w:val="111111"/>
          <w:sz w:val="28"/>
          <w:sz w:val="28"/>
          <w:szCs w:val="28"/>
          <w:rtl w:val="true"/>
          <w:lang w:bidi="fa-IR"/>
        </w:rPr>
        <w:t>و المعالم</w:t>
      </w:r>
    </w:p>
    <w:p>
      <w:pPr>
        <w:pStyle w:val="BookText"/>
        <w:rPr/>
      </w:pPr>
      <w:r>
        <w:rPr>
          <w:rFonts w:ascii="Amiri" w:hAnsi="Amiri" w:eastAsia="Amiri" w:cs="Amiri"/>
          <w:color w:val="111111"/>
          <w:sz w:val="28"/>
          <w:sz w:val="28"/>
          <w:szCs w:val="28"/>
          <w:rtl w:val="true"/>
          <w:lang w:bidi="ar-SA"/>
        </w:rPr>
        <w:t xml:space="preserve">لابن قطّان </w:t>
      </w:r>
      <w:r>
        <w:rPr>
          <w:rStyle w:val="FootnoteAnchor"/>
          <w:rtl w:val="true"/>
        </w:rPr>
        <w:footnoteReference w:id="159"/>
      </w:r>
      <w:r>
        <w:rPr>
          <w:rFonts w:ascii="IRNazanin" w:hAnsi="IRNazanin" w:eastAsia="IRNazanin"/>
          <w:color w:val="111111"/>
          <w:sz w:val="28"/>
          <w:sz w:val="28"/>
          <w:szCs w:val="28"/>
          <w:rtl w:val="true"/>
          <w:lang w:bidi="fa-IR"/>
        </w:rPr>
        <w:t xml:space="preserve">و الموجز </w:t>
      </w:r>
      <w:r>
        <w:rPr>
          <w:rStyle w:val="FootnoteAnchor"/>
          <w:rtl w:val="true"/>
        </w:rPr>
        <w:footnoteReference w:id="160"/>
      </w:r>
      <w:r>
        <w:rPr>
          <w:rFonts w:ascii="IRNazanin" w:hAnsi="IRNazanin" w:eastAsia="IRNazanin"/>
          <w:color w:val="111111"/>
          <w:sz w:val="28"/>
          <w:sz w:val="28"/>
          <w:szCs w:val="28"/>
          <w:rtl w:val="true"/>
          <w:lang w:bidi="fa-IR"/>
        </w:rPr>
        <w:t xml:space="preserve">و فوائد الشرائع </w:t>
      </w:r>
      <w:r>
        <w:rPr>
          <w:rStyle w:val="FootnoteAnchor"/>
          <w:rtl w:val="true"/>
        </w:rPr>
        <w:footnoteReference w:id="161"/>
      </w:r>
      <w:r>
        <w:rPr>
          <w:rFonts w:ascii="IRNazanin" w:hAnsi="IRNazanin" w:eastAsia="IRNazanin"/>
          <w:color w:val="111111"/>
          <w:sz w:val="28"/>
          <w:sz w:val="28"/>
          <w:szCs w:val="28"/>
          <w:rtl w:val="true"/>
          <w:lang w:bidi="fa-IR"/>
        </w:rPr>
        <w:t xml:space="preserve">و المسالک </w:t>
      </w:r>
      <w:r>
        <w:rPr>
          <w:rStyle w:val="FootnoteAnchor"/>
          <w:rtl w:val="true"/>
        </w:rPr>
        <w:footnoteReference w:id="162"/>
      </w:r>
      <w:r>
        <w:rPr>
          <w:rFonts w:ascii="IRNazanin" w:hAnsi="IRNazanin" w:eastAsia="IRNazanin"/>
          <w:color w:val="111111"/>
          <w:sz w:val="28"/>
          <w:sz w:val="28"/>
          <w:szCs w:val="28"/>
          <w:rtl w:val="true"/>
          <w:lang w:bidi="fa-IR"/>
        </w:rPr>
        <w:t xml:space="preserve">و الروض </w:t>
      </w:r>
      <w:r>
        <w:rPr>
          <w:rStyle w:val="FootnoteAnchor"/>
          <w:rtl w:val="true"/>
        </w:rPr>
        <w:footnoteReference w:id="163"/>
      </w:r>
      <w:r>
        <w:rPr>
          <w:rFonts w:ascii="IRNazanin" w:hAnsi="IRNazanin" w:eastAsia="IRNazanin"/>
          <w:color w:val="111111"/>
          <w:sz w:val="28"/>
          <w:sz w:val="28"/>
          <w:szCs w:val="28"/>
          <w:rtl w:val="true"/>
          <w:lang w:bidi="fa-IR"/>
        </w:rPr>
        <w:t xml:space="preserve">و المدارک </w:t>
      </w:r>
      <w:r>
        <w:rPr>
          <w:rStyle w:val="FootnoteAnchor"/>
          <w:rtl w:val="true"/>
        </w:rPr>
        <w:footnoteReference w:id="164"/>
      </w:r>
      <w:r>
        <w:rPr>
          <w:rFonts w:ascii="IRNazanin" w:hAnsi="IRNazanin" w:eastAsia="IRNazanin"/>
          <w:color w:val="111111"/>
          <w:sz w:val="28"/>
          <w:sz w:val="28"/>
          <w:szCs w:val="28"/>
          <w:rtl w:val="true"/>
          <w:lang w:bidi="fa-IR"/>
        </w:rPr>
        <w:t>، فإنّ المحکیّ عن جمیعها التصریح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من الزوال یوم الجمعة إلی آخر نهار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البحار </w:t>
      </w:r>
      <w:r>
        <w:rPr>
          <w:rStyle w:val="FootnoteAnchor"/>
          <w:rtl w:val="true"/>
        </w:rPr>
        <w:footnoteReference w:id="165"/>
      </w:r>
      <w:r>
        <w:rPr>
          <w:rFonts w:ascii="IRNazanin" w:hAnsi="IRNazanin" w:eastAsia="IRNazanin"/>
          <w:color w:val="111111"/>
          <w:sz w:val="28"/>
          <w:sz w:val="28"/>
          <w:szCs w:val="28"/>
          <w:rtl w:val="true"/>
          <w:lang w:bidi="fa-IR"/>
        </w:rPr>
        <w:t>نسبته إلی ظاهر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دخول لیلة السبت أیضاً، کما قاله الأصحاب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فی المسألة أصحاب الذخیرة </w:t>
      </w:r>
      <w:r>
        <w:rPr>
          <w:rStyle w:val="FootnoteAnchor"/>
          <w:rtl w:val="true"/>
        </w:rPr>
        <w:footnoteReference w:id="167"/>
      </w:r>
      <w:r>
        <w:rPr>
          <w:rFonts w:ascii="IRNazanin" w:hAnsi="IRNazanin" w:eastAsia="IRNazanin"/>
          <w:color w:val="111111"/>
          <w:sz w:val="28"/>
          <w:sz w:val="28"/>
          <w:szCs w:val="28"/>
          <w:rtl w:val="true"/>
          <w:lang w:bidi="fa-IR"/>
        </w:rPr>
        <w:t xml:space="preserve">و البحار </w:t>
      </w:r>
      <w:r>
        <w:rPr>
          <w:rStyle w:val="FootnoteAnchor"/>
          <w:rtl w:val="true"/>
        </w:rPr>
        <w:footnoteReference w:id="168"/>
      </w:r>
      <w:r>
        <w:rPr>
          <w:rFonts w:ascii="IRNazanin" w:hAnsi="IRNazanin" w:eastAsia="IRNazanin"/>
          <w:color w:val="111111"/>
          <w:sz w:val="28"/>
          <w:sz w:val="28"/>
          <w:szCs w:val="28"/>
          <w:rtl w:val="true"/>
          <w:lang w:bidi="fa-IR"/>
        </w:rPr>
        <w:t xml:space="preserve">و الحدائق </w:t>
      </w:r>
      <w:r>
        <w:rPr>
          <w:rStyle w:val="FootnoteAnchor"/>
          <w:rtl w:val="true"/>
        </w:rPr>
        <w:footnoteReference w:id="169"/>
      </w:r>
      <w:r>
        <w:rPr>
          <w:rFonts w:ascii="IRNazanin" w:hAnsi="IRNazanin" w:eastAsia="IRNazanin"/>
          <w:color w:val="111111"/>
          <w:sz w:val="28"/>
          <w:sz w:val="28"/>
          <w:szCs w:val="28"/>
          <w:rtl w:val="true"/>
          <w:lang w:bidi="fa-IR"/>
        </w:rPr>
        <w:t xml:space="preserve">و شارح الدروس </w:t>
      </w:r>
      <w:r>
        <w:rPr>
          <w:rStyle w:val="FootnoteAnchor"/>
          <w:rtl w:val="true"/>
        </w:rPr>
        <w:footnoteReference w:id="170"/>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171"/>
      </w:r>
      <w:r>
        <w:rPr>
          <w:rFonts w:ascii="IRNazanin" w:hAnsi="IRNazanin" w:eastAsia="IRNazanin"/>
          <w:color w:val="111111"/>
          <w:sz w:val="28"/>
          <w:sz w:val="28"/>
          <w:szCs w:val="28"/>
          <w:rtl w:val="true"/>
          <w:lang w:bidi="fa-IR"/>
        </w:rPr>
        <w:t xml:space="preserve">، تبعاً للمصنّف فی نهایة الإحکام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32" w:name="pg13039_115136"/>
    </w:p>
    <w:p>
      <w:pPr>
        <w:pStyle w:val="BookText"/>
        <w:rPr/>
      </w:pPr>
      <w:bookmarkEnd w:id="32"/>
      <w:r>
        <w:rPr>
          <w:rFonts w:ascii="IRNazanin" w:hAnsi="IRNazanin" w:eastAsia="IRNazanin"/>
          <w:color w:val="111111"/>
          <w:sz w:val="28"/>
          <w:sz w:val="28"/>
          <w:szCs w:val="28"/>
          <w:rtl w:val="true"/>
          <w:lang w:bidi="fa-IR"/>
        </w:rPr>
        <w:t xml:space="preserve">و علی کلّ حال، فالظاهر أنّه لم یقل أحد بمشروعیّته بعد انقضائها و السبت، کما اعترف به فی محکیّ البحار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المحکیّ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یقضی یوم السبت أو بعده من أیّام الجمعة</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و هو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احتمله بعض مشایخنا المعاصرین؛ تسامحاً فی أدلّة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بجیّد؛ لأنّ ظاهر الأدلّة ینفی ذلک، و أدلّة التسامح لا تجری مع ظهور المنع، فإنّه مخصوص بما یؤمن معه الضرر مع رجاء النفع </w:t>
      </w:r>
      <w:r>
        <w:rPr>
          <w:rStyle w:val="FootnoteAnchor"/>
          <w:rtl w:val="true"/>
        </w:rPr>
        <w:footnoteReference w:id="1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ظهور الأدلّة فی المنع من حیث الاقتصار فی مقام البیان علی السبت، و إلّا فمجرّد عدم ذکره فی الأخبار لا یدلّ علی المنع، إلّا من جهة التشریع المنتفی فی مقام التسامح من جهة حکم العقل و أخبار التسامح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عدم المشروعیّة المستفاد من الاقتصار فی مقام البیان بل من التصریح به فی الأخبار المعتبرة الظنّیة أیضاً لا یمنع عن التسامح؛ لعموم أدلّته، إذ لیس فی ذلک إلّا احتیاط غیر منافٍ لاعتبار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و اللّٰه العالم بحقائق أحکامه</w:t>
      </w:r>
      <w:r>
        <w:rPr>
          <w:rFonts w:eastAsia="IRNazanin" w:cs="IRNazanin"/>
          <w:color w:val="111111"/>
          <w:sz w:val="28"/>
          <w:szCs w:val="28"/>
          <w:rtl w:val="true"/>
          <w:lang w:bidi="fa-IR"/>
        </w:rPr>
        <w:t>.</w:t>
      </w:r>
    </w:p>
    <w:p>
      <w:pPr>
        <w:pStyle w:val="Heading6"/>
        <w:numPr>
          <w:ilvl w:val="5"/>
          <w:numId w:val="1"/>
        </w:numPr>
        <w:rPr/>
      </w:pPr>
      <w:bookmarkStart w:id="33" w:name="__RefHeading___Toc6451886_3224264995"/>
      <w:bookmarkStart w:id="34" w:name="_Toc14"/>
      <w:bookmarkEnd w:id="33"/>
      <w:r>
        <w:rPr>
          <w:rtl w:val="true"/>
        </w:rPr>
        <w:t>[</w:t>
      </w:r>
      <w:r>
        <w:rPr>
          <w:rtl w:val="true"/>
        </w:rPr>
        <w:t>غسل أوّل لیلة من شهر رمضان</w:t>
      </w:r>
      <w:r>
        <w:rPr>
          <w:rtl w:val="true"/>
        </w:rPr>
        <w:t>]</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الغسل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لیلة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بالإجماع کما فی الروض </w:t>
      </w:r>
      <w:r>
        <w:rPr>
          <w:rStyle w:val="FootnoteAnchor"/>
          <w:rtl w:val="true"/>
        </w:rPr>
        <w:footnoteReference w:id="177"/>
      </w:r>
      <w:r>
        <w:rPr>
          <w:rFonts w:ascii="IRNazanin" w:hAnsi="IRNazanin" w:eastAsia="IRNazanin"/>
          <w:color w:val="111111"/>
          <w:sz w:val="28"/>
          <w:sz w:val="28"/>
          <w:szCs w:val="28"/>
          <w:rtl w:val="true"/>
          <w:lang w:bidi="fa-IR"/>
        </w:rPr>
        <w:t xml:space="preserve">و عن الغنیة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الأصحاب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 علیه الأخبار المستفیضة،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الإقبال عن بعض کتب القمّیین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أوّل لیلة من شهر رمضان فی نهر جارٍ، و یصبّ علیٰ رأسه ثلاثین کفّاً من الماء طهر إلی شهر رمضان من قابل</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الکتاب أیضاً ما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لا یکون به الحکّة فلیغتسل أوّل لیلة من شهر رمضان، فلا یکون به الحکّة إلی شهر رمضان القابل</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أیضاً فی یومه لما فی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أوّل یوم من السنة فی ماءٍ جارٍ و صبّ علی رأسه ثلاثین غرفة کان دواء السنة، و أنّ أوّل کلّ سنة أوّل یوم من شهر رمضان</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البحار روایة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دواء السنة</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و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السیّد فی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المعنی موجود فی کثیر من الروایات، ففی صحیحة هشام بن سالم المرویّة فی آخر باب الصوم من التهذیب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شهر رمضان سلمت السنة،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السنة شهر رمضان</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الکافی بإسناده إلی الصادق علیه السلام فی تفسیر عدّة الشهور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اللّٰه، و هو شهر رمضان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و نحوها ما عن الفقیه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فی الإقبال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الروایات و إن کانت مختلفة فی أنّ أوّل السنة المحرّم أو شهر رمضان، لکن رأیت عمل من أدرکته من علماء أصحابنا المعتبرین و کثیراً من تصانیف علمائهم الماضین أنّ أوّل السنة شهر رمضان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من روایات أصحابنا أنّ شهر رمضان أوّل السنة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35" w:name="pg13039_115139"/>
    </w:p>
    <w:p>
      <w:pPr>
        <w:pStyle w:val="BookText"/>
        <w:rPr/>
      </w:pPr>
      <w:bookmarkEnd w:id="35"/>
      <w:r>
        <w:rPr>
          <w:rFonts w:ascii="IRNazanin" w:hAnsi="IRNazanin" w:eastAsia="IRNazanin"/>
          <w:color w:val="111111"/>
          <w:sz w:val="28"/>
          <w:sz w:val="28"/>
          <w:szCs w:val="28"/>
          <w:rtl w:val="true"/>
          <w:lang w:bidi="fa-IR"/>
        </w:rPr>
        <w:t xml:space="preserve">و قال فی محکیّ البحار فی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العرب أنّ أوّل سنتهم المحرّم، و هذه الأُمور تختلف بالاعتبارات، فیمکن أن یکون أوّل السنة الشرعیّة شهر رمضان، و لذا قیّد الشیخ به فی المصباحین، و أوّل السنة العرفیّة المحرّم، و أوّل السنة التقدیریّة لیلة القدر، و أوّل سنة جواز الأکل و الشرب شهر شوّال، کما روی الصدوق بإسناده إلی الفضل بن شاذان و فی علّة صلاة العید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أوّل یوم من السنة یحلّ فیه الأکل و الشرب؛ لأنّ أوّل شهور السنة عند أهل الحقّ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علّة اختصاص شهر رمضان بالصوم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لیلة القدر التی هی خیر من ألف شهر، و فیه یفرق کلّ أمرٍ حکیم، و هو رأس السنة، و یقدّر فیها ما یکون فی السنة من خیر أو شرّ و مضرّة و منفعة و رزق و أجل، و لذلک سمّیت لیلة القدر </w:t>
      </w:r>
      <w:r>
        <w:rPr>
          <w:rStyle w:val="FootnoteAnchor"/>
          <w:rtl w:val="true"/>
        </w:rPr>
        <w:footnoteReference w:id="1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غرفة</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من الغسل فاحتمال دخولها ضعیف</w:t>
      </w:r>
      <w:r>
        <w:rPr>
          <w:rFonts w:eastAsia="IRNazanin" w:cs="IRNazanin"/>
          <w:color w:val="111111"/>
          <w:sz w:val="28"/>
          <w:szCs w:val="28"/>
          <w:rtl w:val="true"/>
          <w:lang w:bidi="fa-IR"/>
        </w:rPr>
        <w:t>.</w:t>
      </w:r>
    </w:p>
    <w:p>
      <w:pPr>
        <w:pStyle w:val="Heading6"/>
        <w:numPr>
          <w:ilvl w:val="5"/>
          <w:numId w:val="1"/>
        </w:numPr>
        <w:rPr/>
      </w:pPr>
      <w:bookmarkStart w:id="36" w:name="__RefHeading___Toc6451888_3224264995"/>
      <w:bookmarkStart w:id="37" w:name="_Toc15"/>
      <w:bookmarkEnd w:id="36"/>
      <w:r>
        <w:rPr>
          <w:rtl w:val="true"/>
        </w:rPr>
        <w:t>[</w:t>
      </w:r>
      <w:r>
        <w:rPr>
          <w:rtl w:val="true"/>
        </w:rPr>
        <w:t>غسل لیلة النصف من شهر رمضان</w:t>
      </w:r>
      <w:r>
        <w:rPr>
          <w:rtl w:val="true"/>
        </w:rPr>
        <w:t>]</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المشایخ الثلاثة </w:t>
      </w:r>
      <w:r>
        <w:rPr>
          <w:rStyle w:val="FootnoteAnchor"/>
          <w:rtl w:val="true"/>
        </w:rPr>
        <w:footnoteReference w:id="191"/>
      </w:r>
      <w:r>
        <w:rPr>
          <w:rFonts w:ascii="IRNazanin" w:hAnsi="IRNazanin" w:eastAsia="IRNazanin"/>
          <w:color w:val="111111"/>
          <w:sz w:val="28"/>
          <w:sz w:val="28"/>
          <w:szCs w:val="28"/>
          <w:rtl w:val="true"/>
          <w:lang w:bidi="fa-IR"/>
        </w:rPr>
        <w:t xml:space="preserve">و أتباعهم </w:t>
      </w:r>
      <w:r>
        <w:rPr>
          <w:rStyle w:val="FootnoteAnchor"/>
          <w:rtl w:val="true"/>
        </w:rPr>
        <w:footnoteReference w:id="192"/>
      </w:r>
      <w:r>
        <w:rPr>
          <w:rFonts w:ascii="IRNazanin" w:hAnsi="IRNazanin" w:eastAsia="IRNazanin"/>
          <w:color w:val="111111"/>
          <w:sz w:val="28"/>
          <w:sz w:val="28"/>
          <w:szCs w:val="28"/>
          <w:rtl w:val="true"/>
          <w:lang w:bidi="fa-IR"/>
        </w:rPr>
        <w:t xml:space="preserve">، بل عن الغنیة </w:t>
      </w:r>
      <w:r>
        <w:rPr>
          <w:rStyle w:val="FootnoteAnchor"/>
          <w:rtl w:val="true"/>
        </w:rPr>
        <w:footnoteReference w:id="193"/>
      </w:r>
      <w:r>
        <w:rPr>
          <w:rFonts w:ascii="IRNazanin" w:hAnsi="IRNazanin" w:eastAsia="IRNazanin"/>
          <w:color w:val="111111"/>
          <w:sz w:val="28"/>
          <w:sz w:val="28"/>
          <w:szCs w:val="28"/>
          <w:rtl w:val="true"/>
          <w:lang w:bidi="fa-IR"/>
        </w:rPr>
        <w:t xml:space="preserve">و محکیّ الوسیلة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bookmarkStart w:id="38" w:name="pg13039_115140"/>
    </w:p>
    <w:p>
      <w:pPr>
        <w:pStyle w:val="BookText"/>
        <w:rPr/>
      </w:pPr>
      <w:bookmarkEnd w:id="38"/>
      <w:r>
        <w:rPr>
          <w:rFonts w:ascii="IRNazanin" w:hAnsi="IRNazanin" w:eastAsia="IRNazanin"/>
          <w:color w:val="111111"/>
          <w:sz w:val="28"/>
          <w:sz w:val="28"/>
          <w:szCs w:val="28"/>
          <w:rtl w:val="true"/>
          <w:lang w:bidi="fa-IR"/>
        </w:rPr>
        <w:t xml:space="preserve">و یدلّ علیه المرسل المحکیّ عن المقنعة </w:t>
      </w:r>
      <w:r>
        <w:rPr>
          <w:rStyle w:val="FootnoteAnchor"/>
          <w:rtl w:val="true"/>
        </w:rPr>
        <w:footnoteReference w:id="195"/>
      </w:r>
      <w:r>
        <w:rPr>
          <w:rFonts w:ascii="IRNazanin" w:hAnsi="IRNazanin" w:eastAsia="IRNazanin"/>
          <w:color w:val="111111"/>
          <w:sz w:val="28"/>
          <w:sz w:val="28"/>
          <w:szCs w:val="28"/>
          <w:rtl w:val="true"/>
          <w:lang w:bidi="fa-IR"/>
        </w:rPr>
        <w:t xml:space="preserve">و الإقبال </w:t>
      </w:r>
      <w:r>
        <w:rPr>
          <w:rStyle w:val="FootnoteAnchor"/>
          <w:rtl w:val="true"/>
        </w:rPr>
        <w:footnoteReference w:id="196"/>
      </w:r>
      <w:r>
        <w:rPr>
          <w:rFonts w:ascii="IRNazanin" w:hAnsi="IRNazanin" w:eastAsia="IRNazanin"/>
          <w:color w:val="111111"/>
          <w:sz w:val="28"/>
          <w:sz w:val="28"/>
          <w:szCs w:val="28"/>
          <w:rtl w:val="true"/>
          <w:lang w:bidi="fa-IR"/>
        </w:rPr>
        <w:t>عن الصادق علیه السلام، لکن عن المعتبر بعد حکایة عن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لشرف تلک اللیلة فاقترانها بالغسل حسن </w:t>
      </w:r>
      <w:r>
        <w:rPr>
          <w:rStyle w:val="FootnoteAnchor"/>
          <w:rtl w:val="true"/>
        </w:rPr>
        <w:footnoteReference w:id="197"/>
      </w:r>
      <w:r>
        <w:rPr>
          <w:rFonts w:ascii="IRNazanin" w:hAnsi="IRNazanin" w:eastAsia="IRNazanin"/>
          <w:color w:val="111111"/>
          <w:sz w:val="28"/>
          <w:sz w:val="28"/>
          <w:szCs w:val="28"/>
          <w:rtl w:val="true"/>
          <w:lang w:bidi="fa-IR"/>
        </w:rPr>
        <w:t>، و فیه إشارة إلی استحباب الغسل لکلّ زمان شریف</w:t>
      </w:r>
      <w:r>
        <w:rPr>
          <w:rFonts w:eastAsia="IRNazanin" w:cs="IRNazanin"/>
          <w:color w:val="111111"/>
          <w:sz w:val="28"/>
          <w:szCs w:val="28"/>
          <w:rtl w:val="true"/>
          <w:lang w:bidi="fa-IR"/>
        </w:rPr>
        <w:t>.</w:t>
      </w:r>
    </w:p>
    <w:p>
      <w:pPr>
        <w:pStyle w:val="Heading6"/>
        <w:numPr>
          <w:ilvl w:val="5"/>
          <w:numId w:val="1"/>
        </w:numPr>
        <w:rPr/>
      </w:pPr>
      <w:bookmarkStart w:id="39" w:name="__RefHeading___Toc6451890_3224264995"/>
      <w:bookmarkStart w:id="40" w:name="_Toc16"/>
      <w:bookmarkEnd w:id="39"/>
      <w:r>
        <w:rPr>
          <w:rtl w:val="true"/>
        </w:rPr>
        <w:t>[</w:t>
      </w:r>
      <w:r>
        <w:rPr>
          <w:rtl w:val="true"/>
        </w:rPr>
        <w:t>غسل لیلة السابعة عشر و لیالی قدر</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عشرین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کما فی الروض </w:t>
      </w:r>
      <w:r>
        <w:rPr>
          <w:rStyle w:val="FootnoteAnchor"/>
          <w:rtl w:val="true"/>
        </w:rPr>
        <w:footnoteReference w:id="198"/>
      </w:r>
      <w:r>
        <w:rPr>
          <w:rFonts w:ascii="IRNazanin" w:hAnsi="IRNazanin" w:eastAsia="IRNazanin"/>
          <w:color w:val="111111"/>
          <w:sz w:val="28"/>
          <w:sz w:val="28"/>
          <w:szCs w:val="28"/>
          <w:rtl w:val="true"/>
          <w:lang w:bidi="fa-IR"/>
        </w:rPr>
        <w:t xml:space="preserve">، و عن المعتبر </w:t>
      </w:r>
      <w:r>
        <w:rPr>
          <w:rStyle w:val="FootnoteAnchor"/>
          <w:rtl w:val="true"/>
        </w:rPr>
        <w:footnoteReference w:id="199"/>
      </w:r>
      <w:r>
        <w:rPr>
          <w:rFonts w:ascii="IRNazanin" w:hAnsi="IRNazanin" w:eastAsia="IRNazanin"/>
          <w:color w:val="111111"/>
          <w:sz w:val="28"/>
          <w:sz w:val="28"/>
          <w:szCs w:val="28"/>
          <w:rtl w:val="true"/>
          <w:lang w:bidi="fa-IR"/>
        </w:rPr>
        <w:t>نسبته إلی الأصحاب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صحیحة ابن مسلم المرویّة عن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سبع عشرة من شهر رمضان و هی لیلة التقی الجمعان و لیلة تسع عشرة و فیها یکتب الوفد وفد السنة و لیلة إحدی و عشرین و هی اللیلة التی أُصیب فیها أوصیاء الأنبیاء، و فیها رفع عیسی بن مریم علیه السلام، و قبض موسی علی نبیّنا و علیه السلام و لیلة ثلاث و عشرین، یرجی فیها لیلة القدر </w:t>
      </w:r>
      <w:r>
        <w:rPr>
          <w:rStyle w:val="FootnoteAnchor"/>
          <w:rtl w:val="true"/>
        </w:rPr>
        <w:footnoteReference w:id="200"/>
      </w:r>
      <w:r>
        <w:rPr>
          <w:rFonts w:ascii="IRNazanin" w:hAnsi="IRNazanin" w:eastAsia="IRNazanin"/>
          <w:color w:val="111111"/>
          <w:sz w:val="28"/>
          <w:sz w:val="28"/>
          <w:szCs w:val="28"/>
          <w:rtl w:val="true"/>
          <w:lang w:bidi="fa-IR"/>
        </w:rPr>
        <w:t>، و یخصّ لیلة الثلاث و عشرین بغسل آخَر آخِر</w:t>
      </w:r>
    </w:p>
    <w:p>
      <w:pPr>
        <w:pStyle w:val="BookText"/>
        <w:rPr/>
      </w:pPr>
      <w:r>
        <w:rPr>
          <w:rFonts w:ascii="IRNazanin" w:hAnsi="IRNazanin" w:eastAsia="IRNazanin"/>
          <w:color w:val="111111"/>
          <w:sz w:val="28"/>
          <w:sz w:val="28"/>
          <w:szCs w:val="28"/>
          <w:rtl w:val="true"/>
          <w:lang w:bidi="fa-IR"/>
        </w:rPr>
        <w:t>اللیل؛ لما عن برید بن معاویة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یعنی أبا عبد اللّٰه علیه السلام، کما صرّح به فی محکیّ کتاب الإقبال اغتسل فی لیلة ثلاث و عشرین من شهر رمضان مرّة فی أوّل اللیل و مرّة فی آخره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الخبر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اغتسل فی وسط اللیل فالظاهر عدم سقوط غسل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الأغسال هی آکد الأغسال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استحبابه فی العشر الآخر فی کلّ لیلة؛ لمرسلة ابن أبی عمیر المحکیّة عن کتاب الإقبال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یغتسل فی شهر رمضان فی العشر الآخر فی کلّ لیلة</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کتاب الأغسال لأحمد بن عیّاش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أوّل لیلة من شهر رمضان قام رسول اللّٰه صلّی اللّٰه علیه و آله فحمد اللّٰه و أثنی علیه، حتّی إذا کان أوّل لیلة من العشر الأواخر قام و شدّ المئزر و برز من بیته و اعتکف و أحیی اللیل کلّه، و کان یغتسل کلّ لیلة منه بین العشاءَین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الضمیر فی منه راجع إلی العشر الأواخر، و إن کان</w:t>
      </w:r>
    </w:p>
    <w:p>
      <w:pPr>
        <w:pStyle w:val="BookText"/>
        <w:rPr/>
      </w:pPr>
      <w:r>
        <w:rPr>
          <w:rFonts w:ascii="IRNazanin" w:hAnsi="IRNazanin" w:eastAsia="IRNazanin"/>
          <w:color w:val="111111"/>
          <w:sz w:val="28"/>
          <w:sz w:val="28"/>
          <w:szCs w:val="28"/>
          <w:rtl w:val="true"/>
          <w:lang w:bidi="fa-IR"/>
        </w:rPr>
        <w:t>الأنسب تأنیث الضمیر، و لأجل ذلک ربما یرجع إلی شهر رمضان، فتدلّ الروایة علی استحباب الغسل فی کلّ لیلة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وردت الروایة باستحباب الغسل فی کلّ لیلة </w:t>
      </w:r>
      <w:r>
        <w:rPr>
          <w:rStyle w:val="FootnoteAnchor"/>
          <w:rtl w:val="true"/>
        </w:rPr>
        <w:footnoteReference w:id="205"/>
      </w:r>
      <w:r>
        <w:rPr>
          <w:rFonts w:ascii="IRNazanin" w:hAnsi="IRNazanin" w:eastAsia="IRNazanin"/>
          <w:color w:val="111111"/>
          <w:sz w:val="28"/>
          <w:sz w:val="28"/>
          <w:szCs w:val="28"/>
          <w:rtl w:val="true"/>
          <w:lang w:bidi="fa-IR"/>
        </w:rPr>
        <w:t>، و لعلّه فهم ذلک من تلک الروایة، و یحتمل عثوره علی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أیضاً فی لیالی الإفراد، کما عن المصباحین </w:t>
      </w:r>
      <w:r>
        <w:rPr>
          <w:rStyle w:val="FootnoteAnchor"/>
          <w:rtl w:val="true"/>
        </w:rPr>
        <w:footnoteReference w:id="206"/>
      </w:r>
      <w:r>
        <w:rPr>
          <w:rFonts w:ascii="IRNazanin" w:hAnsi="IRNazanin" w:eastAsia="IRNazanin"/>
          <w:color w:val="111111"/>
          <w:sz w:val="28"/>
          <w:sz w:val="28"/>
          <w:szCs w:val="28"/>
          <w:rtl w:val="true"/>
          <w:lang w:bidi="fa-IR"/>
        </w:rPr>
        <w:t xml:space="preserve">و الإقبال </w:t>
      </w:r>
      <w:r>
        <w:rPr>
          <w:rStyle w:val="FootnoteAnchor"/>
          <w:rtl w:val="true"/>
        </w:rPr>
        <w:footnoteReference w:id="207"/>
      </w:r>
      <w:r>
        <w:rPr>
          <w:rFonts w:ascii="IRNazanin" w:hAnsi="IRNazanin" w:eastAsia="IRNazanin"/>
          <w:color w:val="111111"/>
          <w:sz w:val="28"/>
          <w:sz w:val="28"/>
          <w:szCs w:val="28"/>
          <w:rtl w:val="true"/>
          <w:lang w:bidi="fa-IR"/>
        </w:rPr>
        <w:t xml:space="preserve">و فلاح السائل </w:t>
      </w:r>
      <w:r>
        <w:rPr>
          <w:rStyle w:val="FootnoteAnchor"/>
          <w:rtl w:val="true"/>
        </w:rPr>
        <w:footnoteReference w:id="208"/>
      </w:r>
      <w:r>
        <w:rPr>
          <w:rFonts w:ascii="Amiri" w:hAnsi="Amiri" w:eastAsia="Amiri" w:cs="Amiri"/>
          <w:color w:val="111111"/>
          <w:sz w:val="28"/>
          <w:sz w:val="28"/>
          <w:szCs w:val="28"/>
          <w:rtl w:val="true"/>
          <w:lang w:bidi="ar-SA"/>
        </w:rPr>
        <w:t xml:space="preserve">و النزهة </w:t>
      </w:r>
      <w:r>
        <w:rPr>
          <w:rStyle w:val="FootnoteAnchor"/>
          <w:rtl w:val="true"/>
        </w:rPr>
        <w:footnoteReference w:id="209"/>
      </w:r>
      <w:r>
        <w:rPr>
          <w:rFonts w:ascii="IRNazanin" w:hAnsi="IRNazanin" w:eastAsia="IRNazanin"/>
          <w:color w:val="111111"/>
          <w:sz w:val="28"/>
          <w:sz w:val="28"/>
          <w:szCs w:val="28"/>
          <w:rtl w:val="true"/>
          <w:lang w:bidi="fa-IR"/>
        </w:rPr>
        <w:t xml:space="preserve">و کتب الشهید </w:t>
      </w:r>
      <w:r>
        <w:rPr>
          <w:rStyle w:val="FootnoteAnchor"/>
          <w:rtl w:val="true"/>
        </w:rPr>
        <w:footnoteReference w:id="210"/>
      </w:r>
      <w:r>
        <w:rPr>
          <w:rFonts w:ascii="IRNazanin" w:hAnsi="IRNazanin" w:eastAsia="IRNazanin"/>
          <w:color w:val="111111"/>
          <w:sz w:val="28"/>
          <w:sz w:val="28"/>
          <w:szCs w:val="28"/>
          <w:rtl w:val="true"/>
          <w:lang w:bidi="fa-IR"/>
        </w:rPr>
        <w:t xml:space="preserve">، عدا الذکری و المهذّب البارع </w:t>
      </w:r>
      <w:r>
        <w:rPr>
          <w:rStyle w:val="FootnoteAnchor"/>
          <w:rtl w:val="true"/>
        </w:rPr>
        <w:footnoteReference w:id="211"/>
      </w:r>
      <w:r>
        <w:rPr>
          <w:rFonts w:ascii="IRNazanin" w:hAnsi="IRNazanin" w:eastAsia="IRNazanin"/>
          <w:color w:val="111111"/>
          <w:sz w:val="28"/>
          <w:sz w:val="28"/>
          <w:szCs w:val="28"/>
          <w:rtl w:val="true"/>
          <w:lang w:bidi="fa-IR"/>
        </w:rPr>
        <w:t xml:space="preserve">و الموجز </w:t>
      </w:r>
      <w:r>
        <w:rPr>
          <w:rStyle w:val="FootnoteAnchor"/>
          <w:rtl w:val="true"/>
        </w:rPr>
        <w:footnoteReference w:id="212"/>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213"/>
      </w:r>
      <w:r>
        <w:rPr>
          <w:rFonts w:ascii="IRNazanin" w:hAnsi="IRNazanin" w:eastAsia="IRNazanin"/>
          <w:color w:val="111111"/>
          <w:sz w:val="28"/>
          <w:sz w:val="28"/>
          <w:szCs w:val="28"/>
          <w:rtl w:val="true"/>
          <w:lang w:bidi="fa-IR"/>
        </w:rPr>
        <w:t xml:space="preserve">و غایة المرام </w:t>
      </w:r>
      <w:r>
        <w:rPr>
          <w:rStyle w:val="FootnoteAnchor"/>
          <w:rtl w:val="true"/>
        </w:rPr>
        <w:footnoteReference w:id="21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15"/>
      </w:r>
      <w:r>
        <w:rPr>
          <w:rFonts w:ascii="Amiri" w:hAnsi="Amiri" w:eastAsia="Amiri" w:cs="Amiri"/>
          <w:color w:val="111111"/>
          <w:sz w:val="28"/>
          <w:sz w:val="28"/>
          <w:szCs w:val="28"/>
          <w:rtl w:val="true"/>
          <w:lang w:bidi="ar-SA"/>
        </w:rPr>
        <w:t xml:space="preserve">و الروضة </w:t>
      </w:r>
      <w:r>
        <w:rPr>
          <w:rStyle w:val="FootnoteAnchor"/>
          <w:rtl w:val="true"/>
        </w:rPr>
        <w:footnoteReference w:id="216"/>
      </w:r>
      <w:r>
        <w:rPr>
          <w:rFonts w:ascii="IRNazanin" w:hAnsi="IRNazanin" w:eastAsia="IRNazanin"/>
          <w:color w:val="111111"/>
          <w:sz w:val="28"/>
          <w:sz w:val="28"/>
          <w:szCs w:val="28"/>
          <w:rtl w:val="true"/>
          <w:lang w:bidi="fa-IR"/>
        </w:rPr>
        <w:t xml:space="preserve">و جامع البهائی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المستند فیه ما عن کتاب الإقبال فی أعمال اللیلة الثالثة من شهر</w:t>
      </w:r>
      <w:bookmarkStart w:id="41" w:name="pg13039_115143"/>
    </w:p>
    <w:p>
      <w:pPr>
        <w:pStyle w:val="BookText"/>
        <w:rPr/>
      </w:pPr>
      <w:bookmarkEnd w:id="41"/>
      <w:r>
        <w:rPr>
          <w:rFonts w:ascii="IRNazanin" w:hAnsi="IRNazanin" w:eastAsia="IRNazanin"/>
          <w:color w:val="111111"/>
          <w:sz w:val="28"/>
          <w:sz w:val="28"/>
          <w:szCs w:val="28"/>
          <w:rtl w:val="true"/>
          <w:lang w:bidi="fa-IR"/>
        </w:rPr>
        <w:t>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فیها الغسل علی حسب الروایة التی تضمّنت أنّ کلّ لیلة مفردة من جمیع الشهر یستحبّ فیها الغسل </w:t>
      </w:r>
      <w:r>
        <w:rPr>
          <w:rStyle w:val="FootnoteAnchor"/>
          <w:rtl w:val="true"/>
        </w:rPr>
        <w:footnoteReference w:id="2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استحباب غسل لیلة أربع و عشرین و خمس و عشرین و سبع و عشرین و تسع و عشرین </w:t>
      </w:r>
      <w:r>
        <w:rPr>
          <w:rStyle w:val="FootnoteAnchor"/>
          <w:rtl w:val="true"/>
        </w:rPr>
        <w:footnoteReference w:id="219"/>
      </w:r>
      <w:r>
        <w:rPr>
          <w:rFonts w:ascii="IRNazanin" w:hAnsi="IRNazanin" w:eastAsia="IRNazanin"/>
          <w:color w:val="111111"/>
          <w:sz w:val="28"/>
          <w:sz w:val="28"/>
          <w:szCs w:val="28"/>
          <w:rtl w:val="true"/>
          <w:lang w:bidi="fa-IR"/>
        </w:rPr>
        <w:t>و عن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بن أبی قرّة ذکرها، و ذکر فیها روایات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فالأغسال المرویّة فی شهر رمضان اثنان و عشرون غسلًا مع غسل الیوم الأوّل</w:t>
      </w:r>
      <w:r>
        <w:rPr>
          <w:rFonts w:eastAsia="IRNazanin" w:cs="IRNazanin"/>
          <w:color w:val="111111"/>
          <w:sz w:val="28"/>
          <w:szCs w:val="28"/>
          <w:rtl w:val="true"/>
          <w:lang w:bidi="fa-IR"/>
        </w:rPr>
        <w:t>.</w:t>
      </w:r>
    </w:p>
    <w:p>
      <w:pPr>
        <w:pStyle w:val="Heading6"/>
        <w:numPr>
          <w:ilvl w:val="5"/>
          <w:numId w:val="1"/>
        </w:numPr>
        <w:rPr/>
      </w:pPr>
      <w:bookmarkStart w:id="42" w:name="__RefHeading___Toc6451892_3224264995"/>
      <w:bookmarkStart w:id="43" w:name="_Toc17"/>
      <w:bookmarkEnd w:id="42"/>
      <w:r>
        <w:rPr>
          <w:rtl w:val="true"/>
        </w:rPr>
        <w:t>[</w:t>
      </w:r>
      <w:r>
        <w:rPr>
          <w:rtl w:val="true"/>
        </w:rPr>
        <w:t>غسل لیلة الفطر</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الشیخین </w:t>
      </w:r>
      <w:r>
        <w:rPr>
          <w:rStyle w:val="FootnoteAnchor"/>
          <w:rtl w:val="true"/>
        </w:rPr>
        <w:footnoteReference w:id="221"/>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222"/>
      </w:r>
      <w:r>
        <w:rPr>
          <w:rFonts w:ascii="IRNazanin" w:hAnsi="IRNazanin" w:eastAsia="IRNazanin"/>
          <w:color w:val="111111"/>
          <w:sz w:val="28"/>
          <w:sz w:val="28"/>
          <w:szCs w:val="28"/>
          <w:rtl w:val="true"/>
          <w:lang w:bidi="fa-IR"/>
        </w:rPr>
        <w:t xml:space="preserve">، بل عن الغنیة </w:t>
      </w:r>
      <w:r>
        <w:rPr>
          <w:rStyle w:val="FootnoteAnchor"/>
          <w:rtl w:val="true"/>
        </w:rPr>
        <w:footnoteReference w:id="223"/>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عن العلل و الکافی و الإقبال من قوله علیه السلام فی روایة الحسن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غربت الشمس فاغتسل</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6451894_3224264995"/>
      <w:bookmarkStart w:id="45" w:name="_Toc18"/>
      <w:bookmarkEnd w:id="44"/>
      <w:r>
        <w:rPr>
          <w:rtl w:val="true"/>
        </w:rPr>
        <w:t>[</w:t>
      </w:r>
      <w:r>
        <w:rPr>
          <w:rtl w:val="true"/>
        </w:rPr>
        <w:t>غسل یوم العیدین</w:t>
      </w:r>
      <w:r>
        <w:rPr>
          <w:rtl w:val="true"/>
        </w:rPr>
        <w:t>]</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أیضاً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w:t>
      </w:r>
      <w:r>
        <w:rPr>
          <w:rStyle w:val="FootnoteAnchor"/>
          <w:rtl w:val="true"/>
        </w:rPr>
        <w:footnoteReference w:id="225"/>
      </w:r>
      <w:r>
        <w:rPr>
          <w:rFonts w:ascii="IRNazanin" w:hAnsi="IRNazanin" w:eastAsia="IRNazanin"/>
          <w:color w:val="111111"/>
          <w:sz w:val="28"/>
          <w:sz w:val="28"/>
          <w:szCs w:val="28"/>
          <w:rtl w:val="true"/>
          <w:lang w:bidi="fa-IR"/>
        </w:rPr>
        <w:t>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إجماعنا کما فی</w:t>
      </w:r>
    </w:p>
    <w:p>
      <w:pPr>
        <w:pStyle w:val="BookText"/>
        <w:rPr/>
      </w:pPr>
      <w:r>
        <w:rPr>
          <w:rFonts w:ascii="IRNazanin" w:hAnsi="IRNazanin" w:eastAsia="IRNazanin"/>
          <w:color w:val="111111"/>
          <w:sz w:val="28"/>
          <w:sz w:val="28"/>
          <w:szCs w:val="28"/>
          <w:rtl w:val="true"/>
          <w:lang w:bidi="fa-IR"/>
        </w:rPr>
        <w:t xml:space="preserve">الروض </w:t>
      </w:r>
      <w:r>
        <w:rPr>
          <w:rStyle w:val="FootnoteAnchor"/>
          <w:rtl w:val="true"/>
        </w:rPr>
        <w:footnoteReference w:id="226"/>
      </w:r>
      <w:r>
        <w:rPr>
          <w:rFonts w:ascii="IRNazanin" w:hAnsi="IRNazanin" w:eastAsia="IRNazanin"/>
          <w:color w:val="111111"/>
          <w:sz w:val="28"/>
          <w:sz w:val="28"/>
          <w:szCs w:val="28"/>
          <w:rtl w:val="true"/>
          <w:lang w:bidi="fa-IR"/>
        </w:rPr>
        <w:t xml:space="preserve">، و عن المعتبر </w:t>
      </w:r>
      <w:r>
        <w:rPr>
          <w:rStyle w:val="FootnoteAnchor"/>
          <w:rtl w:val="true"/>
        </w:rPr>
        <w:footnoteReference w:id="227"/>
      </w:r>
      <w:r>
        <w:rPr>
          <w:rFonts w:ascii="IRNazanin" w:hAnsi="IRNazanin" w:eastAsia="IRNazanin"/>
          <w:color w:val="111111"/>
          <w:sz w:val="28"/>
          <w:sz w:val="28"/>
          <w:szCs w:val="28"/>
          <w:rtl w:val="true"/>
          <w:lang w:bidi="fa-IR"/>
        </w:rPr>
        <w:t xml:space="preserve">و الغنیة </w:t>
      </w:r>
      <w:r>
        <w:rPr>
          <w:rStyle w:val="FootnoteAnchor"/>
          <w:rtl w:val="true"/>
        </w:rPr>
        <w:footnoteReference w:id="228"/>
      </w:r>
      <w:r>
        <w:rPr>
          <w:rFonts w:ascii="IRNazanin" w:hAnsi="IRNazanin" w:eastAsia="IRNazanin"/>
          <w:color w:val="111111"/>
          <w:sz w:val="28"/>
          <w:sz w:val="28"/>
          <w:szCs w:val="28"/>
          <w:rtl w:val="true"/>
          <w:lang w:bidi="fa-IR"/>
        </w:rPr>
        <w:t xml:space="preserve">و التذکرة </w:t>
      </w:r>
      <w:r>
        <w:rPr>
          <w:rStyle w:val="FootnoteAnchor"/>
          <w:rtl w:val="true"/>
        </w:rPr>
        <w:footnoteReference w:id="229"/>
      </w:r>
      <w:r>
        <w:rPr>
          <w:rFonts w:ascii="IRNazanin" w:hAnsi="IRNazanin" w:eastAsia="IRNazanin"/>
          <w:color w:val="111111"/>
          <w:sz w:val="28"/>
          <w:sz w:val="28"/>
          <w:szCs w:val="28"/>
          <w:rtl w:val="true"/>
          <w:lang w:bidi="fa-IR"/>
        </w:rPr>
        <w:t xml:space="preserve">و المدارک </w:t>
      </w:r>
      <w:r>
        <w:rPr>
          <w:rStyle w:val="FootnoteAnchor"/>
          <w:rtl w:val="true"/>
        </w:rPr>
        <w:footnoteReference w:id="230"/>
      </w:r>
      <w:r>
        <w:rPr>
          <w:rFonts w:ascii="IRNazanin" w:hAnsi="IRNazanin" w:eastAsia="IRNazanin"/>
          <w:color w:val="111111"/>
          <w:sz w:val="28"/>
          <w:sz w:val="28"/>
          <w:szCs w:val="28"/>
          <w:rtl w:val="true"/>
          <w:lang w:bidi="fa-IR"/>
        </w:rPr>
        <w:t xml:space="preserve">و غیرها </w:t>
      </w:r>
      <w:r>
        <w:rPr>
          <w:rStyle w:val="FootnoteAnchor"/>
          <w:rtl w:val="true"/>
        </w:rPr>
        <w:footnoteReference w:id="231"/>
      </w:r>
      <w:r>
        <w:rPr>
          <w:rFonts w:ascii="IRNazanin" w:hAnsi="IRNazanin" w:eastAsia="IRNazanin"/>
          <w:color w:val="111111"/>
          <w:sz w:val="28"/>
          <w:sz w:val="28"/>
          <w:szCs w:val="28"/>
          <w:rtl w:val="true"/>
          <w:lang w:bidi="fa-IR"/>
        </w:rPr>
        <w:t xml:space="preserve">، و الأخبار مستفیضة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قائل بوجوبه کما اعترف به بعض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روی الصدوق فی الفقیه عن القاسم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الأضحی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إلّا بمنی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محمول علی تأکّد الاستحباب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اختلف فی آخر وقت هذا الغسل بعد اتّفاقهم ظاهراً علی أنّ أوّل وقته طلوع الفجر، فالمحکیّ عن ظاهر الأکثر امتداده إلی اللیل، کما صرّح به فی الروض </w:t>
      </w:r>
      <w:r>
        <w:rPr>
          <w:rStyle w:val="FootnoteAnchor"/>
          <w:rtl w:val="true"/>
        </w:rPr>
        <w:footnoteReference w:id="235"/>
      </w:r>
      <w:r>
        <w:rPr>
          <w:rFonts w:ascii="IRNazanin" w:hAnsi="IRNazanin" w:eastAsia="IRNazanin"/>
          <w:color w:val="111111"/>
          <w:sz w:val="28"/>
          <w:sz w:val="28"/>
          <w:szCs w:val="28"/>
          <w:rtl w:val="true"/>
          <w:lang w:bidi="fa-IR"/>
        </w:rPr>
        <w:t xml:space="preserve">کما عن النهایة </w:t>
      </w:r>
      <w:r>
        <w:rPr>
          <w:rStyle w:val="FootnoteAnchor"/>
          <w:rtl w:val="true"/>
        </w:rPr>
        <w:footnoteReference w:id="236"/>
      </w:r>
      <w:r>
        <w:rPr>
          <w:rFonts w:ascii="IRNazanin" w:hAnsi="IRNazanin" w:eastAsia="IRNazanin"/>
          <w:color w:val="111111"/>
          <w:sz w:val="28"/>
          <w:sz w:val="28"/>
          <w:szCs w:val="28"/>
          <w:rtl w:val="true"/>
          <w:lang w:bidi="fa-IR"/>
        </w:rPr>
        <w:t xml:space="preserve">و الذکری </w:t>
      </w:r>
      <w:r>
        <w:rPr>
          <w:rStyle w:val="FootnoteAnchor"/>
          <w:rtl w:val="true"/>
        </w:rPr>
        <w:footnoteReference w:id="237"/>
      </w:r>
      <w:r>
        <w:rPr>
          <w:rFonts w:ascii="IRNazanin" w:hAnsi="IRNazanin" w:eastAsia="IRNazanin"/>
          <w:color w:val="111111"/>
          <w:sz w:val="28"/>
          <w:sz w:val="28"/>
          <w:szCs w:val="28"/>
          <w:rtl w:val="true"/>
          <w:lang w:bidi="fa-IR"/>
        </w:rPr>
        <w:t xml:space="preserve">و الموجز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المدارک </w:t>
      </w:r>
      <w:r>
        <w:rPr>
          <w:rStyle w:val="FootnoteAnchor"/>
          <w:rtl w:val="true"/>
        </w:rPr>
        <w:footnoteReference w:id="239"/>
      </w:r>
      <w:r>
        <w:rPr>
          <w:rFonts w:ascii="IRNazanin" w:hAnsi="IRNazanin" w:eastAsia="IRNazanin"/>
          <w:color w:val="111111"/>
          <w:sz w:val="28"/>
          <w:sz w:val="28"/>
          <w:szCs w:val="28"/>
          <w:rtl w:val="true"/>
          <w:lang w:bidi="fa-IR"/>
        </w:rPr>
        <w:t xml:space="preserve">و المشارق </w:t>
      </w:r>
      <w:r>
        <w:rPr>
          <w:rStyle w:val="FootnoteAnchor"/>
          <w:rtl w:val="true"/>
        </w:rPr>
        <w:footnoteReference w:id="240"/>
      </w:r>
      <w:r>
        <w:rPr>
          <w:rFonts w:ascii="IRNazanin" w:hAnsi="IRNazanin" w:eastAsia="IRNazanin"/>
          <w:color w:val="111111"/>
          <w:sz w:val="28"/>
          <w:sz w:val="28"/>
          <w:szCs w:val="28"/>
          <w:rtl w:val="true"/>
          <w:lang w:bidi="fa-IR"/>
        </w:rPr>
        <w:t xml:space="preserve">و المصابیح </w:t>
      </w:r>
      <w:r>
        <w:rPr>
          <w:rStyle w:val="FootnoteAnchor"/>
          <w:rtl w:val="true"/>
        </w:rPr>
        <w:footnoteReference w:id="241"/>
      </w:r>
      <w:r>
        <w:rPr>
          <w:rFonts w:ascii="IRNazanin" w:hAnsi="IRNazanin" w:eastAsia="IRNazanin"/>
          <w:color w:val="111111"/>
          <w:sz w:val="28"/>
          <w:sz w:val="28"/>
          <w:szCs w:val="28"/>
          <w:rtl w:val="true"/>
          <w:lang w:bidi="fa-IR"/>
        </w:rPr>
        <w:t>عملًا بإطلاق الأخبار و معاقد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إلی الخروج إلی الصلاة </w:t>
      </w:r>
      <w:r>
        <w:rPr>
          <w:rStyle w:val="FootnoteAnchor"/>
          <w:rtl w:val="true"/>
        </w:rPr>
        <w:footnoteReference w:id="242"/>
      </w:r>
      <w:r>
        <w:rPr>
          <w:rFonts w:ascii="IRNazanin" w:hAnsi="IRNazanin" w:eastAsia="IRNazanin"/>
          <w:color w:val="111111"/>
          <w:sz w:val="28"/>
          <w:sz w:val="28"/>
          <w:szCs w:val="28"/>
          <w:rtl w:val="true"/>
          <w:lang w:bidi="fa-IR"/>
        </w:rPr>
        <w:t>، و اختاره فی محکیّ المنتهی،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أنّه یتضیّق عند الصلاة؛ لأنّ المقصود منه التنظیف للاجتماع و الصلاة </w:t>
      </w:r>
      <w:r>
        <w:rPr>
          <w:rStyle w:val="FootnoteAnchor"/>
          <w:rtl w:val="true"/>
        </w:rPr>
        <w:footnoteReference w:id="243"/>
      </w:r>
      <w:r>
        <w:rPr>
          <w:rFonts w:ascii="IRNazanin" w:hAnsi="IRNazanin" w:eastAsia="IRNazanin"/>
          <w:color w:val="111111"/>
          <w:sz w:val="28"/>
          <w:sz w:val="28"/>
          <w:szCs w:val="28"/>
          <w:rtl w:val="true"/>
          <w:lang w:bidi="fa-IR"/>
        </w:rPr>
        <w:t xml:space="preserve">، و إن کان اللفظ الوارد دالّا علی امتداد وقته </w:t>
      </w:r>
      <w:r>
        <w:rPr>
          <w:rStyle w:val="FootnoteAnchor"/>
          <w:rtl w:val="true"/>
        </w:rPr>
        <w:footnoteReference w:id="244"/>
      </w:r>
      <w:r>
        <w:rPr>
          <w:rFonts w:ascii="IRNazanin" w:hAnsi="IRNazanin" w:eastAsia="IRNazanin"/>
          <w:color w:val="111111"/>
          <w:sz w:val="28"/>
          <w:sz w:val="28"/>
          <w:szCs w:val="28"/>
          <w:rtl w:val="true"/>
          <w:lang w:bidi="fa-IR"/>
        </w:rPr>
        <w:t>، بل نسبه فی الذکری إلی ظاهر الأصحاب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الظاهر امتداد غسل العیدین بامتداد الیوم عملًا بالإطلاق، و یتخرّج من تعلیل الجمعة أنّه إلی الصلاة أو إلی الزوال الذی هو وقت صلاة العید، و هو ظاهر الأصحاب </w:t>
      </w:r>
      <w:r>
        <w:rPr>
          <w:rStyle w:val="FootnoteAnchor"/>
          <w:rtl w:val="true"/>
        </w:rPr>
        <w:footnoteReference w:id="2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بالتعلیل الذی أشار إلیه و صرّح به فی عبارة المنتهی ما عن الصدوق فی العیون و العلل بسنده إلی محمّد بن سنان عن مولانا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غسل العید و الجمعة و غیر ذلک لما فیه من تعظیم العبد ربّه و استقباله الکریم الجلیل، و طلب المغفرة، و لیکون لهم یوم عید معروف یجتمعون فیه لذکر اللّٰه فجعل الغسل تعظیماً لذلک الیوم و تفضّلًا له</w:t>
      </w:r>
    </w:p>
    <w:p>
      <w:pPr>
        <w:pStyle w:val="BookText"/>
        <w:rPr/>
      </w:pPr>
      <w:r>
        <w:rPr>
          <w:rFonts w:ascii="IRNazanin" w:hAnsi="IRNazanin" w:eastAsia="IRNazanin"/>
          <w:color w:val="111111"/>
          <w:sz w:val="28"/>
          <w:sz w:val="28"/>
          <w:szCs w:val="28"/>
          <w:rtl w:val="true"/>
          <w:lang w:bidi="fa-IR"/>
        </w:rPr>
        <w:t xml:space="preserve">علی سائر الأیّام و زیادة فی النوافل و العبادة، و لیکون طهارة من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الجمعة </w:t>
      </w:r>
      <w:r>
        <w:rPr>
          <w:rStyle w:val="FootnoteAnchor"/>
          <w:rtl w:val="true"/>
        </w:rPr>
        <w:footnoteReference w:id="246"/>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ینسی أن یغتسل یوم العید حتّی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فعلیه أن یغتسل و یعید الصلاة، و إن مضی الوقت جازت صلاته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بل ربما یظهر منه أنّ الغسل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طلع الفجر یوم العید فاغتسل،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أوقات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إلی وقت الزوال</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هذا التعلیل من باب إبداء الحکمة فلا یلزم من عدمها عدم الاستحباب؛ و لذا لا ینفی استحبابه عمّن لا یصلّی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التأیید بالموثّقة فهو محلّ نظر، و أمّا الرضوی فهو یدلّ علی الامتداد إلی الزوال إلی الخروج إلی الصلاة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 عدم ثبوت إطلاق فی الأخبار و معاقد الإجماع أیضاً، فالاقتصار علی المتیقّن أولی، إلّا أنّ العمل بأصالة بقاء الطلب بعد الزوال أقوی لو قلنا بجریان الاستصحاب فی الموقّتات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نصف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أکثر کتب الشیخ </w:t>
      </w:r>
      <w:r>
        <w:rPr>
          <w:rStyle w:val="FootnoteAnchor"/>
          <w:rtl w:val="true"/>
        </w:rPr>
        <w:footnoteReference w:id="252"/>
      </w:r>
      <w:r>
        <w:rPr>
          <w:rFonts w:ascii="Amiri" w:hAnsi="Amiri" w:eastAsia="Amiri" w:cs="Amiri"/>
          <w:color w:val="111111"/>
          <w:sz w:val="28"/>
          <w:sz w:val="28"/>
          <w:szCs w:val="28"/>
          <w:rtl w:val="true"/>
          <w:lang w:bidi="ar-SA"/>
        </w:rPr>
        <w:t xml:space="preserve">و ابن زهرة </w:t>
      </w:r>
      <w:r>
        <w:rPr>
          <w:rStyle w:val="FootnoteAnchor"/>
          <w:rtl w:val="true"/>
        </w:rPr>
        <w:footnoteReference w:id="253"/>
      </w:r>
      <w:r>
        <w:rPr>
          <w:rFonts w:ascii="Amiri" w:hAnsi="Amiri" w:eastAsia="Amiri" w:cs="Amiri"/>
          <w:color w:val="111111"/>
          <w:sz w:val="28"/>
          <w:sz w:val="28"/>
          <w:szCs w:val="28"/>
          <w:rtl w:val="true"/>
          <w:lang w:bidi="ar-SA"/>
        </w:rPr>
        <w:t xml:space="preserve">و ابن حمزة </w:t>
      </w:r>
      <w:r>
        <w:rPr>
          <w:rStyle w:val="FootnoteAnchor"/>
          <w:rtl w:val="true"/>
        </w:rPr>
        <w:footnoteReference w:id="254"/>
      </w:r>
      <w:r>
        <w:rPr>
          <w:rFonts w:ascii="IRNazanin" w:hAnsi="IRNazanin" w:eastAsia="IRNazanin"/>
          <w:color w:val="111111"/>
          <w:sz w:val="28"/>
          <w:sz w:val="28"/>
          <w:szCs w:val="28"/>
          <w:rtl w:val="true"/>
          <w:lang w:bidi="fa-IR"/>
        </w:rPr>
        <w:t xml:space="preserve">و الحلبی </w:t>
      </w:r>
      <w:r>
        <w:rPr>
          <w:rStyle w:val="FootnoteAnchor"/>
          <w:rtl w:val="true"/>
        </w:rPr>
        <w:footnoteReference w:id="255"/>
      </w:r>
      <w:r>
        <w:rPr>
          <w:rFonts w:ascii="Amiri" w:hAnsi="Amiri" w:eastAsia="Amiri" w:cs="Amiri"/>
          <w:color w:val="111111"/>
          <w:sz w:val="28"/>
          <w:sz w:val="28"/>
          <w:szCs w:val="28"/>
          <w:rtl w:val="true"/>
          <w:lang w:bidi="ar-SA"/>
        </w:rPr>
        <w:t xml:space="preserve">و الحلیّ </w:t>
      </w:r>
      <w:r>
        <w:rPr>
          <w:rStyle w:val="FootnoteAnchor"/>
          <w:rtl w:val="true"/>
        </w:rPr>
        <w:footnoteReference w:id="256"/>
      </w:r>
      <w:r>
        <w:rPr>
          <w:rFonts w:ascii="Amiri" w:hAnsi="Amiri" w:eastAsia="Amiri" w:cs="Amiri"/>
          <w:color w:val="111111"/>
          <w:sz w:val="28"/>
          <w:sz w:val="28"/>
          <w:szCs w:val="28"/>
          <w:rtl w:val="true"/>
          <w:lang w:bidi="ar-SA"/>
        </w:rPr>
        <w:t xml:space="preserve">و المحقّق </w:t>
      </w:r>
      <w:r>
        <w:rPr>
          <w:rStyle w:val="FootnoteAnchor"/>
          <w:rtl w:val="true"/>
        </w:rPr>
        <w:footnoteReference w:id="257"/>
      </w:r>
      <w:r>
        <w:rPr>
          <w:rFonts w:ascii="Amiri" w:hAnsi="Amiri" w:eastAsia="Amiri" w:cs="Amiri"/>
          <w:color w:val="111111"/>
          <w:sz w:val="28"/>
          <w:sz w:val="28"/>
          <w:szCs w:val="28"/>
          <w:rtl w:val="true"/>
          <w:lang w:bidi="ar-SA"/>
        </w:rPr>
        <w:t xml:space="preserve">و المصنّف </w:t>
      </w:r>
      <w:r>
        <w:rPr>
          <w:rStyle w:val="FootnoteAnchor"/>
          <w:rtl w:val="true"/>
        </w:rPr>
        <w:footnoteReference w:id="25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59"/>
      </w:r>
      <w:r>
        <w:rPr>
          <w:rFonts w:ascii="IRNazanin" w:hAnsi="IRNazanin" w:eastAsia="IRNazanin"/>
          <w:color w:val="111111"/>
          <w:sz w:val="28"/>
          <w:sz w:val="28"/>
          <w:szCs w:val="28"/>
          <w:rtl w:val="true"/>
          <w:lang w:bidi="fa-IR"/>
        </w:rPr>
        <w:t xml:space="preserve">و غیرهم </w:t>
      </w:r>
      <w:r>
        <w:rPr>
          <w:rStyle w:val="FootnoteAnchor"/>
          <w:rtl w:val="true"/>
        </w:rPr>
        <w:footnoteReference w:id="260"/>
      </w:r>
      <w:r>
        <w:rPr>
          <w:rFonts w:ascii="IRNazanin" w:hAnsi="IRNazanin" w:eastAsia="IRNazanin"/>
          <w:color w:val="111111"/>
          <w:sz w:val="28"/>
          <w:sz w:val="28"/>
          <w:szCs w:val="28"/>
          <w:rtl w:val="true"/>
          <w:lang w:bidi="fa-IR"/>
        </w:rPr>
        <w:t xml:space="preserve">، بل هو المشهور کما فی الروض </w:t>
      </w:r>
      <w:r>
        <w:rPr>
          <w:rStyle w:val="FootnoteAnchor"/>
          <w:rtl w:val="true"/>
        </w:rPr>
        <w:footnoteReference w:id="261"/>
      </w:r>
      <w:r>
        <w:rPr>
          <w:rFonts w:ascii="IRNazanin" w:hAnsi="IRNazanin" w:eastAsia="IRNazanin"/>
          <w:color w:val="111111"/>
          <w:sz w:val="28"/>
          <w:sz w:val="28"/>
          <w:szCs w:val="28"/>
          <w:rtl w:val="true"/>
          <w:lang w:bidi="fa-IR"/>
        </w:rPr>
        <w:t xml:space="preserve">و عن الذکری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فی الأوّل </w:t>
      </w:r>
      <w:r>
        <w:rPr>
          <w:rStyle w:val="FootnoteAnchor"/>
          <w:rtl w:val="true"/>
        </w:rPr>
        <w:footnoteReference w:id="263"/>
      </w:r>
      <w:r>
        <w:rPr>
          <w:rFonts w:ascii="IRNazanin" w:hAnsi="IRNazanin" w:eastAsia="IRNazanin"/>
          <w:color w:val="111111"/>
          <w:sz w:val="28"/>
          <w:sz w:val="28"/>
          <w:szCs w:val="28"/>
          <w:rtl w:val="true"/>
          <w:lang w:bidi="fa-IR"/>
        </w:rPr>
        <w:t xml:space="preserve">کما عن جماعة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نصّ فیه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المعتبر بعد حکایته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کان لشرف الوقت،</w:t>
      </w:r>
      <w:bookmarkStart w:id="46" w:name="pg13039_115148"/>
    </w:p>
    <w:p>
      <w:pPr>
        <w:pStyle w:val="BookText"/>
        <w:rPr/>
      </w:pPr>
      <w:bookmarkEnd w:id="46"/>
      <w:r>
        <w:rPr>
          <w:rFonts w:ascii="IRNazanin" w:hAnsi="IRNazanin" w:eastAsia="IRNazanin"/>
          <w:color w:val="111111"/>
          <w:sz w:val="28"/>
          <w:sz w:val="28"/>
          <w:szCs w:val="28"/>
          <w:rtl w:val="true"/>
          <w:lang w:bidi="fa-IR"/>
        </w:rPr>
        <w:t xml:space="preserve">و الغسل مستحبّ مطلقاً فلا بأس بمتابعته </w:t>
      </w:r>
      <w:r>
        <w:rPr>
          <w:rStyle w:val="FootnoteAnchor"/>
          <w:rtl w:val="true"/>
        </w:rPr>
        <w:footnoteReference w:id="2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محکیّ المشارق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استحباب الغسل مطلقاً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أیضاً بخطّ بعض الفضلاء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الإقبال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شهر رجب فاغتسل فی أوّله و أوسطه و آخره خرج من ذنوبه کیوم ولدته أُمّه</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محکیّ المصابیح </w:t>
      </w:r>
      <w:r>
        <w:rPr>
          <w:rStyle w:val="FootnoteAnchor"/>
          <w:rtl w:val="true"/>
        </w:rPr>
        <w:footnoteReference w:id="268"/>
      </w:r>
      <w:r>
        <w:rPr>
          <w:rFonts w:ascii="IRNazanin" w:hAnsi="IRNazanin" w:eastAsia="IRNazanin"/>
          <w:color w:val="111111"/>
          <w:sz w:val="28"/>
          <w:sz w:val="28"/>
          <w:szCs w:val="28"/>
          <w:rtl w:val="true"/>
          <w:lang w:bidi="fa-IR"/>
        </w:rPr>
        <w:t>أیضاً عن کتاب الإقبال، لکن استظهر إرادة الیوم الأوّل من الروایة، و فیه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الشهرة یکشف کشفاً قطعیّاً عن اطّلاعهم علی روایة</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451896_3224264995"/>
      <w:bookmarkStart w:id="48" w:name="_Toc19"/>
      <w:bookmarkEnd w:id="47"/>
      <w:r>
        <w:rPr>
          <w:rtl w:val="true"/>
        </w:rPr>
        <w:t>[</w:t>
      </w:r>
      <w:r>
        <w:rPr>
          <w:rtl w:val="true"/>
        </w:rPr>
        <w:t>غسل لیلة النصف من شعبان</w:t>
      </w:r>
      <w:r>
        <w:rPr>
          <w:rtl w:val="true"/>
        </w:rPr>
        <w:t>]</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لیلة النصف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المشایخ الثلاثة </w:t>
      </w:r>
      <w:r>
        <w:rPr>
          <w:rStyle w:val="FootnoteAnchor"/>
          <w:rtl w:val="true"/>
        </w:rPr>
        <w:footnoteReference w:id="269"/>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27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71"/>
      </w:r>
      <w:r>
        <w:rPr>
          <w:rFonts w:ascii="IRNazanin" w:hAnsi="IRNazanin" w:eastAsia="IRNazanin"/>
          <w:color w:val="111111"/>
          <w:sz w:val="28"/>
          <w:sz w:val="28"/>
          <w:szCs w:val="28"/>
          <w:rtl w:val="true"/>
          <w:lang w:bidi="fa-IR"/>
        </w:rPr>
        <w:t xml:space="preserve">و غیرهم </w:t>
      </w:r>
      <w:r>
        <w:rPr>
          <w:rStyle w:val="FootnoteAnchor"/>
          <w:rtl w:val="true"/>
        </w:rPr>
        <w:footnoteReference w:id="272"/>
      </w:r>
      <w:r>
        <w:rPr>
          <w:rFonts w:ascii="IRNazanin" w:hAnsi="IRNazanin" w:eastAsia="IRNazanin"/>
          <w:color w:val="111111"/>
          <w:sz w:val="28"/>
          <w:sz w:val="28"/>
          <w:szCs w:val="28"/>
          <w:rtl w:val="true"/>
          <w:lang w:bidi="fa-IR"/>
        </w:rPr>
        <w:t xml:space="preserve">، بل عن الغنیة، الإجماع علیه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49" w:name="pg13039_115149"/>
    </w:p>
    <w:p>
      <w:pPr>
        <w:pStyle w:val="BookText"/>
        <w:rPr/>
      </w:pPr>
      <w:bookmarkEnd w:id="49"/>
      <w:r>
        <w:rPr>
          <w:rFonts w:ascii="IRNazanin" w:hAnsi="IRNazanin" w:eastAsia="IRNazanin"/>
          <w:color w:val="111111"/>
          <w:sz w:val="28"/>
          <w:sz w:val="28"/>
          <w:szCs w:val="28"/>
          <w:rtl w:val="true"/>
          <w:lang w:bidi="fa-IR"/>
        </w:rPr>
        <w:t>و یدلّ علیه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شعبان و اغتسلوا لیلة النصف منه، ذلک تخفیف من ربّکم</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و لا یقدح اشتمالها علی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فی المصباح إسناداً إلی سالم مولی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تطهّر لیلة النصف من شعبان فأحسن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ساق 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اللّٰه له ثلاث حوائج، و إن سأل یرانی رآنی</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6451898_3224264995"/>
      <w:bookmarkStart w:id="51" w:name="_Toc20"/>
      <w:bookmarkEnd w:id="50"/>
      <w:r>
        <w:rPr>
          <w:rtl w:val="true"/>
        </w:rPr>
        <w:t>[</w:t>
      </w:r>
      <w:r>
        <w:rPr>
          <w:rtl w:val="true"/>
        </w:rPr>
        <w:t>غسل یوم المبعث</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کما عن المحقّق </w:t>
      </w:r>
      <w:r>
        <w:rPr>
          <w:rStyle w:val="FootnoteAnchor"/>
          <w:rtl w:val="true"/>
        </w:rPr>
        <w:footnoteReference w:id="276"/>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77"/>
      </w:r>
      <w:r>
        <w:rPr>
          <w:rFonts w:ascii="IRNazanin" w:hAnsi="IRNazanin" w:eastAsia="IRNazanin"/>
          <w:color w:val="111111"/>
          <w:sz w:val="28"/>
          <w:sz w:val="28"/>
          <w:szCs w:val="28"/>
          <w:rtl w:val="true"/>
          <w:lang w:bidi="fa-IR"/>
        </w:rPr>
        <w:t xml:space="preserve">، بل عن الغنیة الإجماع علیه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اعترف جماعة بعدم الظفر علی روایة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یستأنس له بما عن المنتهی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قال فی جمعة من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جعله اللّٰه عیداً للمسلمین فاغتسلوا</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 علّل الاغتسال بأنّه عید، و عن الخلاف، الإجماع علی استحباب الغسل فی الجمعة و الأعیاد </w:t>
      </w:r>
      <w:r>
        <w:rPr>
          <w:rStyle w:val="FootnoteAnchor"/>
          <w:rtl w:val="true"/>
        </w:rPr>
        <w:footnoteReference w:id="282"/>
      </w:r>
      <w:r>
        <w:rPr>
          <w:rFonts w:ascii="IRNazanin" w:hAnsi="IRNazanin" w:eastAsia="IRNazanin"/>
          <w:color w:val="111111"/>
          <w:sz w:val="28"/>
          <w:sz w:val="28"/>
          <w:szCs w:val="28"/>
          <w:rtl w:val="true"/>
          <w:lang w:bidi="fa-IR"/>
        </w:rPr>
        <w:t>،</w:t>
      </w:r>
      <w:bookmarkStart w:id="52" w:name="pg13039_115150"/>
    </w:p>
    <w:p>
      <w:pPr>
        <w:pStyle w:val="BookText"/>
        <w:rPr/>
      </w:pPr>
      <w:bookmarkEnd w:id="52"/>
      <w:r>
        <w:rPr>
          <w:rFonts w:ascii="IRNazanin" w:hAnsi="IRNazanin" w:eastAsia="IRNazanin"/>
          <w:color w:val="111111"/>
          <w:sz w:val="28"/>
          <w:sz w:val="28"/>
          <w:szCs w:val="28"/>
          <w:rtl w:val="true"/>
          <w:lang w:bidi="fa-IR"/>
        </w:rPr>
        <w:t>و لا یخفی أنّ هذا یوم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الاستئناس لا یخلو من نظر و لا عن تأیید لفتوی المشهور فی مثل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یأتی </w:t>
      </w:r>
      <w:r>
        <w:rPr>
          <w:rStyle w:val="FootnoteAnchor"/>
          <w:rtl w:val="true"/>
        </w:rPr>
        <w:footnoteReference w:id="283"/>
      </w:r>
      <w:r>
        <w:rPr>
          <w:rFonts w:ascii="IRNazanin" w:hAnsi="IRNazanin" w:eastAsia="IRNazanin"/>
          <w:color w:val="111111"/>
          <w:sz w:val="28"/>
          <w:sz w:val="28"/>
          <w:szCs w:val="28"/>
          <w:rtl w:val="true"/>
          <w:lang w:bidi="fa-IR"/>
        </w:rPr>
        <w:t>عن أحمد بن إسحاق فی غسل التاسع من ربیع الأوّل</w:t>
      </w:r>
      <w:r>
        <w:rPr>
          <w:rFonts w:eastAsia="IRNazanin" w:cs="IRNazanin"/>
          <w:color w:val="111111"/>
          <w:sz w:val="28"/>
          <w:szCs w:val="28"/>
          <w:rtl w:val="true"/>
          <w:lang w:bidi="fa-IR"/>
        </w:rPr>
        <w:t>.</w:t>
      </w:r>
    </w:p>
    <w:p>
      <w:pPr>
        <w:pStyle w:val="Heading6"/>
        <w:numPr>
          <w:ilvl w:val="5"/>
          <w:numId w:val="1"/>
        </w:numPr>
        <w:rPr/>
      </w:pPr>
      <w:bookmarkStart w:id="53" w:name="__RefHeading___Toc6451900_3224264995"/>
      <w:bookmarkStart w:id="54" w:name="_Toc21"/>
      <w:bookmarkEnd w:id="53"/>
      <w:r>
        <w:rPr>
          <w:rtl w:val="true"/>
        </w:rPr>
        <w:t>[</w:t>
      </w:r>
      <w:r>
        <w:rPr>
          <w:rtl w:val="true"/>
        </w:rPr>
        <w:t>غسل یوم الغدیر</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الثامن عشر من ذی الحجّة من السنة العاشرة من الهجرة، قیل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بحساب المنجّمین یوم التاسع عشر، لحکمهم بالهلال لیلة الثلاثین من ذی القعدة، لکنّه لم یرَ بمکّة لیلة الثلاثین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استحباب هذا الغسل ثابت إجماعاً کما فی الروض </w:t>
      </w:r>
      <w:r>
        <w:rPr>
          <w:rStyle w:val="FootnoteAnchor"/>
          <w:rtl w:val="true"/>
        </w:rPr>
        <w:footnoteReference w:id="285"/>
      </w:r>
      <w:r>
        <w:rPr>
          <w:rFonts w:ascii="IRNazanin" w:hAnsi="IRNazanin" w:eastAsia="IRNazanin"/>
          <w:color w:val="111111"/>
          <w:sz w:val="28"/>
          <w:sz w:val="28"/>
          <w:szCs w:val="28"/>
          <w:rtl w:val="true"/>
          <w:lang w:bidi="fa-IR"/>
        </w:rPr>
        <w:t xml:space="preserve">و عن التهذیب </w:t>
      </w:r>
      <w:r>
        <w:rPr>
          <w:rStyle w:val="FootnoteAnchor"/>
          <w:rtl w:val="true"/>
        </w:rPr>
        <w:footnoteReference w:id="286"/>
      </w:r>
      <w:r>
        <w:rPr>
          <w:rFonts w:ascii="IRNazanin" w:hAnsi="IRNazanin" w:eastAsia="IRNazanin"/>
          <w:color w:val="111111"/>
          <w:sz w:val="28"/>
          <w:sz w:val="28"/>
          <w:szCs w:val="28"/>
          <w:rtl w:val="true"/>
          <w:lang w:bidi="fa-IR"/>
        </w:rPr>
        <w:t xml:space="preserve">و الغنیة </w:t>
      </w:r>
      <w:r>
        <w:rPr>
          <w:rStyle w:val="FootnoteAnchor"/>
          <w:rtl w:val="true"/>
        </w:rPr>
        <w:footnoteReference w:id="287"/>
      </w:r>
      <w:r>
        <w:rPr>
          <w:rFonts w:ascii="IRNazanin" w:hAnsi="IRNazanin" w:eastAsia="IRNazanin"/>
          <w:color w:val="111111"/>
          <w:sz w:val="28"/>
          <w:sz w:val="28"/>
          <w:szCs w:val="28"/>
          <w:rtl w:val="true"/>
          <w:lang w:bidi="fa-IR"/>
        </w:rPr>
        <w:t>لروایة العبدی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فیه رکعتین یغتسل عند زوال الشمس من قبل أن تزول مقدار نصف ساعة ثمّ بیّن کیفیّة الصلاة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 اللّٰه حاجةً من حوائج الدنیا و الآخرة إلّا قضیت له، کائنةً ما کانت</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55" w:name="pg13039_115151"/>
    </w:p>
    <w:p>
      <w:pPr>
        <w:pStyle w:val="BookText"/>
        <w:rPr/>
      </w:pPr>
      <w:bookmarkEnd w:id="55"/>
      <w:r>
        <w:rPr>
          <w:rFonts w:ascii="IRNazanin" w:hAnsi="IRNazanin" w:eastAsia="IRNazanin"/>
          <w:color w:val="111111"/>
          <w:sz w:val="28"/>
          <w:sz w:val="28"/>
          <w:szCs w:val="28"/>
          <w:rtl w:val="true"/>
          <w:lang w:bidi="fa-IR"/>
        </w:rPr>
        <w:t xml:space="preserve">و أنکر الصدوق فی الفقیه هذا الحدیث، تبعاً لإنکار شیخه ابن الولید؛ لأنّ فیه محمّد بن موسی الهمدانی، و کان غیر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لم یصحّحه شیخنا و لم یحکم بصحّته فهو عندنا متروک غیر صحیح </w:t>
      </w:r>
      <w:r>
        <w:rPr>
          <w:rStyle w:val="FootnoteAnchor"/>
          <w:rtl w:val="true"/>
        </w:rPr>
        <w:footnoteReference w:id="289"/>
      </w:r>
      <w:r>
        <w:rPr>
          <w:rFonts w:ascii="IRNazanin" w:hAnsi="IRNazanin" w:eastAsia="IRNazanin"/>
          <w:color w:val="111111"/>
          <w:sz w:val="28"/>
          <w:sz w:val="28"/>
          <w:szCs w:val="28"/>
          <w:rtl w:val="true"/>
          <w:lang w:bidi="fa-IR"/>
        </w:rPr>
        <w:t>، و هذا یدلّ علی ترکهما الخبر الضعیف، حتّی فی السنن، و الحدیث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الإقبال بسنده عن الصادق علیه السلام فی حدیث ذکر فیه فضل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صبیحة ذلک الیوم وجب الغسل فی صدر نهاره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الروایة الأُولی تحدید الغسل بما قبل الزوال، و ظاهر الثانیة کونه فی صدر النهار، و ظاهر الفتاوی و معاقد الإجماع امتداده بامتداد الیوم، إلّا أنّ المحکیّ عن الإسکافی </w:t>
      </w:r>
      <w:r>
        <w:rPr>
          <w:rStyle w:val="FootnoteAnchor"/>
          <w:rtl w:val="true"/>
        </w:rPr>
        <w:footnoteReference w:id="291"/>
      </w:r>
      <w:r>
        <w:rPr>
          <w:rFonts w:ascii="IRNazanin" w:hAnsi="IRNazanin" w:eastAsia="IRNazanin"/>
          <w:color w:val="111111"/>
          <w:sz w:val="28"/>
          <w:sz w:val="28"/>
          <w:szCs w:val="28"/>
          <w:rtl w:val="true"/>
          <w:lang w:bidi="fa-IR"/>
        </w:rPr>
        <w:t>امتداده من طلوع الفجر إلی وقت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کما عرفت ممّا تقدّم عدم إطلاق فی الفتاوی و معاقد الإجماع، بل سیاقها فی الإضافة لمجرّد ظرفیّة الیوم للغسل، و لو کان الظرف جزءاً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التعرّض فی الفتاوی لبیان وقت له کما تعرّضوا لوقت غسل یوم الجمعة ربما یظهر منه عدم التوقیت بجزء معیّن، بل ظاهر الاولی اختصاص الغسل بمرید الصلاة</w:t>
      </w:r>
      <w:r>
        <w:rPr>
          <w:rFonts w:eastAsia="IRNazanin" w:cs="IRNazanin"/>
          <w:color w:val="111111"/>
          <w:sz w:val="28"/>
          <w:szCs w:val="28"/>
          <w:rtl w:val="true"/>
          <w:lang w:bidi="fa-IR"/>
        </w:rPr>
        <w:t>.</w:t>
      </w:r>
    </w:p>
    <w:p>
      <w:pPr>
        <w:pStyle w:val="Heading6"/>
        <w:numPr>
          <w:ilvl w:val="5"/>
          <w:numId w:val="1"/>
        </w:numPr>
        <w:rPr/>
      </w:pPr>
      <w:bookmarkStart w:id="56" w:name="__RefHeading___Toc6451902_3224264995"/>
      <w:bookmarkStart w:id="57" w:name="_Toc22"/>
      <w:bookmarkEnd w:id="56"/>
      <w:r>
        <w:rPr>
          <w:rtl w:val="true"/>
        </w:rPr>
        <w:t>[</w:t>
      </w:r>
      <w:r>
        <w:rPr>
          <w:rtl w:val="true"/>
        </w:rPr>
        <w:t>غسل یوم المباهلة</w:t>
      </w:r>
      <w:r>
        <w:rPr>
          <w:rtl w:val="true"/>
        </w:rPr>
        <w:t>]</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الرابع و العشرون من</w:t>
      </w:r>
    </w:p>
    <w:p>
      <w:pPr>
        <w:pStyle w:val="BookText"/>
        <w:rPr/>
      </w:pPr>
      <w:r>
        <w:rPr>
          <w:rFonts w:ascii="IRNazanin" w:hAnsi="IRNazanin" w:eastAsia="IRNazanin"/>
          <w:color w:val="111111"/>
          <w:sz w:val="28"/>
          <w:sz w:val="28"/>
          <w:szCs w:val="28"/>
          <w:rtl w:val="true"/>
          <w:lang w:bidi="fa-IR"/>
        </w:rPr>
        <w:t xml:space="preserve">ذی الحجّة علی المشهور، کما فی الروض </w:t>
      </w:r>
      <w:r>
        <w:rPr>
          <w:rStyle w:val="FootnoteAnchor"/>
          <w:rtl w:val="true"/>
        </w:rPr>
        <w:footnoteReference w:id="292"/>
      </w:r>
      <w:r>
        <w:rPr>
          <w:rFonts w:ascii="IRNazanin" w:hAnsi="IRNazanin" w:eastAsia="IRNazanin"/>
          <w:color w:val="111111"/>
          <w:sz w:val="28"/>
          <w:sz w:val="28"/>
          <w:szCs w:val="28"/>
          <w:rtl w:val="true"/>
          <w:lang w:bidi="fa-IR"/>
        </w:rPr>
        <w:t xml:space="preserve">و عن الذکری </w:t>
      </w:r>
      <w:r>
        <w:rPr>
          <w:rStyle w:val="FootnoteAnchor"/>
          <w:rtl w:val="true"/>
        </w:rPr>
        <w:footnoteReference w:id="293"/>
      </w:r>
      <w:r>
        <w:rPr>
          <w:rFonts w:ascii="IRNazanin" w:hAnsi="IRNazanin" w:eastAsia="IRNazanin"/>
          <w:color w:val="111111"/>
          <w:sz w:val="28"/>
          <w:sz w:val="28"/>
          <w:szCs w:val="28"/>
          <w:rtl w:val="true"/>
          <w:lang w:bidi="fa-IR"/>
        </w:rPr>
        <w:t xml:space="preserve">و الذخیرة </w:t>
      </w:r>
      <w:r>
        <w:rPr>
          <w:rStyle w:val="FootnoteAnchor"/>
          <w:rtl w:val="true"/>
        </w:rPr>
        <w:footnoteReference w:id="294"/>
      </w:r>
      <w:r>
        <w:rPr>
          <w:rFonts w:ascii="IRNazanin" w:hAnsi="IRNazanin" w:eastAsia="IRNazanin"/>
          <w:color w:val="111111"/>
          <w:sz w:val="28"/>
          <w:sz w:val="28"/>
          <w:szCs w:val="28"/>
          <w:rtl w:val="true"/>
          <w:lang w:bidi="fa-IR"/>
        </w:rPr>
        <w:t xml:space="preserve">و الکشف </w:t>
      </w:r>
      <w:r>
        <w:rPr>
          <w:rStyle w:val="FootnoteAnchor"/>
          <w:rtl w:val="true"/>
        </w:rPr>
        <w:footnoteReference w:id="295"/>
      </w:r>
      <w:r>
        <w:rPr>
          <w:rFonts w:ascii="IRNazanin" w:hAnsi="IRNazanin" w:eastAsia="IRNazanin"/>
          <w:color w:val="111111"/>
          <w:sz w:val="28"/>
          <w:sz w:val="28"/>
          <w:szCs w:val="28"/>
          <w:rtl w:val="true"/>
          <w:lang w:bidi="fa-IR"/>
        </w:rPr>
        <w:t xml:space="preserve">و غیرها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الإقبال نسبته إلی أصحّ الروایات، و حکی فیه قولًا بأنّه الواحد و العشرون، و قولًا بأنّه السابع و العشرون </w:t>
      </w:r>
      <w:r>
        <w:rPr>
          <w:rStyle w:val="FootnoteAnchor"/>
          <w:rtl w:val="true"/>
        </w:rPr>
        <w:footnoteReference w:id="297"/>
      </w:r>
      <w:r>
        <w:rPr>
          <w:rFonts w:ascii="IRNazanin" w:hAnsi="IRNazanin" w:eastAsia="IRNazanin"/>
          <w:color w:val="111111"/>
          <w:sz w:val="28"/>
          <w:sz w:val="28"/>
          <w:szCs w:val="28"/>
          <w:rtl w:val="true"/>
          <w:lang w:bidi="fa-IR"/>
        </w:rPr>
        <w:t xml:space="preserve">، و لم یحکِ قولًا بالخامس و العشرین، إلّا أنّ جماعة حکوه عن المحقّق فی المعتبر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القول الأوّل ما عن مصباح الشیخ، عن محمّد بن صدقة العنبری، عن أبی إبراهیم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المباهلة و هو الرابع و العشرون تصلّی فی ذلک الیوم ما أردت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تقول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علی غسل و الحمد للّٰه ربّ العالمین</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المستند فی استحباب غسل هذا الیوم کما هو 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 ثبوت غسل یوم المباهلة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استحباب غسل المباهلة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المباهلة واجب</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بالوجوب الاستحباب المؤکّد، و المراد بالمباهلة فیها و فی معقد إجماع الغنیة یومها، کما فهمه الأصحاب علی ما اعترف به فی محکیّ الحدائق، لا لإیقاع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 الحواشی المنسوبة إلی المولی محمّد تقی المجلسی مکتوباً علی الحدیث المشار إلیه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بالمباهلة الیوم المشهور، حیث باهَلَ النبی صلّی اللّٰه علیه و آله و سلم مع نصاری نجران، بل المراد به الاغتسال لإیقاع المباهلة مع الخصوم فی کلّ حین کما فی الاستخارة، و قد وردت بذلک روایة صحیحة فی الکافی، و کان ذلک مشتهراً بین القدماء کما لا یخفی </w:t>
      </w:r>
      <w:r>
        <w:rPr>
          <w:rStyle w:val="FootnoteAnchor"/>
          <w:rtl w:val="true"/>
        </w:rPr>
        <w:footnoteReference w:id="304"/>
      </w:r>
      <w:r>
        <w:rPr>
          <w:rFonts w:ascii="IRNazanin" w:hAnsi="IRNazanin" w:eastAsia="IRNazanin"/>
          <w:color w:val="111111"/>
          <w:sz w:val="28"/>
          <w:sz w:val="28"/>
          <w:szCs w:val="28"/>
          <w:rtl w:val="true"/>
          <w:lang w:bidi="fa-IR"/>
        </w:rPr>
        <w:t>، انتهی، ثمّ استظهر فی الحدائق ما حکاه عن المجلسی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مراده بما فی الکافی روایة أبی مسروق المرویّة عن أُصول الکافی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نتکلّم مع الناس فنحتجّ علیهم 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أمر السرایا، فنحتجّ علیهم بقول اللّٰه تعالی قُلْ</w:t>
      </w:r>
      <w:bookmarkStart w:id="58" w:name="pg13039_115154"/>
    </w:p>
    <w:p>
      <w:pPr>
        <w:pStyle w:val="BookText"/>
        <w:rPr/>
      </w:pPr>
      <w:bookmarkEnd w:id="58"/>
      <w:r>
        <w:rPr>
          <w:rFonts w:ascii="Amiri" w:hAnsi="Amiri" w:eastAsia="Amiri" w:cs="Amiri"/>
          <w:color w:val="111111"/>
          <w:sz w:val="28"/>
          <w:sz w:val="28"/>
          <w:szCs w:val="28"/>
          <w:rtl w:val="true"/>
          <w:lang w:bidi="ar-SA"/>
        </w:rPr>
        <w:t xml:space="preserve">لٰا أَسْئَلُکُمْ عَلَیْهِ أَجْراً إِلَّا الْمَوَدَّةَ فِی الْقُرْبیٰ </w:t>
      </w:r>
      <w:r>
        <w:rPr>
          <w:rStyle w:val="FootnoteAnchor"/>
          <w:rtl w:val="true"/>
        </w:rPr>
        <w:footnoteReference w:id="306"/>
      </w:r>
      <w:r>
        <w:rPr>
          <w:rFonts w:ascii="Amiri" w:hAnsi="Amiri" w:eastAsia="Amiri" w:cs="Amiri"/>
          <w:color w:val="111111"/>
          <w:sz w:val="28"/>
          <w:sz w:val="28"/>
          <w:szCs w:val="28"/>
          <w:rtl w:val="true"/>
          <w:lang w:bidi="ar-SA"/>
        </w:rPr>
        <w:t>،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مودّة قربی المسلمین، و نحتجّ علیهم بقوله تعالی إِنَّمٰا وَلِیُّکُمُ اللّٰهُ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الآیة،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المؤمنین، فلم أدع شیئاً ممّا حضرنی ذکره من هذا و أشباهه إلّا ذکرته،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فادعهم إلی المباهلة،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نفسک ثلاثاً و 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 و اغتسل و ابرز أنت و هو إلی الجبّان، فشبّک أصابعک الیمنی فی أصابعهم، ثمّ أنصفه و ابدأ بنفسک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و الأرضین عالم الغیب و الشهادة، الرحمن الرحیم، إن کان أبو مسروق جحد حقّا أو ادّعی باطلًا فأنزل علیه حسباناً من السماء أو عذاباً ألیماً،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تلبث إلّا أن تری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وجدت خلقاً یجیبنی إلی ذلک</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نفسک و صم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أظنّه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صم و 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الروایة یستفاد استحباب الغسل لإیقاع المباهلة بعد ثبوت مشروعیّتها بهذه الروایة، و حکایة الشهرة عن المجلسی</w:t>
      </w:r>
      <w:r>
        <w:rPr>
          <w:rFonts w:eastAsia="IRNazanin" w:cs="IRNazanin"/>
          <w:color w:val="111111"/>
          <w:sz w:val="28"/>
          <w:szCs w:val="28"/>
          <w:rtl w:val="true"/>
          <w:lang w:bidi="fa-IR"/>
        </w:rPr>
        <w:t>.</w:t>
      </w:r>
    </w:p>
    <w:p>
      <w:pPr>
        <w:pStyle w:val="Heading6"/>
        <w:numPr>
          <w:ilvl w:val="5"/>
          <w:numId w:val="1"/>
        </w:numPr>
        <w:rPr/>
      </w:pPr>
      <w:bookmarkStart w:id="59" w:name="__RefHeading___Toc6451904_3224264995"/>
      <w:bookmarkStart w:id="60" w:name="_Toc23"/>
      <w:bookmarkEnd w:id="59"/>
      <w:r>
        <w:rPr>
          <w:rtl w:val="true"/>
        </w:rPr>
        <w:t>[</w:t>
      </w:r>
      <w:r>
        <w:rPr>
          <w:rtl w:val="true"/>
        </w:rPr>
        <w:t>غسل یوم عرفة</w:t>
      </w:r>
      <w:r>
        <w:rPr>
          <w:rtl w:val="true"/>
        </w:rPr>
        <w:t>]</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أیضاً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کما عن المعتبر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غیره </w:t>
      </w:r>
      <w:r>
        <w:rPr>
          <w:rStyle w:val="FootnoteAnchor"/>
          <w:rtl w:val="true"/>
        </w:rPr>
        <w:footnoteReference w:id="310"/>
      </w:r>
      <w:r>
        <w:rPr>
          <w:rFonts w:ascii="IRNazanin" w:hAnsi="IRNazanin" w:eastAsia="IRNazanin"/>
          <w:color w:val="111111"/>
          <w:sz w:val="28"/>
          <w:sz w:val="28"/>
          <w:szCs w:val="28"/>
          <w:rtl w:val="true"/>
          <w:lang w:bidi="fa-IR"/>
        </w:rPr>
        <w:t xml:space="preserve">، بل المجمع علیه کما عن الغنیة </w:t>
      </w:r>
      <w:r>
        <w:rPr>
          <w:rStyle w:val="FootnoteAnchor"/>
          <w:rtl w:val="true"/>
        </w:rPr>
        <w:footnoteReference w:id="311"/>
      </w:r>
      <w:r>
        <w:rPr>
          <w:rFonts w:ascii="IRNazanin" w:hAnsi="IRNazanin" w:eastAsia="IRNazanin"/>
          <w:color w:val="111111"/>
          <w:sz w:val="28"/>
          <w:sz w:val="28"/>
          <w:szCs w:val="28"/>
          <w:rtl w:val="true"/>
          <w:lang w:bidi="fa-IR"/>
        </w:rPr>
        <w:t xml:space="preserve">و المدارک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الأخبار المستفیضة </w:t>
      </w:r>
      <w:r>
        <w:rPr>
          <w:rStyle w:val="FootnoteAnchor"/>
          <w:rtl w:val="true"/>
        </w:rPr>
        <w:footnoteReference w:id="313"/>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غسل عرفة واجب</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یخصّ بالواقف فی عرفات؛ لإطلاق النصّ و الفتوی، و خصوص روایة عبد الرحمن بن سیّابة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غسل عرفة فی الأمصار،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أینما کنت</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أکثر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وقته مجموع الیوم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المحکیّ عن علیّ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اغتسل یوم عرفة قبل زوال الشمس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لخبر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من الجنابة و یوم الجمعة و یوم الفطر و یوم الأضحی و یوم عرفة عند زوال الشمس</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و بمضمونها عبّر فی الروض </w:t>
      </w:r>
      <w:r>
        <w:rPr>
          <w:rStyle w:val="FootnoteAnchor"/>
          <w:rtl w:val="true"/>
        </w:rPr>
        <w:footnoteReference w:id="319"/>
      </w:r>
      <w:r>
        <w:rPr>
          <w:rFonts w:ascii="IRNazanin" w:hAnsi="IRNazanin" w:eastAsia="IRNazanin"/>
          <w:color w:val="111111"/>
          <w:sz w:val="28"/>
          <w:sz w:val="28"/>
          <w:szCs w:val="28"/>
          <w:rtl w:val="true"/>
          <w:lang w:bidi="fa-IR"/>
        </w:rPr>
        <w:t xml:space="preserve">، و عن الذکری و غیرها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ذکرها، الظاهر فی</w:t>
      </w:r>
    </w:p>
    <w:p>
      <w:pPr>
        <w:pStyle w:val="BookText"/>
        <w:rPr/>
      </w:pPr>
      <w:r>
        <w:rPr>
          <w:rFonts w:ascii="IRNazanin" w:hAnsi="IRNazanin" w:eastAsia="IRNazanin"/>
          <w:color w:val="111111"/>
          <w:sz w:val="28"/>
          <w:sz w:val="28"/>
          <w:szCs w:val="28"/>
          <w:rtl w:val="true"/>
          <w:lang w:bidi="fa-IR"/>
        </w:rPr>
        <w:t>القول بها، و لعلّها محمولة علی الأفضلیّة أو علی أنّ المقیّد لجمیع ما عدا الجنابة فیکون بیاناً لآخر وقته، مع أنّ المرویّ فی الصحیح عن معاویة بن عمّار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عرفات فاضرب خباءک بنمرة فإذا زالت الشمس فاغتسل</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و نحوها روایة عمر بن یزید </w:t>
      </w:r>
      <w:r>
        <w:rPr>
          <w:rStyle w:val="FootnoteAnchor"/>
          <w:rtl w:val="true"/>
        </w:rPr>
        <w:footnoteReference w:id="322"/>
      </w:r>
      <w:r>
        <w:rPr>
          <w:rFonts w:ascii="IRNazanin" w:hAnsi="IRNazanin" w:eastAsia="IRNazanin"/>
          <w:color w:val="111111"/>
          <w:sz w:val="28"/>
          <w:sz w:val="28"/>
          <w:szCs w:val="28"/>
          <w:rtl w:val="true"/>
          <w:lang w:bidi="fa-IR"/>
        </w:rPr>
        <w:t xml:space="preserve">، و موردهما و إن کان غسل الوقوف إلّا أنّ الظاهر کما قیل دخول غسل الیوم فیه </w:t>
      </w:r>
      <w:r>
        <w:rPr>
          <w:rStyle w:val="FootnoteAnchor"/>
          <w:rtl w:val="true"/>
        </w:rPr>
        <w:footnoteReference w:id="323"/>
      </w:r>
      <w:r>
        <w:rPr>
          <w:rFonts w:ascii="IRNazanin" w:hAnsi="IRNazanin" w:eastAsia="IRNazanin"/>
          <w:color w:val="111111"/>
          <w:sz w:val="28"/>
          <w:sz w:val="28"/>
          <w:szCs w:val="28"/>
          <w:rtl w:val="true"/>
          <w:lang w:bidi="fa-IR"/>
        </w:rPr>
        <w:t>، فیکون غسل الیوم بعد الزوال جائزاً، إلّا أنّ الأحوط إیقاعه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بقی من الأغسال الزمانیّة ما لم یذکره المصنّف؛ لعدم اقتضاء المقام استقصاء الأغسال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یوم الترویة، کما عن الهدایة </w:t>
      </w:r>
      <w:r>
        <w:rPr>
          <w:rStyle w:val="FootnoteAnchor"/>
          <w:rtl w:val="true"/>
        </w:rPr>
        <w:footnoteReference w:id="324"/>
      </w:r>
      <w:r>
        <w:rPr>
          <w:rFonts w:ascii="IRNazanin" w:hAnsi="IRNazanin" w:eastAsia="IRNazanin"/>
          <w:color w:val="111111"/>
          <w:sz w:val="28"/>
          <w:sz w:val="28"/>
          <w:szCs w:val="28"/>
          <w:rtl w:val="true"/>
          <w:lang w:bidi="fa-IR"/>
        </w:rPr>
        <w:t xml:space="preserve">و المنتهی </w:t>
      </w:r>
      <w:r>
        <w:rPr>
          <w:rStyle w:val="FootnoteAnchor"/>
          <w:rtl w:val="true"/>
        </w:rPr>
        <w:footnoteReference w:id="325"/>
      </w:r>
      <w:r>
        <w:rPr>
          <w:rFonts w:ascii="IRNazanin" w:hAnsi="IRNazanin" w:eastAsia="IRNazanin"/>
          <w:color w:val="111111"/>
          <w:sz w:val="28"/>
          <w:sz w:val="28"/>
          <w:szCs w:val="28"/>
          <w:rtl w:val="true"/>
          <w:lang w:bidi="fa-IR"/>
        </w:rPr>
        <w:t xml:space="preserve">و الذکری </w:t>
      </w:r>
      <w:r>
        <w:rPr>
          <w:rStyle w:val="FootnoteAnchor"/>
          <w:rtl w:val="true"/>
        </w:rPr>
        <w:footnoteReference w:id="326"/>
      </w:r>
      <w:r>
        <w:rPr>
          <w:rFonts w:ascii="Amiri" w:hAnsi="Amiri" w:eastAsia="Amiri" w:cs="Amiri"/>
          <w:color w:val="111111"/>
          <w:sz w:val="28"/>
          <w:sz w:val="28"/>
          <w:szCs w:val="28"/>
          <w:rtl w:val="true"/>
          <w:lang w:bidi="ar-SA"/>
        </w:rPr>
        <w:t xml:space="preserve">و النفلیّة </w:t>
      </w:r>
      <w:r>
        <w:rPr>
          <w:rStyle w:val="FootnoteAnchor"/>
          <w:rtl w:val="true"/>
        </w:rPr>
        <w:footnoteReference w:id="327"/>
      </w:r>
      <w:r>
        <w:rPr>
          <w:rFonts w:ascii="IRNazanin" w:hAnsi="IRNazanin" w:eastAsia="IRNazanin"/>
          <w:color w:val="111111"/>
          <w:sz w:val="28"/>
          <w:sz w:val="28"/>
          <w:szCs w:val="28"/>
          <w:rtl w:val="true"/>
          <w:lang w:bidi="fa-IR"/>
        </w:rPr>
        <w:t xml:space="preserve">و شرحها </w:t>
      </w:r>
      <w:r>
        <w:rPr>
          <w:rStyle w:val="FootnoteAnchor"/>
          <w:rtl w:val="true"/>
        </w:rPr>
        <w:footnoteReference w:id="328"/>
      </w:r>
      <w:r>
        <w:rPr>
          <w:rFonts w:ascii="IRNazanin" w:hAnsi="IRNazanin" w:eastAsia="IRNazanin"/>
          <w:color w:val="111111"/>
          <w:sz w:val="28"/>
          <w:sz w:val="28"/>
          <w:szCs w:val="28"/>
          <w:rtl w:val="true"/>
          <w:lang w:bidi="fa-IR"/>
        </w:rPr>
        <w:t xml:space="preserve">و الموجز </w:t>
      </w:r>
      <w:r>
        <w:rPr>
          <w:rStyle w:val="FootnoteAnchor"/>
          <w:rtl w:val="true"/>
        </w:rPr>
        <w:footnoteReference w:id="329"/>
      </w:r>
      <w:r>
        <w:rPr>
          <w:rFonts w:ascii="IRNazanin" w:hAnsi="IRNazanin" w:eastAsia="IRNazanin"/>
          <w:color w:val="111111"/>
          <w:sz w:val="28"/>
          <w:sz w:val="28"/>
          <w:szCs w:val="28"/>
          <w:rtl w:val="true"/>
          <w:lang w:bidi="fa-IR"/>
        </w:rPr>
        <w:t xml:space="preserve">و شرحه </w:t>
      </w:r>
      <w:r>
        <w:rPr>
          <w:rStyle w:val="FootnoteAnchor"/>
          <w:rtl w:val="true"/>
        </w:rPr>
        <w:footnoteReference w:id="330"/>
      </w:r>
      <w:r>
        <w:rPr>
          <w:rFonts w:ascii="IRNazanin" w:hAnsi="IRNazanin" w:eastAsia="IRNazanin"/>
          <w:color w:val="111111"/>
          <w:sz w:val="28"/>
          <w:sz w:val="28"/>
          <w:szCs w:val="28"/>
          <w:rtl w:val="true"/>
          <w:lang w:bidi="fa-IR"/>
        </w:rPr>
        <w:t xml:space="preserve">و غیرهم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سبعة عشر موطناً، و عدّ منها یوم الترویة</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مصحّحة زرارة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الترویة فاغتسل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امتداد وقته بامتداد الیوم؛ إذ لم أجد فی النصّ و الفتوی ما یوجب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یوم المولود کما عن الوسیلة </w:t>
      </w:r>
      <w:r>
        <w:rPr>
          <w:rStyle w:val="FootnoteAnchor"/>
          <w:rtl w:val="true"/>
        </w:rPr>
        <w:footnoteReference w:id="334"/>
      </w:r>
      <w:r>
        <w:rPr>
          <w:rFonts w:ascii="IRNazanin" w:hAnsi="IRNazanin" w:eastAsia="IRNazanin"/>
          <w:color w:val="111111"/>
          <w:sz w:val="28"/>
          <w:sz w:val="28"/>
          <w:szCs w:val="28"/>
          <w:rtl w:val="true"/>
          <w:lang w:bidi="fa-IR"/>
        </w:rPr>
        <w:t xml:space="preserve">و فلاح السائل </w:t>
      </w:r>
      <w:r>
        <w:rPr>
          <w:rStyle w:val="FootnoteAnchor"/>
          <w:rtl w:val="true"/>
        </w:rPr>
        <w:footnoteReference w:id="335"/>
      </w:r>
      <w:r>
        <w:rPr>
          <w:rFonts w:ascii="IRNazanin" w:hAnsi="IRNazanin" w:eastAsia="IRNazanin"/>
          <w:color w:val="111111"/>
          <w:sz w:val="28"/>
          <w:sz w:val="28"/>
          <w:szCs w:val="28"/>
          <w:rtl w:val="true"/>
          <w:lang w:bidi="fa-IR"/>
        </w:rPr>
        <w:t xml:space="preserve">و الدروس </w:t>
      </w:r>
      <w:r>
        <w:rPr>
          <w:rStyle w:val="FootnoteAnchor"/>
          <w:rtl w:val="true"/>
        </w:rPr>
        <w:footnoteReference w:id="336"/>
      </w:r>
      <w:r>
        <w:rPr>
          <w:rFonts w:ascii="IRNazanin" w:hAnsi="IRNazanin" w:eastAsia="IRNazanin"/>
          <w:color w:val="111111"/>
          <w:sz w:val="28"/>
          <w:sz w:val="28"/>
          <w:szCs w:val="28"/>
          <w:rtl w:val="true"/>
          <w:lang w:bidi="fa-IR"/>
        </w:rPr>
        <w:t xml:space="preserve">و البیان </w:t>
      </w:r>
      <w:r>
        <w:rPr>
          <w:rStyle w:val="FootnoteAnchor"/>
          <w:rtl w:val="true"/>
        </w:rPr>
        <w:footnoteReference w:id="337"/>
      </w:r>
      <w:r>
        <w:rPr>
          <w:rFonts w:ascii="IRNazanin" w:hAnsi="IRNazanin" w:eastAsia="IRNazanin"/>
          <w:color w:val="111111"/>
          <w:sz w:val="28"/>
          <w:sz w:val="28"/>
          <w:szCs w:val="28"/>
          <w:rtl w:val="true"/>
          <w:lang w:bidi="fa-IR"/>
        </w:rPr>
        <w:t xml:space="preserve">و الموجز </w:t>
      </w:r>
      <w:r>
        <w:rPr>
          <w:rStyle w:val="FootnoteAnchor"/>
          <w:rtl w:val="true"/>
        </w:rPr>
        <w:footnoteReference w:id="338"/>
      </w:r>
      <w:r>
        <w:rPr>
          <w:rFonts w:ascii="IRNazanin" w:hAnsi="IRNazanin" w:eastAsia="IRNazanin"/>
          <w:color w:val="111111"/>
          <w:sz w:val="28"/>
          <w:sz w:val="28"/>
          <w:szCs w:val="28"/>
          <w:rtl w:val="true"/>
          <w:lang w:bidi="fa-IR"/>
        </w:rPr>
        <w:t xml:space="preserve">و شرحه </w:t>
      </w:r>
      <w:r>
        <w:rPr>
          <w:rStyle w:val="FootnoteAnchor"/>
          <w:rtl w:val="true"/>
        </w:rPr>
        <w:footnoteReference w:id="339"/>
      </w:r>
      <w:r>
        <w:rPr>
          <w:rFonts w:ascii="IRNazanin" w:hAnsi="IRNazanin" w:eastAsia="IRNazanin"/>
          <w:color w:val="111111"/>
          <w:sz w:val="28"/>
          <w:sz w:val="28"/>
          <w:szCs w:val="28"/>
          <w:rtl w:val="true"/>
          <w:lang w:bidi="fa-IR"/>
        </w:rPr>
        <w:t xml:space="preserve">و الإثنی عشریّة </w:t>
      </w:r>
      <w:r>
        <w:rPr>
          <w:rStyle w:val="FootnoteAnchor"/>
          <w:rtl w:val="true"/>
        </w:rPr>
        <w:footnoteReference w:id="340"/>
      </w:r>
      <w:r>
        <w:rPr>
          <w:rFonts w:ascii="IRNazanin" w:hAnsi="IRNazanin" w:eastAsia="IRNazanin"/>
          <w:color w:val="111111"/>
          <w:sz w:val="28"/>
          <w:sz w:val="28"/>
          <w:szCs w:val="28"/>
          <w:rtl w:val="true"/>
          <w:lang w:bidi="fa-IR"/>
        </w:rPr>
        <w:t xml:space="preserve">و جملة من کتب المتأخّرین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کشف الالتباس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إلی الروایة، و لعلّ المراد بها موثّقة</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المولود واجب</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و یقوی فیها إرادة الولد دون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من جملة الأعیاد فیستحبّ فیه الغسل؛ لما تقدّم عن الخلاف من دعوی الإجماع علی استحبابه فی الأعیاد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یوم المولود هو السابع عشر من ربیع الأوّل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روایة بالثانی عشر، و حکی عن الکلینی اختیاره </w:t>
      </w:r>
      <w:r>
        <w:rPr>
          <w:rStyle w:val="FootnoteAnchor"/>
          <w:rtl w:val="true"/>
        </w:rPr>
        <w:footnoteReference w:id="345"/>
      </w:r>
      <w:r>
        <w:rPr>
          <w:rFonts w:ascii="IRNazanin" w:hAnsi="IRNazanin" w:eastAsia="IRNazanin"/>
          <w:color w:val="111111"/>
          <w:sz w:val="28"/>
          <w:sz w:val="28"/>
          <w:szCs w:val="28"/>
          <w:rtl w:val="true"/>
          <w:lang w:bidi="fa-IR"/>
        </w:rPr>
        <w:t xml:space="preserve">، و عن بعض المتأخّرین تقویته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یوم دحو الأرض، کما عن الذکری </w:t>
      </w:r>
      <w:r>
        <w:rPr>
          <w:rStyle w:val="FootnoteAnchor"/>
          <w:rtl w:val="true"/>
        </w:rPr>
        <w:footnoteReference w:id="347"/>
      </w:r>
      <w:r>
        <w:rPr>
          <w:rFonts w:ascii="IRNazanin" w:hAnsi="IRNazanin" w:eastAsia="IRNazanin"/>
          <w:color w:val="111111"/>
          <w:sz w:val="28"/>
          <w:sz w:val="28"/>
          <w:szCs w:val="28"/>
          <w:rtl w:val="true"/>
          <w:lang w:bidi="fa-IR"/>
        </w:rPr>
        <w:t xml:space="preserve">و البیان </w:t>
      </w:r>
      <w:r>
        <w:rPr>
          <w:rStyle w:val="FootnoteAnchor"/>
          <w:rtl w:val="true"/>
        </w:rPr>
        <w:footnoteReference w:id="348"/>
      </w:r>
      <w:r>
        <w:rPr>
          <w:rFonts w:ascii="IRNazanin" w:hAnsi="IRNazanin" w:eastAsia="IRNazanin"/>
          <w:color w:val="111111"/>
          <w:sz w:val="28"/>
          <w:sz w:val="28"/>
          <w:szCs w:val="28"/>
          <w:rtl w:val="true"/>
          <w:lang w:bidi="fa-IR"/>
        </w:rPr>
        <w:t xml:space="preserve">و الدروس </w:t>
      </w:r>
      <w:r>
        <w:rPr>
          <w:rStyle w:val="FootnoteAnchor"/>
          <w:rtl w:val="true"/>
        </w:rPr>
        <w:footnoteReference w:id="349"/>
      </w:r>
      <w:r>
        <w:rPr>
          <w:rFonts w:ascii="IRNazanin" w:hAnsi="IRNazanin" w:eastAsia="IRNazanin"/>
          <w:color w:val="111111"/>
          <w:sz w:val="28"/>
          <w:sz w:val="28"/>
          <w:szCs w:val="28"/>
          <w:rtl w:val="true"/>
          <w:lang w:bidi="fa-IR"/>
        </w:rPr>
        <w:t xml:space="preserve">و جامع البهائی </w:t>
      </w:r>
      <w:r>
        <w:rPr>
          <w:rStyle w:val="FootnoteAnchor"/>
          <w:rtl w:val="true"/>
        </w:rPr>
        <w:footnoteReference w:id="350"/>
      </w:r>
      <w:r>
        <w:rPr>
          <w:rFonts w:ascii="IRNazanin" w:hAnsi="IRNazanin" w:eastAsia="IRNazanin"/>
          <w:color w:val="111111"/>
          <w:sz w:val="28"/>
          <w:sz w:val="28"/>
          <w:szCs w:val="28"/>
          <w:rtl w:val="true"/>
          <w:lang w:bidi="fa-IR"/>
        </w:rPr>
        <w:t xml:space="preserve">و اثنی عشریّته </w:t>
      </w:r>
      <w:r>
        <w:rPr>
          <w:rStyle w:val="FootnoteAnchor"/>
          <w:rtl w:val="true"/>
        </w:rPr>
        <w:footnoteReference w:id="351"/>
      </w:r>
      <w:r>
        <w:rPr>
          <w:rFonts w:ascii="IRNazanin" w:hAnsi="IRNazanin" w:eastAsia="IRNazanin"/>
          <w:color w:val="111111"/>
          <w:sz w:val="28"/>
          <w:sz w:val="28"/>
          <w:szCs w:val="28"/>
          <w:rtl w:val="true"/>
          <w:lang w:bidi="fa-IR"/>
        </w:rPr>
        <w:t xml:space="preserve">، بل عن الأوّل نسبته إلی الأصحاب، و عن الفوائد للشهید الثانی </w:t>
      </w:r>
      <w:r>
        <w:rPr>
          <w:rStyle w:val="FootnoteAnchor"/>
          <w:rtl w:val="true"/>
        </w:rPr>
        <w:footnoteReference w:id="352"/>
      </w:r>
      <w:r>
        <w:rPr>
          <w:rFonts w:ascii="IRNazanin" w:hAnsi="IRNazanin" w:eastAsia="IRNazanin"/>
          <w:color w:val="111111"/>
          <w:sz w:val="28"/>
          <w:sz w:val="28"/>
          <w:szCs w:val="28"/>
          <w:rtl w:val="true"/>
          <w:lang w:bidi="fa-IR"/>
        </w:rPr>
        <w:t xml:space="preserve">و الحدیقة </w:t>
      </w:r>
      <w:r>
        <w:rPr>
          <w:rStyle w:val="FootnoteAnchor"/>
          <w:rtl w:val="true"/>
        </w:rPr>
        <w:footnoteReference w:id="353"/>
      </w:r>
      <w:r>
        <w:rPr>
          <w:rFonts w:ascii="IRNazanin" w:hAnsi="IRNazanin" w:eastAsia="IRNazanin"/>
          <w:color w:val="111111"/>
          <w:sz w:val="28"/>
          <w:sz w:val="28"/>
          <w:szCs w:val="28"/>
          <w:rtl w:val="true"/>
          <w:lang w:bidi="fa-IR"/>
        </w:rPr>
        <w:t>نسبته إلی المشهور، و لکن لم نعثر له علی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لیلة الأضحی، فعن الوسائل عقدُ باب لغسل لیلتی العیدین، و ذکر فیه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یغتسل قبل الغروب إذا علم أنّها لیلة العید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به عید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لیلة الجمعة حکی عن کشف اللثام </w:t>
      </w:r>
      <w:r>
        <w:rPr>
          <w:rStyle w:val="FootnoteAnchor"/>
          <w:rtl w:val="true"/>
        </w:rPr>
        <w:footnoteReference w:id="355"/>
      </w:r>
      <w:r>
        <w:rPr>
          <w:rFonts w:ascii="IRNazanin" w:hAnsi="IRNazanin" w:eastAsia="IRNazanin"/>
          <w:color w:val="111111"/>
          <w:sz w:val="28"/>
          <w:sz w:val="28"/>
          <w:szCs w:val="28"/>
          <w:rtl w:val="true"/>
          <w:lang w:bidi="fa-IR"/>
        </w:rPr>
        <w:t xml:space="preserve">نسبته إلی الحلبی فی إشارة السبق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یوم النیروز، کما عن المصباح </w:t>
      </w:r>
      <w:r>
        <w:rPr>
          <w:rStyle w:val="FootnoteAnchor"/>
          <w:rtl w:val="true"/>
        </w:rPr>
        <w:footnoteReference w:id="357"/>
      </w:r>
      <w:r>
        <w:rPr>
          <w:rFonts w:ascii="IRNazanin" w:hAnsi="IRNazanin" w:eastAsia="IRNazanin"/>
          <w:color w:val="111111"/>
          <w:sz w:val="28"/>
          <w:sz w:val="28"/>
          <w:szCs w:val="28"/>
          <w:rtl w:val="true"/>
          <w:lang w:bidi="fa-IR"/>
        </w:rPr>
        <w:t xml:space="preserve">و الجامع </w:t>
      </w:r>
      <w:r>
        <w:rPr>
          <w:rStyle w:val="FootnoteAnchor"/>
          <w:rtl w:val="true"/>
        </w:rPr>
        <w:footnoteReference w:id="358"/>
      </w:r>
      <w:r>
        <w:rPr>
          <w:rFonts w:ascii="IRNazanin" w:hAnsi="IRNazanin" w:eastAsia="IRNazanin"/>
          <w:color w:val="111111"/>
          <w:sz w:val="28"/>
          <w:sz w:val="28"/>
          <w:szCs w:val="28"/>
          <w:rtl w:val="true"/>
          <w:lang w:bidi="fa-IR"/>
        </w:rPr>
        <w:t xml:space="preserve">، و هو علی المشهور بین المتأخّرین کما قیل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فیه روایة لمعلّی بن خنیس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یوم النیروز فاغتسل و البس أنظف ثیابک، و تطیّب بأطیب طیبک</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روایة أُخری للمعلّی محکیّة عن المهذّب البارع </w:t>
      </w:r>
      <w:r>
        <w:rPr>
          <w:rStyle w:val="FootnoteAnchor"/>
          <w:rtl w:val="true"/>
        </w:rPr>
        <w:footnoteReference w:id="361"/>
      </w:r>
      <w:r>
        <w:rPr>
          <w:rFonts w:ascii="IRNazanin" w:hAnsi="IRNazanin" w:eastAsia="IRNazanin"/>
          <w:color w:val="111111"/>
          <w:sz w:val="28"/>
          <w:sz w:val="28"/>
          <w:szCs w:val="28"/>
          <w:rtl w:val="true"/>
          <w:lang w:bidi="fa-IR"/>
        </w:rPr>
        <w:t>مشتملة علی بیان أُمور عظیمة،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العهد لأمیر المؤمنین علیه السلام فی غدیر خمّ فی هذا الیوم، و یوم أرسله النبیّ صلّی اللّٰه علیه و آله إلی وادی الجنّ، و یوم فیه ظفر</w:t>
      </w:r>
    </w:p>
    <w:p>
      <w:pPr>
        <w:pStyle w:val="BookText"/>
        <w:rPr/>
      </w:pPr>
      <w:r>
        <w:rPr>
          <w:rFonts w:ascii="IRNazanin" w:hAnsi="IRNazanin" w:eastAsia="IRNazanin"/>
          <w:color w:val="111111"/>
          <w:sz w:val="28"/>
          <w:sz w:val="28"/>
          <w:szCs w:val="28"/>
          <w:rtl w:val="true"/>
          <w:lang w:bidi="fa-IR"/>
        </w:rPr>
        <w:t xml:space="preserve">بأهل النهروان، و قتل ذی الثدیة، و یوم یظهر فیه القائم عجّل فرجه، و یظفره بالدجّال، فیصلبه علی کناسة الکوفة، و ما من یوم نیروز إلّا و نحن نتوقّع فیه الفرج؛ لأنّه من أیّامنا حفظه الفرس و ضیّعتموه إلی آخر الروایة و وقع فیه إحیاء القوم الذین خرجوا من دیارهم و هم أُلوف حذر الموت، و هم ثلاثون ألفاً فصبّ علیهم الماء فی هذا الیوم فعاشوا فصار صبّ الماء فی یوم النیروز سنّة ماضیة لا یعرف سببها إلّا الراسخون فی العلم، و أنّه أوّل یوم من سنة الفرس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للمعلّی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تعرف هذا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و لکنّه یوم یعظّمه العجم،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أفئدة لک حتّی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 هو الیوم الذی أخذ اللّٰه میثاق العباد به أن یعبدوه و لا یشرکوا به شیئاً، و یدینوا برسله و حجّته و أولیائه و یوم طلعت فیه الشمس، و هبّت الریاح اللواقح، و خلقت فیه زهرة الأرض</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یعارضها ما عن کتاب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المنصور تقدّم إلی موسی بن جعفر علیه السلام الجلوس للتهنئة فی یوم نیروز و قبض ما یحمل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فتّشت الأخبار عن جدّی رسول اللّٰه صلّی اللّٰه علیه و آله فلم أجد لهذا العید أثراً، و أنّه سنّة الفرس، و محاها الإسلام، و معاذ اللّٰه أن نحیی ما محاه الإسلام،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نفعل هذا سیاسة للجند، فسألتک باللّٰه العظیم إلّا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 السلام</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لأنّ روایة المعلّی أشهر بین</w:t>
      </w:r>
    </w:p>
    <w:p>
      <w:pPr>
        <w:pStyle w:val="BookText"/>
        <w:rPr/>
      </w:pPr>
      <w:r>
        <w:rPr>
          <w:rFonts w:ascii="IRNazanin" w:hAnsi="IRNazanin" w:eastAsia="IRNazanin"/>
          <w:color w:val="111111"/>
          <w:sz w:val="28"/>
          <w:sz w:val="28"/>
          <w:szCs w:val="28"/>
          <w:rtl w:val="true"/>
          <w:lang w:bidi="fa-IR"/>
        </w:rPr>
        <w:t>الأصحاب، و احتمال حملها علی التقیّة، کما یظهر من قوله علیه السلام فی روایة المعلّی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یوم من أیّامنا حفظه الفرس و ضیّعتموه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أنّ المراد من یوم النیروز یوم آخر، فإنّ الأقوال فی تعیین النیروز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المعروف الآن هو یوم انتقال الشمس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المجلسیین فی الحدیقة </w:t>
      </w:r>
      <w:r>
        <w:rPr>
          <w:rStyle w:val="FootnoteAnchor"/>
          <w:rtl w:val="true"/>
        </w:rPr>
        <w:footnoteReference w:id="365"/>
      </w:r>
      <w:r>
        <w:rPr>
          <w:rFonts w:ascii="IRNazanin" w:hAnsi="IRNazanin" w:eastAsia="IRNazanin"/>
          <w:color w:val="111111"/>
          <w:sz w:val="28"/>
          <w:sz w:val="28"/>
          <w:szCs w:val="28"/>
          <w:rtl w:val="true"/>
          <w:lang w:bidi="fa-IR"/>
        </w:rPr>
        <w:t xml:space="preserve">و زاد المعاد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الأعرف بین الناس و الأظهر فی الاستعمال </w:t>
      </w:r>
      <w:r>
        <w:rPr>
          <w:rStyle w:val="FootnoteAnchor"/>
          <w:rtl w:val="true"/>
        </w:rPr>
        <w:footnoteReference w:id="367"/>
      </w:r>
      <w:r>
        <w:rPr>
          <w:rFonts w:ascii="Amiri" w:hAnsi="Amiri" w:eastAsia="Amiri" w:cs="Amiri"/>
          <w:color w:val="111111"/>
          <w:sz w:val="28"/>
          <w:sz w:val="28"/>
          <w:szCs w:val="28"/>
          <w:rtl w:val="true"/>
          <w:lang w:bidi="ar-SA"/>
        </w:rPr>
        <w:t xml:space="preserve">، و هو الظاهر أیضاً من المصنّف فی سَلَم القواعد </w:t>
      </w:r>
      <w:r>
        <w:rPr>
          <w:rStyle w:val="FootnoteAnchor"/>
          <w:rtl w:val="true"/>
        </w:rPr>
        <w:footnoteReference w:id="368"/>
      </w:r>
      <w:r>
        <w:rPr>
          <w:rFonts w:ascii="IRNazanin" w:hAnsi="IRNazanin" w:eastAsia="IRNazanin"/>
          <w:color w:val="111111"/>
          <w:sz w:val="28"/>
          <w:sz w:val="28"/>
          <w:szCs w:val="28"/>
          <w:rtl w:val="true"/>
          <w:lang w:bidi="fa-IR"/>
        </w:rPr>
        <w:t xml:space="preserve">و من الشهید فی الدروس </w:t>
      </w:r>
      <w:r>
        <w:rPr>
          <w:rStyle w:val="FootnoteAnchor"/>
          <w:rtl w:val="true"/>
        </w:rPr>
        <w:footnoteReference w:id="369"/>
      </w:r>
      <w:r>
        <w:rPr>
          <w:rFonts w:ascii="IRNazanin" w:hAnsi="IRNazanin" w:eastAsia="IRNazanin"/>
          <w:color w:val="111111"/>
          <w:sz w:val="28"/>
          <w:sz w:val="28"/>
          <w:szCs w:val="28"/>
          <w:rtl w:val="true"/>
          <w:lang w:bidi="fa-IR"/>
        </w:rPr>
        <w:t xml:space="preserve">، و صرّح به فی الروضة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جعل الأجل إلی النیروز و المهرجان جاز؛ لأنّه معروف إذا کان من سنة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أسلم إلی نیروز الخلیفة ببغداد و بلاد العراق جاز؛ لأنّه معروف عند العامّة إذا ذکرت السنة بعینها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بالنیروز مقابل المهرجان الذی هو انتقال الشمس إلی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 بعض المحاسبین و علماء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الیوم العاشر من أیّار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حقّق ذلک فی کتابه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أیّار تصحیف آذار فیوافق المشهور </w:t>
      </w:r>
      <w:r>
        <w:rPr>
          <w:rStyle w:val="FootnoteAnchor"/>
          <w:rtl w:val="true"/>
        </w:rPr>
        <w:footnoteReference w:id="373"/>
      </w:r>
      <w:r>
        <w:rPr>
          <w:rFonts w:ascii="IRNazanin" w:hAnsi="IRNazanin" w:eastAsia="IRNazanin"/>
          <w:color w:val="111111"/>
          <w:sz w:val="28"/>
          <w:sz w:val="28"/>
          <w:szCs w:val="28"/>
          <w:rtl w:val="true"/>
          <w:lang w:bidi="fa-IR"/>
        </w:rPr>
        <w:t>لأنّ انتقال الشمس إلی الحمل فی عاشر آذار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تاسع شباط، حکی عن المهذّب </w:t>
      </w:r>
      <w:r>
        <w:rPr>
          <w:rStyle w:val="FootnoteAnchor"/>
          <w:rtl w:val="true"/>
        </w:rPr>
        <w:footnoteReference w:id="374"/>
      </w:r>
      <w:r>
        <w:rPr>
          <w:rFonts w:ascii="IRNazanin" w:hAnsi="IRNazanin" w:eastAsia="IRNazanin"/>
          <w:color w:val="111111"/>
          <w:sz w:val="28"/>
          <w:sz w:val="28"/>
          <w:szCs w:val="28"/>
          <w:rtl w:val="true"/>
          <w:lang w:bidi="fa-IR"/>
        </w:rPr>
        <w:t xml:space="preserve">نسبته إلی صاحب کتاب الأنوار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یوم تزول الشمس فی أوّل الجدی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بین فقهاء العجم، بخلاف أوّل الحمل فإنّهم لا یعرفونه و ینکرون علی من اعتقده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السابع عشر من کانون الأوّل بعد نزول الشمس فی الجدی بیومین و هو صوم الیهود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یوم من فروردین ماه، و هو أوّل شهور الفرس و کان ذلک الیوم هو أوّل سنتهم، کما اختاره المجلسی فی محکیّ البحار </w:t>
      </w:r>
      <w:r>
        <w:rPr>
          <w:rStyle w:val="FootnoteAnchor"/>
          <w:rtl w:val="true"/>
        </w:rPr>
        <w:footnoteReference w:id="379"/>
      </w:r>
      <w:r>
        <w:rPr>
          <w:rFonts w:ascii="Amiri" w:hAnsi="Amiri" w:eastAsia="Amiri" w:cs="Amiri"/>
          <w:color w:val="111111"/>
          <w:sz w:val="28"/>
          <w:sz w:val="28"/>
          <w:szCs w:val="28"/>
          <w:rtl w:val="true"/>
          <w:lang w:bidi="ar-SA"/>
        </w:rPr>
        <w:t>، و العلّامة</w:t>
      </w:r>
    </w:p>
    <w:p>
      <w:pPr>
        <w:pStyle w:val="BookText"/>
        <w:rPr/>
      </w:pPr>
      <w:r>
        <w:rPr>
          <w:rFonts w:ascii="IRNazanin" w:hAnsi="IRNazanin" w:eastAsia="IRNazanin"/>
          <w:color w:val="111111"/>
          <w:sz w:val="28"/>
          <w:sz w:val="28"/>
          <w:szCs w:val="28"/>
          <w:rtl w:val="true"/>
          <w:lang w:bidi="fa-IR"/>
        </w:rPr>
        <w:t xml:space="preserve">رضیّ الدین القزوینی صاحب لسان الخواصّ فی محکیّ الرسالة النیروزیّة </w:t>
      </w:r>
      <w:r>
        <w:rPr>
          <w:rStyle w:val="FootnoteAnchor"/>
          <w:rtl w:val="true"/>
        </w:rPr>
        <w:footnoteReference w:id="380"/>
      </w:r>
      <w:r>
        <w:rPr>
          <w:rFonts w:ascii="IRNazanin" w:hAnsi="IRNazanin" w:eastAsia="IRNazanin"/>
          <w:color w:val="111111"/>
          <w:sz w:val="28"/>
          <w:sz w:val="28"/>
          <w:szCs w:val="28"/>
          <w:rtl w:val="true"/>
          <w:lang w:bidi="fa-IR"/>
        </w:rPr>
        <w:t xml:space="preserve">، و قوّاه بعض السادة المحقّقین </w:t>
      </w:r>
      <w:r>
        <w:rPr>
          <w:rStyle w:val="FootnoteAnchor"/>
          <w:rtl w:val="true"/>
        </w:rPr>
        <w:footnoteReference w:id="3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للقطع بأنّ یوم النیروز هو أوّل یوم من سنة الفرس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للتاسع من ربیع الأوّل، حکاه المجلسی فی زاد المعاد من فعل أحمد بن إسحاق القمی، معلّلًا بأنّه یوم عید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المحکیّ عن المشهور </w:t>
      </w:r>
      <w:r>
        <w:rPr>
          <w:rStyle w:val="FootnoteAnchor"/>
          <w:rtl w:val="true"/>
        </w:rPr>
        <w:footnoteReference w:id="384"/>
      </w:r>
      <w:r>
        <w:rPr>
          <w:rFonts w:ascii="IRNazanin" w:hAnsi="IRNazanin" w:eastAsia="IRNazanin"/>
          <w:color w:val="111111"/>
          <w:sz w:val="28"/>
          <w:sz w:val="28"/>
          <w:szCs w:val="28"/>
          <w:rtl w:val="true"/>
          <w:lang w:bidi="fa-IR"/>
        </w:rPr>
        <w:t>بین علمائنا و علماء الجمهور أنّ سبب هذا العید اتّفق فی السادس و العشرین من شهر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و العشرین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فلم یسند أحمد بن إسحاق الغسل إلّا إلی کونه عیداً من الأعیاد، و لعلّ هذا المقدار یکفی للاستحباب، بناءً علی احتمال أن یکون فتواه عن روایة عامّة لجمیع الأعیاد</w:t>
      </w:r>
      <w:r>
        <w:rPr>
          <w:rFonts w:eastAsia="IRNazanin" w:cs="IRNazanin"/>
          <w:color w:val="111111"/>
          <w:sz w:val="28"/>
          <w:szCs w:val="28"/>
          <w:rtl w:val="true"/>
          <w:lang w:bidi="fa-IR"/>
        </w:rPr>
        <w:t>.</w:t>
      </w:r>
      <w:bookmarkStart w:id="61" w:name="pg13039_115164"/>
    </w:p>
    <w:p>
      <w:pPr>
        <w:pStyle w:val="BookText"/>
        <w:rPr/>
      </w:pPr>
      <w:bookmarkEnd w:id="61"/>
      <w:r>
        <w:rPr>
          <w:rFonts w:ascii="Amiri" w:hAnsi="Amiri" w:eastAsia="Amiri" w:cs="Amiri"/>
          <w:color w:val="111111"/>
          <w:sz w:val="28"/>
          <w:sz w:val="28"/>
          <w:szCs w:val="28"/>
          <w:rtl w:val="true"/>
          <w:lang w:bidi="ar-SA"/>
        </w:rPr>
        <w:t>هذا ما یستحبّ لأجل الزمان و أمّا ما یستحبّ للفعل فقد ذکر المصنّف قدّس سرّه عدّة منها</w:t>
      </w:r>
    </w:p>
    <w:p>
      <w:pPr>
        <w:pStyle w:val="Heading6"/>
        <w:numPr>
          <w:ilvl w:val="5"/>
          <w:numId w:val="1"/>
        </w:numPr>
        <w:rPr/>
      </w:pPr>
      <w:bookmarkStart w:id="62" w:name="__RefHeading___Toc6451906_3224264995"/>
      <w:bookmarkStart w:id="63" w:name="_Toc24"/>
      <w:bookmarkEnd w:id="62"/>
      <w:r>
        <w:rPr>
          <w:rtl w:val="true"/>
        </w:rPr>
        <w:t>[</w:t>
      </w:r>
      <w:r>
        <w:rPr>
          <w:rtl w:val="true"/>
        </w:rPr>
        <w:t>الأغسال الغیر الزمانیة</w:t>
      </w:r>
      <w:r>
        <w:rPr>
          <w:rtl w:val="true"/>
        </w:rPr>
        <w:t>]</w:t>
      </w:r>
      <w:bookmarkEnd w:id="63"/>
    </w:p>
    <w:p>
      <w:pPr>
        <w:pStyle w:val="Heading6"/>
        <w:numPr>
          <w:ilvl w:val="5"/>
          <w:numId w:val="1"/>
        </w:numPr>
        <w:rPr/>
      </w:pPr>
      <w:bookmarkStart w:id="64" w:name="__RefHeading___Toc6451908_3224264995"/>
      <w:bookmarkStart w:id="65" w:name="_Toc25"/>
      <w:bookmarkEnd w:id="64"/>
      <w:r>
        <w:rPr>
          <w:rtl w:val="true"/>
        </w:rPr>
        <w:t>[</w:t>
      </w:r>
      <w:r>
        <w:rPr>
          <w:rtl w:val="true"/>
        </w:rPr>
        <w:t>غسل الإحرام</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کما عن المقنعة </w:t>
      </w:r>
      <w:r>
        <w:rPr>
          <w:rStyle w:val="FootnoteAnchor"/>
          <w:rtl w:val="true"/>
        </w:rPr>
        <w:footnoteReference w:id="386"/>
      </w:r>
      <w:r>
        <w:rPr>
          <w:rFonts w:ascii="IRNazanin" w:hAnsi="IRNazanin" w:eastAsia="IRNazanin"/>
          <w:color w:val="111111"/>
          <w:sz w:val="28"/>
          <w:sz w:val="28"/>
          <w:szCs w:val="28"/>
          <w:rtl w:val="true"/>
          <w:lang w:bidi="fa-IR"/>
        </w:rPr>
        <w:t xml:space="preserve">و الغنیة </w:t>
      </w:r>
      <w:r>
        <w:rPr>
          <w:rStyle w:val="FootnoteAnchor"/>
          <w:rtl w:val="true"/>
        </w:rPr>
        <w:footnoteReference w:id="387"/>
      </w:r>
      <w:r>
        <w:rPr>
          <w:rFonts w:ascii="IRNazanin" w:hAnsi="IRNazanin" w:eastAsia="IRNazanin"/>
          <w:color w:val="111111"/>
          <w:sz w:val="28"/>
          <w:sz w:val="28"/>
          <w:szCs w:val="28"/>
          <w:rtl w:val="true"/>
          <w:lang w:bidi="fa-IR"/>
        </w:rPr>
        <w:t xml:space="preserve">و الوسیلة </w:t>
      </w:r>
      <w:r>
        <w:rPr>
          <w:rStyle w:val="FootnoteAnchor"/>
          <w:rtl w:val="true"/>
        </w:rPr>
        <w:footnoteReference w:id="388"/>
      </w:r>
      <w:r>
        <w:rPr>
          <w:rFonts w:ascii="IRNazanin" w:hAnsi="IRNazanin" w:eastAsia="IRNazanin"/>
          <w:color w:val="111111"/>
          <w:sz w:val="28"/>
          <w:sz w:val="28"/>
          <w:szCs w:val="28"/>
          <w:rtl w:val="true"/>
          <w:lang w:bidi="fa-IR"/>
        </w:rPr>
        <w:t xml:space="preserve">و المنتهی </w:t>
      </w:r>
      <w:r>
        <w:rPr>
          <w:rStyle w:val="FootnoteAnchor"/>
          <w:rtl w:val="true"/>
        </w:rPr>
        <w:footnoteReference w:id="389"/>
      </w:r>
      <w:r>
        <w:rPr>
          <w:rFonts w:ascii="IRNazanin" w:hAnsi="IRNazanin" w:eastAsia="IRNazanin"/>
          <w:color w:val="111111"/>
          <w:sz w:val="28"/>
          <w:sz w:val="28"/>
          <w:szCs w:val="28"/>
          <w:rtl w:val="true"/>
          <w:lang w:bidi="fa-IR"/>
        </w:rPr>
        <w:t>، بل عن حجّ الخلاف و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390"/>
      </w:r>
      <w:r>
        <w:rPr>
          <w:rFonts w:ascii="IRNazanin" w:hAnsi="IRNazanin" w:eastAsia="IRNazanin"/>
          <w:color w:val="111111"/>
          <w:sz w:val="28"/>
          <w:sz w:val="28"/>
          <w:szCs w:val="28"/>
          <w:rtl w:val="true"/>
          <w:lang w:bidi="fa-IR"/>
        </w:rPr>
        <w:t>، و عن حجّ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بواجب إجماعاً </w:t>
      </w:r>
      <w:r>
        <w:rPr>
          <w:rStyle w:val="FootnoteAnchor"/>
          <w:rtl w:val="true"/>
        </w:rPr>
        <w:footnoteReference w:id="391"/>
      </w:r>
      <w:r>
        <w:rPr>
          <w:rFonts w:ascii="IRNazanin" w:hAnsi="IRNazanin" w:eastAsia="IRNazanin"/>
          <w:color w:val="111111"/>
          <w:sz w:val="28"/>
          <w:sz w:val="28"/>
          <w:szCs w:val="28"/>
          <w:rtl w:val="true"/>
          <w:lang w:bidi="fa-IR"/>
        </w:rPr>
        <w:t>، و عن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العلم أنّ الإحرام جائز بغیر اغتسال </w:t>
      </w:r>
      <w:r>
        <w:rPr>
          <w:rStyle w:val="FootnoteAnchor"/>
          <w:rtl w:val="true"/>
        </w:rPr>
        <w:footnoteReference w:id="392"/>
      </w:r>
      <w:r>
        <w:rPr>
          <w:rFonts w:ascii="IRNazanin" w:hAnsi="IRNazanin" w:eastAsia="IRNazanin"/>
          <w:color w:val="111111"/>
          <w:sz w:val="28"/>
          <w:sz w:val="28"/>
          <w:szCs w:val="28"/>
          <w:rtl w:val="true"/>
          <w:lang w:bidi="fa-IR"/>
        </w:rPr>
        <w:t>و هذه هی الحجّة فی عدم الوجوب بعد الأصل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عن الصدوق فی العیون، بسنده الحسن إلی الفضل، عن مولانا الرضا علیه السلام فیما کتب للمأمون من شرائع الدین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الجمعة سنّة، و غسل العیدین و غسل دخول مکّة و المدینة، و غسل الزیارة، و غسل الإحرام، و غسل أوّل لیلة من شهر رمضان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الأغسال سنّة، و غسل الجنابة فریضة، و غسل الحیض مثله</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بما ذکرنا کلّه تنصرف الأخبار المستفیضة </w:t>
      </w:r>
      <w:r>
        <w:rPr>
          <w:rStyle w:val="FootnoteAnchor"/>
          <w:rtl w:val="true"/>
        </w:rPr>
        <w:footnoteReference w:id="394"/>
      </w:r>
      <w:r>
        <w:rPr>
          <w:rFonts w:ascii="Amiri" w:hAnsi="Amiri" w:eastAsia="Amiri" w:cs="Amiri"/>
          <w:color w:val="111111"/>
          <w:sz w:val="28"/>
          <w:sz w:val="28"/>
          <w:szCs w:val="28"/>
          <w:rtl w:val="true"/>
          <w:lang w:bidi="ar-SA"/>
        </w:rPr>
        <w:t>الآمرة بالغسل للإحرام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بعضها ما یأبی عن هذا الحمل مثل مرسلة یونس عن بعض رجاله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منها الفرض ثلاثة،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الفرض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 غسل من مسّ میّتاً، و الغسل للإحرام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و الباقی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اللازم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الرضوی علی ما تأکّد ثبوته فی الشریعة و لو بطریق الاستحباب، و إن کان هذا الحمل بعیداً، و لعلّ بظاهرها أخذ القدیمان حیث حکی عنهما القول بالوجوب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أطلق وجوب غسل الإحرام و عرفة و الکعبة و المباهلة و الاستسقاء و المولود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أراد الاستحباب المؤکّد، و نحوه ما عن ظاهر المقنع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الرجل بالمدینة و لبس ثوبین ثمّ نام قبل أن یحرم فعلیه إعادة الغسل،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إعادة الغسل</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66" w:name="pg13039_115166"/>
    </w:p>
    <w:p>
      <w:pPr>
        <w:pStyle w:val="BookText"/>
        <w:rPr/>
      </w:pPr>
      <w:bookmarkEnd w:id="66"/>
      <w:r>
        <w:rPr>
          <w:rFonts w:ascii="IRNazanin" w:hAnsi="IRNazanin" w:eastAsia="IRNazanin"/>
          <w:color w:val="111111"/>
          <w:sz w:val="28"/>
          <w:sz w:val="28"/>
          <w:szCs w:val="28"/>
          <w:rtl w:val="true"/>
          <w:lang w:bidi="fa-IR"/>
        </w:rPr>
        <w:t>و ما عن ظاهر المقنعة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نام بعد الغسل قبل عقد الإحرام فإنّه یجب علیه إعادة الغسل </w:t>
      </w:r>
      <w:r>
        <w:rPr>
          <w:rStyle w:val="FootnoteAnchor"/>
          <w:rtl w:val="true"/>
        </w:rPr>
        <w:footnoteReference w:id="39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یظهر من محکیّ الناصریّات أنّ علیه أکثر أصحابنا،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غسل الإحرام سنّة، لکنّها مؤکّدة غایة التأکید فلذا اشتبه الأمر علی أکثر أصحابنا، و اعتقدوا أنّ غسل الإحرام واجب لقوّة ما ورد فی تأکّده </w:t>
      </w:r>
      <w:r>
        <w:rPr>
          <w:rStyle w:val="FootnoteAnchor"/>
          <w:rtl w:val="true"/>
        </w:rPr>
        <w:footnoteReference w:id="4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قیل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عباراتهم فی الحجّ یُعطی ذلک</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6451910_3224264995"/>
      <w:bookmarkStart w:id="68" w:name="_Toc26"/>
      <w:bookmarkEnd w:id="67"/>
      <w:r>
        <w:rPr>
          <w:rtl w:val="true"/>
        </w:rPr>
        <w:t>[</w:t>
      </w:r>
      <w:r>
        <w:rPr>
          <w:rtl w:val="true"/>
        </w:rPr>
        <w:t>غسل الطواف</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الإجماع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الأخبار المستفیضة،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حسنة ابن شاذان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صحیحة معاویة بن عمّار فی تعداد الأغسال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تزور البیت</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صحیحة ابن مسلم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زیارة البیت و غسل الزیارات</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موثّقة سماعة</w:t>
      </w:r>
      <w:bookmarkStart w:id="69" w:name="pg13039_115167"/>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الزیارة واجب إلّا من علّة، و غسل دخول مکّة واجب، و غسل دخول الحرم واجب</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علیّ بن حمزة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اغتسلت بمکّة ثمّ نمت قبل أن تطوف فأعد غسلک</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إلی غیر ذلک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إطلاق الروایة الأخیرة یشمل کلّ طواف و إن لم یسمّ زیارة، لکنّ الظاهر منه کما اعترف به فی محکیّ المصابیح </w:t>
      </w:r>
      <w:r>
        <w:rPr>
          <w:rStyle w:val="FootnoteAnchor"/>
          <w:rtl w:val="true"/>
        </w:rPr>
        <w:footnoteReference w:id="410"/>
      </w:r>
      <w:r>
        <w:rPr>
          <w:rFonts w:ascii="IRNazanin" w:hAnsi="IRNazanin" w:eastAsia="IRNazanin"/>
          <w:color w:val="111111"/>
          <w:sz w:val="28"/>
          <w:sz w:val="28"/>
          <w:szCs w:val="28"/>
          <w:rtl w:val="true"/>
          <w:lang w:bidi="fa-IR"/>
        </w:rPr>
        <w:t>الاختصاص بطواف العمرة و طواف الزیارة</w:t>
      </w:r>
      <w:r>
        <w:rPr>
          <w:rFonts w:eastAsia="IRNazanin" w:cs="IRNazanin"/>
          <w:color w:val="111111"/>
          <w:sz w:val="28"/>
          <w:szCs w:val="28"/>
          <w:rtl w:val="true"/>
          <w:lang w:bidi="fa-IR"/>
        </w:rPr>
        <w:t>.</w:t>
      </w:r>
    </w:p>
    <w:p>
      <w:pPr>
        <w:pStyle w:val="Heading6"/>
        <w:numPr>
          <w:ilvl w:val="5"/>
          <w:numId w:val="1"/>
        </w:numPr>
        <w:rPr/>
      </w:pPr>
      <w:bookmarkStart w:id="70" w:name="__RefHeading___Toc6451912_3224264995"/>
      <w:bookmarkStart w:id="71" w:name="_Toc27"/>
      <w:bookmarkEnd w:id="70"/>
      <w:r>
        <w:rPr>
          <w:rtl w:val="true"/>
        </w:rPr>
        <w:t>[</w:t>
      </w:r>
      <w:r>
        <w:rPr>
          <w:rtl w:val="true"/>
        </w:rPr>
        <w:t>غسل زیارة النبیّ و الأئمة صلوات اللّٰه علیهم أجمعین</w:t>
      </w:r>
      <w:r>
        <w:rPr>
          <w:rtl w:val="true"/>
        </w:rPr>
        <w:t>]</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النبیّ و الأئمة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عن المصابیح </w:t>
      </w:r>
      <w:r>
        <w:rPr>
          <w:rStyle w:val="FootnoteAnchor"/>
          <w:rtl w:val="true"/>
        </w:rPr>
        <w:footnoteReference w:id="411"/>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412"/>
      </w:r>
      <w:r>
        <w:rPr>
          <w:rFonts w:ascii="IRNazanin" w:hAnsi="IRNazanin" w:eastAsia="IRNazanin"/>
          <w:color w:val="111111"/>
          <w:sz w:val="28"/>
          <w:sz w:val="28"/>
          <w:szCs w:val="28"/>
          <w:rtl w:val="true"/>
          <w:lang w:bidi="fa-IR"/>
        </w:rPr>
        <w:t xml:space="preserve">و الریاض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قطع الأصحاب، 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إلیهم </w:t>
      </w:r>
      <w:r>
        <w:rPr>
          <w:rStyle w:val="FootnoteAnchor"/>
          <w:rtl w:val="true"/>
        </w:rPr>
        <w:footnoteReference w:id="414"/>
      </w:r>
      <w:r>
        <w:rPr>
          <w:rFonts w:ascii="IRNazanin" w:hAnsi="IRNazanin" w:eastAsia="IRNazanin"/>
          <w:color w:val="111111"/>
          <w:sz w:val="28"/>
          <w:sz w:val="28"/>
          <w:szCs w:val="28"/>
          <w:rtl w:val="true"/>
          <w:lang w:bidi="fa-IR"/>
        </w:rPr>
        <w:t>،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415"/>
      </w:r>
      <w:r>
        <w:rPr>
          <w:rFonts w:ascii="IRNazanin" w:hAnsi="IRNazanin" w:eastAsia="IRNazanin"/>
          <w:color w:val="111111"/>
          <w:sz w:val="28"/>
          <w:sz w:val="28"/>
          <w:szCs w:val="28"/>
          <w:rtl w:val="true"/>
          <w:lang w:bidi="fa-IR"/>
        </w:rPr>
        <w:t>، و عن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قسم المندوب بلا خلاف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یستدلّ علیه ببعض ما تقدّم من أخبار غسل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منها کما اعترف به فی محکیّ المشارق </w:t>
      </w:r>
      <w:r>
        <w:rPr>
          <w:rStyle w:val="FootnoteAnchor"/>
          <w:rtl w:val="true"/>
        </w:rPr>
        <w:footnoteReference w:id="417"/>
      </w:r>
      <w:r>
        <w:rPr>
          <w:rFonts w:ascii="IRNazanin" w:hAnsi="IRNazanin" w:eastAsia="IRNazanin"/>
          <w:color w:val="111111"/>
          <w:sz w:val="28"/>
          <w:sz w:val="28"/>
          <w:szCs w:val="28"/>
          <w:rtl w:val="true"/>
          <w:lang w:bidi="fa-IR"/>
        </w:rPr>
        <w:t>زیارة البیت أی الطواف بقرینة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الأحسن منه الاستدلال علیه مضافاً إلی الرضویّ المتقدّم فی غسل الطواف بما فی روایة العلاء بن سیابة عن الصادق علیه السلام فی تفسیر قوله تعالی خُذُوا زِینَتَکُمْ عِنْدَ کُلِّ 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عند لقاء کلّ إمام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 الحدیث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ظاهرها استحباب الغسل للدخول علیهم أحیاءً و أمواتاً، و إن سلّم اختصاصها بلقاء الحیّ فلا یبعد إلحاق غیره؛ لعموم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 میّتاً کحرمته حیّاً</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بَلْ هُمْ أحْیاءٌ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 العموم الروایة المشهورة الواردة فی الزیارة الجامعة </w:t>
      </w:r>
      <w:r>
        <w:rPr>
          <w:rStyle w:val="FootnoteAnchor"/>
          <w:rtl w:val="true"/>
        </w:rPr>
        <w:footnoteReference w:id="421"/>
      </w:r>
      <w:r>
        <w:rPr>
          <w:rFonts w:ascii="Amiri" w:hAnsi="Amiri" w:eastAsia="Amiri" w:cs="Amiri"/>
          <w:color w:val="111111"/>
          <w:sz w:val="28"/>
          <w:sz w:val="28"/>
          <w:szCs w:val="28"/>
          <w:rtl w:val="true"/>
          <w:lang w:bidi="ar-SA"/>
        </w:rPr>
        <w:t>، لکنّها مختصّة بزیارة خاصّة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الأخبار الواردة فی استحباب الغسل لزیارة النبیّ صلّی اللّٰه علیه و آله و أمیر المؤمنین و أبی عبد اللّٰه و أبی الحسن الرضا صلوات اللّٰه علیهم أجمعین کثیرة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کامل الزیارة من روایة محمّد بن عیسی عمّن ذکره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زیارة موسی بن جعفر علیهما السلام و محمّد ابن علیّ علیهما السلام فاغتسل و تنظّف و البس ثوبیک الطاهرین</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الکتاب المذکور فی کیفیّة زیارة أبی الحسن و أبی محمّد العسکریّین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أروی </w:t>
      </w:r>
      <w:r>
        <w:rPr>
          <w:rStyle w:val="FootnoteAnchor"/>
          <w:rtl w:val="true"/>
        </w:rPr>
        <w:footnoteReference w:id="424"/>
      </w:r>
      <w:r>
        <w:rPr>
          <w:rFonts w:ascii="IRNazanin" w:hAnsi="IRNazanin" w:eastAsia="IRNazanin"/>
          <w:color w:val="111111"/>
          <w:sz w:val="28"/>
          <w:sz w:val="28"/>
          <w:szCs w:val="28"/>
          <w:rtl w:val="true"/>
          <w:lang w:bidi="fa-IR"/>
        </w:rPr>
        <w:t>عن بعضهم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زیارة قبر أبی الحسن و أبی محمّد علیهما السلام تقول بعد الغسل إن وصلت إلی قبرهما و إلّا أومأت بالسلام من عند الباب الذی علی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الکتاب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سلیمان بن عیسی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أزورک إذا لم أقدر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إذا لم تقدر علی المجی‌ء فإذا کان فی یوم جمعة فاغتسل أو توضّأ، و اصعد إلی سطحک و صلّ رکعتین، و توجّه نحوی فإنّه من زارنی فی حیاتی فقد زارنی فی مماتی، و من زارنی فی مماتی فقد زارنی فی حیاتی</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مصباح الشیخ، روی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یزور قبر رسول اللّٰه صلّی اللّٰه علیه و آله، و قبر أمیر المؤمنین و فاطمة و قبر الحسن و الحسین علیهم السلام، و قبور الحجج صلوات اللّٰه علیهم فلیغتسل یوم الجمعة، و لیلبس</w:t>
      </w:r>
      <w:bookmarkStart w:id="72" w:name="pg13039_115170"/>
    </w:p>
    <w:p>
      <w:pPr>
        <w:pStyle w:val="BookText"/>
        <w:rPr/>
      </w:pPr>
      <w:bookmarkEnd w:id="72"/>
      <w:r>
        <w:rPr>
          <w:rFonts w:ascii="IRNazanin" w:hAnsi="IRNazanin" w:eastAsia="IRNazanin"/>
          <w:color w:val="111111"/>
          <w:sz w:val="28"/>
          <w:sz w:val="28"/>
          <w:szCs w:val="28"/>
          <w:rtl w:val="true"/>
          <w:lang w:bidi="fa-IR"/>
        </w:rPr>
        <w:t xml:space="preserve">ثوبین نظیفین و لیخرج إلی فلاة من الأرض، ثمّ یصلّی أربع رکعات یقرأ فیها ما تیسّر من القرآن، فإذا تشهّد و سلم، فلیقم مستقبل القبلة و 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6451914_3224264995"/>
      <w:bookmarkStart w:id="74" w:name="_Toc28"/>
      <w:bookmarkEnd w:id="73"/>
      <w:r>
        <w:rPr>
          <w:rtl w:val="true"/>
        </w:rPr>
        <w:t>[</w:t>
      </w:r>
      <w:r>
        <w:rPr>
          <w:rtl w:val="true"/>
        </w:rPr>
        <w:t>غسل قضاء صلاة الکسوف</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للتارک عمداً، مع استیعاب 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للقرص علی المشهور، سیّما بین المتأخّرین،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فی باب الأغسال، و فی باب صلاة الکسوف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الأخبار،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الخصال فی الحسن بابن هاشم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و عدّدها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الکسوف إذا احترق القرص کلّه فاستیقظت و لم تصلّ، فاغتسل لتقضِی الصلاة</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 و رواه فی الفقیه مرسلًا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 عن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الکسوف إذا احترق القرص کلّه فاغتسل</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انکسف القمر فاستیقظ الرجل و لم یصلّ فلیغتسل من غدٍ، و لیقضِ الصلاة، و إن لم یستیقظ و لم یعلم بانکساف القمر فلیس علیه إلّا القضاء بغیر غسل</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هکذا رواه فی باب الأغسال، و فی باب الصلاة 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فکسل أن یصلّی</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احترق القرص کلّه فاغتسل، و إذا انکسف الشمس و القمر و لم تعلم به فعلیک أن تصلّیها إذا علمت، فإن ترکتها متعمّداً حتّی تصبح فاغتسل و صلّ، و إن لم یحترق القرص، فاقضها و لا تغتسل</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هذه الأخبار کما تری الوجوب؛ و لذا قال به جماعة، علی ما حکی عن صلاة المقنعة </w:t>
      </w:r>
      <w:r>
        <w:rPr>
          <w:rStyle w:val="FootnoteAnchor"/>
          <w:rtl w:val="true"/>
        </w:rPr>
        <w:footnoteReference w:id="435"/>
      </w:r>
      <w:r>
        <w:rPr>
          <w:rFonts w:ascii="IRNazanin" w:hAnsi="IRNazanin" w:eastAsia="IRNazanin"/>
          <w:color w:val="111111"/>
          <w:sz w:val="28"/>
          <w:sz w:val="28"/>
          <w:szCs w:val="28"/>
          <w:rtl w:val="true"/>
          <w:lang w:bidi="fa-IR"/>
        </w:rPr>
        <w:t xml:space="preserve">و المراسم </w:t>
      </w:r>
      <w:r>
        <w:rPr>
          <w:rStyle w:val="FootnoteAnchor"/>
          <w:rtl w:val="true"/>
        </w:rPr>
        <w:footnoteReference w:id="436"/>
      </w:r>
      <w:r>
        <w:rPr>
          <w:rFonts w:ascii="Amiri" w:hAnsi="Amiri" w:eastAsia="Amiri" w:cs="Amiri"/>
          <w:color w:val="111111"/>
          <w:sz w:val="28"/>
          <w:sz w:val="28"/>
          <w:szCs w:val="28"/>
          <w:rtl w:val="true"/>
          <w:lang w:bidi="ar-SA"/>
        </w:rPr>
        <w:t xml:space="preserve">و المهذّب </w:t>
      </w:r>
      <w:r>
        <w:rPr>
          <w:rStyle w:val="FootnoteAnchor"/>
          <w:rtl w:val="true"/>
        </w:rPr>
        <w:footnoteReference w:id="437"/>
      </w:r>
      <w:r>
        <w:rPr>
          <w:rFonts w:ascii="IRNazanin" w:hAnsi="IRNazanin" w:eastAsia="IRNazanin"/>
          <w:color w:val="111111"/>
          <w:sz w:val="28"/>
          <w:sz w:val="28"/>
          <w:szCs w:val="28"/>
          <w:rtl w:val="true"/>
          <w:lang w:bidi="fa-IR"/>
        </w:rPr>
        <w:t xml:space="preserve">و مصباح الشیخ و جمله و المبسوط و الخلاف و الاقتصاد </w:t>
      </w:r>
      <w:r>
        <w:rPr>
          <w:rStyle w:val="FootnoteAnchor"/>
          <w:rtl w:val="true"/>
        </w:rPr>
        <w:footnoteReference w:id="438"/>
      </w:r>
      <w:r>
        <w:rPr>
          <w:rFonts w:ascii="IRNazanin" w:hAnsi="IRNazanin" w:eastAsia="IRNazanin"/>
          <w:color w:val="111111"/>
          <w:sz w:val="28"/>
          <w:sz w:val="28"/>
          <w:szCs w:val="28"/>
          <w:rtl w:val="true"/>
          <w:lang w:bidi="fa-IR"/>
        </w:rPr>
        <w:t xml:space="preserve">و الکافی </w:t>
      </w:r>
      <w:r>
        <w:rPr>
          <w:rStyle w:val="FootnoteAnchor"/>
          <w:rtl w:val="true"/>
        </w:rPr>
        <w:footnoteReference w:id="439"/>
      </w:r>
      <w:r>
        <w:rPr>
          <w:rFonts w:ascii="IRNazanin" w:hAnsi="IRNazanin" w:eastAsia="IRNazanin"/>
          <w:color w:val="111111"/>
          <w:sz w:val="28"/>
          <w:sz w:val="28"/>
          <w:szCs w:val="28"/>
          <w:rtl w:val="true"/>
          <w:lang w:bidi="fa-IR"/>
        </w:rPr>
        <w:t xml:space="preserve">و الوسیلة </w:t>
      </w:r>
      <w:r>
        <w:rPr>
          <w:rStyle w:val="FootnoteAnchor"/>
          <w:rtl w:val="true"/>
        </w:rPr>
        <w:footnoteReference w:id="440"/>
      </w:r>
      <w:r>
        <w:rPr>
          <w:rFonts w:ascii="IRNazanin" w:hAnsi="IRNazanin" w:eastAsia="IRNazanin"/>
          <w:color w:val="111111"/>
          <w:sz w:val="28"/>
          <w:sz w:val="28"/>
          <w:szCs w:val="28"/>
          <w:rtl w:val="true"/>
          <w:lang w:bidi="fa-IR"/>
        </w:rPr>
        <w:t>و شرح الجمل</w:t>
      </w:r>
    </w:p>
    <w:p>
      <w:pPr>
        <w:pStyle w:val="BookText"/>
        <w:rPr/>
      </w:pPr>
      <w:r>
        <w:rPr>
          <w:rFonts w:ascii="IRNazanin" w:hAnsi="IRNazanin" w:eastAsia="IRNazanin"/>
          <w:color w:val="111111"/>
          <w:sz w:val="28"/>
          <w:sz w:val="28"/>
          <w:szCs w:val="28"/>
          <w:rtl w:val="true"/>
          <w:lang w:bidi="fa-IR"/>
        </w:rPr>
        <w:t xml:space="preserve">للقاضی </w:t>
      </w:r>
      <w:r>
        <w:rPr>
          <w:rStyle w:val="FootnoteAnchor"/>
          <w:rtl w:val="true"/>
        </w:rPr>
        <w:footnoteReference w:id="441"/>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442"/>
      </w:r>
      <w:r>
        <w:rPr>
          <w:rFonts w:ascii="Amiri" w:hAnsi="Amiri" w:eastAsia="Amiri" w:cs="Amiri"/>
          <w:color w:val="111111"/>
          <w:sz w:val="28"/>
          <w:sz w:val="28"/>
          <w:szCs w:val="28"/>
          <w:rtl w:val="true"/>
          <w:lang w:bidi="ar-SA"/>
        </w:rPr>
        <w:t>، نصّاً فی بعضها و ظهوراً فی الباقی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مال إلیه فی محکیّ المنتهی </w:t>
      </w:r>
      <w:r>
        <w:rPr>
          <w:rStyle w:val="FootnoteAnchor"/>
          <w:rtl w:val="true"/>
        </w:rPr>
        <w:footnoteReference w:id="443"/>
      </w:r>
      <w:r>
        <w:rPr>
          <w:rFonts w:ascii="IRNazanin" w:hAnsi="IRNazanin" w:eastAsia="IRNazanin"/>
          <w:color w:val="111111"/>
          <w:sz w:val="28"/>
          <w:sz w:val="28"/>
          <w:szCs w:val="28"/>
          <w:rtl w:val="true"/>
          <w:lang w:bidi="fa-IR"/>
        </w:rPr>
        <w:t xml:space="preserve">و المدارک </w:t>
      </w:r>
      <w:r>
        <w:rPr>
          <w:rStyle w:val="FootnoteAnchor"/>
          <w:rtl w:val="true"/>
        </w:rPr>
        <w:footnoteReference w:id="444"/>
      </w:r>
      <w:r>
        <w:rPr>
          <w:rFonts w:ascii="IRNazanin" w:hAnsi="IRNazanin" w:eastAsia="IRNazanin"/>
          <w:color w:val="111111"/>
          <w:sz w:val="28"/>
          <w:sz w:val="28"/>
          <w:szCs w:val="28"/>
          <w:rtl w:val="true"/>
          <w:lang w:bidi="fa-IR"/>
        </w:rPr>
        <w:t xml:space="preserve">، بل عن الشیخ فی الخلاف الإجماع علی أنّ من ترک صلاة الکسوف مع احتراق القرص فعلیه الغسل و القضاء </w:t>
      </w:r>
      <w:r>
        <w:rPr>
          <w:rStyle w:val="FootnoteAnchor"/>
          <w:rtl w:val="true"/>
        </w:rPr>
        <w:footnoteReference w:id="4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شرح الجمل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لزوم القضاء فالدلیل علیه الإجماع، و طریق براءة الذمّة، و کذلک القول فی الغسل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المحکیّ عن أکثر هؤلاء، بل ما عدا الصدوقین و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بالاستحباب فی باب الطهارة </w:t>
      </w:r>
      <w:r>
        <w:rPr>
          <w:rStyle w:val="FootnoteAnchor"/>
          <w:rtl w:val="true"/>
        </w:rPr>
        <w:footnoteReference w:id="447"/>
      </w:r>
      <w:r>
        <w:rPr>
          <w:rFonts w:ascii="IRNazanin" w:hAnsi="IRNazanin" w:eastAsia="IRNazanin"/>
          <w:color w:val="111111"/>
          <w:sz w:val="28"/>
          <w:sz w:val="28"/>
          <w:szCs w:val="28"/>
          <w:rtl w:val="true"/>
          <w:lang w:bidi="fa-IR"/>
        </w:rPr>
        <w:t xml:space="preserve">و لذا ادّعی فی محکیّ المصباح تحقّق الإجماع علی الاستحباب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المسألة مشکلة، و إن کان المشهور لا یخلو عن قوّة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المشهور اختصاص الغسل بالقضاء، فلا یستحبّ للأداء؛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المختلف استحبابه للأداء أیضاً </w:t>
      </w:r>
      <w:r>
        <w:rPr>
          <w:rStyle w:val="FootnoteAnchor"/>
          <w:rtl w:val="true"/>
        </w:rPr>
        <w:footnoteReference w:id="449"/>
      </w:r>
      <w:r>
        <w:rPr>
          <w:rFonts w:ascii="IRNazanin" w:hAnsi="IRNazanin" w:eastAsia="IRNazanin"/>
          <w:color w:val="111111"/>
          <w:sz w:val="28"/>
          <w:sz w:val="28"/>
          <w:szCs w:val="28"/>
          <w:rtl w:val="true"/>
          <w:lang w:bidi="fa-IR"/>
        </w:rPr>
        <w:t xml:space="preserve">، و تبعه السیّد فی المدارک </w:t>
      </w:r>
      <w:r>
        <w:rPr>
          <w:rStyle w:val="FootnoteAnchor"/>
          <w:rtl w:val="true"/>
        </w:rPr>
        <w:footnoteReference w:id="450"/>
      </w:r>
      <w:r>
        <w:rPr>
          <w:rFonts w:ascii="IRNazanin" w:hAnsi="IRNazanin" w:eastAsia="IRNazanin"/>
          <w:color w:val="111111"/>
          <w:sz w:val="28"/>
          <w:sz w:val="28"/>
          <w:szCs w:val="28"/>
          <w:rtl w:val="true"/>
          <w:lang w:bidi="fa-IR"/>
        </w:rPr>
        <w:t xml:space="preserve">و القاسانیان فی المفاتیح </w:t>
      </w:r>
      <w:r>
        <w:rPr>
          <w:rStyle w:val="FootnoteAnchor"/>
          <w:rtl w:val="true"/>
        </w:rPr>
        <w:footnoteReference w:id="451"/>
      </w:r>
      <w:r>
        <w:rPr>
          <w:rFonts w:ascii="IRNazanin" w:hAnsi="IRNazanin" w:eastAsia="IRNazanin"/>
          <w:color w:val="111111"/>
          <w:sz w:val="28"/>
          <w:sz w:val="28"/>
          <w:szCs w:val="28"/>
          <w:rtl w:val="true"/>
          <w:lang w:bidi="fa-IR"/>
        </w:rPr>
        <w:t xml:space="preserve">و شرحه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لإطلاق قوله علیه السلام فی صحیحة ابن مسلم فی تعداد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الکسوف إذا احترق القرص کلّه فاغتسل</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ظاهره وجوب الغسل بسبب الاحتراق لا لأجل الصلاة، و لیس کذلک إجماعاً کما ادّعاه بعض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فالأمر بالاغتسال یحتمل أن یکون لخصوص القضاء، کما یحتمل أن یکون لمطلق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حذف المتعلّق المفید للعموم، بل هو من قبیل المجمل،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ادّعی فی محکیّ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اختصر هذه الروایة من روایة الخصال المرویّة فی الفقیه مرسلًا، الصریحة فی الاختصاص بالقضاء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أیضاً اشتراط الغسل للقضاء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تعمّد الترک</w:t>
      </w:r>
      <w:bookmarkStart w:id="75" w:name="pg13039_115174"/>
    </w:p>
    <w:p>
      <w:pPr>
        <w:pStyle w:val="BookText"/>
        <w:rPr/>
      </w:pPr>
      <w:bookmarkEnd w:id="75"/>
      <w:r>
        <w:rPr>
          <w:rFonts w:ascii="IRNazanin" w:hAnsi="IRNazanin" w:eastAsia="IRNazanin"/>
          <w:color w:val="111111"/>
          <w:sz w:val="28"/>
          <w:sz w:val="28"/>
          <w:szCs w:val="28"/>
          <w:rtl w:val="true"/>
          <w:lang w:bidi="fa-IR"/>
        </w:rPr>
        <w:t>و الآخر استیعاب 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السرائر </w:t>
      </w:r>
      <w:r>
        <w:rPr>
          <w:rStyle w:val="FootnoteAnchor"/>
          <w:rtl w:val="true"/>
        </w:rPr>
        <w:footnoteReference w:id="456"/>
      </w:r>
      <w:r>
        <w:rPr>
          <w:rFonts w:ascii="IRNazanin" w:hAnsi="IRNazanin" w:eastAsia="IRNazanin"/>
          <w:color w:val="111111"/>
          <w:sz w:val="28"/>
          <w:sz w:val="28"/>
          <w:szCs w:val="28"/>
          <w:rtl w:val="true"/>
          <w:lang w:bidi="fa-IR"/>
        </w:rPr>
        <w:t>نفی الخلاف فی عدم الغسل فرضاً و نفلًا، مع انتفاء أحد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المرتضی فی المصباح فلم یعتبر الثانی </w:t>
      </w:r>
      <w:r>
        <w:rPr>
          <w:rStyle w:val="FootnoteAnchor"/>
          <w:rtl w:val="true"/>
        </w:rPr>
        <w:footnoteReference w:id="457"/>
      </w:r>
      <w:r>
        <w:rPr>
          <w:rFonts w:ascii="IRNazanin" w:hAnsi="IRNazanin" w:eastAsia="IRNazanin"/>
          <w:color w:val="111111"/>
          <w:sz w:val="28"/>
          <w:sz w:val="28"/>
          <w:szCs w:val="28"/>
          <w:rtl w:val="true"/>
          <w:lang w:bidi="fa-IR"/>
        </w:rPr>
        <w:t xml:space="preserve">، و للمحکیّ عن المقنع </w:t>
      </w:r>
      <w:r>
        <w:rPr>
          <w:rStyle w:val="FootnoteAnchor"/>
          <w:rtl w:val="true"/>
        </w:rPr>
        <w:footnoteReference w:id="458"/>
      </w:r>
      <w:r>
        <w:rPr>
          <w:rFonts w:ascii="IRNazanin" w:hAnsi="IRNazanin" w:eastAsia="IRNazanin"/>
          <w:color w:val="111111"/>
          <w:sz w:val="28"/>
          <w:sz w:val="28"/>
          <w:szCs w:val="28"/>
          <w:rtl w:val="true"/>
          <w:lang w:bidi="fa-IR"/>
        </w:rPr>
        <w:t xml:space="preserve">و الذکری </w:t>
      </w:r>
      <w:r>
        <w:rPr>
          <w:rStyle w:val="FootnoteAnchor"/>
          <w:rtl w:val="true"/>
        </w:rPr>
        <w:footnoteReference w:id="459"/>
      </w:r>
      <w:r>
        <w:rPr>
          <w:rFonts w:ascii="IRNazanin" w:hAnsi="IRNazanin" w:eastAsia="IRNazanin"/>
          <w:color w:val="111111"/>
          <w:sz w:val="28"/>
          <w:sz w:val="28"/>
          <w:szCs w:val="28"/>
          <w:rtl w:val="true"/>
          <w:lang w:bidi="fa-IR"/>
        </w:rPr>
        <w:t>فلم یعتبر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أیضاً عدم الفرق بین الکسوفین، بل عن ظاهر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متّفق علیه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6451916_3224264995"/>
      <w:bookmarkStart w:id="77" w:name="_Toc29"/>
      <w:bookmarkEnd w:id="76"/>
      <w:r>
        <w:rPr>
          <w:rtl w:val="true"/>
        </w:rPr>
        <w:t>[</w:t>
      </w:r>
      <w:r>
        <w:rPr>
          <w:rtl w:val="true"/>
        </w:rPr>
        <w:t>غسل المولود</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المولود واجب</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 المراد به مطلق الثبوت، و بظاهره أخذ ابن حمزة فقال بالوجوب </w:t>
      </w:r>
      <w:r>
        <w:rPr>
          <w:rStyle w:val="FootnoteAnchor"/>
          <w:rtl w:val="true"/>
        </w:rPr>
        <w:footnoteReference w:id="463"/>
      </w:r>
      <w:r>
        <w:rPr>
          <w:rFonts w:ascii="IRNazanin" w:hAnsi="IRNazanin" w:eastAsia="IRNazanin"/>
          <w:color w:val="111111"/>
          <w:sz w:val="28"/>
          <w:sz w:val="28"/>
          <w:szCs w:val="28"/>
          <w:rtl w:val="true"/>
          <w:lang w:bidi="fa-IR"/>
        </w:rPr>
        <w:t xml:space="preserve">، و حکی عن ظاهر الصدوق </w:t>
      </w:r>
      <w:r>
        <w:rPr>
          <w:rStyle w:val="FootnoteAnchor"/>
          <w:rtl w:val="true"/>
        </w:rPr>
        <w:footnoteReference w:id="464"/>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 شاذّ کما فی المعتبر </w:t>
      </w:r>
      <w:r>
        <w:rPr>
          <w:rStyle w:val="FootnoteAnchor"/>
          <w:rtl w:val="true"/>
        </w:rPr>
        <w:footnoteReference w:id="465"/>
      </w:r>
      <w:r>
        <w:rPr>
          <w:rFonts w:ascii="IRNazanin" w:hAnsi="IRNazanin" w:eastAsia="IRNazanin"/>
          <w:color w:val="111111"/>
          <w:sz w:val="28"/>
          <w:sz w:val="28"/>
          <w:szCs w:val="28"/>
          <w:rtl w:val="true"/>
          <w:lang w:bidi="fa-IR"/>
        </w:rPr>
        <w:t xml:space="preserve">، و متروک کما عن المنتهی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الروایة المطابق لمقتضی الاستحباب عدم سقوط هذا الغسل بتأخیره عن أوّل أزمنة ما بعد الولادة، کما صرّح به فی محکیّ شرح النفلیّة </w:t>
      </w:r>
      <w:r>
        <w:rPr>
          <w:rStyle w:val="FootnoteAnchor"/>
          <w:rtl w:val="true"/>
        </w:rPr>
        <w:footnoteReference w:id="467"/>
      </w:r>
      <w:r>
        <w:rPr>
          <w:rFonts w:ascii="IRNazanin" w:hAnsi="IRNazanin" w:eastAsia="IRNazanin"/>
          <w:color w:val="111111"/>
          <w:sz w:val="28"/>
          <w:sz w:val="28"/>
          <w:szCs w:val="28"/>
          <w:rtl w:val="true"/>
          <w:lang w:bidi="fa-IR"/>
        </w:rPr>
        <w:t xml:space="preserve">و الحدیقة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عن بعضٍ التحدید بالیوم و الیومین </w:t>
      </w:r>
      <w:r>
        <w:rPr>
          <w:rStyle w:val="FootnoteAnchor"/>
          <w:rtl w:val="true"/>
        </w:rPr>
        <w:footnoteReference w:id="469"/>
      </w:r>
      <w:r>
        <w:rPr>
          <w:rFonts w:ascii="IRNazanin" w:hAnsi="IRNazanin" w:eastAsia="IRNazanin"/>
          <w:color w:val="111111"/>
          <w:sz w:val="28"/>
          <w:sz w:val="28"/>
          <w:szCs w:val="28"/>
          <w:rtl w:val="true"/>
          <w:lang w:bidi="fa-IR"/>
        </w:rPr>
        <w:t xml:space="preserve">، و نفی عنه البعد فی المصابیح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ینبغی الإشکال فی کون هذا الفعل غُسلًا بالضمّ لا غَسلًا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لاحتماله بعد ظهور النصّ و الفتوی فی کونه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فیعتبر فیه النیّة و الترتیب؛ لأنّه المعهود فی هذه العبادة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اعتبار نیّة القربة فی کلّ فعل إلّا ما علم کونه من التوصّلیّات، فاحتمال عدم وجوب الترتیب کما عن المسالک </w:t>
      </w:r>
      <w:r>
        <w:rPr>
          <w:rStyle w:val="FootnoteAnchor"/>
          <w:rtl w:val="true"/>
        </w:rPr>
        <w:footnoteReference w:id="471"/>
      </w:r>
      <w:r>
        <w:rPr>
          <w:rFonts w:ascii="IRNazanin" w:hAnsi="IRNazanin" w:eastAsia="IRNazanin"/>
          <w:color w:val="111111"/>
          <w:sz w:val="28"/>
          <w:sz w:val="28"/>
          <w:szCs w:val="28"/>
          <w:rtl w:val="true"/>
          <w:lang w:bidi="fa-IR"/>
        </w:rPr>
        <w:t xml:space="preserve">أو المیل إلیه؛ للأصل من غیر معارض کما عن کشف اللثام </w:t>
      </w:r>
      <w:r>
        <w:rPr>
          <w:rStyle w:val="FootnoteAnchor"/>
          <w:rtl w:val="true"/>
        </w:rPr>
        <w:footnoteReference w:id="472"/>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bookmarkStart w:id="78" w:name="pg13039_115176"/>
    </w:p>
    <w:p>
      <w:pPr>
        <w:pStyle w:val="BookText"/>
        <w:rPr/>
      </w:pPr>
      <w:bookmarkEnd w:id="78"/>
      <w:r>
        <w:rPr>
          <w:rFonts w:ascii="IRNazanin" w:hAnsi="IRNazanin" w:eastAsia="IRNazanin"/>
          <w:color w:val="111111"/>
          <w:sz w:val="28"/>
          <w:sz w:val="28"/>
          <w:szCs w:val="28"/>
          <w:rtl w:val="true"/>
          <w:lang w:bidi="fa-IR"/>
        </w:rPr>
        <w:t>و فی الاکتفاء بالارتماس عن الترتیب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تنظّر فیه فی المصابیح </w:t>
      </w:r>
      <w:r>
        <w:rPr>
          <w:rStyle w:val="FootnoteAnchor"/>
          <w:rtl w:val="true"/>
        </w:rPr>
        <w:footnoteReference w:id="473"/>
      </w:r>
      <w:r>
        <w:rPr>
          <w:rFonts w:ascii="IRNazanin" w:hAnsi="IRNazanin" w:eastAsia="IRNazanin"/>
          <w:color w:val="111111"/>
          <w:sz w:val="28"/>
          <w:sz w:val="28"/>
          <w:szCs w:val="28"/>
          <w:rtl w:val="true"/>
          <w:lang w:bidi="fa-IR"/>
        </w:rPr>
        <w:t>لعدم العموم فی دلیل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تقدیم إزالة الخبث، کما فی غیره من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المحکیّ عن المقنعة </w:t>
      </w:r>
      <w:r>
        <w:rPr>
          <w:rStyle w:val="FootnoteAnchor"/>
          <w:rtl w:val="true"/>
        </w:rPr>
        <w:footnoteReference w:id="474"/>
      </w:r>
      <w:r>
        <w:rPr>
          <w:rFonts w:ascii="Amiri" w:hAnsi="Amiri" w:eastAsia="Amiri" w:cs="Amiri"/>
          <w:color w:val="111111"/>
          <w:sz w:val="28"/>
          <w:sz w:val="28"/>
          <w:szCs w:val="28"/>
          <w:rtl w:val="true"/>
          <w:lang w:bidi="ar-SA"/>
        </w:rPr>
        <w:t xml:space="preserve">و المهذّب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وضعته أخذته القابلة، و مسحت عنه الدم، و غسلته</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6451918_3224264995"/>
      <w:bookmarkStart w:id="80" w:name="_Toc30"/>
      <w:bookmarkEnd w:id="79"/>
      <w:r>
        <w:rPr>
          <w:rtl w:val="true"/>
        </w:rPr>
        <w:t>[</w:t>
      </w:r>
      <w:r>
        <w:rPr>
          <w:rtl w:val="true"/>
        </w:rPr>
        <w:t>الغسل للسعی إلی رؤیة المصلوب بعد ثلاثة أیّام من حین صلبه</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للسعی إلی رؤیة المصلوب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من حین صلبه علی المشهور،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 ما عن الصدوق فی الفقیه و الهدایة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قصد إلی رؤیة مصلوب فنظر إلیه، وجب علیه الغسل عقوبة</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بظاهره أخذ الحلبی </w:t>
      </w:r>
      <w:r>
        <w:rPr>
          <w:rStyle w:val="FootnoteAnchor"/>
          <w:rtl w:val="true"/>
        </w:rPr>
        <w:footnoteReference w:id="478"/>
      </w:r>
      <w:r>
        <w:rPr>
          <w:rFonts w:ascii="IRNazanin" w:hAnsi="IRNazanin" w:eastAsia="IRNazanin"/>
          <w:color w:val="111111"/>
          <w:sz w:val="28"/>
          <w:sz w:val="28"/>
          <w:szCs w:val="28"/>
          <w:rtl w:val="true"/>
          <w:lang w:bidi="fa-IR"/>
        </w:rPr>
        <w:t>فأوجبه، معلّلًا بأنّه شرط فی تکفیر الذنب و صحّة التوبة فیلزم العزم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شاذّ و المستند ضعیف قاصر عن إفادة الوجوب، و التعلیل علیل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النصّ اختصاص الحکم بالنظر المحرّم؛ إذ لا عقوبة فی غیره،</w:t>
      </w:r>
    </w:p>
    <w:p>
      <w:pPr>
        <w:pStyle w:val="BookText"/>
        <w:rPr/>
      </w:pPr>
      <w:r>
        <w:rPr>
          <w:rFonts w:ascii="IRNazanin" w:hAnsi="IRNazanin" w:eastAsia="IRNazanin"/>
          <w:color w:val="111111"/>
          <w:sz w:val="28"/>
          <w:sz w:val="28"/>
          <w:szCs w:val="28"/>
          <w:rtl w:val="true"/>
          <w:lang w:bidi="fa-IR"/>
        </w:rPr>
        <w:t xml:space="preserve">فیخرج الکافر المصلوب کما صرّح به الحلبیّون </w:t>
      </w:r>
      <w:r>
        <w:rPr>
          <w:rStyle w:val="FootnoteAnchor"/>
          <w:rtl w:val="true"/>
        </w:rPr>
        <w:footnoteReference w:id="479"/>
      </w:r>
      <w:r>
        <w:rPr>
          <w:rFonts w:ascii="IRNazanin" w:hAnsi="IRNazanin" w:eastAsia="IRNazanin"/>
          <w:color w:val="111111"/>
          <w:sz w:val="28"/>
          <w:sz w:val="28"/>
          <w:szCs w:val="28"/>
          <w:rtl w:val="true"/>
          <w:lang w:bidi="fa-IR"/>
        </w:rPr>
        <w:t xml:space="preserve">فیما حکی عنهم و النظر إلی المسلم لغرض شرعیّ کالشهادة علی عینه، کما عن کشف اللثام </w:t>
      </w:r>
      <w:r>
        <w:rPr>
          <w:rStyle w:val="FootnoteAnchor"/>
          <w:rtl w:val="true"/>
        </w:rPr>
        <w:footnoteReference w:id="480"/>
      </w:r>
      <w:r>
        <w:rPr>
          <w:rFonts w:ascii="IRNazanin" w:hAnsi="IRNazanin" w:eastAsia="IRNazanin"/>
          <w:color w:val="111111"/>
          <w:sz w:val="28"/>
          <w:sz w:val="28"/>
          <w:szCs w:val="28"/>
          <w:rtl w:val="true"/>
          <w:lang w:bidi="fa-IR"/>
        </w:rPr>
        <w:t xml:space="preserve">و المصابیح </w:t>
      </w:r>
      <w:r>
        <w:rPr>
          <w:rStyle w:val="FootnoteAnchor"/>
          <w:rtl w:val="true"/>
        </w:rPr>
        <w:footnoteReference w:id="481"/>
      </w:r>
      <w:r>
        <w:rPr>
          <w:rFonts w:ascii="IRNazanin" w:hAnsi="IRNazanin" w:eastAsia="IRNazanin"/>
          <w:color w:val="111111"/>
          <w:sz w:val="28"/>
          <w:sz w:val="28"/>
          <w:szCs w:val="28"/>
          <w:rtl w:val="true"/>
          <w:lang w:bidi="fa-IR"/>
        </w:rPr>
        <w:t>، و کذا النظر فی الثلاثة إذا کان صلبه بحقٍّ؛ لعدم المعصیة فی النظر فیها؛ لأنّ الصلب شرّع لتفضیح المصلوب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المصلوب غیر مستحقّ للصلب فمقتضی إطلاق الروایة ثبوت الغسل و لو قبل الثلاثة؛ لحرمة السعی لرؤیته، بل یجب إنزاله عن الخشبة مع التمکّن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تقییده بالمصلوب حقّا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یعتدّ بهذا التقیید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التقیید لتقیید النظر فی کلام الأصحاب بما بعد الثلاثة فیفهم من ذلک الاختصاص بالمصلوب حقّا، إذ لا فرق فی حرمة النظر إلی المصلوب ظلماً بین الثلاثة و ما بعدها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متابعة النصّ، مع أنّ الغالب فی زمان صدوره عدم الصلب بحقّ، و لو من جهة عدم کونه بإذن السلطان العادل</w:t>
      </w:r>
      <w:r>
        <w:rPr>
          <w:rFonts w:eastAsia="IRNazanin" w:cs="IRNazanin"/>
          <w:color w:val="111111"/>
          <w:sz w:val="28"/>
          <w:szCs w:val="28"/>
          <w:rtl w:val="true"/>
          <w:lang w:bidi="fa-IR"/>
        </w:rPr>
        <w:t>.</w:t>
      </w:r>
      <w:bookmarkStart w:id="81" w:name="pg13039_115178"/>
    </w:p>
    <w:p>
      <w:pPr>
        <w:pStyle w:val="BookText"/>
        <w:rPr/>
      </w:pPr>
      <w:bookmarkEnd w:id="81"/>
      <w:r>
        <w:rPr>
          <w:rFonts w:ascii="IRNazanin" w:hAnsi="IRNazanin" w:eastAsia="IRNazanin"/>
          <w:color w:val="111111"/>
          <w:sz w:val="28"/>
          <w:sz w:val="28"/>
          <w:szCs w:val="28"/>
          <w:rtl w:val="true"/>
          <w:lang w:bidi="fa-IR"/>
        </w:rPr>
        <w:t xml:space="preserve">و کیف کان فلا یکفی فی ثبوت الغسل السعی المجرّد عن النظر، لصریح الخبر کفتوی جماعة ممّن تقدّم و تأخّر </w:t>
      </w:r>
      <w:r>
        <w:rPr>
          <w:rStyle w:val="FootnoteAnchor"/>
          <w:rtl w:val="true"/>
        </w:rPr>
        <w:footnoteReference w:id="484"/>
      </w:r>
      <w:r>
        <w:rPr>
          <w:rFonts w:ascii="IRNazanin" w:hAnsi="IRNazanin" w:eastAsia="IRNazanin"/>
          <w:color w:val="111111"/>
          <w:sz w:val="28"/>
          <w:sz w:val="28"/>
          <w:szCs w:val="28"/>
          <w:rtl w:val="true"/>
          <w:lang w:bidi="fa-IR"/>
        </w:rPr>
        <w:t xml:space="preserve">، و لا النظر من دون السعی له و إن قصده وفاقاً للمحکیّ عن الأکثر </w:t>
      </w:r>
      <w:r>
        <w:rPr>
          <w:rStyle w:val="FootnoteAnchor"/>
          <w:rtl w:val="true"/>
        </w:rPr>
        <w:footnoteReference w:id="485"/>
      </w:r>
      <w:r>
        <w:rPr>
          <w:rFonts w:ascii="IRNazanin" w:hAnsi="IRNazanin" w:eastAsia="IRNazanin"/>
          <w:color w:val="111111"/>
          <w:sz w:val="28"/>
          <w:sz w:val="28"/>
          <w:szCs w:val="28"/>
          <w:rtl w:val="true"/>
          <w:lang w:bidi="fa-IR"/>
        </w:rPr>
        <w:t xml:space="preserve">، و خلافاً لظاهر بعض الکتب کالإشراف </w:t>
      </w:r>
      <w:r>
        <w:rPr>
          <w:rStyle w:val="FootnoteAnchor"/>
          <w:rtl w:val="true"/>
        </w:rPr>
        <w:footnoteReference w:id="486"/>
      </w:r>
      <w:r>
        <w:rPr>
          <w:rFonts w:ascii="IRNazanin" w:hAnsi="IRNazanin" w:eastAsia="IRNazanin"/>
          <w:color w:val="111111"/>
          <w:sz w:val="28"/>
          <w:sz w:val="28"/>
          <w:szCs w:val="28"/>
          <w:rtl w:val="true"/>
          <w:lang w:bidi="fa-IR"/>
        </w:rPr>
        <w:t xml:space="preserve">و المعالم </w:t>
      </w:r>
      <w:r>
        <w:rPr>
          <w:rStyle w:val="FootnoteAnchor"/>
          <w:rtl w:val="true"/>
        </w:rPr>
        <w:footnoteReference w:id="487"/>
      </w:r>
      <w:r>
        <w:rPr>
          <w:rFonts w:ascii="IRNazanin" w:hAnsi="IRNazanin" w:eastAsia="IRNazanin"/>
          <w:color w:val="111111"/>
          <w:sz w:val="28"/>
          <w:sz w:val="28"/>
          <w:szCs w:val="28"/>
          <w:rtl w:val="true"/>
          <w:lang w:bidi="fa-IR"/>
        </w:rPr>
        <w:t xml:space="preserve">و الموجز </w:t>
      </w:r>
      <w:r>
        <w:rPr>
          <w:rStyle w:val="FootnoteAnchor"/>
          <w:rtl w:val="true"/>
        </w:rPr>
        <w:footnoteReference w:id="488"/>
      </w:r>
      <w:r>
        <w:rPr>
          <w:rFonts w:ascii="Amiri" w:hAnsi="Amiri" w:eastAsia="Amiri" w:cs="Amiri"/>
          <w:color w:val="111111"/>
          <w:sz w:val="28"/>
          <w:sz w:val="28"/>
          <w:szCs w:val="28"/>
          <w:rtl w:val="true"/>
          <w:lang w:bidi="ar-SA"/>
        </w:rPr>
        <w:t xml:space="preserve">و المحرّر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سعی فی الثلاثة لنظر بعدها فمقتضی الخبر ثبوته، و ظاهر کلمات الأصحاب و إن کان وقوع السعی بعد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محمولة علی الغالب من اتّحاد زمان السعی و الرؤیة، فالظاهر إناطة الحکم بالنظر بعد الثلاثة، فتدبّر</w:t>
      </w:r>
      <w:r>
        <w:rPr>
          <w:rFonts w:eastAsia="IRNazanin" w:cs="IRNazanin"/>
          <w:color w:val="111111"/>
          <w:sz w:val="28"/>
          <w:szCs w:val="28"/>
          <w:rtl w:val="true"/>
          <w:lang w:bidi="fa-IR"/>
        </w:rPr>
        <w:t>.</w:t>
      </w:r>
    </w:p>
    <w:p>
      <w:pPr>
        <w:pStyle w:val="Heading6"/>
        <w:numPr>
          <w:ilvl w:val="5"/>
          <w:numId w:val="1"/>
        </w:numPr>
        <w:rPr/>
      </w:pPr>
      <w:bookmarkStart w:id="82" w:name="__RefHeading___Toc6451920_3224264995"/>
      <w:bookmarkStart w:id="83" w:name="_Toc31"/>
      <w:bookmarkEnd w:id="82"/>
      <w:r>
        <w:rPr>
          <w:rtl w:val="true"/>
        </w:rPr>
        <w:t>[</w:t>
      </w:r>
      <w:r>
        <w:rPr>
          <w:rtl w:val="true"/>
        </w:rPr>
        <w:t>الغسل للتوبة</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فسق أو کفر علی المشهور، بل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علمائنا أجمع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أرسله الصدوق و الشیخ، و أسنده الکلینی فی کتاب الزیّ و التجمّل عن الصادق علیه السلام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إنّی أدخل کنیفاً لی، و لی جیران و عندهم جوارٍ یتغنّین و یضربن بالعود فربما</w:t>
      </w:r>
    </w:p>
    <w:p>
      <w:pPr>
        <w:pStyle w:val="BookText"/>
        <w:rPr/>
      </w:pPr>
      <w:r>
        <w:rPr>
          <w:rFonts w:ascii="IRNazanin" w:hAnsi="IRNazanin" w:eastAsia="IRNazanin"/>
          <w:color w:val="111111"/>
          <w:sz w:val="28"/>
          <w:sz w:val="28"/>
          <w:szCs w:val="28"/>
          <w:rtl w:val="true"/>
          <w:lang w:bidi="fa-IR"/>
        </w:rPr>
        <w:t>أطلت الجلوس استماعاً،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آتیهنّ برجلی، و إنّما هو سماع أسمعه بأُذنی،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Style w:val="FootnoteAnchor"/>
          <w:rtl w:val="true"/>
        </w:rPr>
        <w:footnoteReference w:id="491"/>
      </w:r>
      <w:r>
        <w:rPr>
          <w:rFonts w:ascii="Amiri" w:hAnsi="Amiri" w:eastAsia="Amiri" w:cs="Amiri"/>
          <w:color w:val="111111"/>
          <w:sz w:val="28"/>
          <w:sz w:val="28"/>
          <w:szCs w:val="28"/>
          <w:rtl w:val="true"/>
          <w:lang w:bidi="ar-SA"/>
        </w:rPr>
        <w:t xml:space="preserve">أما سمعت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و لکنّی لم أسمع هذه الآیة من عربی و لا عجمی، لا جرم أنّی لا أعود إن شاء اللّٰه، و استغفر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اغتسل و صلّ ما بدا لک، فإنّک کنت مقیماً علی أمرٍ عظیم، ما کان أسوأ حالک لو متّ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و اسأله التوبة من کلّ ما یکره، فإنّه لا یکره إلّا القبیح، و القبیح دعه لأهله، فإنّ لکلٍّ أهلًا</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 و إن اختصّ بالفسق إلّا أنّه یکفی فی التعمیم للکفر الإجماع المتقدّم عن صریح المنتهی، و إطلاق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استفادته من تعلیله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کنت مقیماً علی أمرٍ عظیم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مراد المصنّف قدّس سرّه فی المنتهی، حیث استدلّ علی التعمیم للکفر بالأولویّة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bookmarkStart w:id="84" w:name="pg13039_115180"/>
    </w:p>
    <w:p>
      <w:pPr>
        <w:pStyle w:val="BookText"/>
        <w:rPr/>
      </w:pPr>
      <w:bookmarkEnd w:id="84"/>
      <w:r>
        <w:rPr>
          <w:rFonts w:ascii="Amiri" w:hAnsi="Amiri" w:eastAsia="Amiri" w:cs="Amiri"/>
          <w:color w:val="111111"/>
          <w:sz w:val="28"/>
          <w:sz w:val="28"/>
          <w:szCs w:val="28"/>
          <w:rtl w:val="true"/>
          <w:lang w:bidi="ar-SA"/>
        </w:rPr>
        <w:t>مضافاً إلی المحکیّ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النبیّ صلّی اللّٰه علیه و آله أمر قیس بن عاصم بالاغتسال لمّا أسلم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للجنابة؛ لعدم الاختصاص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الحدیث القدسی فی أدعیة السرّ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من کان کافراً فأراد الإیمان فلیطهِّر لی ثوبه و بدنه</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ثبوت الغسل للتوبة عن الصغیرة الغیر المصرّ علیها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إطلاق جماعة فی فتاویهم </w:t>
      </w:r>
      <w:r>
        <w:rPr>
          <w:rStyle w:val="FootnoteAnchor"/>
          <w:rtl w:val="true"/>
        </w:rPr>
        <w:footnoteReference w:id="497"/>
      </w:r>
      <w:r>
        <w:rPr>
          <w:rFonts w:ascii="Amiri" w:hAnsi="Amiri" w:eastAsia="Amiri" w:cs="Amiri"/>
          <w:color w:val="111111"/>
          <w:sz w:val="28"/>
          <w:sz w:val="28"/>
          <w:szCs w:val="28"/>
          <w:rtl w:val="true"/>
          <w:lang w:bidi="ar-SA"/>
        </w:rPr>
        <w:t xml:space="preserve">، و بعض معاقد الاتّفاق ثبوت الغسل للتوبة </w:t>
      </w:r>
      <w:r>
        <w:rPr>
          <w:rStyle w:val="FootnoteAnchor"/>
          <w:rtl w:val="true"/>
        </w:rPr>
        <w:footnoteReference w:id="498"/>
      </w:r>
      <w:r>
        <w:rPr>
          <w:rFonts w:ascii="IRNazanin" w:hAnsi="IRNazanin" w:eastAsia="IRNazanin"/>
          <w:color w:val="111111"/>
          <w:sz w:val="28"/>
          <w:sz w:val="28"/>
          <w:szCs w:val="28"/>
          <w:rtl w:val="true"/>
          <w:lang w:bidi="fa-IR"/>
        </w:rPr>
        <w:t xml:space="preserve">، و عن الحدائق نسبته إلی الأکثر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اختصاص الروایة بالکبیرة، مضافاً إلی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هذا الغسل مؤخّر عن التوبة الحقیقیّة، و هی الندامة بالقلب؛ لأنّها فوریّة، إلّا أنّه مقدّم علی إذهاب </w:t>
      </w:r>
      <w:r>
        <w:rPr>
          <w:rStyle w:val="FootnoteAnchor"/>
          <w:rtl w:val="true"/>
        </w:rPr>
        <w:footnoteReference w:id="500"/>
      </w:r>
      <w:r>
        <w:rPr>
          <w:rFonts w:ascii="IRNazanin" w:hAnsi="IRNazanin" w:eastAsia="IRNazanin"/>
          <w:color w:val="111111"/>
          <w:sz w:val="28"/>
          <w:sz w:val="28"/>
          <w:szCs w:val="28"/>
          <w:rtl w:val="true"/>
          <w:lang w:bidi="fa-IR"/>
        </w:rPr>
        <w:t>قبول التوبة من الصلاة و الاستغفار، کما یستفاد من الروایة</w:t>
      </w:r>
      <w:r>
        <w:rPr>
          <w:rFonts w:eastAsia="IRNazanin" w:cs="IRNazanin"/>
          <w:color w:val="111111"/>
          <w:sz w:val="28"/>
          <w:szCs w:val="28"/>
          <w:rtl w:val="true"/>
          <w:lang w:bidi="fa-IR"/>
        </w:rPr>
        <w:t>.</w:t>
      </w:r>
    </w:p>
    <w:p>
      <w:pPr>
        <w:pStyle w:val="Heading6"/>
        <w:numPr>
          <w:ilvl w:val="5"/>
          <w:numId w:val="1"/>
        </w:numPr>
        <w:rPr/>
      </w:pPr>
      <w:bookmarkStart w:id="85" w:name="__RefHeading___Toc6451922_3224264995"/>
      <w:bookmarkStart w:id="86" w:name="_Toc32"/>
      <w:bookmarkEnd w:id="85"/>
      <w:r>
        <w:rPr>
          <w:rtl w:val="true"/>
        </w:rPr>
        <w:t>[</w:t>
      </w:r>
      <w:r>
        <w:rPr>
          <w:rtl w:val="true"/>
        </w:rPr>
        <w:t>الغسل لصلاة الحاجة و الاستخارة</w:t>
      </w:r>
      <w:r>
        <w:rPr>
          <w:rtl w:val="true"/>
        </w:rPr>
        <w:t>]</w:t>
      </w:r>
      <w:bookmarkEnd w:id="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لصلاة الحاجة </w:t>
      </w:r>
      <w:r>
        <w:rPr>
          <w:rStyle w:val="FootnoteAnchor"/>
          <w:rtl w:val="true"/>
        </w:rPr>
        <w:footnoteReference w:id="501"/>
      </w:r>
      <w:r>
        <w:rPr>
          <w:rFonts w:ascii="IRNazanin" w:hAnsi="IRNazanin" w:eastAsia="IRNazanin"/>
          <w:color w:val="111111"/>
          <w:sz w:val="28"/>
          <w:sz w:val="28"/>
          <w:szCs w:val="28"/>
          <w:rtl w:val="true"/>
          <w:lang w:bidi="fa-IR"/>
        </w:rPr>
        <w:t>و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p>
    <w:p>
      <w:pPr>
        <w:pStyle w:val="BookText"/>
        <w:rPr/>
      </w:pPr>
      <w:r>
        <w:rPr>
          <w:rFonts w:ascii="IRNazanin" w:hAnsi="IRNazanin" w:eastAsia="IRNazanin"/>
          <w:color w:val="111111"/>
          <w:sz w:val="28"/>
          <w:sz w:val="28"/>
          <w:szCs w:val="28"/>
          <w:rtl w:val="true"/>
          <w:lang w:bidi="fa-IR"/>
        </w:rPr>
        <w:t>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502"/>
      </w:r>
      <w:r>
        <w:rPr>
          <w:rFonts w:ascii="IRNazanin" w:hAnsi="IRNazanin" w:eastAsia="IRNazanin"/>
          <w:color w:val="111111"/>
          <w:sz w:val="28"/>
          <w:sz w:val="28"/>
          <w:szCs w:val="28"/>
          <w:rtl w:val="true"/>
          <w:lang w:bidi="fa-IR"/>
        </w:rPr>
        <w:t>، و ظاهر المعتبر و التذکرة و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متّفقاً علیه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بصلاة الحاجة و الاستخارة کما صرّح به فی محکیّ جامع المقاصد </w:t>
      </w:r>
      <w:r>
        <w:rPr>
          <w:rStyle w:val="FootnoteAnchor"/>
          <w:rtl w:val="true"/>
        </w:rPr>
        <w:footnoteReference w:id="504"/>
      </w:r>
      <w:r>
        <w:rPr>
          <w:rFonts w:ascii="IRNazanin" w:hAnsi="IRNazanin" w:eastAsia="IRNazanin"/>
          <w:color w:val="111111"/>
          <w:sz w:val="28"/>
          <w:sz w:val="28"/>
          <w:szCs w:val="28"/>
          <w:rtl w:val="true"/>
          <w:lang w:bidi="fa-IR"/>
        </w:rPr>
        <w:t xml:space="preserve">و المدارک </w:t>
      </w:r>
      <w:r>
        <w:rPr>
          <w:rStyle w:val="FootnoteAnchor"/>
          <w:rtl w:val="true"/>
        </w:rPr>
        <w:footnoteReference w:id="505"/>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506"/>
      </w:r>
      <w:r>
        <w:rPr>
          <w:rFonts w:ascii="IRNazanin" w:hAnsi="IRNazanin" w:eastAsia="IRNazanin"/>
          <w:color w:val="111111"/>
          <w:sz w:val="28"/>
          <w:sz w:val="28"/>
          <w:szCs w:val="28"/>
          <w:rtl w:val="true"/>
          <w:lang w:bidi="fa-IR"/>
        </w:rPr>
        <w:t>هی الصلاة الخاصّة التی وردت للحاجة و الاستخارة مقیّدةً بالغسل، لا مطلق صلاة یصلّیها الرجل لهما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عن الکافی بسنده عن عبد الرحیم القصیر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اخترعت 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اختراعک، إذا نزل بک أمر فافزع إلی رسول اللّٰه صلّی اللّٰه علیه و آله و سلم، و صلِّ رکعتین تهدیهما إلی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 تصلّی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تستفتح بهما افتتاح الفریضة، و تشهّد تشهّد الفریضة، فإذا فرغت من التشهّد و 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الدعاء و السجود بعده،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الضامن علی أن لا یبرح حتّی تقضی حاجته</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 و نحوها روایات کثیرة فی الکتب الثلاثة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87" w:name="pg13039_115182"/>
    </w:p>
    <w:p>
      <w:pPr>
        <w:pStyle w:val="BookText"/>
        <w:rPr/>
      </w:pPr>
      <w:bookmarkEnd w:id="87"/>
      <w:r>
        <w:rPr>
          <w:rFonts w:ascii="IRNazanin" w:hAnsi="IRNazanin" w:eastAsia="IRNazanin"/>
          <w:color w:val="111111"/>
          <w:sz w:val="28"/>
          <w:sz w:val="28"/>
          <w:szCs w:val="28"/>
          <w:rtl w:val="true"/>
          <w:lang w:bidi="fa-IR"/>
        </w:rPr>
        <w:t xml:space="preserve">و ربما یستفاد منها کما فی محکیّ الحدائق </w:t>
      </w:r>
      <w:r>
        <w:rPr>
          <w:rStyle w:val="FootnoteAnchor"/>
          <w:rtl w:val="true"/>
        </w:rPr>
        <w:footnoteReference w:id="509"/>
      </w:r>
      <w:r>
        <w:rPr>
          <w:rFonts w:ascii="IRNazanin" w:hAnsi="IRNazanin" w:eastAsia="IRNazanin"/>
          <w:color w:val="111111"/>
          <w:sz w:val="28"/>
          <w:sz w:val="28"/>
          <w:szCs w:val="28"/>
          <w:rtl w:val="true"/>
          <w:lang w:bidi="fa-IR"/>
        </w:rPr>
        <w:t>عدم اختصاص الغسل بصلاة مخصوصة، و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محکیّ الفقه الرضوی فی تعداد الأغسال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طلب الحوائج و غسل الاستخارة</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 کما أنّ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الاستخارة مستحبّ</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 و لیس فیها </w:t>
      </w:r>
      <w:r>
        <w:rPr>
          <w:rStyle w:val="FootnoteAnchor"/>
          <w:rtl w:val="true"/>
        </w:rPr>
        <w:footnoteReference w:id="512"/>
      </w:r>
      <w:r>
        <w:rPr>
          <w:rFonts w:ascii="IRNazanin" w:hAnsi="IRNazanin" w:eastAsia="IRNazanin"/>
          <w:color w:val="111111"/>
          <w:sz w:val="28"/>
          <w:sz w:val="28"/>
          <w:szCs w:val="28"/>
          <w:rtl w:val="true"/>
          <w:lang w:bidi="fa-IR"/>
        </w:rPr>
        <w:t xml:space="preserve">ذکر الصلاة فضلًا عن صلاة خاصّة، و لذا نفی البعد کاشف اللثام فیما حکی عنه عن القول باستحبابه لهما مطلقاً </w:t>
      </w:r>
      <w:r>
        <w:rPr>
          <w:rStyle w:val="FootnoteAnchor"/>
          <w:rtl w:val="true"/>
        </w:rPr>
        <w:footnoteReference w:id="513"/>
      </w:r>
      <w:r>
        <w:rPr>
          <w:rFonts w:ascii="IRNazanin" w:hAnsi="IRNazanin" w:eastAsia="IRNazanin"/>
          <w:color w:val="111111"/>
          <w:sz w:val="28"/>
          <w:sz w:val="28"/>
          <w:szCs w:val="28"/>
          <w:rtl w:val="true"/>
          <w:lang w:bidi="fa-IR"/>
        </w:rPr>
        <w:t>، و هو حسن إن لم یدّع الانصراف فی هذا المطلق</w:t>
      </w:r>
      <w:r>
        <w:rPr>
          <w:rFonts w:eastAsia="IRNazanin" w:cs="IRNazanin"/>
          <w:color w:val="111111"/>
          <w:sz w:val="28"/>
          <w:szCs w:val="28"/>
          <w:rtl w:val="true"/>
          <w:lang w:bidi="fa-IR"/>
        </w:rPr>
        <w:t>.</w:t>
      </w:r>
    </w:p>
    <w:p>
      <w:pPr>
        <w:pStyle w:val="Heading6"/>
        <w:numPr>
          <w:ilvl w:val="5"/>
          <w:numId w:val="1"/>
        </w:numPr>
        <w:rPr/>
      </w:pPr>
      <w:bookmarkStart w:id="88" w:name="__RefHeading___Toc6451924_3224264995"/>
      <w:bookmarkStart w:id="89" w:name="_Toc33"/>
      <w:bookmarkEnd w:id="88"/>
      <w:r>
        <w:rPr>
          <w:rtl w:val="true"/>
        </w:rPr>
        <w:t>[</w:t>
      </w:r>
      <w:r>
        <w:rPr>
          <w:rtl w:val="true"/>
        </w:rPr>
        <w:t>غسل دخول الحرم</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الحرم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515"/>
      </w:r>
      <w:r>
        <w:rPr>
          <w:rFonts w:ascii="IRNazanin" w:hAnsi="IRNazanin" w:eastAsia="IRNazanin"/>
          <w:color w:val="111111"/>
          <w:sz w:val="28"/>
          <w:sz w:val="28"/>
          <w:szCs w:val="28"/>
          <w:rtl w:val="true"/>
          <w:lang w:bidi="fa-IR"/>
        </w:rPr>
        <w:t>لموثّقة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لا تدخله إلّا بغسل</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تدخل الحرم</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لکن لا یبعد منه إرادة غسل الطواف، و لم یذکره جماعة منهم الصدوق</w:t>
      </w:r>
      <w:r>
        <w:rPr>
          <w:rFonts w:eastAsia="IRNazanin" w:cs="IRNazanin"/>
          <w:color w:val="111111"/>
          <w:sz w:val="28"/>
          <w:szCs w:val="28"/>
          <w:rtl w:val="true"/>
          <w:lang w:bidi="fa-IR"/>
        </w:rPr>
        <w:t>.</w:t>
      </w:r>
    </w:p>
    <w:p>
      <w:pPr>
        <w:pStyle w:val="Heading6"/>
        <w:numPr>
          <w:ilvl w:val="5"/>
          <w:numId w:val="1"/>
        </w:numPr>
        <w:rPr/>
      </w:pPr>
      <w:bookmarkStart w:id="90" w:name="__RefHeading___Toc6451926_3224264995"/>
      <w:bookmarkStart w:id="91" w:name="_Toc34"/>
      <w:bookmarkEnd w:id="90"/>
      <w:r>
        <w:rPr>
          <w:rtl w:val="true"/>
        </w:rPr>
        <w:t>[</w:t>
      </w:r>
      <w:r>
        <w:rPr>
          <w:rtl w:val="true"/>
        </w:rPr>
        <w:t>غسل دخول مکّة</w:t>
      </w:r>
      <w:r>
        <w:rPr>
          <w:rtl w:val="true"/>
        </w:rPr>
        <w:t>]</w:t>
      </w:r>
      <w:bookmarkEnd w:id="9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لصحیحة ابن سنان، و عدّ فیها غسل دخول مکّة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92" w:name="pg13039_115183"/>
    </w:p>
    <w:p>
      <w:pPr>
        <w:pStyle w:val="BookText"/>
        <w:rPr/>
      </w:pPr>
      <w:bookmarkEnd w:id="92"/>
      <w:r>
        <w:rPr>
          <w:rFonts w:ascii="Amiri" w:hAnsi="Amiri" w:eastAsia="Amiri" w:cs="Amiri"/>
          <w:color w:val="111111"/>
          <w:sz w:val="28"/>
          <w:sz w:val="28"/>
          <w:szCs w:val="28"/>
          <w:rtl w:val="true"/>
          <w:lang w:bidi="ar-SA"/>
        </w:rPr>
        <w:t>و فی خبر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19"/>
      </w:r>
      <w:r>
        <w:rPr>
          <w:rFonts w:ascii="IRNazanin" w:hAnsi="IRNazanin" w:eastAsia="IRNazanin"/>
          <w:color w:val="111111"/>
          <w:sz w:val="28"/>
          <w:sz w:val="28"/>
          <w:szCs w:val="28"/>
          <w:rtl w:val="true"/>
          <w:lang w:bidi="fa-IR"/>
        </w:rPr>
        <w:t>، فینبغی للعبد أن لا یدخل مکّة إلّا و هو طاهر قد غسل عرقه و الأذی</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یظهر عن الخلاف الإجماع علی العدم</w:t>
      </w:r>
      <w:r>
        <w:rPr>
          <w:rFonts w:eastAsia="IRNazanin" w:cs="IRNazanin"/>
          <w:color w:val="111111"/>
          <w:sz w:val="28"/>
          <w:szCs w:val="28"/>
          <w:rtl w:val="true"/>
          <w:lang w:bidi="fa-IR"/>
        </w:rPr>
        <w:t>.</w:t>
      </w:r>
    </w:p>
    <w:p>
      <w:pPr>
        <w:pStyle w:val="Heading6"/>
        <w:numPr>
          <w:ilvl w:val="5"/>
          <w:numId w:val="1"/>
        </w:numPr>
        <w:rPr/>
      </w:pPr>
      <w:bookmarkStart w:id="93" w:name="__RefHeading___Toc6451928_3224264995"/>
      <w:bookmarkStart w:id="94" w:name="_Toc35"/>
      <w:bookmarkEnd w:id="93"/>
      <w:r>
        <w:rPr>
          <w:rtl w:val="true"/>
        </w:rPr>
        <w:t>[</w:t>
      </w:r>
      <w:r>
        <w:rPr>
          <w:rtl w:val="true"/>
        </w:rPr>
        <w:t>غسل دخول الکعبة</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الغنیة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521"/>
      </w:r>
      <w:r>
        <w:rPr>
          <w:rFonts w:ascii="IRNazanin" w:hAnsi="IRNazanin" w:eastAsia="IRNazanin"/>
          <w:color w:val="111111"/>
          <w:sz w:val="28"/>
          <w:sz w:val="28"/>
          <w:szCs w:val="28"/>
          <w:rtl w:val="true"/>
          <w:lang w:bidi="fa-IR"/>
        </w:rPr>
        <w:t>لقوله علیه السلام فی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دخول البیت واجب</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6451930_3224264995"/>
      <w:bookmarkStart w:id="96" w:name="_Toc36"/>
      <w:bookmarkEnd w:id="95"/>
      <w:r>
        <w:rPr>
          <w:rtl w:val="true"/>
        </w:rPr>
        <w:t>[</w:t>
      </w:r>
      <w:r>
        <w:rPr>
          <w:rtl w:val="true"/>
        </w:rPr>
        <w:t>غسل دخول المدینة</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لقوله علیه السلام فی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و عدّ منها إذا دخلت الحرمین</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6451932_3224264995"/>
      <w:bookmarkStart w:id="98" w:name="_Toc37"/>
      <w:bookmarkEnd w:id="97"/>
      <w:r>
        <w:rPr>
          <w:rtl w:val="true"/>
        </w:rPr>
        <w:t>[</w:t>
      </w:r>
      <w:r>
        <w:rPr>
          <w:rtl w:val="true"/>
        </w:rPr>
        <w:t>غسل دخول مسجد النبیّ صلّی اللّٰه علیه و آله</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الغنیة الإجماع علیه </w:t>
      </w:r>
      <w:r>
        <w:rPr>
          <w:rStyle w:val="FootnoteAnchor"/>
          <w:rtl w:val="true"/>
        </w:rPr>
        <w:footnoteReference w:id="524"/>
      </w:r>
      <w:r>
        <w:rPr>
          <w:rFonts w:ascii="IRNazanin" w:hAnsi="IRNazanin" w:eastAsia="IRNazanin"/>
          <w:color w:val="111111"/>
          <w:sz w:val="28"/>
          <w:sz w:val="28"/>
          <w:szCs w:val="28"/>
          <w:rtl w:val="true"/>
          <w:lang w:bidi="fa-IR"/>
        </w:rPr>
        <w:t>لقوله علیه السلام فی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أردت دخول مسجد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6451934_3224264995"/>
      <w:bookmarkStart w:id="100" w:name="_Toc38"/>
      <w:bookmarkEnd w:id="99"/>
      <w:r>
        <w:rPr>
          <w:rtl w:val="true"/>
        </w:rPr>
        <w:t>ثمّ إنّه قد بقی هنا أغسال لم یذکرها المصنّف قدّس سرّه</w:t>
      </w:r>
      <w:r>
        <w:rPr>
          <w:rtl w:val="true"/>
        </w:rPr>
        <w:t>:</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قتل الوزغة کما عن الإشراف </w:t>
      </w:r>
      <w:r>
        <w:rPr>
          <w:rStyle w:val="FootnoteAnchor"/>
          <w:rtl w:val="true"/>
        </w:rPr>
        <w:footnoteReference w:id="526"/>
      </w:r>
      <w:r>
        <w:rPr>
          <w:rFonts w:ascii="IRNazanin" w:hAnsi="IRNazanin" w:eastAsia="IRNazanin"/>
          <w:color w:val="111111"/>
          <w:sz w:val="28"/>
          <w:sz w:val="28"/>
          <w:szCs w:val="28"/>
          <w:rtl w:val="true"/>
          <w:lang w:bidi="fa-IR"/>
        </w:rPr>
        <w:t xml:space="preserve">و الجامع </w:t>
      </w:r>
      <w:r>
        <w:rPr>
          <w:rStyle w:val="FootnoteAnchor"/>
          <w:rtl w:val="true"/>
        </w:rPr>
        <w:footnoteReference w:id="527"/>
      </w:r>
      <w:r>
        <w:rPr>
          <w:rFonts w:ascii="IRNazanin" w:hAnsi="IRNazanin" w:eastAsia="IRNazanin"/>
          <w:color w:val="111111"/>
          <w:sz w:val="28"/>
          <w:sz w:val="28"/>
          <w:szCs w:val="28"/>
          <w:rtl w:val="true"/>
          <w:lang w:bidi="fa-IR"/>
        </w:rPr>
        <w:t xml:space="preserve">و الدروس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الموجز </w:t>
      </w:r>
      <w:r>
        <w:rPr>
          <w:rStyle w:val="FootnoteAnchor"/>
          <w:rtl w:val="true"/>
        </w:rPr>
        <w:footnoteReference w:id="529"/>
      </w:r>
      <w:r>
        <w:rPr>
          <w:rFonts w:ascii="IRNazanin" w:hAnsi="IRNazanin" w:eastAsia="IRNazanin"/>
          <w:color w:val="111111"/>
          <w:sz w:val="28"/>
          <w:sz w:val="28"/>
          <w:szCs w:val="28"/>
          <w:rtl w:val="true"/>
          <w:lang w:bidi="fa-IR"/>
        </w:rPr>
        <w:t xml:space="preserve">و غایة المرام </w:t>
      </w:r>
      <w:r>
        <w:rPr>
          <w:rStyle w:val="FootnoteAnchor"/>
          <w:rtl w:val="true"/>
        </w:rPr>
        <w:footnoteReference w:id="530"/>
      </w:r>
      <w:r>
        <w:rPr>
          <w:rFonts w:ascii="IRNazanin" w:hAnsi="IRNazanin" w:eastAsia="IRNazanin"/>
          <w:color w:val="111111"/>
          <w:sz w:val="28"/>
          <w:sz w:val="28"/>
          <w:szCs w:val="28"/>
          <w:rtl w:val="true"/>
          <w:lang w:bidi="fa-IR"/>
        </w:rPr>
        <w:t>، بل عن ظاهر المحکی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الأصحاب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قدح فیه فی محکیّ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کثیراً من الأصحاب لم یتعرّضوا 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الفقیه و الهدایة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علّله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یخرج من الذنوب فیغتسل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فی الفقیه عن بعض مشایخه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فی ذلک مضافاً إلی مرسلة الفقیه و الهدایة ما عن بصائر الدرجات و روضة الکافی و کتاب الخرائج و الجرائح للراوندی عن عبد اللّٰه ابن طلحة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الوزغ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هو مسخ کلّه، فإذا قتلته فاغتسل</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و فی تلک الروایة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علیه السلام کان قاعداً و معه رجل یحدّثه فإذا بوزغ یولول لسانه،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هذا الوزغ؟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ذکرتم عثمان بشتیمة لأشتمنّ علیّاً علیه السلام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یموت من بنی أُمیّة میّت إلّا مُسخ وزغاً،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عبد الملک بن مروان لمّا نزل به الموت مسخ وزغاً،</w:t>
      </w:r>
    </w:p>
    <w:p>
      <w:pPr>
        <w:pStyle w:val="BookText"/>
        <w:rPr/>
      </w:pPr>
      <w:r>
        <w:rPr>
          <w:rFonts w:ascii="IRNazanin" w:hAnsi="IRNazanin" w:eastAsia="IRNazanin"/>
          <w:color w:val="111111"/>
          <w:sz w:val="28"/>
          <w:sz w:val="28"/>
          <w:szCs w:val="28"/>
          <w:rtl w:val="true"/>
          <w:lang w:bidi="fa-IR"/>
        </w:rPr>
        <w:t xml:space="preserve">فذهب من بین یدی من کان عنده، و کان عنده ولده فلمّا أن فقدوه عظم ذلک علیهم، فلم یدروا کیف یصنعون، ثمّ اجتمع أمرهم علی أن یأخذوا جذعاً، فیصنعوه کهیئة الرجل، ففعلوا ذلک و ألبسوا الجذع درع حدید، ثمّ لفّوه فی الأکفان و لم یطّلع علیه أحد من الناس إلّا أنا و ولده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المصابیح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أهل الطبّ و الآثار علی أنّ الوزغ من الحشرات المؤذیة ذوات الحمة، و زعموا أنّها تألف الحیّات کما تألف الخنافس و العقارب،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طبع سام أبرص أنّه متی تمکّن من الملح تمرّغ فیه، فیصیر ذلک مادّة لتولّد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السام أبرص و الوزغ و الورک کلّها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حیاة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المیم، 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کبار الوزغ </w:t>
      </w:r>
      <w:r>
        <w:rPr>
          <w:rStyle w:val="FootnoteAnchor"/>
          <w:rtl w:val="true"/>
        </w:rPr>
        <w:footnoteReference w:id="5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لصلاة الاستسقاء، کما عن المشایخ الثلاثة </w:t>
      </w:r>
      <w:r>
        <w:rPr>
          <w:rStyle w:val="FootnoteAnchor"/>
          <w:rtl w:val="true"/>
        </w:rPr>
        <w:footnoteReference w:id="541"/>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542"/>
      </w:r>
      <w:r>
        <w:rPr>
          <w:rFonts w:ascii="IRNazanin" w:hAnsi="IRNazanin" w:eastAsia="IRNazanin"/>
          <w:color w:val="111111"/>
          <w:sz w:val="28"/>
          <w:sz w:val="28"/>
          <w:szCs w:val="28"/>
          <w:rtl w:val="true"/>
          <w:lang w:bidi="fa-IR"/>
        </w:rPr>
        <w:t xml:space="preserve">و الحلبی </w:t>
      </w:r>
      <w:r>
        <w:rPr>
          <w:rStyle w:val="FootnoteAnchor"/>
          <w:rtl w:val="true"/>
        </w:rPr>
        <w:footnoteReference w:id="543"/>
      </w:r>
      <w:r>
        <w:rPr>
          <w:rFonts w:ascii="IRNazanin" w:hAnsi="IRNazanin" w:eastAsia="IRNazanin"/>
          <w:color w:val="111111"/>
          <w:sz w:val="28"/>
          <w:sz w:val="28"/>
          <w:szCs w:val="28"/>
          <w:rtl w:val="true"/>
          <w:lang w:bidi="fa-IR"/>
        </w:rPr>
        <w:t xml:space="preserve">و ابنی البرّاج </w:t>
      </w:r>
      <w:r>
        <w:rPr>
          <w:rStyle w:val="FootnoteAnchor"/>
          <w:rtl w:val="true"/>
        </w:rPr>
        <w:footnoteReference w:id="544"/>
      </w:r>
      <w:r>
        <w:rPr>
          <w:rFonts w:ascii="Amiri" w:hAnsi="Amiri" w:eastAsia="Amiri" w:cs="Amiri"/>
          <w:color w:val="111111"/>
          <w:sz w:val="28"/>
          <w:sz w:val="28"/>
          <w:szCs w:val="28"/>
          <w:rtl w:val="true"/>
          <w:lang w:bidi="ar-SA"/>
        </w:rPr>
        <w:t xml:space="preserve">و زهرة </w:t>
      </w:r>
      <w:r>
        <w:rPr>
          <w:rStyle w:val="FootnoteAnchor"/>
          <w:rtl w:val="true"/>
        </w:rPr>
        <w:footnoteReference w:id="545"/>
      </w:r>
      <w:r>
        <w:rPr>
          <w:rFonts w:ascii="IRNazanin" w:hAnsi="IRNazanin" w:eastAsia="IRNazanin"/>
          <w:color w:val="111111"/>
          <w:sz w:val="28"/>
          <w:sz w:val="28"/>
          <w:szCs w:val="28"/>
          <w:rtl w:val="true"/>
          <w:lang w:bidi="fa-IR"/>
        </w:rPr>
        <w:t>، و عن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الاستسقاء واجب</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 و المراد به الاستحباب؛ لاتّفاق الأصحاب کما عن المصابیح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الروایة لا تنهض للوجوب، و یمکن إدخاله فی غسل صلاة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لصلاة الشکر، حکی عن القاضی </w:t>
      </w:r>
      <w:r>
        <w:rPr>
          <w:rStyle w:val="FootnoteAnchor"/>
          <w:rtl w:val="true"/>
        </w:rPr>
        <w:footnoteReference w:id="548"/>
      </w:r>
      <w:r>
        <w:rPr>
          <w:rFonts w:ascii="IRNazanin" w:hAnsi="IRNazanin" w:eastAsia="IRNazanin"/>
          <w:color w:val="111111"/>
          <w:sz w:val="28"/>
          <w:sz w:val="28"/>
          <w:szCs w:val="28"/>
          <w:rtl w:val="true"/>
          <w:lang w:bidi="fa-IR"/>
        </w:rPr>
        <w:t xml:space="preserve">و الحلبی </w:t>
      </w:r>
      <w:r>
        <w:rPr>
          <w:rStyle w:val="FootnoteAnchor"/>
          <w:rtl w:val="true"/>
        </w:rPr>
        <w:footnoteReference w:id="549"/>
      </w:r>
      <w:r>
        <w:rPr>
          <w:rFonts w:ascii="Amiri" w:hAnsi="Amiri" w:eastAsia="Amiri" w:cs="Amiri"/>
          <w:color w:val="111111"/>
          <w:sz w:val="28"/>
          <w:sz w:val="28"/>
          <w:szCs w:val="28"/>
          <w:rtl w:val="true"/>
          <w:lang w:bidi="ar-SA"/>
        </w:rPr>
        <w:t xml:space="preserve">و ابن زهرة </w:t>
      </w:r>
      <w:r>
        <w:rPr>
          <w:rStyle w:val="FootnoteAnchor"/>
          <w:rtl w:val="true"/>
        </w:rPr>
        <w:footnoteReference w:id="550"/>
      </w:r>
      <w:r>
        <w:rPr>
          <w:rFonts w:ascii="IRNazanin" w:hAnsi="IRNazanin" w:eastAsia="IRNazanin"/>
          <w:color w:val="111111"/>
          <w:sz w:val="28"/>
          <w:sz w:val="28"/>
          <w:szCs w:val="28"/>
          <w:rtl w:val="true"/>
          <w:lang w:bidi="fa-IR"/>
        </w:rPr>
        <w:t>، مدّعیاً علیه الإجماع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أعثر له علی روایة یحکیها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لصلاة الظلامة، حکی عن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طُلبت بمظلمة فلا تدع علی صاحبک، فإنّ الرجل یکون مظلوماً و لا یزال یدعو حتّی یکون ظالماً، و لکن إذا ظُلمت فاغتسل و صلِّ رکعتین فی موضع لا یحجبک عن السماء،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فلان بن فلان ظلمنی، و لیس لی أحد أصول به غیرک، فاستوفِ لی ظلامتی الساعة الساعة، بالاسم الذی سألک به المضطرّ فأجبته، فکشفت ما به من ضرّ و مکّنت له فی الأرض و جعلته خلیفتک 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أن تصلّی علی محمّد و آل محمّد و أن تستوفی لی ظُلامتی،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تلبث حتّی تری ما تحبّ</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لصلاة الخوف من الظالم، حکی عن المکارم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و صلّ رکعتین و اکشف عن رکبتیک و اجعلهما ممّا یلی المصلّی و قل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یا حیّ لا إله إلّا أنت، برحمتک أستغیث، فصلّ علی محمّد و آل محمّد و أغثنی،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أن تصلّی علی محمّد و آل محمّد، و أن تلطف لی، و أن تغلب لی، و أن تمکر لی، و أن تخدع لی، و أن تکید لی، و أن تکفینی مئونة فلان بن فلان بلا مئونة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کان دعاء النبی صلّی اللّٰه علیه و آله و سلم یوم أُحد</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الغسل لرمی الجمار، کما عن المفید فی الغریّة </w:t>
      </w:r>
      <w:r>
        <w:rPr>
          <w:rStyle w:val="FootnoteAnchor"/>
          <w:rtl w:val="true"/>
        </w:rPr>
        <w:footnoteReference w:id="554"/>
      </w:r>
      <w:r>
        <w:rPr>
          <w:rFonts w:ascii="Amiri" w:hAnsi="Amiri" w:eastAsia="Amiri" w:cs="Amiri"/>
          <w:color w:val="111111"/>
          <w:sz w:val="28"/>
          <w:sz w:val="28"/>
          <w:szCs w:val="28"/>
          <w:rtl w:val="true"/>
          <w:lang w:bidi="ar-SA"/>
        </w:rPr>
        <w:t xml:space="preserve">و المقنعة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المحکی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فی الخلاف ادّعی الإجماع علی عدم الاستحباب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حسنة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الغسل إذا رمی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فعلت، و أمّا من السنّة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الحرّ و العرق</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 و نحوها روایة محمّد الحلبی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الجمار إلّا و أنت علی طهر</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و قول</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الطهر أحبّ إلیّ</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فالظاهر منهما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للوقوف بعرفة، کما عن المقنع </w:t>
      </w:r>
      <w:r>
        <w:rPr>
          <w:rStyle w:val="FootnoteAnchor"/>
          <w:rtl w:val="true"/>
        </w:rPr>
        <w:footnoteReference w:id="561"/>
      </w:r>
      <w:r>
        <w:rPr>
          <w:rFonts w:ascii="Amiri" w:hAnsi="Amiri" w:eastAsia="Amiri" w:cs="Amiri"/>
          <w:color w:val="111111"/>
          <w:sz w:val="28"/>
          <w:sz w:val="28"/>
          <w:szCs w:val="28"/>
          <w:rtl w:val="true"/>
          <w:lang w:bidi="ar-SA"/>
        </w:rPr>
        <w:t xml:space="preserve">و المقنعة </w:t>
      </w:r>
      <w:r>
        <w:rPr>
          <w:rStyle w:val="FootnoteAnchor"/>
          <w:rtl w:val="true"/>
        </w:rPr>
        <w:footnoteReference w:id="562"/>
      </w:r>
      <w:r>
        <w:rPr>
          <w:rFonts w:ascii="IRNazanin" w:hAnsi="IRNazanin" w:eastAsia="IRNazanin"/>
          <w:color w:val="111111"/>
          <w:sz w:val="28"/>
          <w:sz w:val="28"/>
          <w:szCs w:val="28"/>
          <w:rtl w:val="true"/>
          <w:lang w:bidi="fa-IR"/>
        </w:rPr>
        <w:t xml:space="preserve">و المبسوط </w:t>
      </w:r>
      <w:r>
        <w:rPr>
          <w:rStyle w:val="FootnoteAnchor"/>
          <w:rtl w:val="true"/>
        </w:rPr>
        <w:footnoteReference w:id="563"/>
      </w:r>
      <w:r>
        <w:rPr>
          <w:rFonts w:ascii="IRNazanin" w:hAnsi="IRNazanin" w:eastAsia="IRNazanin"/>
          <w:color w:val="111111"/>
          <w:sz w:val="28"/>
          <w:sz w:val="28"/>
          <w:szCs w:val="28"/>
          <w:rtl w:val="true"/>
          <w:lang w:bidi="fa-IR"/>
        </w:rPr>
        <w:t xml:space="preserve">و الخلاف </w:t>
      </w:r>
      <w:r>
        <w:rPr>
          <w:rStyle w:val="FootnoteAnchor"/>
          <w:rtl w:val="true"/>
        </w:rPr>
        <w:footnoteReference w:id="564"/>
      </w:r>
      <w:r>
        <w:rPr>
          <w:rFonts w:ascii="IRNazanin" w:hAnsi="IRNazanin" w:eastAsia="IRNazanin"/>
          <w:color w:val="111111"/>
          <w:sz w:val="28"/>
          <w:sz w:val="28"/>
          <w:szCs w:val="28"/>
          <w:rtl w:val="true"/>
          <w:lang w:bidi="fa-IR"/>
        </w:rPr>
        <w:t xml:space="preserve">مدّعیاً علیه الوفاق و المراسم </w:t>
      </w:r>
      <w:r>
        <w:rPr>
          <w:rStyle w:val="FootnoteAnchor"/>
          <w:rtl w:val="true"/>
        </w:rPr>
        <w:footnoteReference w:id="565"/>
      </w:r>
      <w:r>
        <w:rPr>
          <w:rFonts w:ascii="Amiri" w:hAnsi="Amiri" w:eastAsia="Amiri" w:cs="Amiri"/>
          <w:color w:val="111111"/>
          <w:sz w:val="28"/>
          <w:sz w:val="28"/>
          <w:szCs w:val="28"/>
          <w:rtl w:val="true"/>
          <w:lang w:bidi="ar-SA"/>
        </w:rPr>
        <w:t xml:space="preserve">و المهذّب </w:t>
      </w:r>
      <w:r>
        <w:rPr>
          <w:rStyle w:val="FootnoteAnchor"/>
          <w:rtl w:val="true"/>
        </w:rPr>
        <w:footnoteReference w:id="566"/>
      </w:r>
      <w:r>
        <w:rPr>
          <w:rFonts w:ascii="IRNazanin" w:hAnsi="IRNazanin" w:eastAsia="IRNazanin"/>
          <w:color w:val="111111"/>
          <w:sz w:val="28"/>
          <w:sz w:val="28"/>
          <w:szCs w:val="28"/>
          <w:rtl w:val="true"/>
          <w:lang w:bidi="fa-IR"/>
        </w:rPr>
        <w:t xml:space="preserve">و الوسیلة </w:t>
      </w:r>
      <w:r>
        <w:rPr>
          <w:rStyle w:val="FootnoteAnchor"/>
          <w:rtl w:val="true"/>
        </w:rPr>
        <w:footnoteReference w:id="567"/>
      </w:r>
      <w:r>
        <w:rPr>
          <w:rFonts w:ascii="IRNazanin" w:hAnsi="IRNazanin" w:eastAsia="IRNazanin"/>
          <w:color w:val="111111"/>
          <w:sz w:val="28"/>
          <w:sz w:val="28"/>
          <w:szCs w:val="28"/>
          <w:rtl w:val="true"/>
          <w:lang w:bidi="fa-IR"/>
        </w:rPr>
        <w:t xml:space="preserve">و الغنیة </w:t>
      </w:r>
      <w:r>
        <w:rPr>
          <w:rStyle w:val="FootnoteAnchor"/>
          <w:rtl w:val="true"/>
        </w:rPr>
        <w:footnoteReference w:id="568"/>
      </w:r>
      <w:r>
        <w:rPr>
          <w:rFonts w:ascii="Amiri" w:hAnsi="Amiri" w:eastAsia="Amiri" w:cs="Amiri"/>
          <w:color w:val="111111"/>
          <w:sz w:val="28"/>
          <w:sz w:val="28"/>
          <w:szCs w:val="28"/>
          <w:rtl w:val="true"/>
          <w:lang w:bidi="ar-SA"/>
        </w:rPr>
        <w:t xml:space="preserve">و الإشارة </w:t>
      </w:r>
      <w:r>
        <w:rPr>
          <w:rStyle w:val="FootnoteAnchor"/>
          <w:rtl w:val="true"/>
        </w:rPr>
        <w:footnoteReference w:id="569"/>
      </w:r>
      <w:r>
        <w:rPr>
          <w:rFonts w:ascii="IRNazanin" w:hAnsi="IRNazanin" w:eastAsia="IRNazanin"/>
          <w:color w:val="111111"/>
          <w:sz w:val="28"/>
          <w:sz w:val="28"/>
          <w:szCs w:val="28"/>
          <w:rtl w:val="true"/>
          <w:lang w:bidi="fa-IR"/>
        </w:rPr>
        <w:t xml:space="preserve">و السرائر </w:t>
      </w:r>
      <w:r>
        <w:rPr>
          <w:rStyle w:val="FootnoteAnchor"/>
          <w:rtl w:val="true"/>
        </w:rPr>
        <w:footnoteReference w:id="570"/>
      </w:r>
      <w:r>
        <w:rPr>
          <w:rFonts w:ascii="IRNazanin" w:hAnsi="IRNazanin" w:eastAsia="IRNazanin"/>
          <w:color w:val="111111"/>
          <w:sz w:val="28"/>
          <w:sz w:val="28"/>
          <w:szCs w:val="28"/>
          <w:rtl w:val="true"/>
          <w:lang w:bidi="fa-IR"/>
        </w:rPr>
        <w:t xml:space="preserve">و الجامع </w:t>
      </w:r>
      <w:r>
        <w:rPr>
          <w:rStyle w:val="FootnoteAnchor"/>
          <w:rtl w:val="true"/>
        </w:rPr>
        <w:footnoteReference w:id="571"/>
      </w:r>
      <w:r>
        <w:rPr>
          <w:rFonts w:ascii="IRNazanin" w:hAnsi="IRNazanin" w:eastAsia="IRNazanin"/>
          <w:color w:val="111111"/>
          <w:sz w:val="28"/>
          <w:sz w:val="28"/>
          <w:szCs w:val="28"/>
          <w:rtl w:val="true"/>
          <w:lang w:bidi="fa-IR"/>
        </w:rPr>
        <w:t xml:space="preserve">و المنتهی </w:t>
      </w:r>
      <w:r>
        <w:rPr>
          <w:rStyle w:val="FootnoteAnchor"/>
          <w:rtl w:val="true"/>
        </w:rPr>
        <w:footnoteReference w:id="572"/>
      </w:r>
      <w:r>
        <w:rPr>
          <w:rFonts w:ascii="IRNazanin" w:hAnsi="IRNazanin" w:eastAsia="IRNazanin"/>
          <w:color w:val="111111"/>
          <w:sz w:val="28"/>
          <w:sz w:val="28"/>
          <w:szCs w:val="28"/>
          <w:rtl w:val="true"/>
          <w:lang w:bidi="fa-IR"/>
        </w:rPr>
        <w:t xml:space="preserve">و الدروس </w:t>
      </w:r>
      <w:r>
        <w:rPr>
          <w:rStyle w:val="FootnoteAnchor"/>
          <w:rtl w:val="true"/>
        </w:rPr>
        <w:footnoteReference w:id="573"/>
      </w:r>
      <w:r>
        <w:rPr>
          <w:rFonts w:ascii="Amiri" w:hAnsi="Amiri" w:eastAsia="Amiri" w:cs="Amiri"/>
          <w:color w:val="111111"/>
          <w:sz w:val="28"/>
          <w:sz w:val="28"/>
          <w:szCs w:val="28"/>
          <w:rtl w:val="true"/>
          <w:lang w:bidi="ar-SA"/>
        </w:rPr>
        <w:t>، کلّ ذلک فی کتاب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معاویة بن عمّار المتقدّمة فی غسل یوم عرفة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زاغت الشمس یوم عرفة فاقطع التلبیة</w:t>
      </w:r>
    </w:p>
    <w:p>
      <w:pPr>
        <w:pStyle w:val="BookText"/>
        <w:rPr/>
      </w:pPr>
      <w:r>
        <w:rPr>
          <w:rFonts w:ascii="IRNazanin" w:hAnsi="IRNazanin" w:eastAsia="IRNazanin"/>
          <w:color w:val="111111"/>
          <w:sz w:val="28"/>
          <w:sz w:val="28"/>
          <w:szCs w:val="28"/>
          <w:rtl w:val="true"/>
          <w:lang w:bidi="fa-IR"/>
        </w:rPr>
        <w:t>و اغتسل</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إرادة غسل الوقوف لا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الوقوف بمشعر، کما عن الخلاف مدّعیاً علیه الإجماع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فی الدروس عن الصدوق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علیه بروایة معاویة بن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علی طهر بعد ما تصلّی الفجر فقف إن شئت قریباً من الجبل، و إن شئت حیث تبیت</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فی الوضوء إلّا أن یقال أیّ وضوء أطهر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یؤیّد الحکم بأولویّة الوقوف بالمشعر بالغسل من الوقوف بعرفة؛ لأنّه الرکن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للنحر و الذبح و الحلق؛ لحسنة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للجنابة، و الجمعة، و عرفة، و النحر، و الحلق، و الذبح، و الزیارة</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لکلّ فعل یتقرّب به إلی اللّٰه، و کلّ مکان أو زمان شریف، و إذا ظهرت الآثار فی السماء، حکاه فی الذکری عن ابن الجنید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یظهر من المحقّق </w:t>
      </w:r>
      <w:r>
        <w:rPr>
          <w:rStyle w:val="FootnoteAnchor"/>
          <w:rtl w:val="true"/>
        </w:rPr>
        <w:footnoteReference w:id="581"/>
      </w:r>
      <w:r>
        <w:rPr>
          <w:rFonts w:ascii="Amiri" w:hAnsi="Amiri" w:eastAsia="Amiri" w:cs="Amiri"/>
          <w:color w:val="111111"/>
          <w:sz w:val="28"/>
          <w:sz w:val="28"/>
          <w:szCs w:val="28"/>
          <w:rtl w:val="true"/>
          <w:lang w:bidi="ar-SA"/>
        </w:rPr>
        <w:t xml:space="preserve">و المصنّف </w:t>
      </w:r>
      <w:r>
        <w:rPr>
          <w:rStyle w:val="FootnoteAnchor"/>
          <w:rtl w:val="true"/>
        </w:rPr>
        <w:footnoteReference w:id="582"/>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583"/>
      </w:r>
      <w:r>
        <w:rPr>
          <w:rFonts w:ascii="IRNazanin" w:hAnsi="IRNazanin" w:eastAsia="IRNazanin"/>
          <w:color w:val="111111"/>
          <w:sz w:val="28"/>
          <w:sz w:val="28"/>
          <w:szCs w:val="28"/>
          <w:rtl w:val="true"/>
          <w:lang w:bidi="fa-IR"/>
        </w:rPr>
        <w:t>موافقته فی الزمان حیث علّلوا بشرف الوقت جملة من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ابن الجنید علی إطلاقه لم یقم علیه دلیل إلّا أن یثبت رجحان نفس الکون علی الغسل، و قد تقدّم التأمّل فی مدرک هذا العموم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إن مسّ میّتاً بعد تغسیله، کما عن جامع البهائی </w:t>
      </w:r>
      <w:r>
        <w:rPr>
          <w:rStyle w:val="FootnoteAnchor"/>
          <w:rtl w:val="true"/>
        </w:rPr>
        <w:footnoteReference w:id="585"/>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586"/>
      </w:r>
      <w:r>
        <w:rPr>
          <w:rFonts w:ascii="IRNazanin" w:hAnsi="IRNazanin" w:eastAsia="IRNazanin"/>
          <w:color w:val="111111"/>
          <w:sz w:val="28"/>
          <w:sz w:val="28"/>
          <w:szCs w:val="28"/>
          <w:rtl w:val="true"/>
          <w:lang w:bidi="fa-IR"/>
        </w:rPr>
        <w:t xml:space="preserve">و شرحه </w:t>
      </w:r>
      <w:r>
        <w:rPr>
          <w:rStyle w:val="FootnoteAnchor"/>
          <w:rtl w:val="true"/>
        </w:rPr>
        <w:footnoteReference w:id="587"/>
      </w:r>
      <w:r>
        <w:rPr>
          <w:rFonts w:ascii="IRNazanin" w:hAnsi="IRNazanin" w:eastAsia="IRNazanin"/>
          <w:color w:val="111111"/>
          <w:sz w:val="28"/>
          <w:sz w:val="28"/>
          <w:szCs w:val="28"/>
          <w:rtl w:val="true"/>
          <w:lang w:bidi="fa-IR"/>
        </w:rPr>
        <w:t xml:space="preserve">و الحدیقة </w:t>
      </w:r>
      <w:r>
        <w:rPr>
          <w:rStyle w:val="FootnoteAnchor"/>
          <w:rtl w:val="true"/>
        </w:rPr>
        <w:footnoteReference w:id="588"/>
      </w:r>
      <w:r>
        <w:rPr>
          <w:rFonts w:ascii="Amiri" w:hAnsi="Amiri" w:eastAsia="Amiri" w:cs="Amiri"/>
          <w:color w:val="111111"/>
          <w:sz w:val="28"/>
          <w:sz w:val="28"/>
          <w:szCs w:val="28"/>
          <w:rtl w:val="true"/>
          <w:lang w:bidi="ar-SA"/>
        </w:rPr>
        <w:t>تبعاً للشیخ فی الاستبصار، حیث حمل موثّقة عمّار الساباطی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مسّ میّتاً فعلیه الغسل و إن کان المیّت قد غُسّل</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علی الاستحباب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له قوله علیه السلام فیمن أدخل المیّت هل علیه 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یمسّ الثیاب</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لمن أراد تغسیل المیّت، حکاه فی المصابیح </w:t>
      </w:r>
      <w:r>
        <w:rPr>
          <w:rStyle w:val="FootnoteAnchor"/>
          <w:rtl w:val="true"/>
        </w:rPr>
        <w:footnoteReference w:id="592"/>
      </w:r>
      <w:r>
        <w:rPr>
          <w:rFonts w:ascii="IRNazanin" w:hAnsi="IRNazanin" w:eastAsia="IRNazanin"/>
          <w:color w:val="111111"/>
          <w:sz w:val="28"/>
          <w:sz w:val="28"/>
          <w:szCs w:val="28"/>
          <w:rtl w:val="true"/>
          <w:lang w:bidi="fa-IR"/>
        </w:rPr>
        <w:t>عن ظاهر</w:t>
      </w:r>
    </w:p>
    <w:p>
      <w:pPr>
        <w:pStyle w:val="BookText"/>
        <w:rPr/>
      </w:pPr>
      <w:r>
        <w:rPr>
          <w:rFonts w:ascii="IRNazanin" w:hAnsi="IRNazanin" w:eastAsia="IRNazanin"/>
          <w:color w:val="111111"/>
          <w:sz w:val="28"/>
          <w:sz w:val="28"/>
          <w:szCs w:val="28"/>
          <w:rtl w:val="true"/>
          <w:lang w:bidi="fa-IR"/>
        </w:rPr>
        <w:t xml:space="preserve">النزهة و الذکری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کشف اللثام أیضاً </w:t>
      </w:r>
      <w:r>
        <w:rPr>
          <w:rStyle w:val="FootnoteAnchor"/>
          <w:rtl w:val="true"/>
        </w:rPr>
        <w:footnoteReference w:id="594"/>
      </w:r>
      <w:r>
        <w:rPr>
          <w:rFonts w:ascii="Amiri" w:hAnsi="Amiri" w:eastAsia="Amiri" w:cs="Amiri"/>
          <w:color w:val="111111"/>
          <w:sz w:val="28"/>
          <w:sz w:val="28"/>
          <w:szCs w:val="28"/>
          <w:rtl w:val="true"/>
          <w:lang w:bidi="ar-SA"/>
        </w:rPr>
        <w:t>، و قد تقدّم فی مستحبّات غسل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النزهة علی ما حکی عنه 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أراد أن یغسّل المیّت استحبّ له أن یغتسل قبل تغسیله، و کذلک إذا أراد تکفینه</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فی الأخبار علی </w:t>
      </w:r>
      <w:r>
        <w:rPr>
          <w:rStyle w:val="FootnoteAnchor"/>
          <w:rtl w:val="true"/>
        </w:rPr>
        <w:footnoteReference w:id="596"/>
      </w:r>
      <w:r>
        <w:rPr>
          <w:rFonts w:ascii="IRNazanin" w:hAnsi="IRNazanin" w:eastAsia="IRNazanin"/>
          <w:color w:val="111111"/>
          <w:sz w:val="28"/>
          <w:sz w:val="28"/>
          <w:szCs w:val="28"/>
          <w:rtl w:val="true"/>
          <w:lang w:bidi="fa-IR"/>
        </w:rPr>
        <w:t xml:space="preserve">هذه الروایة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مراده روایة ابن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غسلت میّتاً أو کفّنته أو مسسته بعد ما یبرد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ففی دلالته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الموجود فی بعض النسخ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فلا یدلّ إلّا علی الغسل الواجب لمن غسل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لمن أراد أخذ التربة </w:t>
      </w:r>
      <w:r>
        <w:rPr>
          <w:rStyle w:val="FootnoteAnchor"/>
          <w:rtl w:val="true"/>
        </w:rPr>
        <w:footnoteReference w:id="600"/>
      </w:r>
      <w:r>
        <w:rPr>
          <w:rFonts w:ascii="IRNazanin" w:hAnsi="IRNazanin" w:eastAsia="IRNazanin"/>
          <w:color w:val="111111"/>
          <w:sz w:val="28"/>
          <w:sz w:val="28"/>
          <w:szCs w:val="28"/>
          <w:rtl w:val="true"/>
          <w:lang w:bidi="fa-IR"/>
        </w:rPr>
        <w:t>علی مشرّفها آلاف سلام و تحیّة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مصباح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أخذ التربة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إذا أردت</w:t>
      </w:r>
    </w:p>
    <w:p>
      <w:pPr>
        <w:pStyle w:val="BookText"/>
        <w:rPr/>
      </w:pPr>
      <w:r>
        <w:rPr>
          <w:rFonts w:ascii="IRNazanin" w:hAnsi="IRNazanin" w:eastAsia="IRNazanin"/>
          <w:color w:val="111111"/>
          <w:sz w:val="28"/>
          <w:sz w:val="28"/>
          <w:szCs w:val="28"/>
          <w:rtl w:val="true"/>
          <w:lang w:bidi="fa-IR"/>
        </w:rPr>
        <w:t>أخذها، فقم فی آخر اللیل و اغتسل، و البس أطهر ثیابک، و تطیّب بسعد و ادخل، وقف عند الرأس، و صلِّ أربع رکعات</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ما عن البحار عن المزار الکبیر عن جابر الجعفی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تأخذ من التربة فتعمّد لها آخر اللیل، و اغتسل لها بماء القراح، و تطیب بسعد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عند إرادة السفر، حکی عن ابن طاوس فی أمان الأخطار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یستحبّ له إذا أراد السفر أن یغتسل و یقول عند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التهذیب، عن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الخروج إلی أبی عبد اللّٰه علیه السلام فصم قبل أن تخرج ثلاثة أیّام یوم الأربعاء و یوم الخمیس و یوم الجمعة، فإذا أمسیت لیلة الجمعة فصلِّ صلاة اللیل ثمّ قم فانظر فی نواحی السماء فاغتسل تلک اللیلة قبل المغرب، ثمّ تنام علی طُهر ثمّ إذا أردت المشی إلیه فاغتسل و لا تطیّب و لا تدهن و لا تکتحل حتّی تأتی القبر</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الخبر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لمن أراد رؤیة أحد من الأئمّة علیهم السلام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المفید فی کتاب الاختصاص عن أبی المغراء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و أراد أن یرانا و یعرف موضعه، فلیغتسل ثلاث لیالٍ یناجی بنا، فإنّه یرانا، و یغفر له بنا</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لعمل الاستفتاح، و حکی </w:t>
      </w:r>
      <w:r>
        <w:rPr>
          <w:rStyle w:val="FootnoteAnchor"/>
          <w:rtl w:val="true"/>
        </w:rPr>
        <w:footnoteReference w:id="607"/>
      </w:r>
      <w:r>
        <w:rPr>
          <w:rFonts w:ascii="IRNazanin" w:hAnsi="IRNazanin" w:eastAsia="IRNazanin"/>
          <w:color w:val="111111"/>
          <w:sz w:val="28"/>
          <w:sz w:val="28"/>
          <w:szCs w:val="28"/>
          <w:rtl w:val="true"/>
          <w:lang w:bidi="fa-IR"/>
        </w:rPr>
        <w:t>عن الصدوق و الشیخ روایة بطرق متعدّدة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الیوم الخامس عشر فاغتسل عند الزوال</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و عن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قریباً من الزوال</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عند الإفاقة من الجنون، حکی عن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المصنّف قدّس سرّه فی النهایة استقربه </w:t>
      </w:r>
      <w:r>
        <w:rPr>
          <w:rStyle w:val="FootnoteAnchor"/>
          <w:rtl w:val="true"/>
        </w:rPr>
        <w:footnoteReference w:id="6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زال عقله أنزل، فإذا أفاق اغتسل احتیاطاً، و لیس واجباً؛ لأصالة الطهارة، و الناقض غیر معلوم؛ و لأنّ النوم لمّا کان مظنّة الحدث شرّعت له الطهارة بعده </w:t>
      </w:r>
      <w:r>
        <w:rPr>
          <w:rStyle w:val="FootnoteAnchor"/>
          <w:rtl w:val="true"/>
        </w:rPr>
        <w:footnoteReference w:id="6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البهائی فی محکیّ جامعه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المحکیّ عن المنتهی ردّه بأنّ الاستحباب حکم شرعی یتوقّف</w:t>
      </w:r>
    </w:p>
    <w:p>
      <w:pPr>
        <w:pStyle w:val="BookText"/>
        <w:rPr/>
      </w:pPr>
      <w:r>
        <w:rPr>
          <w:rFonts w:ascii="IRNazanin" w:hAnsi="IRNazanin" w:eastAsia="IRNazanin"/>
          <w:color w:val="111111"/>
          <w:sz w:val="28"/>
          <w:sz w:val="28"/>
          <w:szCs w:val="28"/>
          <w:rtl w:val="true"/>
          <w:lang w:bidi="fa-IR"/>
        </w:rPr>
        <w:t xml:space="preserve">علی دلیل شرعی و لم یقم و لم یحکِ فیه الاستحباب إلّا عن الحنابلة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من مات جنباً، لما سیجی‌ء فی باب الغسل بورود بعض الروایات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عند زوال العذر الذی رخّص فی اشتماله علی نقص، قال فی محکیّ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عن خلاف من أوجبه، و حکاه عن الشهید فی البیان و النفلیّة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لواجدی المنی فی الثوب المشترک، کما عن کشف اللثام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ما عثرنا علیه من الأغسال، و قد عرفت ضعف المستند فی أکثرها، فلا وجه للقول بها إلّا تسامحاً أو بناءً علی ما ذکره جماعة من استحباب الغسل مطلقاً لنفسه؛ فإنّ الظاهر من المصنّف و المحقّق و الشهید فی بعض المواضع استحباب الغسل مطلقاً، من دون سبب خاصّ أو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المعتبر فی قضاء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ضعیفة، لکنّها تنجبر بأنّ الغسل طهور فیکون حسناً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غسل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العمدة فیه فتوی الأصحاب، مضافاً إلی أنّ الغسل خیر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غسل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ضعیفة، و المعوّل علی الاستحباب المطلق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غسل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ذکرها فلا بأس بالمتابعة فیه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المنتهی فی تعلیل غسل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الغسل طاعة فی نفسه فیکون مستحبّاً عقیب التوبة لیطهر أثره بالعمل الصالح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الذکری تعلیله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الغسل خیر </w:t>
      </w:r>
      <w:r>
        <w:rPr>
          <w:rStyle w:val="FootnoteAnchor"/>
          <w:rtl w:val="true"/>
        </w:rPr>
        <w:footnoteReference w:id="622"/>
      </w:r>
      <w:r>
        <w:rPr>
          <w:rFonts w:ascii="IRNazanin" w:hAnsi="IRNazanin" w:eastAsia="IRNazanin"/>
          <w:color w:val="111111"/>
          <w:sz w:val="28"/>
          <w:sz w:val="28"/>
          <w:szCs w:val="28"/>
          <w:rtl w:val="true"/>
          <w:lang w:bidi="fa-IR"/>
        </w:rPr>
        <w:t xml:space="preserve">، کما فی المعتبر </w:t>
      </w:r>
      <w:r>
        <w:rPr>
          <w:rStyle w:val="FootnoteAnchor"/>
          <w:rtl w:val="true"/>
        </w:rPr>
        <w:footnoteReference w:id="62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المحکیّ عن المفید فی الإشراف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 علیه عشرون غسلًا، فرض، و سنّة، و مستحبّ، کرجل احتلم أو أجنب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صلاة رکعتین بغسل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مراده بالغسل الذی فرض إیجابه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الغسل المطلق دون أحد الأغسال المعهودة من ذوات الأسباب، بقرینة جعله مقابلًا لها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کیف کان، فربما یتمسّک فی ذلک بمثل قوله تعالی إِنَّ اللّٰهَ یُحِبُّ التَّوّٰابِینَ وَ یُحِبُّ الْمُتَطَهِّرِینَ </w:t>
      </w:r>
      <w:r>
        <w:rPr>
          <w:rStyle w:val="FootnoteAnchor"/>
          <w:rtl w:val="true"/>
        </w:rPr>
        <w:footnoteReference w:id="625"/>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علی الطهر عشر حسنات</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أنقی</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 و ما ورد من استحباب الغسل بماء الفرات بقول مطلق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الاستناد فی ذلک إلی الاحتیاط المستحسن عقلًا و شرعاً، الذی یکفی فیه مجرّد احتمال الاستحباب، فضلًا عن استظهار ذلک من فتوی جماعة من الأساطین المتقدّم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اعترف بعض من أنکر هذا الحکم باستحباب الغسل للشکّ فی تحقّق السبب أو احتمال الخلل فی الغسل الأوّل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النفلیّة </w:t>
      </w:r>
      <w:r>
        <w:rPr>
          <w:rStyle w:val="FootnoteAnchor"/>
          <w:rtl w:val="true"/>
        </w:rPr>
        <w:footnoteReference w:id="631"/>
      </w:r>
      <w:r>
        <w:rPr>
          <w:rFonts w:ascii="IRNazanin" w:hAnsi="IRNazanin" w:eastAsia="IRNazanin"/>
          <w:color w:val="111111"/>
          <w:sz w:val="28"/>
          <w:sz w:val="28"/>
          <w:szCs w:val="28"/>
          <w:rtl w:val="true"/>
          <w:lang w:bidi="fa-IR"/>
        </w:rPr>
        <w:t xml:space="preserve">و شرحها </w:t>
      </w:r>
      <w:r>
        <w:rPr>
          <w:rStyle w:val="FootnoteAnchor"/>
          <w:rtl w:val="true"/>
        </w:rPr>
        <w:footnoteReference w:id="632"/>
      </w:r>
      <w:r>
        <w:rPr>
          <w:rFonts w:ascii="IRNazanin" w:hAnsi="IRNazanin" w:eastAsia="IRNazanin"/>
          <w:color w:val="111111"/>
          <w:sz w:val="28"/>
          <w:sz w:val="28"/>
          <w:szCs w:val="28"/>
          <w:rtl w:val="true"/>
          <w:lang w:bidi="fa-IR"/>
        </w:rPr>
        <w:t xml:space="preserve">و الحدیقة </w:t>
      </w:r>
      <w:r>
        <w:rPr>
          <w:rStyle w:val="FootnoteAnchor"/>
          <w:rtl w:val="true"/>
        </w:rPr>
        <w:footnoteReference w:id="633"/>
      </w:r>
      <w:r>
        <w:rPr>
          <w:rFonts w:ascii="IRNazanin" w:hAnsi="IRNazanin" w:eastAsia="IRNazanin"/>
          <w:color w:val="111111"/>
          <w:sz w:val="28"/>
          <w:sz w:val="28"/>
          <w:szCs w:val="28"/>
          <w:rtl w:val="true"/>
          <w:lang w:bidi="fa-IR"/>
        </w:rPr>
        <w:t xml:space="preserve">و جامع البهائی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بعد زوال العذر المجوّز للغسل الاضطراری کالجبیرة؛ معلّلین ذلک بالخروج عن خلاف من أوجب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مرجعه إلی الاحتیاط</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عند الشکّ فی الحدث، کواجدی المنیّ فی الثوب المشترک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مستند فی ذلک إلّا الاحتیاط الاستحبابی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هو جارٍ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مشکل؛ إذ لیس الاحتیاط مختصّاً بما إذا کان الفعل المحتاط فیه واجباً، و إن کان ظاهر الاحتیاط یوهم کونه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النقض و الحلّ فیما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لا بدّ فیها من نیّة التقرّب، و مجرّد احتمال التقرّب لا یکفی فیها، فلا یصحّ الغسل إلّا مع العلم بالتقرّب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لا تخلو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الأغسال المندوبة کما عرفت منها ما للزمان، کغسل الجمعة، و العیدین، و أغسال لیالی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للمکان، کالغسل لدخول مکّة و مدینة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للفعل، إمّا بأن یکون الفعل سبباً له کقتل الوزغ، و السعی إلی رؤیة المصلوب و نحوهما، و إمّا أن یکون غایة له، و یرجع إلیه ما للمکان؛ لأنّ المراد دخول المکان کما صرّح به کاشف اللثام </w:t>
      </w:r>
      <w:r>
        <w:rPr>
          <w:rStyle w:val="FootnoteAnchor"/>
          <w:rtl w:val="true"/>
        </w:rPr>
        <w:footnoteReference w:id="637"/>
      </w:r>
      <w:r>
        <w:rPr>
          <w:rFonts w:ascii="IRNazanin" w:hAnsi="IRNazanin" w:eastAsia="IRNazanin"/>
          <w:color w:val="111111"/>
          <w:sz w:val="28"/>
          <w:sz w:val="28"/>
          <w:szCs w:val="28"/>
          <w:rtl w:val="true"/>
          <w:lang w:bidi="fa-IR"/>
        </w:rPr>
        <w:t xml:space="preserve">و غیره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بتقریر آخر، الغسل إمّا أن یستحبّ فی زمان خاصّ بلا سبب، و إمّا أن یستحبّ بسبب خاصّ بلا زمان، و إمّا أن یستحبّ لغایة خاصّة من دون سبب و لا زمان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فوقته نفس الزمان الذی أُمِرَ بإیقاعه فیه، کأوّل یوم الجمعة إلی الزوال لغسل الجمعة، و تمام اللیل لأغسال لیالی شهر رمضان، بلا خلاف ظاهر بین الأصحاب؛ لأنّ ذلک هو الظاهر من أدلّة تلک الأغسال، مثل روایة بکیر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اللیالی اغتسل فی شهر رمضان؟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تسع و عشرة، و لیلة إحدی و عشرین و لیلة ثلاث و عشرین، و الغسل فی أوّل اللیل،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غسل الجمعة، إذا اغتسلت بعد طلوع الفجر أجزأک</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 و نحوها روایة الحمیری </w:t>
      </w:r>
      <w:r>
        <w:rPr>
          <w:rStyle w:val="FootnoteAnchor"/>
          <w:rtl w:val="true"/>
        </w:rPr>
        <w:footnoteReference w:id="640"/>
      </w:r>
      <w:r>
        <w:rPr>
          <w:rFonts w:ascii="IRNazanin" w:hAnsi="IRNazanin" w:eastAsia="IRNazanin"/>
          <w:color w:val="111111"/>
          <w:sz w:val="28"/>
          <w:sz w:val="28"/>
          <w:szCs w:val="28"/>
          <w:rtl w:val="true"/>
          <w:lang w:bidi="fa-IR"/>
        </w:rPr>
        <w:t xml:space="preserve">، إلی غیر ذلک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روی الکلینی فی الحسن کالصحیح، و الصدوق فی الصحیح،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شهر رمضان عند وجوب الشمس قبیله، ثمّ یصلّی و یفطر</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السیّد فی کتاب الإقبال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یغتسل قبل الغروب إذا علم أنّها لیلة العید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 و ظاهر الکلینی و الصدوق </w:t>
      </w:r>
      <w:r>
        <w:rPr>
          <w:rStyle w:val="FootnoteAnchor"/>
          <w:rtl w:val="true"/>
        </w:rPr>
        <w:footnoteReference w:id="644"/>
      </w:r>
      <w:r>
        <w:rPr>
          <w:rFonts w:ascii="IRNazanin" w:hAnsi="IRNazanin" w:eastAsia="IRNazanin"/>
          <w:color w:val="111111"/>
          <w:sz w:val="28"/>
          <w:sz w:val="28"/>
          <w:szCs w:val="28"/>
          <w:rtl w:val="true"/>
          <w:lang w:bidi="fa-IR"/>
        </w:rPr>
        <w:t xml:space="preserve">العمل به، و هو الظاهر من العلّامة المجلسی أیضاً </w:t>
      </w:r>
      <w:r>
        <w:rPr>
          <w:rStyle w:val="FootnoteAnchor"/>
          <w:rtl w:val="true"/>
        </w:rPr>
        <w:footnoteReference w:id="645"/>
      </w:r>
      <w:r>
        <w:rPr>
          <w:rFonts w:ascii="IRNazanin" w:hAnsi="IRNazanin" w:eastAsia="IRNazanin"/>
          <w:color w:val="111111"/>
          <w:sz w:val="28"/>
          <w:sz w:val="28"/>
          <w:szCs w:val="28"/>
          <w:rtl w:val="true"/>
          <w:lang w:bidi="fa-IR"/>
        </w:rPr>
        <w:t xml:space="preserve">، و حملها شارح الدروس علی الأفضل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یتکلّف فی تطبیقها علی ما ذکره الأصحاب بالمحامل البعیدة، مثل أنّ المراد باللیل سقوط القرص، أو أنّ الوقت مجموع اللیل و جزء ممّا تقدّمه، و تخصیصه باللیل فی الأخبار و کلام الأصحاب تغلیب للأکثر و تنزیل للجزء المتّصل باللیل منزلة جزئه، أو أنّ الغسل المتقدّم غسل غائیّ؛ غایته إدراک الزمان أو الأعمال الواقعة فیه فیکون هذا غسلًا آخر یسقط الغسل الزمانی </w:t>
      </w:r>
      <w:r>
        <w:rPr>
          <w:rStyle w:val="FootnoteAnchor"/>
          <w:rtl w:val="true"/>
        </w:rPr>
        <w:footnoteReference w:id="647"/>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 تکلّف، أمّا الأوّل فلتصریحه علیه السلام باستحبابه قبل سقوط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فتکلّفه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فلأنّ الظاهر من الروایة بیان الغسل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 النظر العمل علی هذه الروایة، و جعل تقدیم الغسل للتهیّؤ و الدخول فی اللیل و الصلاة مغتسلًا، فیکون لتوقیر اللیل و ما یقع فیه من الأعمال نظیر الوضوء للتهیّؤ، أو یکون رخصة؛ حذراً عن فواته بعد الإفطار لأجل الکسالة،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فالظاهر أنّه لا یشرع فی الأغسال الزمانیة التقدیم لخوف الإعواز و لا القضاء، إلّا مع النصّ، کما فی غسل الجمعة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جوازهما فی غیر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غسل زمانیّ فهو ظرفه، و لمکان أو فعل فقبله، إلّا غسل التوبة و المصلوب، و فی التقدیم لخائف الإعواز، و القضاء إن فاته نظر، و لعلّهما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نبّه علیه فی غسل الإحرام </w:t>
      </w:r>
      <w:r>
        <w:rPr>
          <w:rStyle w:val="FootnoteAnchor"/>
          <w:rtl w:val="true"/>
        </w:rPr>
        <w:footnoteReference w:id="648"/>
      </w:r>
      <w:r>
        <w:rPr>
          <w:rFonts w:ascii="IRNazanin" w:hAnsi="IRNazanin" w:eastAsia="IRNazanin"/>
          <w:color w:val="111111"/>
          <w:sz w:val="28"/>
          <w:sz w:val="28"/>
          <w:szCs w:val="28"/>
          <w:rtl w:val="true"/>
          <w:lang w:bidi="fa-IR"/>
        </w:rPr>
        <w:t>، و فی روایة ابن بکیر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المفید قضاء</w:t>
      </w:r>
    </w:p>
    <w:p>
      <w:pPr>
        <w:pStyle w:val="BookText"/>
        <w:rPr/>
      </w:pPr>
      <w:r>
        <w:rPr>
          <w:rFonts w:ascii="Amiri" w:hAnsi="Amiri" w:eastAsia="Amiri" w:cs="Amiri"/>
          <w:color w:val="111111"/>
          <w:sz w:val="28"/>
          <w:sz w:val="28"/>
          <w:szCs w:val="28"/>
          <w:rtl w:val="true"/>
          <w:lang w:bidi="ar-SA"/>
        </w:rPr>
        <w:t xml:space="preserve">غسل عرفة </w:t>
      </w:r>
      <w:r>
        <w:rPr>
          <w:rStyle w:val="FootnoteAnchor"/>
          <w:rtl w:val="true"/>
        </w:rPr>
        <w:footnoteReference w:id="6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دلالة روایة تقدیمه غسل الإحرام لخوف الإعواز نظر؛ لأنّه لم یرخّص فیها إلّا الغسل فی المدینة للإحرام من ذی الحلیفة و هو علی ستّة أمیال تقریباً علی ما قیل </w:t>
      </w:r>
      <w:r>
        <w:rPr>
          <w:rStyle w:val="FootnoteAnchor"/>
          <w:rtl w:val="true"/>
        </w:rPr>
        <w:footnoteReference w:id="650"/>
      </w:r>
      <w:r>
        <w:rPr>
          <w:rFonts w:ascii="IRNazanin" w:hAnsi="IRNazanin" w:eastAsia="IRNazanin"/>
          <w:color w:val="111111"/>
          <w:sz w:val="28"/>
          <w:sz w:val="28"/>
          <w:szCs w:val="28"/>
          <w:rtl w:val="true"/>
          <w:lang w:bidi="fa-IR"/>
        </w:rPr>
        <w:t>و لا یکون ذلک تقدیماً؛ بناءً علی ما سیأتی من إجزاء الغسل فی أوّل النهار للفعل فی آخره، و کذا العکس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تقدیره فهو نصّ یخصّ بمورده فلا یقاس علیه، سیّما مع أنّ الغسل لفعل الإحرام فلا یشبهه الأغسال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البکیر </w:t>
      </w:r>
      <w:r>
        <w:rPr>
          <w:rStyle w:val="FootnoteAnchor"/>
          <w:rtl w:val="true"/>
        </w:rPr>
        <w:footnoteReference w:id="651"/>
      </w:r>
      <w:r>
        <w:rPr>
          <w:rFonts w:ascii="Amiri" w:hAnsi="Amiri" w:eastAsia="Amiri" w:cs="Amiri"/>
          <w:color w:val="111111"/>
          <w:sz w:val="28"/>
          <w:sz w:val="28"/>
          <w:szCs w:val="28"/>
          <w:rtl w:val="true"/>
          <w:lang w:bidi="ar-SA"/>
        </w:rPr>
        <w:t xml:space="preserve">المتقدّمة </w:t>
      </w:r>
      <w:r>
        <w:rPr>
          <w:rStyle w:val="FootnoteAnchor"/>
          <w:rtl w:val="true"/>
        </w:rPr>
        <w:footnoteReference w:id="652"/>
      </w:r>
      <w:r>
        <w:rPr>
          <w:rFonts w:ascii="IRNazanin" w:hAnsi="IRNazanin" w:eastAsia="IRNazanin"/>
          <w:color w:val="111111"/>
          <w:sz w:val="28"/>
          <w:sz w:val="28"/>
          <w:szCs w:val="28"/>
          <w:rtl w:val="true"/>
          <w:lang w:bidi="fa-IR"/>
        </w:rPr>
        <w:t>فالظاهر من التشبیه فیها بغسل الجمعة کونه مثله فی عدم الإعادة بعد الحدث، لا فی مشروعیّة القضاء و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حکاه عن المفید من قضاء غسل عرفة فلعلّه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اغتسلت بعد طلوع الفجر أجزأک غسلک للجنابة، و الجمعة، و عرفة، و النحر، و الذبح، و الحلق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غسل عرفة لا یرجع علی وجه الأداء مع غسل النحر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 أنّ المراد من تعداد هذه الأغسال مجرّد فرض اجتماع بعضها مع بعض فلا یدلّ علی تحقّق فرض اجتماع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إشکال فی عدم ثبوت إعادتها إذا تعقّبها الحدث و لو کان أکبر؛ لحصول الامتثال فیسقط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أنّ المقصود منها إدراک جمیع الوقت طاهراً بنی استحباب الإعادة و عدمه علی انتقاض هذه الأغسال بالحدث، إلّا أنّ هذا البناء مهدوم بروایة بکیر المتقدّمة فی أغسال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غسل الجمعة إذا اغتسلت بعد طلوع الفجر أجزأک</w:t>
      </w:r>
      <w:r>
        <w:rPr>
          <w:rFonts w:eastAsia="IRNazanin" w:cs="IRNazanin"/>
          <w:color w:val="111111"/>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هو مثل غسل الجمعة؟ إذا اغتسلت بعد طلوع الفجر کفاک</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فی ثلاث لیالٍ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و فی إحدی و عشرین، و فی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الغسل فی أوّل اللیل یجزی إلی آخره</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کان بسبب الفعل، فلا إشکال فی عدم توقیته و عدم الضیق، إلّا أن نقول بکون الأمر للفور العرفی، کما لا إشکال فی عدم مشروعیّة الإعادة بعد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لأجل الفعل فلا إشکال فی تقدیمه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الإشکال فی المقدار المجوّز من التقدیم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ذلک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قطع بعض المعاصرین بعدم الاجتزاء بالفصل الطویل کالیومین و الثلاث؛ لظهور الأدلّة ککلام الأصحاب فی عدمه، بل ربما یستفاد منها اتّصال عرفی بین الغسل و الفعل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الغسل لأجل فعلٍ، لا یعتبر فیه لغةً و لا عرفاً الاتّصال العرفی بینهما، بل المفهوم عرفاً هو اعتبار بقاء الأثر المقصود من الغسل إلی وقت الفعل، نظیر قول الآمر تنظّف لفعل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المقدار غیر مجدٍ إلّا بعد فهم ما هو المقصود من الغسل، و هل هو بعد حدوثه بالغسل یرتفع بمجرّد الفصل الطویل، أو الحدث مطلقاً، أو بالنوم، أو بالحدث الأکبر؟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و إن اقتضی بقاء الأثر المقصود إیقاع الغسل </w:t>
      </w:r>
      <w:r>
        <w:rPr>
          <w:rStyle w:val="FootnoteAnchor"/>
          <w:rtl w:val="true"/>
        </w:rPr>
        <w:footnoteReference w:id="658"/>
      </w:r>
      <w:r>
        <w:rPr>
          <w:rFonts w:ascii="Amiri" w:hAnsi="Amiri" w:eastAsia="Amiri" w:cs="Amiri"/>
          <w:color w:val="111111"/>
          <w:sz w:val="28"/>
          <w:sz w:val="28"/>
          <w:szCs w:val="28"/>
          <w:rtl w:val="true"/>
          <w:lang w:bidi="ar-SA"/>
        </w:rPr>
        <w:t xml:space="preserve">متلبّساً به، إلّا أنّ الظاهر تخلّل </w:t>
      </w:r>
      <w:r>
        <w:rPr>
          <w:rStyle w:val="FootnoteAnchor"/>
          <w:rtl w:val="true"/>
        </w:rPr>
        <w:footnoteReference w:id="659"/>
      </w:r>
      <w:r>
        <w:rPr>
          <w:rFonts w:ascii="IRNazanin" w:hAnsi="IRNazanin" w:eastAsia="IRNazanin"/>
          <w:color w:val="111111"/>
          <w:sz w:val="28"/>
          <w:sz w:val="28"/>
          <w:szCs w:val="28"/>
          <w:rtl w:val="true"/>
          <w:lang w:bidi="fa-IR"/>
        </w:rPr>
        <w:t>الفصل الطویل؛ لقوله علیه السلام فی صحیحة جمیل المرویّة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یومک یجزیک للیلتک، و غسل لیلتک یجزیک لیومک</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 فإنّ الظاهر التحدید بذلک، و هی </w:t>
      </w:r>
      <w:r>
        <w:rPr>
          <w:rStyle w:val="FootnoteAnchor"/>
          <w:rtl w:val="true"/>
        </w:rPr>
        <w:footnoteReference w:id="661"/>
      </w:r>
      <w:r>
        <w:rPr>
          <w:rFonts w:ascii="IRNazanin" w:hAnsi="IRNazanin" w:eastAsia="IRNazanin"/>
          <w:color w:val="111111"/>
          <w:sz w:val="28"/>
          <w:sz w:val="28"/>
          <w:szCs w:val="28"/>
          <w:rtl w:val="true"/>
          <w:lang w:bidi="fa-IR"/>
        </w:rPr>
        <w:t>إجزاء الغسل لأکثر من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المشهور کما صرّح به جماعة </w:t>
      </w:r>
      <w:r>
        <w:rPr>
          <w:rStyle w:val="FootnoteAnchor"/>
          <w:rtl w:val="true"/>
        </w:rPr>
        <w:footnoteReference w:id="662"/>
      </w:r>
      <w:r>
        <w:rPr>
          <w:rFonts w:ascii="IRNazanin" w:hAnsi="IRNazanin" w:eastAsia="IRNazanin"/>
          <w:color w:val="111111"/>
          <w:sz w:val="28"/>
          <w:sz w:val="28"/>
          <w:szCs w:val="28"/>
          <w:rtl w:val="true"/>
          <w:lang w:bidi="fa-IR"/>
        </w:rPr>
        <w:t>التحدید بیوم الغسل و لیله؛ لقوله علیه السلام فی صحیحة عمر بن یزید المرویة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یومک لیومک، و غسل لیلتک للیلتک</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و 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بعض أصحابنا فعرضت له حاجة حتّی أمسی،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الغسل نهاراً لیومه ذلک، و لیلًا للیلته</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عثمان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بعد طلوع الفجر کفاه غسله إلی اللیل فی کلّ موضع یجب فیه الغسل، و من اغتسل لیلًا کفاه غسله إلی طلوع الفجر</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و هو صریح فی التحدید بیوم الغسل و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بین صحیحة جمیل و بین ما بعده إمّا بالحمل علی مراتب الإجزاء فی الفضل، و إمّا بجعل اللام فی الصحیحة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بالتحدید بیوم الغسل أو لیلة، فلو وقع فی أثناء أحدهما، فهل العبرة بمقدار ما وقع فیه من الیوم أو اللیل، أو یلفّق الوقت منه و من الآخر فیتمّ من الآخر، أو ینقضی بانقضائه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وقع فی نصف نهار قصیر مثلًا فیتمّ من اللیل بمقدار الساعات الماضیة من النهار و إن لم یبلغ إلی نصف اللیل علی الأوّل، و یمتدّ إلی نصف اللیل علی الثانی، و ینقضی بانقضاء النهار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الأخیران جاریان مع التحدید بیوم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الروایات هو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یستظهر منها الأوّل،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یقطع بجواز الفعل عند طلوع الفجر بالغسل قبله بزمان یسیر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قبل طلوع الفجر و قد استحمّ قبل</w:t>
      </w:r>
    </w:p>
    <w:p>
      <w:pPr>
        <w:pStyle w:val="BookText"/>
        <w:rPr/>
      </w:pPr>
      <w:r>
        <w:rPr>
          <w:rFonts w:ascii="IRNazanin" w:hAnsi="IRNazanin" w:eastAsia="IRNazanin"/>
          <w:color w:val="111111"/>
          <w:sz w:val="28"/>
          <w:sz w:val="28"/>
          <w:szCs w:val="28"/>
          <w:rtl w:val="true"/>
          <w:lang w:bidi="fa-IR"/>
        </w:rPr>
        <w:t>ذلک ثمّ أحرم من یومه أجزأه غسله</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 و نحوها روایة إسحاق بن عمّار الآتیة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لکنّهما سیّما روایة إسحاق تدلّ علی أنّ جواز إیقاعه فی وسط أحدهما، ثمّ الإحرام أو الزیارة فی آخر الأخیر، و لا یقوله القائل بالتحدید بیوم الغسل أو لیله إلّا أن یستظهر من الروایة الغسل قبل طلوع الفجر بیسیر، و الإحرام قبل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تخلّل الحدث، فالظاهر وجوب إعادته إذا کان الحدث نوماً؛ لصحیحة ابن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إبراهیم علیه السلام عن الرجل یغتسل لدخول مکّة ثمّ ینام فیتوضّأ قبل أن یدخل، أ یجزیه أو یعید؟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إنّما دخل بوضوء</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نضر بن سوید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یغتسل للإحرام ثمّ ینام قبل أن یحرم،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إعادة الغسل</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و غیر ذلک ممّا ورد فی باب الإحرام و الطواف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یقدح اختصاصها بغسل الإحرام؛ لما عن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الأصحاب لم یفرّقوا بینه و بین غیره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یعارضها ما تقدّم من صحیحة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إجزاء غسل النهار للیلة و العکس </w:t>
      </w:r>
      <w:r>
        <w:rPr>
          <w:rStyle w:val="FootnoteAnchor"/>
          <w:rtl w:val="true"/>
        </w:rPr>
        <w:footnoteReference w:id="671"/>
      </w:r>
      <w:r>
        <w:rPr>
          <w:rFonts w:ascii="Amiri" w:hAnsi="Amiri" w:eastAsia="Amiri" w:cs="Amiri"/>
          <w:color w:val="111111"/>
          <w:sz w:val="28"/>
          <w:sz w:val="28"/>
          <w:szCs w:val="28"/>
          <w:rtl w:val="true"/>
          <w:lang w:bidi="ar-SA"/>
        </w:rPr>
        <w:t>بل و غیرها ممّا تقدّم فی</w:t>
      </w:r>
    </w:p>
    <w:p>
      <w:pPr>
        <w:pStyle w:val="BookText"/>
        <w:rPr/>
      </w:pPr>
      <w:r>
        <w:rPr>
          <w:rFonts w:ascii="Amiri" w:hAnsi="Amiri" w:eastAsia="Amiri" w:cs="Amiri"/>
          <w:color w:val="111111"/>
          <w:sz w:val="28"/>
          <w:sz w:val="28"/>
          <w:szCs w:val="28"/>
          <w:rtl w:val="true"/>
          <w:lang w:bidi="ar-SA"/>
        </w:rPr>
        <w:t xml:space="preserve">تخلّل الفصل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دعوی سوقها فی مقام عدم قدح الفصل بالزمان لا فی مقام عدم قدح ما یقع فی اللیل و النهار من الحدث حسنة، لولا أنّ الغالب حصول النوم فی اللیل، بل فی النهار أیضاً؛ و من ثمّ ذهب الحلیّ فیما حکی عنه إلی عدم الإعادة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إذ علی تقدیر تسلیم الإطلاق فی الأخبار المتقدّمة فاللازم حمل المطلق علی المقیّد، إلّا أنّ المروی فی الفقیه فی الصحیح عن العیص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یغتسل للإحرام بالمدینة و یلبس ثوبین، ثمّ ینام قبل أن یحرم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حملها فی التهذیب علی أنّه لیس علیه غسل فریضة فلا ینفی الغسل علی طریق الاستحباب </w:t>
      </w:r>
      <w:r>
        <w:rPr>
          <w:rStyle w:val="FootnoteAnchor"/>
          <w:rtl w:val="true"/>
        </w:rPr>
        <w:footnoteReference w:id="675"/>
      </w:r>
      <w:r>
        <w:rPr>
          <w:rFonts w:ascii="Amiri" w:hAnsi="Amiri" w:eastAsia="Amiri" w:cs="Amiri"/>
          <w:color w:val="111111"/>
          <w:sz w:val="28"/>
          <w:sz w:val="28"/>
          <w:szCs w:val="28"/>
          <w:rtl w:val="true"/>
          <w:lang w:bidi="ar-SA"/>
        </w:rPr>
        <w:t>، لکنّه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حمله علی من قدّم الغسل للإعواز، بناءً علی القول 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الأوجه الجمع بالحمل علی الاستحباب لولا أظهریّة أخبار الإعادة فی اللزوم، مضافاً إلی المستفاد من ذیل صحیحة عبد الرحمن </w:t>
      </w:r>
      <w:r>
        <w:rPr>
          <w:rStyle w:val="FootnoteAnchor"/>
          <w:rtl w:val="true"/>
        </w:rPr>
        <w:footnoteReference w:id="676"/>
      </w:r>
      <w:r>
        <w:rPr>
          <w:rFonts w:ascii="IRNazanin" w:hAnsi="IRNazanin" w:eastAsia="IRNazanin"/>
          <w:color w:val="111111"/>
          <w:sz w:val="28"/>
          <w:sz w:val="28"/>
          <w:szCs w:val="28"/>
          <w:rtl w:val="true"/>
          <w:lang w:bidi="fa-IR"/>
        </w:rPr>
        <w:t>من عدم بقاء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حدثیّة النوم، و إن کان الحدث غیر النوم، فالمشهور فی کلام الأصحاب کما فی الحدائق الاکتفاء بالغسل الأوّل </w:t>
      </w:r>
      <w:r>
        <w:rPr>
          <w:rStyle w:val="FootnoteAnchor"/>
          <w:rtl w:val="true"/>
        </w:rPr>
        <w:footnoteReference w:id="677"/>
      </w:r>
      <w:r>
        <w:rPr>
          <w:rFonts w:ascii="IRNazanin" w:hAnsi="IRNazanin" w:eastAsia="IRNazanin"/>
          <w:color w:val="111111"/>
          <w:sz w:val="28"/>
          <w:sz w:val="28"/>
          <w:szCs w:val="28"/>
          <w:rtl w:val="true"/>
          <w:lang w:bidi="fa-IR"/>
        </w:rPr>
        <w:t xml:space="preserve">و حکی فیه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المدارک </w:t>
      </w:r>
      <w:r>
        <w:rPr>
          <w:rStyle w:val="FootnoteAnchor"/>
          <w:rtl w:val="true"/>
        </w:rPr>
        <w:footnoteReference w:id="679"/>
      </w:r>
      <w:r>
        <w:rPr>
          <w:rFonts w:ascii="IRNazanin" w:hAnsi="IRNazanin" w:eastAsia="IRNazanin"/>
          <w:color w:val="111111"/>
          <w:sz w:val="28"/>
          <w:sz w:val="28"/>
          <w:szCs w:val="28"/>
          <w:rtl w:val="true"/>
          <w:lang w:bidi="fa-IR"/>
        </w:rPr>
        <w:t>عن الشهیدین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الموجز </w:t>
      </w:r>
      <w:r>
        <w:rPr>
          <w:rStyle w:val="FootnoteAnchor"/>
          <w:rtl w:val="true"/>
        </w:rPr>
        <w:footnoteReference w:id="680"/>
      </w:r>
      <w:r>
        <w:rPr>
          <w:rFonts w:ascii="IRNazanin" w:hAnsi="IRNazanin" w:eastAsia="IRNazanin"/>
          <w:color w:val="111111"/>
          <w:sz w:val="28"/>
          <w:sz w:val="28"/>
          <w:szCs w:val="28"/>
          <w:rtl w:val="true"/>
          <w:lang w:bidi="fa-IR"/>
        </w:rPr>
        <w:t xml:space="preserve">و شرحه </w:t>
      </w:r>
      <w:r>
        <w:rPr>
          <w:rStyle w:val="FootnoteAnchor"/>
          <w:rtl w:val="true"/>
        </w:rPr>
        <w:footnoteReference w:id="681"/>
      </w:r>
      <w:r>
        <w:rPr>
          <w:rFonts w:ascii="IRNazanin" w:hAnsi="IRNazanin" w:eastAsia="IRNazanin"/>
          <w:color w:val="111111"/>
          <w:sz w:val="28"/>
          <w:sz w:val="28"/>
          <w:szCs w:val="28"/>
          <w:rtl w:val="true"/>
          <w:lang w:bidi="fa-IR"/>
        </w:rPr>
        <w:t>و لعلّه لفحوی لزوم الإعادة بالنوم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حسن لو علمنا أنّ قدح النوم من حیث الحدثیّة،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غیره أقوی فی الحدثیّة، فإنّ حکمة کون النوم حدثاً کونه مظانّاً لغیره من الأحداث، علی ما یفهم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معلوم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الاستدلال علیه بروایة إسحاق المرویّة عن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الزیارة یغتسل بالنهار، و یزور باللیل بغسل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إن لم یحدث، فإن أحدث ما یوجب وضوءاً فلیعد غسله</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 و نحوها ما رواه فی الحدائق عن الکافی </w:t>
      </w:r>
      <w:r>
        <w:rPr>
          <w:rStyle w:val="FootnoteAnchor"/>
          <w:rtl w:val="true"/>
        </w:rPr>
        <w:footnoteReference w:id="683"/>
      </w:r>
      <w:r>
        <w:rPr>
          <w:rFonts w:ascii="IRNazanin" w:hAnsi="IRNazanin" w:eastAsia="IRNazanin"/>
          <w:color w:val="111111"/>
          <w:sz w:val="28"/>
          <w:sz w:val="28"/>
          <w:szCs w:val="28"/>
          <w:rtl w:val="true"/>
          <w:lang w:bidi="fa-IR"/>
        </w:rPr>
        <w:t>، إلّا أنّ السؤال فیها أنّ الرجل یغتسل باللیل و یزور باللیل بغسل واحد، إلّا أنّ الموجود عندی فی نسخة الکافی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ما لم یحدث وضوءاً، فإن أحدث فعلیه إعادة الغسل باللیل</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و لعلّ هذا أضبط؛ و لذا تصدّی المحشّی القزوینی لتوجیه</w:t>
      </w:r>
    </w:p>
    <w:p>
      <w:pPr>
        <w:pStyle w:val="BookText"/>
        <w:rPr/>
      </w:pPr>
      <w:r>
        <w:rPr>
          <w:rFonts w:ascii="IRNazanin" w:hAnsi="IRNazanin" w:eastAsia="IRNazanin"/>
          <w:color w:val="111111"/>
          <w:sz w:val="28"/>
          <w:sz w:val="28"/>
          <w:szCs w:val="28"/>
          <w:rtl w:val="true"/>
          <w:lang w:bidi="fa-IR"/>
        </w:rPr>
        <w:t xml:space="preserve">الروایة فجعل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أی یستحبّ باللیل فی کلام السائل، بل جعله کذلک فی کلام الإمام علیه السلام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فروایة التهذیب کافیة، و لا یعارضها إلّا ما تقدّم من أخبار الیوم و اللیلة، و یدفع بوجوب تقییدها بها بغسل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التیمّم یجب للصلاة و الطواف الواجبین، و لخروج الجنب من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الندب ما عداه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تجب الثلاثة بالنذر و شبهه</w:t>
      </w:r>
      <w:r>
        <w:rPr>
          <w:rFonts w:eastAsia="Amiri" w:cs="Amiri" w:ascii="Amiri" w:hAnsi="Amiri"/>
          <w:color w:val="111111"/>
          <w:sz w:val="28"/>
          <w:szCs w:val="28"/>
          <w:rtl w:val="true"/>
          <w:lang w:bidi="ar-SA"/>
        </w:rPr>
        <w:t xml:space="preserve">)] </w:t>
      </w:r>
      <w:r>
        <w:rPr>
          <w:rStyle w:val="FootnoteAnchor"/>
          <w:rtl w:val="true"/>
        </w:rPr>
        <w:footnoteReference w:id="686"/>
      </w:r>
      <w:bookmarkStart w:id="101" w:name="pg13039_115208"/>
    </w:p>
    <w:p>
      <w:pPr>
        <w:pStyle w:val="Heading3"/>
        <w:numPr>
          <w:ilvl w:val="2"/>
          <w:numId w:val="1"/>
        </w:numPr>
        <w:rPr/>
      </w:pPr>
      <w:bookmarkStart w:id="102" w:name="__RefHeading___Toc6451936_3224264995"/>
      <w:bookmarkStart w:id="103" w:name="_Toc39"/>
      <w:bookmarkEnd w:id="101"/>
      <w:bookmarkEnd w:id="102"/>
      <w:r>
        <w:rPr>
          <w:rtl w:val="true"/>
        </w:rPr>
        <w:t>[</w:t>
      </w:r>
      <w:r>
        <w:rPr>
          <w:rtl w:val="true"/>
        </w:rPr>
        <w:t>النظر الثانی فی أسباب الوضوء و کیفیّته</w:t>
      </w:r>
      <w:r>
        <w:rPr>
          <w:rtl w:val="true"/>
        </w:rPr>
        <w:t>]</w:t>
      </w:r>
      <w:bookmarkEnd w:id="1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 فی أسباب الوضوء و کیفیّته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الوضوء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 الغائط، و الریح من المعتاد و النوم الغالب علی الحاسّتین، و الجنون، و الإغماء، و السکْر، و الاستحاضة القلیلة لا غیر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یجب علی المتخلّی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و عدم استقبال القبلة و استدبارها فی الصحاری و البنیان، و غسل موضع البول بالماء خاصّة، و کذا مخرج الغائط مع التعدّی حتّی تزول العین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مع عدمه بین ثلاثة أحجار طاهرة و شبهها مزیلة للعین و بین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ینق بالثلاثة وجب الزائد، و لو نقی بالأقلّ وجب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ذو الجهات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یستحبّ </w:t>
      </w:r>
      <w:r>
        <w:rPr>
          <w:rStyle w:val="FootnoteAnchor"/>
          <w:rtl w:val="true"/>
        </w:rPr>
        <w:footnoteReference w:id="689"/>
      </w:r>
      <w:r>
        <w:rPr>
          <w:rFonts w:ascii="IRNazanin" w:hAnsi="IRNazanin" w:eastAsia="IRNazanin"/>
          <w:color w:val="111111"/>
          <w:sz w:val="28"/>
          <w:sz w:val="28"/>
          <w:szCs w:val="28"/>
          <w:rtl w:val="true"/>
          <w:lang w:bidi="fa-IR"/>
        </w:rPr>
        <w:t>تقدیم الیسری دخولًا و الیمنی خروجاً، و تغطیة الرأس، و الاستبراء، و الدعاء دخولًا و خروجاً و عند الاستنجاء و الفراغ منه، و الجمع بین الماء و الأحجار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w:t>
      </w:r>
      <w:r>
        <w:rPr>
          <w:rStyle w:val="FootnoteAnchor"/>
          <w:rtl w:val="true"/>
        </w:rPr>
        <w:footnoteReference w:id="690"/>
      </w:r>
      <w:r>
        <w:rPr>
          <w:rFonts w:ascii="IRNazanin" w:hAnsi="IRNazanin" w:eastAsia="IRNazanin"/>
          <w:color w:val="111111"/>
          <w:sz w:val="28"/>
          <w:sz w:val="28"/>
          <w:szCs w:val="28"/>
          <w:rtl w:val="true"/>
          <w:lang w:bidi="fa-IR"/>
        </w:rPr>
        <w:t>الجلوس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الشوارع، و المشارع، و فی‌ء النزال، و تحت المثمرة</w:t>
      </w:r>
    </w:p>
    <w:p>
      <w:pPr>
        <w:pStyle w:val="BookText"/>
        <w:rPr/>
      </w:pPr>
      <w:r>
        <w:rPr>
          <w:rFonts w:ascii="IRNazanin" w:hAnsi="IRNazanin" w:eastAsia="IRNazanin"/>
          <w:color w:val="111111"/>
          <w:sz w:val="28"/>
          <w:sz w:val="28"/>
          <w:szCs w:val="28"/>
          <w:rtl w:val="true"/>
          <w:lang w:bidi="fa-IR"/>
        </w:rPr>
        <w:t>و مواضع اللعن، و استقبال النیرین و الریح بالبول، و البول فی الصلبة، و ثقوب الحیوان، و فی الماء، و الأکل و الشرب، و السواک، و الاستنجاء بالیمین، و بالیسار و فیها خاتم علیه اسم اللّٰه تعالی و أنبیائه و أئمّته علیهم السلام، و الکلام بغیر الذکر و الحاجة و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النیّة </w:t>
      </w:r>
      <w:r>
        <w:rPr>
          <w:rStyle w:val="FootnoteAnchor"/>
          <w:rtl w:val="true"/>
        </w:rPr>
        <w:footnoteReference w:id="691"/>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الفعل لوجوبه أو ندبه متقرّباً و فی وجوب رفع الحدث أو الاستباحة قولان و استدامتها حکماً إلی الفراغ، فلو نوی التبرّد خاصّة أو ضمّ الریاء بطل بخلاف ما لو ضمّ التبرّد، و یقارن بها غسل الیدین، و تتضیّق عند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غسل الوجه </w:t>
      </w:r>
      <w:r>
        <w:rPr>
          <w:rStyle w:val="FootnoteAnchor"/>
          <w:rtl w:val="true"/>
        </w:rPr>
        <w:footnoteReference w:id="692"/>
      </w:r>
      <w:r>
        <w:rPr>
          <w:rFonts w:ascii="IRNazanin" w:hAnsi="IRNazanin" w:eastAsia="IRNazanin"/>
          <w:color w:val="111111"/>
          <w:sz w:val="28"/>
          <w:sz w:val="28"/>
          <w:szCs w:val="28"/>
          <w:rtl w:val="true"/>
          <w:lang w:bidi="fa-IR"/>
        </w:rPr>
        <w:t>بما یسمّی غسلًا من قصاص شعر الرأس إلی محادر الذقن طولًا، و ما دارت علیه الإبهام و الوسطی عرضاً من مستوی الخلقة، و غیره یحال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یجزئ منکوساً، و لا یجب تخلیل اللحیة و إن خفّت أو کانت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غسل الیدین </w:t>
      </w:r>
      <w:r>
        <w:rPr>
          <w:rStyle w:val="FootnoteAnchor"/>
          <w:rtl w:val="true"/>
        </w:rPr>
        <w:footnoteReference w:id="693"/>
      </w:r>
      <w:r>
        <w:rPr>
          <w:rFonts w:ascii="IRNazanin" w:hAnsi="IRNazanin" w:eastAsia="IRNazanin"/>
          <w:color w:val="111111"/>
          <w:sz w:val="28"/>
          <w:sz w:val="28"/>
          <w:szCs w:val="28"/>
          <w:rtl w:val="true"/>
          <w:lang w:bidi="fa-IR"/>
        </w:rPr>
        <w:t>من المرفقین إلی أطراف الأصابع، و یدخل المرفقین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نکس بطل، و لو کان له ید زائدة وجب غسلها، و کذا اللحم الزائد تحت المرفق و الإصبع الزائدة، و مقطوع الید یغسل الباقی، و یسقط لو قطعت من المرفق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مسح بشرة مقدّم الرأس </w:t>
      </w:r>
      <w:r>
        <w:rPr>
          <w:rStyle w:val="FootnoteAnchor"/>
          <w:rtl w:val="true"/>
        </w:rPr>
        <w:footnoteReference w:id="694"/>
      </w:r>
      <w:r>
        <w:rPr>
          <w:rFonts w:ascii="IRNazanin" w:hAnsi="IRNazanin" w:eastAsia="IRNazanin"/>
          <w:color w:val="111111"/>
          <w:sz w:val="28"/>
          <w:sz w:val="28"/>
          <w:szCs w:val="28"/>
          <w:rtl w:val="true"/>
          <w:lang w:bidi="fa-IR"/>
        </w:rPr>
        <w:t>أو شعره المختصّ به بأقل اسمه، و لا یجزی الغسل عنه، و یستحبّ المسح مقبلًا، و لا یجوز علی حائل کعمامة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مسح بشرة الرجلین </w:t>
      </w:r>
      <w:r>
        <w:rPr>
          <w:rStyle w:val="FootnoteAnchor"/>
          <w:rtl w:val="true"/>
        </w:rPr>
        <w:footnoteReference w:id="695"/>
      </w:r>
      <w:r>
        <w:rPr>
          <w:rFonts w:ascii="IRNazanin" w:hAnsi="IRNazanin" w:eastAsia="IRNazanin"/>
          <w:color w:val="111111"/>
          <w:sz w:val="28"/>
          <w:sz w:val="28"/>
          <w:szCs w:val="28"/>
          <w:rtl w:val="true"/>
          <w:lang w:bidi="fa-IR"/>
        </w:rPr>
        <w:t>بأقلّ اسمه من رؤوس الأصابع إلی الکعبین،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القدم و أصل الساق، و یجوز منکوساً کالرأس، و لا یجوز علی حائل کخفّ و غیره اختیاراً، و یجوز للتقیّة و الضرورة، و لو غسل مختاراً بطل وضوؤه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مسح الرأس و الرجلین ببقیّة نداوة الوضوء، فإن استأنف ماءً جدیداً بطل وضوؤه، فإن جفّ أخذ من لحیته و أشفار عینیه و مسح به، فإن جفّت بطل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یجب الترتیب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بغسل الوجه، ثمّ الید الیمنی، ثمّ الیسری، ثمّ یمسح الرأس، ثمّ الرجلین و لا ترتیب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تجب الموالاة </w:t>
      </w:r>
      <w:r>
        <w:rPr>
          <w:rStyle w:val="FootnoteAnchor"/>
          <w:rtl w:val="true"/>
        </w:rPr>
        <w:footnoteReference w:id="698"/>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المتابعة اختیاراً، فإن أخّر فجفّ المتقدّم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ذو الجبیرة ینزعها </w:t>
      </w:r>
      <w:r>
        <w:rPr>
          <w:rStyle w:val="FootnoteAnchor"/>
          <w:rtl w:val="true"/>
        </w:rPr>
        <w:footnoteReference w:id="699"/>
      </w:r>
      <w:r>
        <w:rPr>
          <w:rFonts w:ascii="IRNazanin" w:hAnsi="IRNazanin" w:eastAsia="IRNazanin"/>
          <w:color w:val="111111"/>
          <w:sz w:val="28"/>
          <w:sz w:val="28"/>
          <w:szCs w:val="28"/>
          <w:rtl w:val="true"/>
          <w:lang w:bidi="fa-IR"/>
        </w:rPr>
        <w:t>أو یکرّر الماء حتّی یصل البشرة إن تمکّن، و إلّا مسح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السلس </w:t>
      </w:r>
      <w:r>
        <w:rPr>
          <w:rStyle w:val="FootnoteAnchor"/>
          <w:rtl w:val="true"/>
        </w:rPr>
        <w:footnoteReference w:id="700"/>
      </w:r>
      <w:r>
        <w:rPr>
          <w:rFonts w:ascii="IRNazanin" w:hAnsi="IRNazanin" w:eastAsia="IRNazanin"/>
          <w:color w:val="111111"/>
          <w:sz w:val="28"/>
          <w:sz w:val="28"/>
          <w:szCs w:val="28"/>
          <w:rtl w:val="true"/>
          <w:lang w:bidi="fa-IR"/>
        </w:rPr>
        <w:t>یتوضّأ لکلّ صلاة، و کذا المبطون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یستحبّ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الإناء علی الیمین، و الاغتراف بها، و التسمیة، و تثنیة الغسلات، و الدعاء عند کلّ فعل، و غسل الیدین قبل إدخالهما الإناء مرّة من النوم و البول، و مرّتین من الغائط، و ثلاثاً من الجنابة، و المضمضة، و الاستنشاق، و بدأة</w:t>
      </w:r>
    </w:p>
    <w:p>
      <w:pPr>
        <w:pStyle w:val="BookText"/>
        <w:rPr/>
      </w:pPr>
      <w:r>
        <w:rPr>
          <w:rFonts w:ascii="IRNazanin" w:hAnsi="IRNazanin" w:eastAsia="IRNazanin"/>
          <w:color w:val="111111"/>
          <w:sz w:val="28"/>
          <w:sz w:val="28"/>
          <w:szCs w:val="28"/>
          <w:rtl w:val="true"/>
          <w:lang w:bidi="fa-IR"/>
        </w:rPr>
        <w:t>الرجل بظاهر ذراعیه فی الأُولی، و بباطنهما فی الثانیة عکس المرأة، و التوضّؤ بمدّ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تکره الاستعانة، و التمندل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تحرم التولیة اختیاراً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الوضوء و جمیع الطهارات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طاهر، مملوک أو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تیقّن الحدث و شکّ فی الطهارة </w:t>
      </w:r>
      <w:r>
        <w:rPr>
          <w:rStyle w:val="FootnoteAnchor"/>
          <w:rtl w:val="true"/>
        </w:rPr>
        <w:footnoteReference w:id="704"/>
      </w:r>
      <w:r>
        <w:rPr>
          <w:rFonts w:ascii="Amiri" w:hAnsi="Amiri" w:eastAsia="Amiri" w:cs="Amiri"/>
          <w:color w:val="111111"/>
          <w:sz w:val="28"/>
          <w:sz w:val="28"/>
          <w:szCs w:val="28"/>
          <w:rtl w:val="true"/>
          <w:lang w:bidi="ar-SA"/>
        </w:rPr>
        <w:t xml:space="preserve">، أو تیقّنهما و شکّ فی المتأخّر </w:t>
      </w:r>
      <w:r>
        <w:rPr>
          <w:rStyle w:val="FootnoteAnchor"/>
          <w:rtl w:val="true"/>
        </w:rPr>
        <w:footnoteReference w:id="705"/>
      </w:r>
      <w:r>
        <w:rPr>
          <w:rFonts w:ascii="IRNazanin" w:hAnsi="IRNazanin" w:eastAsia="IRNazanin"/>
          <w:color w:val="111111"/>
          <w:sz w:val="28"/>
          <w:sz w:val="28"/>
          <w:szCs w:val="28"/>
          <w:rtl w:val="true"/>
          <w:lang w:bidi="fa-IR"/>
        </w:rPr>
        <w:t>، أو شکّ فی شی‌ء منه و هو علی حاله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تیقّن الطهارة و شکّ فی الحدث </w:t>
      </w:r>
      <w:r>
        <w:rPr>
          <w:rStyle w:val="FootnoteAnchor"/>
          <w:rtl w:val="true"/>
        </w:rPr>
        <w:footnoteReference w:id="706"/>
      </w:r>
      <w:r>
        <w:rPr>
          <w:rFonts w:ascii="IRNazanin" w:hAnsi="IRNazanin" w:eastAsia="IRNazanin"/>
          <w:color w:val="111111"/>
          <w:sz w:val="28"/>
          <w:sz w:val="28"/>
          <w:szCs w:val="28"/>
          <w:rtl w:val="true"/>
          <w:lang w:bidi="fa-IR"/>
        </w:rPr>
        <w:t>، أو شکّ فی شی‌ء منه بعد الانصراف 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جدّد ندباً، ثمّ ذکر بعد الصلاة إخلال عضو جهل تعیینه أعاد الطهارة و الصلاة </w:t>
      </w:r>
      <w:r>
        <w:rPr>
          <w:rStyle w:val="FootnoteAnchor"/>
          <w:rtl w:val="true"/>
        </w:rPr>
        <w:footnoteReference w:id="707"/>
      </w:r>
      <w:r>
        <w:rPr>
          <w:rFonts w:ascii="IRNazanin" w:hAnsi="IRNazanin" w:eastAsia="IRNazanin"/>
          <w:color w:val="111111"/>
          <w:sz w:val="28"/>
          <w:sz w:val="28"/>
          <w:szCs w:val="28"/>
          <w:rtl w:val="true"/>
          <w:lang w:bidi="fa-IR"/>
        </w:rPr>
        <w:t>، و إلّا مع ندبیّة الطهارتین، و لو تعدّدت الصلاة أیضاً أعاد الطهارة و الصلاتین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تطهّر و صلّی و أحدث، ثمّ تطهّر و صلّی، ثمّ ذکر إخلال عضو مجهول </w:t>
      </w:r>
      <w:r>
        <w:rPr>
          <w:rStyle w:val="FootnoteAnchor"/>
          <w:rtl w:val="true"/>
        </w:rPr>
        <w:footnoteReference w:id="708"/>
      </w:r>
      <w:r>
        <w:rPr>
          <w:rFonts w:ascii="IRNazanin" w:hAnsi="IRNazanin" w:eastAsia="IRNazanin"/>
          <w:color w:val="111111"/>
          <w:sz w:val="28"/>
          <w:sz w:val="28"/>
          <w:szCs w:val="28"/>
          <w:rtl w:val="true"/>
          <w:lang w:bidi="fa-IR"/>
        </w:rPr>
        <w:t>أعاد الصلاتین بعد الطهارة إن اختلفتا عددا، و إلّا فالعدد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104" w:name="pg13039_115214"/>
    </w:p>
    <w:p>
      <w:pPr>
        <w:pStyle w:val="Heading3"/>
        <w:numPr>
          <w:ilvl w:val="2"/>
          <w:numId w:val="1"/>
        </w:numPr>
        <w:rPr/>
      </w:pPr>
      <w:bookmarkStart w:id="105" w:name="__RefHeading___Toc6451938_3224264995"/>
      <w:bookmarkStart w:id="106" w:name="_Toc40"/>
      <w:bookmarkEnd w:id="104"/>
      <w:bookmarkEnd w:id="105"/>
      <w:r>
        <w:rPr>
          <w:rtl w:val="true"/>
        </w:rPr>
        <w:t>[</w:t>
      </w:r>
      <w:r>
        <w:rPr>
          <w:rtl w:val="true"/>
        </w:rPr>
        <w:t>النظر الثالث فی أسباب الغسل</w:t>
      </w:r>
      <w:r>
        <w:rPr>
          <w:rtl w:val="true"/>
        </w:rPr>
        <w:t>]</w:t>
      </w:r>
      <w:bookmarkEnd w:id="106"/>
    </w:p>
    <w:p>
      <w:pPr>
        <w:pStyle w:val="Heading4"/>
        <w:numPr>
          <w:ilvl w:val="3"/>
          <w:numId w:val="1"/>
        </w:numPr>
        <w:rPr/>
      </w:pPr>
      <w:bookmarkStart w:id="107" w:name="__RefHeading___Toc6451940_3224264995"/>
      <w:bookmarkStart w:id="108" w:name="_Toc41"/>
      <w:bookmarkEnd w:id="107"/>
      <w:r>
        <w:rPr>
          <w:rtl w:val="true"/>
        </w:rPr>
        <w:t>اشارة</w:t>
      </w:r>
      <w:bookmarkEnd w:id="10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الثالث فی أسباب الغسل </w:t>
      </w:r>
      <w:r>
        <w:rPr>
          <w:rStyle w:val="FootnoteAnchor"/>
          <w:rtl w:val="true"/>
        </w:rPr>
        <w:footnoteReference w:id="710"/>
      </w:r>
      <w:r>
        <w:rPr>
          <w:rFonts w:ascii="IRNazanin" w:hAnsi="IRNazanin" w:eastAsia="IRNazanin"/>
          <w:color w:val="111111"/>
          <w:sz w:val="28"/>
          <w:sz w:val="28"/>
          <w:szCs w:val="28"/>
          <w:rtl w:val="true"/>
          <w:lang w:bidi="fa-IR"/>
        </w:rPr>
        <w:t>إنّما یجب بالجنابة، و الحیض، و الاستحاضة، و النفاس، و مسّ الأموات بعد بردهم بالموت و قبل الغسل و غسل الأموات و کلّ الأغسال لا بدّ معها من الوضوء إلّا الجنابة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مقاصد</w:t>
      </w:r>
      <w:r>
        <w:rPr>
          <w:rFonts w:eastAsia="IRNazanin" w:cs="IRNazanin"/>
          <w:color w:val="111111"/>
          <w:sz w:val="28"/>
          <w:szCs w:val="28"/>
          <w:rtl w:val="true"/>
          <w:lang w:bidi="fa-IR"/>
        </w:rPr>
        <w:t>:)]</w:t>
      </w:r>
      <w:bookmarkStart w:id="109" w:name="pg13039_115216"/>
    </w:p>
    <w:p>
      <w:pPr>
        <w:pStyle w:val="Heading4"/>
        <w:numPr>
          <w:ilvl w:val="3"/>
          <w:numId w:val="1"/>
        </w:numPr>
        <w:rPr/>
      </w:pPr>
      <w:bookmarkStart w:id="110" w:name="__RefHeading___Toc6451942_3224264995"/>
      <w:bookmarkStart w:id="111" w:name="_Toc42"/>
      <w:bookmarkEnd w:id="109"/>
      <w:bookmarkEnd w:id="110"/>
      <w:r>
        <w:rPr>
          <w:rtl w:val="true"/>
        </w:rPr>
        <w:t>[</w:t>
      </w:r>
      <w:r>
        <w:rPr>
          <w:rtl w:val="true"/>
        </w:rPr>
        <w:t>المقصد الأوّل فی الجنابة</w:t>
      </w:r>
      <w:r>
        <w:rPr>
          <w:rtl w:val="true"/>
        </w:rPr>
        <w:t>]</w:t>
      </w:r>
      <w:bookmarkEnd w:id="11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الأوّل فی الجنابة و هی تحصل للرجل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بإنزال المنی مطلقاً </w:t>
      </w:r>
      <w:r>
        <w:rPr>
          <w:rStyle w:val="FootnoteAnchor"/>
          <w:rtl w:val="true"/>
        </w:rPr>
        <w:footnoteReference w:id="711"/>
      </w:r>
      <w:r>
        <w:rPr>
          <w:rFonts w:ascii="IRNazanin" w:hAnsi="IRNazanin" w:eastAsia="IRNazanin"/>
          <w:color w:val="111111"/>
          <w:sz w:val="28"/>
          <w:sz w:val="28"/>
          <w:szCs w:val="28"/>
          <w:rtl w:val="true"/>
          <w:lang w:bidi="fa-IR"/>
        </w:rPr>
        <w:t xml:space="preserve">، و بالجماع فی قبل المرأة حتّی تغیب الحشفة </w:t>
      </w:r>
      <w:r>
        <w:rPr>
          <w:rStyle w:val="FootnoteAnchor"/>
          <w:rtl w:val="true"/>
        </w:rPr>
        <w:footnoteReference w:id="712"/>
      </w:r>
      <w:r>
        <w:rPr>
          <w:rFonts w:ascii="IRNazanin" w:hAnsi="IRNazanin" w:eastAsia="IRNazanin"/>
          <w:color w:val="111111"/>
          <w:sz w:val="28"/>
          <w:sz w:val="28"/>
          <w:szCs w:val="28"/>
          <w:rtl w:val="true"/>
          <w:lang w:bidi="fa-IR"/>
        </w:rPr>
        <w:t xml:space="preserve">، و فی دبر الآدمی کذلک و إن لم ینزل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اشتبه المنیّ </w:t>
      </w:r>
      <w:r>
        <w:rPr>
          <w:rStyle w:val="FootnoteAnchor"/>
          <w:rtl w:val="true"/>
        </w:rPr>
        <w:footnoteReference w:id="714"/>
      </w:r>
      <w:r>
        <w:rPr>
          <w:rFonts w:ascii="IRNazanin" w:hAnsi="IRNazanin" w:eastAsia="IRNazanin"/>
          <w:color w:val="111111"/>
          <w:sz w:val="28"/>
          <w:sz w:val="28"/>
          <w:szCs w:val="28"/>
          <w:rtl w:val="true"/>
          <w:lang w:bidi="fa-IR"/>
        </w:rPr>
        <w:t>اعتبر بالشهوة، و الدفق، و فتور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المریض لا یعتبر الدفق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وجد علی جسده أو ثوبه المختصّ به منیّاً وجب الغسل </w:t>
      </w:r>
      <w:r>
        <w:rPr>
          <w:rStyle w:val="FootnoteAnchor"/>
          <w:rtl w:val="true"/>
        </w:rPr>
        <w:footnoteReference w:id="715"/>
      </w:r>
      <w:r>
        <w:rPr>
          <w:rFonts w:ascii="IRNazanin" w:hAnsi="IRNazanin" w:eastAsia="IRNazanin"/>
          <w:color w:val="111111"/>
          <w:sz w:val="28"/>
          <w:sz w:val="28"/>
          <w:szCs w:val="28"/>
          <w:rtl w:val="true"/>
          <w:lang w:bidi="fa-IR"/>
        </w:rPr>
        <w:t xml:space="preserve">، و لا یجب فی المشترک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علیه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العزائم، و أبعاضها، و مسّ کتابة القرآن، أو شی‌ء علیه</w:t>
      </w:r>
    </w:p>
    <w:p>
      <w:pPr>
        <w:pStyle w:val="BookText"/>
        <w:rPr/>
      </w:pPr>
      <w:r>
        <w:rPr>
          <w:rFonts w:ascii="IRNazanin" w:hAnsi="IRNazanin" w:eastAsia="IRNazanin"/>
          <w:color w:val="111111"/>
          <w:sz w:val="28"/>
          <w:sz w:val="28"/>
          <w:szCs w:val="28"/>
          <w:rtl w:val="true"/>
          <w:lang w:bidi="fa-IR"/>
        </w:rPr>
        <w:t>مکتوب اسمه تعالی أو أسماء أنبیائه و أئمّته علیهم السلام، و اللبث فی المساجد، و وضع شی‌ء فیها، و الاجتیاز فی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الشرب إلّا بعد المضمضة و الاستنشاق، و مسّ المصحف، و النوم إلّا بعد الوضوء، و الخضاب، و قراءة ما زاد علی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 الغسل، و 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عند الشروع مستدامة الحکم حتّی یفرغ، و غسل بشرة جمیع الجسد بأقلّه، و تخلیل ما لا یصل إلیه الماء إلّا به، و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بالرأس، ثمّ الجانب الأیمن، ثمّ الأیسر، إلّا فی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الاستبراء فإن وجد بللًا مشتبهاً بعده لم یلتفت، و بدونه یعید الغسل و إمرار الید علی الجسد، و تخلیل ما یصل إلیه الماء، و المضمضة، و الاستنشاق، و الغسل بصاع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تحرم التولیة، و تکره الاستعانة، و لو أحدث فی أثنائه بما یوجب الوضوء أعاده</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112" w:name="pg13039_115218"/>
    </w:p>
    <w:p>
      <w:pPr>
        <w:pStyle w:val="Heading4"/>
        <w:numPr>
          <w:ilvl w:val="3"/>
          <w:numId w:val="1"/>
        </w:numPr>
        <w:rPr/>
      </w:pPr>
      <w:bookmarkStart w:id="113" w:name="__RefHeading___Toc6451944_3224264995"/>
      <w:bookmarkStart w:id="114" w:name="_Toc43"/>
      <w:bookmarkEnd w:id="112"/>
      <w:bookmarkEnd w:id="113"/>
      <w:r>
        <w:rPr>
          <w:rtl w:val="true"/>
        </w:rPr>
        <w:t>[</w:t>
      </w:r>
      <w:r>
        <w:rPr>
          <w:rtl w:val="true"/>
        </w:rPr>
        <w:t>المقصد الثانی فی الحیض</w:t>
      </w:r>
      <w:r>
        <w:rPr>
          <w:rtl w:val="true"/>
        </w:rPr>
        <w:t>]</w:t>
      </w:r>
      <w:bookmarkEnd w:id="114"/>
    </w:p>
    <w:p>
      <w:pPr>
        <w:pStyle w:val="Heading5"/>
        <w:numPr>
          <w:ilvl w:val="4"/>
          <w:numId w:val="1"/>
        </w:numPr>
        <w:rPr/>
      </w:pPr>
      <w:bookmarkStart w:id="115" w:name="__RefHeading___Toc6451946_3224264995"/>
      <w:bookmarkStart w:id="116" w:name="_Toc44"/>
      <w:bookmarkEnd w:id="115"/>
      <w:r>
        <w:rPr>
          <w:rtl w:val="true"/>
        </w:rPr>
        <w:t>اشارة</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الثانی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المقاصد المقصودة لبیان أسباب الغسل</w:t>
      </w:r>
      <w:r>
        <w:rPr>
          <w:rFonts w:eastAsia="IRNazanin" w:cs="IRNazanin"/>
          <w:color w:val="111111"/>
          <w:sz w:val="28"/>
          <w:szCs w:val="28"/>
          <w:rtl w:val="true"/>
          <w:lang w:bidi="fa-IR"/>
        </w:rPr>
        <w:t>:</w:t>
      </w:r>
    </w:p>
    <w:p>
      <w:pPr>
        <w:pStyle w:val="Heading5"/>
        <w:numPr>
          <w:ilvl w:val="4"/>
          <w:numId w:val="1"/>
        </w:numPr>
        <w:rPr/>
      </w:pPr>
      <w:bookmarkStart w:id="117" w:name="__RefHeading___Toc6451948_3224264995"/>
      <w:bookmarkStart w:id="118" w:name="_Toc45"/>
      <w:bookmarkEnd w:id="117"/>
      <w:r>
        <w:rPr>
          <w:rtl w:val="true"/>
        </w:rPr>
        <w:t>[</w:t>
      </w:r>
      <w:r>
        <w:rPr>
          <w:rtl w:val="true"/>
        </w:rPr>
        <w:t>أحکام الحیض</w:t>
      </w:r>
      <w:r>
        <w:rPr>
          <w:rtl w:val="true"/>
        </w:rPr>
        <w:t>]</w:t>
      </w:r>
      <w:bookmarkEnd w:id="118"/>
    </w:p>
    <w:p>
      <w:pPr>
        <w:pStyle w:val="Heading6"/>
        <w:numPr>
          <w:ilvl w:val="5"/>
          <w:numId w:val="1"/>
        </w:numPr>
        <w:rPr/>
      </w:pPr>
      <w:bookmarkStart w:id="119" w:name="__RefHeading___Toc6451950_3224264995"/>
      <w:bookmarkStart w:id="120" w:name="_Toc46"/>
      <w:bookmarkEnd w:id="119"/>
      <w:r>
        <w:rPr>
          <w:rtl w:val="true"/>
        </w:rPr>
        <w:t>[</w:t>
      </w:r>
      <w:r>
        <w:rPr>
          <w:rtl w:val="true"/>
        </w:rPr>
        <w:t>ماهیة الحیض</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السرائر </w:t>
      </w:r>
      <w:r>
        <w:rPr>
          <w:rStyle w:val="FootnoteAnchor"/>
          <w:rtl w:val="true"/>
        </w:rPr>
        <w:footnoteReference w:id="720"/>
      </w:r>
      <w:r>
        <w:rPr>
          <w:rFonts w:ascii="IRNazanin" w:hAnsi="IRNazanin" w:eastAsia="IRNazanin"/>
          <w:color w:val="111111"/>
          <w:sz w:val="28"/>
          <w:sz w:val="28"/>
          <w:szCs w:val="28"/>
          <w:rtl w:val="true"/>
          <w:lang w:bidi="fa-IR"/>
        </w:rPr>
        <w:t xml:space="preserve">و المبسوط </w:t>
      </w:r>
      <w:r>
        <w:rPr>
          <w:rStyle w:val="FootnoteAnchor"/>
          <w:rtl w:val="true"/>
        </w:rPr>
        <w:footnoteReference w:id="721"/>
      </w:r>
      <w:r>
        <w:rPr>
          <w:rFonts w:ascii="IRNazanin" w:hAnsi="IRNazanin" w:eastAsia="IRNazanin"/>
          <w:color w:val="111111"/>
          <w:sz w:val="28"/>
          <w:sz w:val="28"/>
          <w:szCs w:val="28"/>
          <w:rtl w:val="true"/>
          <w:lang w:bidi="fa-IR"/>
        </w:rPr>
        <w:t xml:space="preserve">و الذکری </w:t>
      </w:r>
      <w:r>
        <w:rPr>
          <w:rStyle w:val="FootnoteAnchor"/>
          <w:rtl w:val="true"/>
        </w:rPr>
        <w:footnoteReference w:id="722"/>
      </w:r>
      <w:r>
        <w:rPr>
          <w:rFonts w:ascii="IRNazanin" w:hAnsi="IRNazanin" w:eastAsia="IRNazanin"/>
          <w:color w:val="111111"/>
          <w:sz w:val="28"/>
          <w:sz w:val="28"/>
          <w:szCs w:val="28"/>
          <w:rtl w:val="true"/>
          <w:lang w:bidi="fa-IR"/>
        </w:rPr>
        <w:t xml:space="preserve">للآیة </w:t>
      </w:r>
      <w:r>
        <w:rPr>
          <w:rStyle w:val="FootnoteAnchor"/>
          <w:rtl w:val="true"/>
        </w:rPr>
        <w:footnoteReference w:id="723"/>
      </w:r>
      <w:r>
        <w:rPr>
          <w:rFonts w:ascii="Amiri" w:hAnsi="Amiri" w:eastAsia="Amiri" w:cs="Amiri"/>
          <w:color w:val="111111"/>
          <w:sz w:val="28"/>
          <w:sz w:val="28"/>
          <w:szCs w:val="28"/>
          <w:rtl w:val="true"/>
          <w:lang w:bidi="ar-SA"/>
        </w:rPr>
        <w:t xml:space="preserve">، و نصّ أهل اللغة </w:t>
      </w:r>
      <w:r>
        <w:rPr>
          <w:rStyle w:val="FootnoteAnchor"/>
          <w:rtl w:val="true"/>
        </w:rPr>
        <w:footnoteReference w:id="724"/>
      </w:r>
      <w:r>
        <w:rPr>
          <w:rFonts w:ascii="IRNazanin" w:hAnsi="IRNazanin" w:eastAsia="IRNazanin"/>
          <w:color w:val="111111"/>
          <w:sz w:val="28"/>
          <w:sz w:val="28"/>
          <w:szCs w:val="28"/>
          <w:rtl w:val="true"/>
          <w:lang w:bidi="fa-IR"/>
        </w:rPr>
        <w:t>، و بیان أحکامه المتعلّقة به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السیل مطلقاً کما فی المنتهی </w:t>
      </w:r>
      <w:r>
        <w:rPr>
          <w:rStyle w:val="FootnoteAnchor"/>
          <w:rtl w:val="true"/>
        </w:rPr>
        <w:footnoteReference w:id="725"/>
      </w:r>
      <w:r>
        <w:rPr>
          <w:rFonts w:ascii="IRNazanin" w:hAnsi="IRNazanin" w:eastAsia="IRNazanin"/>
          <w:color w:val="111111"/>
          <w:sz w:val="28"/>
          <w:sz w:val="28"/>
          <w:szCs w:val="28"/>
          <w:rtl w:val="true"/>
          <w:lang w:bidi="fa-IR"/>
        </w:rPr>
        <w:t xml:space="preserve">و عن غیره </w:t>
      </w:r>
      <w:r>
        <w:rPr>
          <w:rStyle w:val="FootnoteAnchor"/>
          <w:rtl w:val="true"/>
        </w:rPr>
        <w:footnoteReference w:id="726"/>
      </w:r>
      <w:r>
        <w:rPr>
          <w:rFonts w:ascii="Amiri" w:hAnsi="Amiri" w:eastAsia="Amiri" w:cs="Amiri"/>
          <w:color w:val="111111"/>
          <w:sz w:val="28"/>
          <w:sz w:val="28"/>
          <w:szCs w:val="28"/>
          <w:rtl w:val="true"/>
          <w:lang w:bidi="ar-SA"/>
        </w:rPr>
        <w:t>أو مقیّداً</w:t>
      </w:r>
    </w:p>
    <w:p>
      <w:pPr>
        <w:pStyle w:val="BookText"/>
        <w:rPr/>
      </w:pPr>
      <w:r>
        <w:rPr>
          <w:rFonts w:ascii="IRNazanin" w:hAnsi="IRNazanin" w:eastAsia="IRNazanin"/>
          <w:color w:val="111111"/>
          <w:sz w:val="28"/>
          <w:sz w:val="28"/>
          <w:szCs w:val="28"/>
          <w:rtl w:val="true"/>
          <w:lang w:bidi="fa-IR"/>
        </w:rPr>
        <w:t xml:space="preserve">بکونه بقوّة کما فی المعتبر </w:t>
      </w:r>
      <w:r>
        <w:rPr>
          <w:rStyle w:val="FootnoteAnchor"/>
          <w:rtl w:val="true"/>
        </w:rPr>
        <w:footnoteReference w:id="727"/>
      </w:r>
      <w:r>
        <w:rPr>
          <w:rFonts w:ascii="IRNazanin" w:hAnsi="IRNazanin" w:eastAsia="IRNazanin"/>
          <w:color w:val="111111"/>
          <w:sz w:val="28"/>
          <w:sz w:val="28"/>
          <w:szCs w:val="28"/>
          <w:rtl w:val="true"/>
          <w:lang w:bidi="fa-IR"/>
        </w:rPr>
        <w:t xml:space="preserve">و الذکری </w:t>
      </w:r>
      <w:r>
        <w:rPr>
          <w:rStyle w:val="FootnoteAnchor"/>
          <w:rtl w:val="true"/>
        </w:rPr>
        <w:footnoteReference w:id="72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729"/>
      </w:r>
      <w:r>
        <w:rPr>
          <w:rFonts w:ascii="IRNazanin" w:hAnsi="IRNazanin" w:eastAsia="IRNazanin"/>
          <w:color w:val="111111"/>
          <w:sz w:val="28"/>
          <w:sz w:val="28"/>
          <w:szCs w:val="28"/>
          <w:rtl w:val="true"/>
          <w:lang w:bidi="fa-IR"/>
        </w:rPr>
        <w:t xml:space="preserve">أو سیلان الدم أو الدم السائل کما فی شرح الروضة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الدم الخاصّ الذی یتعلّق به أحکام مخصوصة،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الخارج من الرحم معنیً لغوی له، کما یظهر من جماعة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المرأة تحیض حیضاً و محیضاً، فهی حائض و حائضة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حاضت السمرة، و هی شجرة یسیل منها شی‌ء کالدم </w:t>
      </w:r>
      <w:r>
        <w:rPr>
          <w:rStyle w:val="FootnoteAnchor"/>
          <w:rtl w:val="true"/>
        </w:rPr>
        <w:footnoteReference w:id="7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المرأة تحیض، إذا سال دمها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حیض المرأة و حیض السمُرَة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المرأة تحیض حیضاً و محیضاً، خرج الدم من رحمها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اجتماع الدم، و به سمّی الحوض لاجتماع</w:t>
      </w:r>
    </w:p>
    <w:p>
      <w:pPr>
        <w:pStyle w:val="BookText"/>
        <w:rPr/>
      </w:pPr>
      <w:r>
        <w:rPr>
          <w:rFonts w:ascii="IRNazanin" w:hAnsi="IRNazanin" w:eastAsia="IRNazanin"/>
          <w:color w:val="111111"/>
          <w:sz w:val="28"/>
          <w:sz w:val="28"/>
          <w:szCs w:val="28"/>
          <w:rtl w:val="true"/>
          <w:lang w:bidi="fa-IR"/>
        </w:rPr>
        <w:t>الماء فیه، و حاضت المرأة تحیض حیضاً و محیضاً و تحیّضت، إذا سال دمها فی أوقات معلومة، فإذا سال الدم من غیر عرق الحیض فهی مستحاضة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الواحدة من الحیض، و بالکسر الاسم من الحیض، و هی هیئة الحیض، مثل الجلسة لهیئة الجلوس، و الحیضة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الخرقة التی تستثفر بها المرأة، و منه حدیث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کنت حیضة ملغاة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لها المحیضة، و تجمع علی المحائض </w:t>
      </w:r>
      <w:r>
        <w:rPr>
          <w:rStyle w:val="FootnoteAnchor"/>
          <w:rtl w:val="true"/>
        </w:rPr>
        <w:footnoteReference w:id="7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المحکیّ عن أکثر القدماء کالشیخین </w:t>
      </w:r>
      <w:r>
        <w:rPr>
          <w:rStyle w:val="FootnoteAnchor"/>
          <w:rtl w:val="true"/>
        </w:rPr>
        <w:footnoteReference w:id="736"/>
      </w:r>
      <w:r>
        <w:rPr>
          <w:rFonts w:ascii="Amiri" w:hAnsi="Amiri" w:eastAsia="Amiri" w:cs="Amiri"/>
          <w:color w:val="111111"/>
          <w:sz w:val="28"/>
          <w:sz w:val="28"/>
          <w:szCs w:val="28"/>
          <w:rtl w:val="true"/>
          <w:lang w:bidi="ar-SA"/>
        </w:rPr>
        <w:t xml:space="preserve">و سلّار </w:t>
      </w:r>
      <w:r>
        <w:rPr>
          <w:rStyle w:val="FootnoteAnchor"/>
          <w:rtl w:val="true"/>
        </w:rPr>
        <w:footnoteReference w:id="737"/>
      </w:r>
      <w:r>
        <w:rPr>
          <w:rFonts w:ascii="Amiri" w:hAnsi="Amiri" w:eastAsia="Amiri" w:cs="Amiri"/>
          <w:color w:val="111111"/>
          <w:sz w:val="28"/>
          <w:sz w:val="28"/>
          <w:szCs w:val="28"/>
          <w:rtl w:val="true"/>
          <w:lang w:bidi="ar-SA"/>
        </w:rPr>
        <w:t xml:space="preserve">و الحلّی </w:t>
      </w:r>
      <w:r>
        <w:rPr>
          <w:rStyle w:val="FootnoteAnchor"/>
          <w:rtl w:val="true"/>
        </w:rPr>
        <w:footnoteReference w:id="738"/>
      </w:r>
      <w:r>
        <w:rPr>
          <w:rFonts w:ascii="IRNazanin" w:hAnsi="IRNazanin" w:eastAsia="IRNazanin"/>
          <w:color w:val="111111"/>
          <w:sz w:val="28"/>
          <w:sz w:val="28"/>
          <w:szCs w:val="28"/>
          <w:rtl w:val="true"/>
          <w:lang w:bidi="fa-IR"/>
        </w:rPr>
        <w:t xml:space="preserve">و الحلبی </w:t>
      </w:r>
      <w:r>
        <w:rPr>
          <w:rStyle w:val="FootnoteAnchor"/>
          <w:rtl w:val="true"/>
        </w:rPr>
        <w:footnoteReference w:id="739"/>
      </w:r>
      <w:r>
        <w:rPr>
          <w:rFonts w:ascii="IRNazanin" w:hAnsi="IRNazanin" w:eastAsia="IRNazanin"/>
          <w:color w:val="111111"/>
          <w:sz w:val="28"/>
          <w:sz w:val="28"/>
          <w:szCs w:val="28"/>
          <w:rtl w:val="true"/>
          <w:lang w:bidi="fa-IR"/>
        </w:rPr>
        <w:t xml:space="preserve">و القاضی </w:t>
      </w:r>
      <w:r>
        <w:rPr>
          <w:rStyle w:val="FootnoteAnchor"/>
          <w:rtl w:val="true"/>
        </w:rPr>
        <w:footnoteReference w:id="740"/>
      </w:r>
      <w:r>
        <w:rPr>
          <w:rFonts w:ascii="Amiri" w:hAnsi="Amiri" w:eastAsia="Amiri" w:cs="Amiri"/>
          <w:color w:val="111111"/>
          <w:sz w:val="28"/>
          <w:sz w:val="28"/>
          <w:szCs w:val="28"/>
          <w:rtl w:val="true"/>
          <w:lang w:bidi="ar-SA"/>
        </w:rPr>
        <w:t xml:space="preserve">و ابن حمزة </w:t>
      </w:r>
      <w:r>
        <w:rPr>
          <w:rStyle w:val="FootnoteAnchor"/>
          <w:rtl w:val="true"/>
        </w:rPr>
        <w:footnoteReference w:id="741"/>
      </w:r>
      <w:r>
        <w:rPr>
          <w:rFonts w:ascii="IRNazanin" w:hAnsi="IRNazanin" w:eastAsia="IRNazanin"/>
          <w:color w:val="111111"/>
          <w:sz w:val="28"/>
          <w:sz w:val="28"/>
          <w:szCs w:val="28"/>
          <w:rtl w:val="true"/>
          <w:lang w:bidi="fa-IR"/>
        </w:rPr>
        <w:t xml:space="preserve">و ابن سعید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تفسیره بالدم من غیر تعرّض لمعنی لغویّ له أو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ذکر له معنیین فی اللغة و الشرع المصنّف قدّس سرّه فی المنتهی </w:t>
      </w:r>
      <w:r>
        <w:rPr>
          <w:rStyle w:val="FootnoteAnchor"/>
          <w:rtl w:val="true"/>
        </w:rPr>
        <w:footnoteReference w:id="743"/>
      </w:r>
      <w:r>
        <w:rPr>
          <w:rFonts w:ascii="IRNazanin" w:hAnsi="IRNazanin" w:eastAsia="IRNazanin"/>
          <w:color w:val="111111"/>
          <w:sz w:val="28"/>
          <w:sz w:val="28"/>
          <w:szCs w:val="28"/>
          <w:rtl w:val="true"/>
          <w:lang w:bidi="fa-IR"/>
        </w:rPr>
        <w:t>، و لعلّه أخذه من عبارة المعتبر،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فی الحیض و أحکامه،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 السیل إذا اندفع، فکأنه لقوّته و شدّة خروجه فی غالب أحواله اختصّ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تکون من رؤیة الدم،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w:t>
      </w:r>
    </w:p>
    <w:p>
      <w:pPr>
        <w:pStyle w:val="BookText"/>
        <w:rPr/>
      </w:pPr>
      <w:r>
        <w:rPr>
          <w:rFonts w:ascii="Amiri" w:hAnsi="Amiri" w:eastAsia="Amiri" w:cs="Amiri"/>
          <w:color w:val="111111"/>
          <w:sz w:val="28"/>
          <w:sz w:val="28"/>
          <w:szCs w:val="28"/>
          <w:rtl w:val="true"/>
          <w:lang w:bidi="ar-SA"/>
        </w:rPr>
        <w:t xml:space="preserve">الأرنب، إذا رأت الدم، و حاضت السمرة، إذا خرج منها الصمغ الأحمر </w:t>
      </w:r>
      <w:r>
        <w:rPr>
          <w:rStyle w:val="FootnoteAnchor"/>
          <w:rtl w:val="true"/>
        </w:rPr>
        <w:footnoteReference w:id="7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دلالة فی هذا الکلام إلّا علی أنّ تسمیة هذا الدم حیضاً مأخوذة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 إذا سال، کما أنّ تسمیة الحوض حوضاً بتلک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دلالة علی أنّ ذلک الدم الخاصّ، معنی شرعی فی مقابل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أشار فی الروض و إن أضاف إلیه بعض ما لا یخلو من نظر؛ حیث إنّه بعد ما ذکر أنّ الحیض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 بقوّة أو مطلقاً،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یقذفه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الاصطلاح المشهور من انقسام تعریفه إلی اللغوی و الشرعی، و للبحث فی ذلک مجال؛ فإنّ الظاهر من کلام أهل اللغة أنّه قد یطلق لغةً علی هذا الدم المخصوص، لا باعتبار سیلانه بقوّة أو بغیر قوّة، بل یطلق ابتداءً علی مصطلح أهل الشرع، فلا یکون بین التعریف اللغوی و الشرعی فرق من حیث الماهیة </w:t>
      </w:r>
      <w:r>
        <w:rPr>
          <w:rStyle w:val="FootnoteAnchor"/>
          <w:rtl w:val="true"/>
        </w:rPr>
        <w:footnoteReference w:id="7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 الجوهری المتقدّم، ثمّ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إلی هذا فی المعتبر، حیث جری أوّلًا علی ما هو المشهور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سمّی حیضاً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 السیل، إذا اندفع، فکأنه لمکان قوّته و شدّة خروجه فی غالب أحواله اختصّ بهذا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من رؤیة الدم،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الأرنب، إذا رأت الدم، و حاضت السمرة إذا خرج منها الصمغ الأحمر،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ثبت</w:t>
      </w:r>
    </w:p>
    <w:p>
      <w:pPr>
        <w:pStyle w:val="BookText"/>
        <w:rPr/>
      </w:pPr>
      <w:r>
        <w:rPr>
          <w:rFonts w:ascii="IRNazanin" w:hAnsi="IRNazanin" w:eastAsia="IRNazanin"/>
          <w:color w:val="111111"/>
          <w:sz w:val="28"/>
          <w:sz w:val="28"/>
          <w:szCs w:val="28"/>
          <w:rtl w:val="true"/>
          <w:lang w:bidi="fa-IR"/>
        </w:rPr>
        <w:t>ذلک عن أهل اللغة فهو خیر من النقل کما 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مطلق استعمال أهل اللغة لا یدلّ علی الحقیقة، فإنّهم یذکرون الحقیقة و المجاز، سلّمنا، لکنّ حمله علی الحقیقة یوجب الاشتراک، و المجاز خیرٌ منه </w:t>
      </w:r>
      <w:r>
        <w:rPr>
          <w:rStyle w:val="FootnoteAnchor"/>
          <w:rtl w:val="true"/>
        </w:rPr>
        <w:footnoteReference w:id="7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دعوی مغایرة المعنی اللغوی و الشرعی، من جهة أنّ معناه اللغوی لغةً هو السیلان، و شرعاً هو السائل، و أنّ الخصوصیات المأخوذة فی الحیض شرعاً غیر مأخوذة فیه لغةً؛ ضرورة أنّهم ما کانوا یفرّقون بین الخارج قبل سنّ الیأس أو البلوغ بلحظة و الخارج بعدهما، لیسلبون کالشارع الحیض عن الدم الفاقد للشرائط،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الحیض لغةً علی السائل أیضاً، و بأنّ الخصوصیات إنّما هی لتمیّز مصداق الحیض الواقعی عن غیره، فلا خلاف بین اللغة و الشرع فی أنّ دم الحیض هو الدم المخصوص المخلوق لتکوّن الولد المحکوم علیه بأحکام کثیرة عند أهل کلّ شریعة و عند الأطبّاء، إلّا أنّ تشخیص مصادیق هذا الدم علی وجه منضبط لمّا خفی علی غیر العالم بما فی الأرحام، کشف الشارع عن بعض الأُمور المنافیة لها، کالدخول فی الخمسین، أو تجاوز الدم عن العشرة، أو نقصانه عن الثلاثة، أو وقوعه بعد الحیضة الأُولی بأقلّ من العشرة،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الحیض عند أهل اللغة الجاهلین بالشرع علی هذه الدماء المعدودة فی الشریعة من الاستحاضة إنّما هی بزعم کونها هی مصادیق لذلک الدم الطبیعی المعهود؛ جهلًا منهم بالحال، فتأمّل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یؤیّد اتّحاد المعنی اللغوی و الشرعی، بل یدلّ علیه، قوله تعالی یَسْئَلُونَکَ عَنِ الْمَحِیضِ قُلْ هُوَ أَذیً فَاعْتَزِلُوا النِّسٰاءَ فِی الْمَحِیضِ </w:t>
      </w:r>
      <w:r>
        <w:rPr>
          <w:rStyle w:val="FootnoteAnchor"/>
          <w:rtl w:val="true"/>
        </w:rPr>
        <w:footnoteReference w:id="747"/>
      </w:r>
      <w:r>
        <w:rPr>
          <w:rFonts w:ascii="Amiri" w:hAnsi="Amiri" w:eastAsia="Amiri" w:cs="Amiri"/>
          <w:color w:val="111111"/>
          <w:sz w:val="28"/>
          <w:sz w:val="28"/>
          <w:szCs w:val="28"/>
          <w:rtl w:val="true"/>
          <w:lang w:bidi="ar-SA"/>
        </w:rPr>
        <w:t>علّق</w:t>
      </w:r>
      <w:bookmarkStart w:id="121" w:name="pg13039_115223"/>
    </w:p>
    <w:p>
      <w:pPr>
        <w:pStyle w:val="BookText"/>
        <w:rPr/>
      </w:pPr>
      <w:bookmarkEnd w:id="121"/>
      <w:r>
        <w:rPr>
          <w:rFonts w:ascii="IRNazanin" w:hAnsi="IRNazanin" w:eastAsia="IRNazanin"/>
          <w:color w:val="111111"/>
          <w:sz w:val="28"/>
          <w:sz w:val="28"/>
          <w:szCs w:val="28"/>
          <w:rtl w:val="true"/>
          <w:lang w:bidi="fa-IR"/>
        </w:rPr>
        <w:t>سبحانه حکم الاعتزال علی حقیقة المحیض الواقع فی سؤالهم</w:t>
      </w:r>
      <w:r>
        <w:rPr>
          <w:rFonts w:eastAsia="IRNazanin" w:cs="IRNazanin"/>
          <w:color w:val="111111"/>
          <w:sz w:val="28"/>
          <w:szCs w:val="28"/>
          <w:rtl w:val="true"/>
          <w:lang w:bidi="fa-IR"/>
        </w:rPr>
        <w:t>.</w:t>
      </w:r>
    </w:p>
    <w:p>
      <w:pPr>
        <w:pStyle w:val="Heading6"/>
        <w:numPr>
          <w:ilvl w:val="5"/>
          <w:numId w:val="1"/>
        </w:numPr>
        <w:rPr/>
      </w:pPr>
      <w:bookmarkStart w:id="122" w:name="__RefHeading___Toc6451952_3224264995"/>
      <w:bookmarkStart w:id="123" w:name="_Toc47"/>
      <w:bookmarkEnd w:id="122"/>
      <w:r>
        <w:rPr>
          <w:rtl w:val="true"/>
        </w:rPr>
        <w:t>[</w:t>
      </w:r>
      <w:r>
        <w:rPr>
          <w:rtl w:val="true"/>
        </w:rPr>
        <w:t>خواص دم الحیض</w:t>
      </w:r>
      <w:r>
        <w:rPr>
          <w:rtl w:val="true"/>
        </w:rPr>
        <w:t>]</w:t>
      </w:r>
      <w:bookmarkEnd w:id="123"/>
    </w:p>
    <w:p>
      <w:pPr>
        <w:pStyle w:val="BookText"/>
        <w:rPr/>
      </w:pPr>
      <w:r>
        <w:rPr>
          <w:rFonts w:ascii="IRNazanin" w:hAnsi="IRNazanin" w:eastAsia="IRNazanin"/>
          <w:color w:val="111111"/>
          <w:sz w:val="28"/>
          <w:sz w:val="28"/>
          <w:szCs w:val="28"/>
          <w:rtl w:val="true"/>
          <w:lang w:bidi="fa-IR"/>
        </w:rPr>
        <w:t>ثمّ إنّ المصنّف قدّس سرّه قد عرّفه بخواصّه التی یشترک فی العلم بها الفقیه و العامی،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مائل إلی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النافع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أو أحمر </w:t>
      </w:r>
      <w:r>
        <w:rPr>
          <w:rStyle w:val="FootnoteAnchor"/>
          <w:rtl w:val="true"/>
        </w:rPr>
        <w:footnoteReference w:id="748"/>
      </w:r>
      <w:r>
        <w:rPr>
          <w:rFonts w:ascii="IRNazanin" w:hAnsi="IRNazanin" w:eastAsia="IRNazanin"/>
          <w:color w:val="111111"/>
          <w:sz w:val="28"/>
          <w:sz w:val="28"/>
          <w:szCs w:val="28"/>
          <w:rtl w:val="true"/>
          <w:lang w:bidi="fa-IR"/>
        </w:rPr>
        <w:t xml:space="preserve">لاتّصافه بالحمرة فی کثیر من الأخبار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الشرائع </w:t>
      </w:r>
      <w:r>
        <w:rPr>
          <w:rStyle w:val="FootnoteAnchor"/>
          <w:rtl w:val="true"/>
        </w:rPr>
        <w:footnoteReference w:id="750"/>
      </w: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751"/>
      </w:r>
      <w:r>
        <w:rPr>
          <w:rFonts w:ascii="IRNazanin" w:hAnsi="IRNazanin" w:eastAsia="IRNazanin"/>
          <w:color w:val="111111"/>
          <w:sz w:val="28"/>
          <w:sz w:val="28"/>
          <w:szCs w:val="28"/>
          <w:rtl w:val="true"/>
          <w:lang w:bidi="fa-IR"/>
        </w:rPr>
        <w:t xml:space="preserve">و الوسیلة </w:t>
      </w:r>
      <w:r>
        <w:rPr>
          <w:rStyle w:val="FootnoteAnchor"/>
          <w:rtl w:val="true"/>
        </w:rPr>
        <w:footnoteReference w:id="752"/>
      </w:r>
      <w:r>
        <w:rPr>
          <w:rFonts w:ascii="IRNazanin" w:hAnsi="IRNazanin" w:eastAsia="IRNazanin"/>
          <w:color w:val="111111"/>
          <w:sz w:val="28"/>
          <w:sz w:val="28"/>
          <w:szCs w:val="28"/>
          <w:rtl w:val="true"/>
          <w:lang w:bidi="fa-IR"/>
        </w:rPr>
        <w:t xml:space="preserve">و کثیر من کتب المصنّف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الأوّل، و لعلّ المراد ما یقابل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الفقیه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الثانی؛ و لعلّه أراد مطلق الحمرة الشامل للمائل إلی السواد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یخرج بحرقة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حاصلة من دفعه و حرارته، و هذه الخواصّ مستفادة من الحسّ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حفص بن البختری أو حسنته،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امرأة، سألته عن المرأة یستمرّ بها الدم، فلا تدری أ حیض هو أم غیره؟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حارّ عبیط أسود، له دفع و حرارة، و دم الاستحاضة أصفر بارد، فإذا کان للدم حرارة و دفع و سواد فلتدع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لو کان</w:t>
      </w:r>
    </w:p>
    <w:p>
      <w:pPr>
        <w:pStyle w:val="BookText"/>
        <w:rPr/>
      </w:pPr>
      <w:r>
        <w:rPr>
          <w:rFonts w:ascii="IRNazanin" w:hAnsi="IRNazanin" w:eastAsia="IRNazanin"/>
          <w:color w:val="111111"/>
          <w:sz w:val="28"/>
          <w:sz w:val="28"/>
          <w:szCs w:val="28"/>
          <w:rtl w:val="true"/>
          <w:lang w:bidi="fa-IR"/>
        </w:rPr>
        <w:t>امرأة ما زاد علی هذا</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الاستحاضة و الحیض لیس یخرجان من مکان واحد، إنّ دم الاستحاضة بارد، و إنّ دم الحیض حارّ</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إسحاق بن جریر،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امرأة منّا أن أُدخلها علی أبی عبد اللّٰه علیه السلام، و استأذنت لها، فأذن لها، فدخلت و معها مولاة لها إلی أن قال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المرأة تحیض فتجوز أیّام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أیّام حیضها دون عشرة استظهرت بیوم واحد، ثمّ 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الدم یستمرّ بها شهراً و شهرین و الثلاثة،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أیّام حیضها ثمّ تغتسل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حیضها تختلف علیها، و کان یتقدّم الحیض الیوم و الیومین و الثلاثة، و یتأخّر مثل ذلک، فما علمها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لیس به خفاء، هو دم حارّ تجد له حرقة، و دم الاستحاضة دم فاسد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إلی مولاتها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کان امرأة؟</w:t>
      </w:r>
      <w:r>
        <w:rPr>
          <w:rFonts w:eastAsia="IRNazanin" w:cs="IRNazanin"/>
          <w:color w:val="111111"/>
          <w:sz w:val="28"/>
          <w:szCs w:val="28"/>
          <w:rtl w:val="true"/>
          <w:lang w:bidi="fa-IR"/>
        </w:rPr>
        <w:t xml:space="preserve">»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الوسائل رواه عن السرائر، عن کتاب محمّد بن علیّ بن محبوب،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ترینه کان امرأة؟</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توصیف الدم بهذه الصفات فی الأخبار وارد مورد الأغلب،</w:t>
      </w:r>
    </w:p>
    <w:p>
      <w:pPr>
        <w:pStyle w:val="BookText"/>
        <w:rPr/>
      </w:pPr>
      <w:r>
        <w:rPr>
          <w:rFonts w:ascii="IRNazanin" w:hAnsi="IRNazanin" w:eastAsia="IRNazanin"/>
          <w:color w:val="111111"/>
          <w:sz w:val="28"/>
          <w:sz w:val="28"/>
          <w:szCs w:val="28"/>
          <w:rtl w:val="true"/>
          <w:lang w:bidi="fa-IR"/>
        </w:rPr>
        <w:t>و إلّا فکثیراً ما یحکم بالحیضیَّة علی فاقدها، و بالاستحاضة علی المتصف بها،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یستظهر من هذه الأخبار کون هذه الصفات معرّفات شرعیّة للحیض، یدور معها وجوداً و عدماً، إلّا فیما ثبت خلاف ذلک بالدلیل، کما صرّح به فی المدارک </w:t>
      </w:r>
      <w:r>
        <w:rPr>
          <w:rStyle w:val="FootnoteAnchor"/>
          <w:rtl w:val="true"/>
        </w:rPr>
        <w:footnoteReference w:id="760"/>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761"/>
      </w:r>
      <w:r>
        <w:rPr>
          <w:rFonts w:ascii="IRNazanin" w:hAnsi="IRNazanin" w:eastAsia="IRNazanin"/>
          <w:color w:val="111111"/>
          <w:sz w:val="28"/>
          <w:sz w:val="28"/>
          <w:szCs w:val="28"/>
          <w:rtl w:val="true"/>
          <w:lang w:bidi="fa-IR"/>
        </w:rPr>
        <w:t xml:space="preserve">، بل حکی عن الروض </w:t>
      </w:r>
      <w:r>
        <w:rPr>
          <w:rStyle w:val="FootnoteAnchor"/>
          <w:rtl w:val="true"/>
        </w:rPr>
        <w:footnoteReference w:id="762"/>
      </w:r>
      <w:r>
        <w:rPr>
          <w:rFonts w:ascii="IRNazanin" w:hAnsi="IRNazanin" w:eastAsia="IRNazanin"/>
          <w:color w:val="111111"/>
          <w:sz w:val="28"/>
          <w:sz w:val="28"/>
          <w:szCs w:val="28"/>
          <w:rtl w:val="true"/>
          <w:lang w:bidi="fa-IR"/>
        </w:rPr>
        <w:t>أیضاً، لکن الحکایة مخالفة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هذه الصفات أغلبیة؛ إذ غایة الأمر کونها أمارات ظنّیة لا أدلّة قطعیة، و ظاهر تلک الأخبار سوقها مساق إعطاء القاعدة و لزوم الاعتماد علی هذه الأمارات فی تشخیص الحیض، حیث اشتبه بالاستحاضة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اشتبه بالقرحة أو العذرة کان العبرة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ذکروه فیشکل حینئذٍ إطلاق ما سیجی‌ء من الحکم بالحیضیَّة علی کلّ دم یمکن أن یکون حیضاً و إن لم یکن بصفاته، بل لا بدّ من الاقتصار فی إجراء تلک القاعدة فی الدم الفاقد للصفات علی الموارد المنصوصة أو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المشهور من اختصاص الرجوع إلی تلک الصفات بصورة امتزاج الحیض مع الاستحاضة و عدم ثبوت العادة، و ذلک لأنّ استفادة هذا المطلب، أعنی لزوم الحکم بانتفاء الحیضیَّة مع فقد الصفات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من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للدم دفع و حرارة و سواد</w:t>
      </w:r>
    </w:p>
    <w:p>
      <w:pPr>
        <w:pStyle w:val="BookText"/>
        <w:rPr/>
      </w:pPr>
      <w:r>
        <w:rPr>
          <w:rFonts w:ascii="Amiri" w:hAnsi="Amiri" w:eastAsia="Amiri" w:cs="Amiri"/>
          <w:color w:val="111111"/>
          <w:sz w:val="28"/>
          <w:sz w:val="28"/>
          <w:szCs w:val="28"/>
          <w:rtl w:val="true"/>
          <w:lang w:bidi="ar-SA"/>
        </w:rPr>
        <w:t>فلتدع الصلاة</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من سوق الصفات مساق بیان المیزان و المعیار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من التصریح فی الأخبار بأنّ دم الاستحاضة کذا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إمّا من المستفیضة الدالّة علی أنّ الصفرة أیّام الحیض لیس من الحیض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الکلّ نظر؛ أمّا فی الأوّل، فلأنّ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المرأة المفروضة فی السؤال، و هی التی یستمرّ بها الدم، و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التی اختلط علیها حیضها، فمفهوم الشرط مختصّ بمثل هذه المرأة، و الرجوع إلی الصفات فی حقّها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اختصاص المورد بمن استمرّ بها لا ینافی وجوب رجوعها إلی الصفات حتّی فی غیر صورة الاستمرار؛ لاندفاعه بمنع ما یوجب عموم الحکم بعد رجوع الضمیر إلی المرأة المتلبّسة باستمرار الدم علیها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 فلمنع دلالة سیاق ذکر صفات الحیض إلّا علی لزوم الحکم بالحیضیَّة عند الاشتباه بالاستحاضة أینما وجدت، لا نفیها حیث انتفت کما هو محلّ الکلام، مضافاً إلی أنّ تخلّف هذه الصفات وجوداً و عدماً فی</w:t>
      </w:r>
    </w:p>
    <w:p>
      <w:pPr>
        <w:pStyle w:val="BookText"/>
        <w:rPr/>
      </w:pPr>
      <w:r>
        <w:rPr>
          <w:rFonts w:ascii="IRNazanin" w:hAnsi="IRNazanin" w:eastAsia="IRNazanin"/>
          <w:color w:val="111111"/>
          <w:sz w:val="28"/>
          <w:sz w:val="28"/>
          <w:szCs w:val="28"/>
          <w:rtl w:val="true"/>
          <w:lang w:bidi="fa-IR"/>
        </w:rPr>
        <w:t>کثیر من هذه الموارد یمنع عن إرادة سوقها مساق إعطاء القاعدة و المیزان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الثالث، فلأنّ الظاهر من الاستحاضة فی تلک الأخبار علی ما یساعد علیه تتبّع الأخبار سؤالًا و جواباً، بل تصریح أهل اللغة هو الدم المتّصل بدم الحیض، بل خصوص الکثیرة من أقسامها کما فی شرح المفاتیح </w:t>
      </w:r>
      <w:r>
        <w:rPr>
          <w:rStyle w:val="FootnoteAnchor"/>
          <w:rtl w:val="true"/>
        </w:rPr>
        <w:footnoteReference w:id="766"/>
      </w:r>
      <w:r>
        <w:rPr>
          <w:rFonts w:ascii="IRNazanin" w:hAnsi="IRNazanin" w:eastAsia="IRNazanin"/>
          <w:color w:val="111111"/>
          <w:sz w:val="28"/>
          <w:sz w:val="28"/>
          <w:szCs w:val="28"/>
          <w:rtl w:val="true"/>
          <w:lang w:bidi="fa-IR"/>
        </w:rPr>
        <w:t>، فعن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استحیضت المرأة أی استمرّ بها الدم بعد أیامها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استحیضت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بها الدم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الفائق </w:t>
      </w:r>
      <w:r>
        <w:rPr>
          <w:rStyle w:val="FootnoteAnchor"/>
          <w:rtl w:val="true"/>
        </w:rPr>
        <w:footnoteReference w:id="769"/>
      </w:r>
      <w:r>
        <w:rPr>
          <w:rFonts w:ascii="IRNazanin" w:hAnsi="IRNazanin" w:eastAsia="IRNazanin"/>
          <w:color w:val="111111"/>
          <w:sz w:val="28"/>
          <w:sz w:val="28"/>
          <w:szCs w:val="28"/>
          <w:rtl w:val="true"/>
          <w:lang w:bidi="fa-IR"/>
        </w:rPr>
        <w:t xml:space="preserve">و الصحاح </w:t>
      </w:r>
      <w:r>
        <w:rPr>
          <w:rStyle w:val="FootnoteAnchor"/>
          <w:rtl w:val="true"/>
        </w:rPr>
        <w:footnoteReference w:id="770"/>
      </w:r>
      <w:r>
        <w:rPr>
          <w:rFonts w:ascii="IRNazanin" w:hAnsi="IRNazanin" w:eastAsia="IRNazanin"/>
          <w:color w:val="111111"/>
          <w:sz w:val="28"/>
          <w:sz w:val="28"/>
          <w:szCs w:val="28"/>
          <w:rtl w:val="true"/>
          <w:lang w:bidi="fa-IR"/>
        </w:rPr>
        <w:t xml:space="preserve">و القاموس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العاذل اسم للعِرق الذی یخرج منه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الأوّل فی وجه تسمیة العاذل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العذل، أی الملامة؛ لأنّ المرأة تلام بذلک عند زوجها، انتهی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أنکرت استعمال هذا اللفظ فی العرف و فی الأخبار فی المعنی الأعمّ من ذلک </w:t>
      </w:r>
      <w:r>
        <w:rPr>
          <w:rStyle w:val="FootnoteAnchor"/>
          <w:rtl w:val="true"/>
        </w:rPr>
        <w:footnoteReference w:id="772"/>
      </w:r>
      <w:r>
        <w:rPr>
          <w:rFonts w:ascii="IRNazanin" w:hAnsi="IRNazanin" w:eastAsia="IRNazanin"/>
          <w:color w:val="111111"/>
          <w:sz w:val="28"/>
          <w:sz w:val="28"/>
          <w:szCs w:val="28"/>
          <w:rtl w:val="true"/>
          <w:lang w:bidi="fa-IR"/>
        </w:rPr>
        <w:t>بحیث یشمل مثل الدم المرئی فی یوم واحد لا غیر، أو الخارج عن غیر البالغ أو عن الیائسة، لم تعدّ مجازفاً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استعمل فی کلام الفقهاء فی کلٍّ من المعنی الأعمّ و الأخص، کما صرّح به الشارح فی</w:t>
      </w:r>
    </w:p>
    <w:p>
      <w:pPr>
        <w:pStyle w:val="BookText"/>
        <w:rPr/>
      </w:pPr>
      <w:r>
        <w:rPr>
          <w:rFonts w:ascii="IRNazanin" w:hAnsi="IRNazanin" w:eastAsia="IRNazanin"/>
          <w:color w:val="111111"/>
          <w:sz w:val="28"/>
          <w:sz w:val="28"/>
          <w:szCs w:val="28"/>
          <w:rtl w:val="true"/>
          <w:lang w:bidi="fa-IR"/>
        </w:rPr>
        <w:t xml:space="preserve">الروض </w:t>
      </w:r>
      <w:r>
        <w:rPr>
          <w:rStyle w:val="FootnoteAnchor"/>
          <w:rtl w:val="true"/>
        </w:rPr>
        <w:footnoteReference w:id="773"/>
      </w:r>
      <w:r>
        <w:rPr>
          <w:rFonts w:ascii="IRNazanin" w:hAnsi="IRNazanin" w:eastAsia="IRNazanin"/>
          <w:color w:val="111111"/>
          <w:sz w:val="28"/>
          <w:sz w:val="28"/>
          <w:szCs w:val="28"/>
          <w:rtl w:val="true"/>
          <w:lang w:bidi="fa-IR"/>
        </w:rPr>
        <w:t xml:space="preserve">تبعاً للماتن فی النهایة </w:t>
      </w:r>
      <w:r>
        <w:rPr>
          <w:rStyle w:val="FootnoteAnchor"/>
          <w:rtl w:val="true"/>
        </w:rPr>
        <w:footnoteReference w:id="774"/>
      </w:r>
      <w:r>
        <w:rPr>
          <w:rFonts w:ascii="IRNazanin" w:hAnsi="IRNazanin" w:eastAsia="IRNazanin"/>
          <w:color w:val="111111"/>
          <w:sz w:val="28"/>
          <w:sz w:val="28"/>
          <w:szCs w:val="28"/>
          <w:rtl w:val="true"/>
          <w:lang w:bidi="fa-IR"/>
        </w:rPr>
        <w:t>، بل ربما فسّرها بعض الأصحاب بخصوص المعنی الأخصّ، قال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الاستحاضة دم أصفر بارد تراه المرأة بعد أیّام الحیض، أو أکثر أیّام النفاس </w:t>
      </w:r>
      <w:r>
        <w:rPr>
          <w:rStyle w:val="FootnoteAnchor"/>
          <w:rtl w:val="true"/>
        </w:rPr>
        <w:footnoteReference w:id="7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ذکر فیه صفات دم الاستحاضة إنّما أُرید به إعطاء القاعدة و المیزان لتمیّز دم الاستحاضة المختلط بدم الحیض اختلاط اشتباهٍ فی فاقدة العادة، و لا کلام فیه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فستعرف الجواب فی قاعدة الإمکان و فی مسألة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جمیع ما ذکرنا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توصیف دم الحیض بالصفات المذکورة بمقتضی عکس النقیض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لم یکن متّصفاً بها لم یکن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 واضح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التوصیف بها وارد مورد الأغلب قطعاً، فالقضیة جزئیة لا کلّیة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یتوهّم موافقة ما ذکره هؤلاء لما فی 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اشتبه بالاستحاضة اعتبر بالسواد و الحمرة و الغلظ و الحرارة و أضدادها؛ لقول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دم الحیض فإنّه أسود یعرف فامسکی عن الصلاة، و إذا کان الآخر فتوضّئی</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 ثمّ ذکر روایة إسحاق بن جریر المتقدّمة </w:t>
      </w:r>
      <w:r>
        <w:rPr>
          <w:rStyle w:val="FootnoteAnchor"/>
          <w:rtl w:val="true"/>
        </w:rPr>
        <w:footnoteReference w:id="777"/>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بالثلاثة و العشرة اللذین هما أقلّ الحیض و أکثره</w:t>
      </w:r>
      <w:bookmarkStart w:id="124" w:name="pg13039_115229"/>
    </w:p>
    <w:p>
      <w:pPr>
        <w:pStyle w:val="BookText"/>
        <w:rPr/>
      </w:pPr>
      <w:bookmarkEnd w:id="124"/>
      <w:r>
        <w:rPr>
          <w:rFonts w:ascii="Amiri" w:hAnsi="Amiri" w:eastAsia="Amiri" w:cs="Amiri"/>
          <w:color w:val="111111"/>
          <w:sz w:val="28"/>
          <w:sz w:val="28"/>
          <w:szCs w:val="28"/>
          <w:rtl w:val="true"/>
          <w:lang w:bidi="ar-SA"/>
        </w:rPr>
        <w:t xml:space="preserve">باتّفاق </w:t>
      </w:r>
      <w:r>
        <w:rPr>
          <w:rStyle w:val="FootnoteAnchor"/>
          <w:rtl w:val="true"/>
        </w:rPr>
        <w:footnoteReference w:id="778"/>
      </w:r>
      <w:r>
        <w:rPr>
          <w:rFonts w:ascii="IRNazanin" w:hAnsi="IRNazanin" w:eastAsia="IRNazanin"/>
          <w:color w:val="111111"/>
          <w:sz w:val="28"/>
          <w:sz w:val="28"/>
          <w:szCs w:val="28"/>
          <w:rtl w:val="true"/>
          <w:lang w:bidi="fa-IR"/>
        </w:rPr>
        <w:t xml:space="preserve">، انتهی، و نحوها عبارة الشیخ فی النهایة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أنّه أراد بیان کون هذه الصفات معرّفات عند الاشتباه فی الجملة لا مطلقاً، أو یکون مراده من الاشتباه بالاستحاضة حصول هذا الاشتباه للمستحاضة، کما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اشتبه بالقرحة أو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الاشتباه لذات القرحة و العذرة المحقّقین، لا مجرّد احتمال الدم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موافقة الشهید للمشهور، کما یظهر من مذهبه فی الفروع المترتّبة علی هذه المسألة،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 المبتدأة برؤیة الدم و إن لم یکن بصفات الحیض،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المصنّف فی المختلف لمّا استدلّ علی تحیّض المبتدأة بمجرّد الرؤیة بخبری إسحاق و حفص الآمرین بالرجوع إلی الصفات </w:t>
      </w:r>
      <w:r>
        <w:rPr>
          <w:rStyle w:val="FootnoteAnchor"/>
          <w:rtl w:val="true"/>
        </w:rPr>
        <w:footnoteReference w:id="780"/>
      </w:r>
      <w:r>
        <w:rPr>
          <w:rFonts w:ascii="IRNazanin" w:hAnsi="IRNazanin" w:eastAsia="IRNazanin"/>
          <w:color w:val="111111"/>
          <w:sz w:val="28"/>
          <w:sz w:val="28"/>
          <w:szCs w:val="28"/>
          <w:rtl w:val="true"/>
          <w:lang w:bidi="fa-IR"/>
        </w:rPr>
        <w:t>، أجاب عنه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الخبرین فی المستحاضة مع الاشتباه </w:t>
      </w:r>
      <w:r>
        <w:rPr>
          <w:rStyle w:val="FootnoteAnchor"/>
          <w:rtl w:val="true"/>
        </w:rPr>
        <w:footnoteReference w:id="781"/>
      </w:r>
      <w:r>
        <w:rPr>
          <w:rFonts w:ascii="IRNazanin" w:hAnsi="IRNazanin" w:eastAsia="IRNazanin"/>
          <w:color w:val="111111"/>
          <w:sz w:val="28"/>
          <w:sz w:val="28"/>
          <w:szCs w:val="28"/>
          <w:rtl w:val="true"/>
          <w:lang w:bidi="fa-IR"/>
        </w:rPr>
        <w:t>فإنّ هذا الکلام عند التأمّل قرینة علی إرادة ما احتملناه أخیراً فی مراده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بالاستحاضة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اعتبار خروج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عند اشتباهه بدم العذرة أو خروجه من الأیمن کذلک خلافاً، سیأتی عند تعرّض المصنّف له ثانیاً</w:t>
      </w:r>
      <w:r>
        <w:rPr>
          <w:rFonts w:eastAsia="IRNazanin" w:cs="IRNazanin"/>
          <w:color w:val="111111"/>
          <w:sz w:val="28"/>
          <w:szCs w:val="28"/>
          <w:rtl w:val="true"/>
          <w:lang w:bidi="fa-IR"/>
        </w:rPr>
        <w:t>.</w:t>
      </w:r>
    </w:p>
    <w:p>
      <w:pPr>
        <w:pStyle w:val="Heading6"/>
        <w:numPr>
          <w:ilvl w:val="5"/>
          <w:numId w:val="1"/>
        </w:numPr>
        <w:rPr/>
      </w:pPr>
      <w:bookmarkStart w:id="125" w:name="__RefHeading___Toc6451954_3224264995"/>
      <w:bookmarkStart w:id="126" w:name="_Toc48"/>
      <w:bookmarkEnd w:id="125"/>
      <w:r>
        <w:rPr>
          <w:rtl w:val="true"/>
        </w:rPr>
        <w:t>[</w:t>
      </w:r>
      <w:r>
        <w:rPr>
          <w:rtl w:val="true"/>
        </w:rPr>
        <w:t>لو اشتبه دم الحیض بدم البکارة</w:t>
      </w:r>
      <w:r>
        <w:rPr>
          <w:rtl w:val="true"/>
        </w:rPr>
        <w:t>]</w:t>
      </w:r>
      <w:bookmarkEnd w:id="1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شرعاً أنّه دم الحیض لولا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العین المهملة و سکون الذال المعجمة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 وضعت قطنة کیفما اتّفق، کما هو ظاهر الروایات، و المحکیّ من عبارة الأکثر، أو بعد أن تستلقی علی ظهرها و ترفع رجلیها، کما فی الروض، و یظهر منه وجود هذا التقیید فی بعض الروایات؛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بعضها الأمر باستدخال القطنة من غیر تقیید بالاستلقاء، و فی بعضها استدخال الإصبع مع الاستلقاء، و طریق الجمع حمل المطلق علی المقیّد و التخییر بین الإصبع و الکرسف إلّا أنّ الکرسف أظهر فی الدلالة </w:t>
      </w:r>
      <w:r>
        <w:rPr>
          <w:rStyle w:val="FootnoteAnchor"/>
          <w:rtl w:val="true"/>
        </w:rPr>
        <w:footnoteReference w:id="7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ذلک سهو من قلمه الشریف، حیث عدّ الروایة الآتیة فی اشتباه الحیض بالقرحة الآمرة باستدخال الإصبع بعد الاستلقاء من روایات هذه المسألة، و إلّا فلیس فی روایتی المسألة الاستلقاء، و لا ذکر الإصبع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فتصبر هنیئة بقدر ما ینزل علی القطنة ما یطوّقها أو یغمسها، ثمّ تخرجها إخراجاً رفیقاً کما فی الروایة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 القطنة مطوّقة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بالدم عرفاً و إن لم یحصل دائرة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کذلک بأن کانت مستنقعة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فی ذلک ما عن الکافی بطریق صحیح عن خلف بن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موسی بن جعفر علیه السلام بمنی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موالیک تزوّج جاریة معصراً لم تطمث، فلمّا افتضّها سال الدم فمکث سائلًا لا ینقطع نحواً من عشرة أیّام، و أنّ القوابل اختلفن فی ذلک، فقالت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و قالت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العُذرة، فما ینبغی لها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تصنع؟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فلتتّقِ اللّٰه، فإن کان عن دم الحیض فلتمسک عن الصلاة حتّی تری الطهر، و لیمسک عنها بعلها، و إن کان من العُذرة فلتتّقِ اللّٰه و لتتوضّأ و لتصلّ، و یأتیها بعلها إن أحبّ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لهم أن یعلموا ما هو حتّی یفعلوا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یمیناً و شمالًا فی الفسطاط مخافة أن یعلم کلامه أحد، ثمّ نهد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خلف، سرّ اللّٰه سرّ اللّٰه لا تذیعوه، و لا تعلّموا الخلق أُصول دین اللّٰه، بل ارضوا لهم ما رضی اللّٰه لهم من ضلال، ثمّ عقد بیده الیسری تسعین،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القطنة ثمّ تدعها ملیّاً، ثمّ تخرجها إخراجاً رفیقاً </w:t>
      </w:r>
      <w:r>
        <w:rPr>
          <w:rStyle w:val="FootnoteAnchor"/>
          <w:rtl w:val="true"/>
        </w:rPr>
        <w:footnoteReference w:id="784"/>
      </w:r>
      <w:r>
        <w:rPr>
          <w:rFonts w:ascii="IRNazanin" w:hAnsi="IRNazanin" w:eastAsia="IRNazanin"/>
          <w:color w:val="111111"/>
          <w:sz w:val="28"/>
          <w:sz w:val="28"/>
          <w:szCs w:val="28"/>
          <w:rtl w:val="true"/>
          <w:lang w:bidi="fa-IR"/>
        </w:rPr>
        <w:t xml:space="preserve">، فإن کان الدم مطوّقاً فی القطنة فهو من العُذرة، و إن کان مستنقعاً فی القطنة فهو من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فاستخفّنی الفرح فبکیت، فلمّا سکن بکائی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أبکاک؟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کان یحسن هذا غیرک؟ فرفع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ما أُخبرک إلّا عن رسول اللّٰه صلّی اللّٰه علیه و آله و سلم عن جبرئیل، عن اللّٰه تعالی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IRNazanin" w:hAnsi="IRNazanin" w:eastAsia="IRNazanin"/>
          <w:color w:val="111111"/>
          <w:sz w:val="28"/>
          <w:sz w:val="28"/>
          <w:szCs w:val="28"/>
          <w:rtl w:val="true"/>
          <w:lang w:bidi="fa-IR"/>
        </w:rPr>
        <w:t>، و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أسنده عن أبیه عن خلف بن حمّاد </w:t>
      </w:r>
      <w:r>
        <w:rPr>
          <w:rStyle w:val="FootnoteAnchor"/>
          <w:rtl w:val="true"/>
        </w:rPr>
        <w:footnoteReference w:id="788"/>
      </w:r>
      <w:r>
        <w:rPr>
          <w:rFonts w:ascii="IRNazanin" w:hAnsi="IRNazanin" w:eastAsia="IRNazanin"/>
          <w:color w:val="111111"/>
          <w:sz w:val="28"/>
          <w:sz w:val="28"/>
          <w:szCs w:val="28"/>
          <w:rtl w:val="true"/>
          <w:lang w:bidi="fa-IR"/>
        </w:rPr>
        <w:t xml:space="preserve">، و رواها الشیخ </w:t>
      </w:r>
      <w:r>
        <w:rPr>
          <w:rStyle w:val="FootnoteAnchor"/>
          <w:rtl w:val="true"/>
        </w:rPr>
        <w:footnoteReference w:id="789"/>
      </w:r>
      <w:r>
        <w:rPr>
          <w:rFonts w:ascii="IRNazanin" w:hAnsi="IRNazanin" w:eastAsia="IRNazanin"/>
          <w:color w:val="111111"/>
          <w:sz w:val="28"/>
          <w:sz w:val="28"/>
          <w:szCs w:val="28"/>
          <w:rtl w:val="true"/>
          <w:lang w:bidi="fa-IR"/>
        </w:rPr>
        <w:t>بأدنی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زیاد بن سوقة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رجل افتضّ امرأته أو أمته فرأت دماً کثیراً لا ینقطع عنها یوماً،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الکرسف، فإن خرجت القطنة مطوّقة بالدم فإنّه من العُذرة، تغتسل، و تمسک معها قطنة، و تصلّی، فإن خرج الکرسف منغمساً بالدم فهو من الطمث، تقعد عن الصلاة أیام حیضها</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إشکال فی الحکم بالعُذرة بمجرّد التطوّق، و لا فی الحکم بالحیض مع الانغماس إذا علم انتفاء الثالث کما هو ظاهر الروایتین، أو کان الدم ممّا یحکم علیه بالحیضیَّة علی تقدیر القطع بانتفاء العُذرة؛ لأنّ نفی العُذرة لانتفاء التطوّق ملزوم لثبوت الحیض؛ لفرض منع الخلوّ بینهما، إمّا قطعاً و إمّا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یقطع بانتفاء الثالث و کان ممّا لا یحکم بحیضیّته لو قطع بانتفاء العذرة،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حکم علیه بالحیضیَّة بمجرّد الانغماس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یحکم بنفی الحیض بمجرّد التطوّق، و أمّا ثبوته بمجرّد الانغماس فلا، بل ترجع المرأة حینئذٍ إلی علمها أو إلی القواعد المقرّرة فی الحکم بالحیضیَّة علی الدماء، علی الاختلاف الواقع بین الأصحاب، فإذا رأت المبتدأة هذا الدم المشتبه و خرجت القطنة مستنقعة کان تحیّضها قبل مضیّ الثلاثة مبنیّاً علی مسألة تحیّض المبتدأة بمجرّد رؤیة الدم، فإذا قلنا فیها بعدم التحیّض مطلقاً أو مع فقد صفات الحیض، فلا یحکم علی هذا الدم المشتبه بالحیضیَّة بمجرّد الاستنقاع، و هکذا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ذکرنا نظر المحقّق فی المعتبر؛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جاء بصفة دم</w:t>
      </w:r>
    </w:p>
    <w:p>
      <w:pPr>
        <w:pStyle w:val="BookText"/>
        <w:rPr/>
      </w:pPr>
      <w:r>
        <w:rPr>
          <w:rFonts w:ascii="IRNazanin" w:hAnsi="IRNazanin" w:eastAsia="IRNazanin"/>
          <w:color w:val="111111"/>
          <w:sz w:val="28"/>
          <w:sz w:val="28"/>
          <w:szCs w:val="28"/>
          <w:rtl w:val="true"/>
          <w:lang w:bidi="fa-IR"/>
        </w:rPr>
        <w:t xml:space="preserve">الحیض و اشتبه بدم العُذرة، حکم أنّه للعُذرة إن خرجت القطنة مطوّقة بالدم، روی ذلک زیاد بن سوقة عن أبی جعفر علیه السلام، و خلف بن حمّاد عن أبی الحسن الماضی علیه السلام، و لا ریب أنّها إذا خرجت مطوّقة کانت من العُذرة قطعاً، و إذا خرجت مستنقعة فهو محتمل </w:t>
      </w:r>
      <w:r>
        <w:rPr>
          <w:rStyle w:val="FootnoteAnchor"/>
          <w:rtl w:val="true"/>
        </w:rPr>
        <w:footnoteReference w:id="7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 أنّ مع الاستنقاع فهو قابل للحیضیَّة فیحکم علیه بها، مع مساعدة دلیل خارجی علیها، لا بمجرّد الاستنقاع، فإنّه لا یؤثّر إلّا إحداث احتمال الحیضیَّة فی مقابل التطوّق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أجاد المصنّف فی القواعد </w:t>
      </w:r>
      <w:r>
        <w:rPr>
          <w:rStyle w:val="FootnoteAnchor"/>
          <w:rtl w:val="true"/>
        </w:rPr>
        <w:footnoteReference w:id="792"/>
      </w:r>
      <w:r>
        <w:rPr>
          <w:rFonts w:ascii="IRNazanin" w:hAnsi="IRNazanin" w:eastAsia="IRNazanin"/>
          <w:color w:val="111111"/>
          <w:sz w:val="28"/>
          <w:sz w:val="28"/>
          <w:szCs w:val="28"/>
          <w:rtl w:val="true"/>
          <w:lang w:bidi="fa-IR"/>
        </w:rPr>
        <w:t xml:space="preserve">، و الشهید فی البیان </w:t>
      </w:r>
      <w:r>
        <w:rPr>
          <w:rStyle w:val="FootnoteAnchor"/>
          <w:rtl w:val="true"/>
        </w:rPr>
        <w:footnoteReference w:id="793"/>
      </w:r>
      <w:r>
        <w:rPr>
          <w:rFonts w:ascii="IRNazanin" w:hAnsi="IRNazanin" w:eastAsia="IRNazanin"/>
          <w:color w:val="111111"/>
          <w:sz w:val="28"/>
          <w:sz w:val="28"/>
          <w:szCs w:val="28"/>
          <w:rtl w:val="true"/>
          <w:lang w:bidi="fa-IR"/>
        </w:rPr>
        <w:t xml:space="preserve">، و ابن فهد فی الموجز </w:t>
      </w:r>
      <w:r>
        <w:rPr>
          <w:rStyle w:val="FootnoteAnchor"/>
          <w:rtl w:val="true"/>
        </w:rPr>
        <w:footnoteReference w:id="794"/>
      </w:r>
      <w:r>
        <w:rPr>
          <w:rFonts w:ascii="IRNazanin" w:hAnsi="IRNazanin" w:eastAsia="IRNazanin"/>
          <w:color w:val="111111"/>
          <w:sz w:val="28"/>
          <w:sz w:val="28"/>
          <w:szCs w:val="28"/>
          <w:rtl w:val="true"/>
          <w:lang w:bidi="fa-IR"/>
        </w:rPr>
        <w:t xml:space="preserve">، حیث اقتصروا علی الحکم بالعُذرة مع التطوّق، بل هذا مراد کلّ من ذکر الحکم بالحیضیَّة مع الاستنقاع أیضاً، کما هو المحکیّ عن الأکثر </w:t>
      </w:r>
      <w:r>
        <w:rPr>
          <w:rStyle w:val="FootnoteAnchor"/>
          <w:rtl w:val="true"/>
        </w:rPr>
        <w:footnoteReference w:id="795"/>
      </w:r>
      <w:r>
        <w:rPr>
          <w:rFonts w:ascii="IRNazanin" w:hAnsi="IRNazanin" w:eastAsia="IRNazanin"/>
          <w:color w:val="111111"/>
          <w:sz w:val="28"/>
          <w:sz w:val="28"/>
          <w:szCs w:val="28"/>
          <w:rtl w:val="true"/>
          <w:lang w:bidi="fa-IR"/>
        </w:rPr>
        <w:t>لأنّ الظاهر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اشتبه الحیض بالعُذرة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فرضوا الکلام فیما لو تردّد الأمر بین العُذرة و الحیض، إمّا بعلم المرأة أو من شهادة القوابل، کما فی الصحیحة الأُولی، و إمّا لفرض کون الدم ممّا یحکم علیه شرعاً بالحیضیَّة مع ارتفاع احتمال العُذرة، فإنّ التأمّل فی الحکم بالحیضیَّة مع الاستنقاع حینئذٍ غیر معقول من العاقل؛ لأنّ المفروض کون الدم مع قطع النظر عن احتمال کونه للعُذرة ممّا یحکم شرعاً بکونه حیضاً، و المفروض انتفاء احتمال العُذرة بالاستنقاع، فلا وجه للتأمّل فی 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ذکرنا قیّد الحلّی فی السرائر هذا الدم بما إذا کان فی أیّام الحیض،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اشتبه دم الحیض بدم العُذرة فی زمان الحیض فلتدخل قطنة، فإن خرجت منغمسة بالدم فذاک دم حیض، و إن خرجت مطوّقة فذاک دم عُذرة </w:t>
      </w:r>
      <w:r>
        <w:rPr>
          <w:rStyle w:val="FootnoteAnchor"/>
          <w:rtl w:val="true"/>
        </w:rPr>
        <w:footnoteReference w:id="7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فحال الانغماس و التطوّق هنا فی المراعاة کحال الجانب فی مسألة القرحة الآتیة؛ حیث إنّه یحکم بعدم الحیضیَّة مع الخروج عن الأیمن علی أحد القولین، و مع الخروج عن الأیسر فهو قابل للحیضیَّة یرجع فیه إلی قواعد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أنّه لا وجه لاعتراض جماعة من المتأخّرین </w:t>
      </w:r>
      <w:r>
        <w:rPr>
          <w:rStyle w:val="FootnoteAnchor"/>
          <w:rtl w:val="true"/>
        </w:rPr>
        <w:footnoteReference w:id="797"/>
      </w:r>
      <w:r>
        <w:rPr>
          <w:rFonts w:ascii="IRNazanin" w:hAnsi="IRNazanin" w:eastAsia="IRNazanin"/>
          <w:color w:val="111111"/>
          <w:sz w:val="28"/>
          <w:sz w:val="28"/>
          <w:szCs w:val="28"/>
          <w:rtl w:val="true"/>
          <w:lang w:bidi="fa-IR"/>
        </w:rPr>
        <w:t>علی المحقّق قدّس سرّه فی عدم جزمه بالحیضیَّة مع الانغماس،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دوران الأمر فی الدم المذکور بین الحیض و العُذرة، فلا وجه لعدم الحکم بالحیضیَّة بعد نفی العُذرة بالانغماس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فرض المسألة فی المعتبر فیما إذا جاء الدم بصفة الحیض، و معه لا وجه للتوقّف فی الحیضیَّة مع الاستنقاع، مع اعتبار سند الحدیثین، و صراحتهما فی الدلالة، و مطابقتهما للروایات الدالّة علی اعتبار الأوصاف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بمنافاة ذلک لما صرّح به فی المعتبر </w:t>
      </w:r>
      <w:r>
        <w:rPr>
          <w:rStyle w:val="FootnoteAnchor"/>
          <w:rtl w:val="true"/>
        </w:rPr>
        <w:footnoteReference w:id="798"/>
      </w:r>
      <w:r>
        <w:rPr>
          <w:rFonts w:ascii="IRNazanin" w:hAnsi="IRNazanin" w:eastAsia="IRNazanin"/>
          <w:color w:val="111111"/>
          <w:sz w:val="28"/>
          <w:sz w:val="28"/>
          <w:szCs w:val="28"/>
          <w:rtl w:val="true"/>
          <w:lang w:bidi="fa-IR"/>
        </w:rPr>
        <w:t xml:space="preserve">و غیره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تراه</w:t>
      </w:r>
    </w:p>
    <w:p>
      <w:pPr>
        <w:pStyle w:val="BookText"/>
        <w:rPr/>
      </w:pPr>
      <w:r>
        <w:rPr>
          <w:rFonts w:ascii="IRNazanin" w:hAnsi="IRNazanin" w:eastAsia="IRNazanin"/>
          <w:color w:val="111111"/>
          <w:sz w:val="28"/>
          <w:sz w:val="28"/>
          <w:szCs w:val="28"/>
          <w:rtl w:val="true"/>
          <w:lang w:bidi="fa-IR"/>
        </w:rPr>
        <w:t>المرأة من الثلاثة إلی العشرة یحکم بکونه حیضاً، و أنّه لا عبرة بلونه ما لم یعلم أنّه لقرح أو عُذرة، و نقل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اندفاع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عنونه فی المعتبر غیر مفروض فیما إذا دار الأمر بین الحیض و العذرة، لیلزم من انتفاء الثانی ثبوت الأوّل، و إن کان ظاهر الروایات دوران الأمر </w:t>
      </w:r>
      <w:r>
        <w:rPr>
          <w:rStyle w:val="FootnoteAnchor"/>
          <w:rtl w:val="true"/>
        </w:rPr>
        <w:footnoteReference w:id="800"/>
      </w:r>
      <w:r>
        <w:rPr>
          <w:rFonts w:ascii="IRNazanin" w:hAnsi="IRNazanin" w:eastAsia="IRNazanin"/>
          <w:color w:val="111111"/>
          <w:sz w:val="28"/>
          <w:sz w:val="28"/>
          <w:szCs w:val="28"/>
          <w:rtl w:val="true"/>
          <w:lang w:bidi="fa-IR"/>
        </w:rPr>
        <w:t>حیث فرض فیها استمرار الدم إلی أیّام؛ حیث إنّ الحکم بالحیضیَّة حینئذٍ عند العلم بعدم العُذرة لأجل الاستنقاع، و عدم القرحة بحکم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 الصحیحة الثانیة ربما کان وقوع الدم فی أیّام حیضها، إلّا أنّ أصل المسألة غیر مختصّة بهذه الصور؛ فإنّ منها ما إذا رأته قبل مضیّ الثلاثة، کیف؟ و لزوم الحکم بالحیضیَّة من نفی العُذرة عند العلم بنفی الثالث أمر بدیهی، کما لا یخفی علی أحد، فضلًا عن مثل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اتّصاف الدم بالأوصاف لا یثبت حیضیّته، و لذا اختار المحقّق و جماعة عدم تحیّض المبتدأة برؤیة الدم قبل مضیّ الثلاثة و لو کان الدم بصفة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الصحیحتان فقد عرفت اختصاصهما بصورة یحکم علی الدم فیها بالحیضیَّة من جهة الوجدان أو </w:t>
      </w:r>
      <w:r>
        <w:rPr>
          <w:rStyle w:val="FootnoteAnchor"/>
          <w:rtl w:val="true"/>
        </w:rPr>
        <w:footnoteReference w:id="801"/>
      </w:r>
      <w:r>
        <w:rPr>
          <w:rFonts w:ascii="IRNazanin" w:hAnsi="IRNazanin" w:eastAsia="IRNazanin"/>
          <w:color w:val="111111"/>
          <w:sz w:val="28"/>
          <w:sz w:val="28"/>
          <w:szCs w:val="28"/>
          <w:rtl w:val="true"/>
          <w:lang w:bidi="fa-IR"/>
        </w:rPr>
        <w:t>من جهة الشرع، فلا یدلّ علی حکم غیرها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حکمه بحیضیّة ما تراه المرأة من الثلاثة إلی العشرة، و دعواه الإجماع علیه </w:t>
      </w:r>
      <w:r>
        <w:rPr>
          <w:rStyle w:val="FootnoteAnchor"/>
          <w:rtl w:val="true"/>
        </w:rPr>
        <w:footnoteReference w:id="802"/>
      </w:r>
      <w:r>
        <w:rPr>
          <w:rFonts w:ascii="IRNazanin" w:hAnsi="IRNazanin" w:eastAsia="IRNazanin"/>
          <w:color w:val="111111"/>
          <w:sz w:val="28"/>
          <w:sz w:val="28"/>
          <w:szCs w:val="28"/>
          <w:rtl w:val="true"/>
          <w:lang w:bidi="fa-IR"/>
        </w:rPr>
        <w:t>لا ینافی عدم الحکم بها فی بعض صور</w:t>
      </w:r>
    </w:p>
    <w:p>
      <w:pPr>
        <w:pStyle w:val="BookText"/>
        <w:rPr/>
      </w:pPr>
      <w:r>
        <w:rPr>
          <w:rFonts w:ascii="IRNazanin" w:hAnsi="IRNazanin" w:eastAsia="IRNazanin"/>
          <w:color w:val="111111"/>
          <w:sz w:val="28"/>
          <w:sz w:val="28"/>
          <w:szCs w:val="28"/>
          <w:rtl w:val="true"/>
          <w:lang w:bidi="fa-IR"/>
        </w:rPr>
        <w:t xml:space="preserve">المسألة، مثل ما إذا لم یمضِ ثلاثة، فإنّ معقد الإجماع المذکور کما سیجی‌ء مختصّ بما بعد الثلاثة إلی العشرة، کیف؟ مع أنّ المحقّق </w:t>
      </w:r>
      <w:r>
        <w:rPr>
          <w:rStyle w:val="FootnoteAnchor"/>
          <w:rtl w:val="true"/>
        </w:rPr>
        <w:footnoteReference w:id="803"/>
      </w:r>
      <w:r>
        <w:rPr>
          <w:rFonts w:ascii="Amiri" w:hAnsi="Amiri" w:eastAsia="Amiri" w:cs="Amiri"/>
          <w:color w:val="111111"/>
          <w:sz w:val="28"/>
          <w:sz w:val="28"/>
          <w:szCs w:val="28"/>
          <w:rtl w:val="true"/>
          <w:lang w:bidi="ar-SA"/>
        </w:rPr>
        <w:t xml:space="preserve">و جماعة </w:t>
      </w:r>
      <w:r>
        <w:rPr>
          <w:rStyle w:val="FootnoteAnchor"/>
          <w:rtl w:val="true"/>
        </w:rPr>
        <w:footnoteReference w:id="804"/>
      </w:r>
      <w:r>
        <w:rPr>
          <w:rFonts w:ascii="IRNazanin" w:hAnsi="IRNazanin" w:eastAsia="IRNazanin"/>
          <w:color w:val="111111"/>
          <w:sz w:val="28"/>
          <w:sz w:val="28"/>
          <w:szCs w:val="28"/>
          <w:rtl w:val="true"/>
          <w:lang w:bidi="fa-IR"/>
        </w:rPr>
        <w:t>حکموا فی المبتدأة بعدم التحیّض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فالظاهر أنّ المحقّق لم یخالف الأصحاب فی هذه المسألة، بل و لا واحداً منهم، و إنّما توهّم من توهّم مخالفته لهم من جهة ما رأی من ظاهر إطلاق سائر الأصحاب الحکم بالحیضیَّة مع الانغماس، و حکمِ المحقّق </w:t>
      </w:r>
      <w:r>
        <w:rPr>
          <w:rStyle w:val="FootnoteAnchor"/>
          <w:rtl w:val="true"/>
        </w:rPr>
        <w:footnoteReference w:id="805"/>
      </w:r>
      <w:r>
        <w:rPr>
          <w:rFonts w:ascii="IRNazanin" w:hAnsi="IRNazanin" w:eastAsia="IRNazanin"/>
          <w:color w:val="111111"/>
          <w:sz w:val="28"/>
          <w:sz w:val="28"/>
          <w:szCs w:val="28"/>
          <w:rtl w:val="true"/>
          <w:lang w:bidi="fa-IR"/>
        </w:rPr>
        <w:t>بأنّه مع الاستنقاع محتمل للحیضیَّة، و قد عرفت مصبّ إطلاق الأصحاب؛ حیث فرضوا المسألة فیما لو اشتبه الحیض بالعُذرة، و ظاهره الدوران بینهما، و مرادَ المحقّق؛ حیث فرض المسألة فیما لو جاء الدم بصفة دم الحیض، و هو لا یستلزم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مخالفته لهم،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الدم بحیث یحکم علیه وجداناً أو شرعاً بالحیضیَّة مع فرض انتفاء العذرة، فلا دلیل علی الحکم علیه بها بمجرّد الانغماس، لما عرفت من اختصاص الأخبار بصورة کون الدم محکوماً بالحیضیَّة عند فرض انتفاء العُذرة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الحکم بالحیضیَّة فی الروایات بمجرّد الانغماس یشمل ما لو لم یعلم مع ذلک بخروج الدم من الرحم،</w:t>
      </w:r>
    </w:p>
    <w:p>
      <w:pPr>
        <w:pStyle w:val="BookText"/>
        <w:rPr/>
      </w:pPr>
      <w:r>
        <w:rPr>
          <w:rFonts w:ascii="IRNazanin" w:hAnsi="IRNazanin" w:eastAsia="IRNazanin"/>
          <w:color w:val="111111"/>
          <w:sz w:val="28"/>
          <w:sz w:val="28"/>
          <w:szCs w:val="28"/>
          <w:rtl w:val="true"/>
          <w:lang w:bidi="fa-IR"/>
        </w:rPr>
        <w:t xml:space="preserve">و قاعدة الإمکان لا تجری فی هذه الصورة کما سیجی‌ء، فتعیّن أن یکون الحکم مستنداً إلی نفس الانغماس لا </w:t>
      </w:r>
      <w:r>
        <w:rPr>
          <w:rStyle w:val="FootnoteAnchor"/>
          <w:rtl w:val="true"/>
        </w:rPr>
        <w:footnoteReference w:id="806"/>
      </w:r>
      <w:r>
        <w:rPr>
          <w:rFonts w:ascii="IRNazanin" w:hAnsi="IRNazanin" w:eastAsia="IRNazanin"/>
          <w:color w:val="111111"/>
          <w:sz w:val="28"/>
          <w:sz w:val="28"/>
          <w:szCs w:val="28"/>
          <w:rtl w:val="true"/>
          <w:lang w:bidi="fa-IR"/>
        </w:rPr>
        <w:t xml:space="preserve">أصالة الحیضیَّة، و أنّ المحقّق قدّس سرّه لا یری أصالة التحیّض فی المبتدأة قبل مضیّ الثلاثة، مع ظهور روایة زیاد ابن سوقة </w:t>
      </w:r>
      <w:r>
        <w:rPr>
          <w:rStyle w:val="FootnoteAnchor"/>
          <w:rtl w:val="true"/>
        </w:rPr>
        <w:footnoteReference w:id="807"/>
      </w:r>
      <w:r>
        <w:rPr>
          <w:rFonts w:ascii="IRNazanin" w:hAnsi="IRNazanin" w:eastAsia="IRNazanin"/>
          <w:color w:val="111111"/>
          <w:sz w:val="28"/>
          <w:sz w:val="28"/>
          <w:szCs w:val="28"/>
          <w:rtl w:val="true"/>
          <w:lang w:bidi="fa-IR"/>
        </w:rPr>
        <w:t>فیه، إلّا أن یدفع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الانغماس جعل معرّفاً لکون الدم من الرحم؛ لأنّه الغالب فیه، فیحکم بالحیضیَّة لقاعدة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روایة زیاد بن سوقة ظاهرة فی أزید من یومین؛ إذ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لا ینقطع یوماً علی طریق السالبة الکلّیة مع کونه فی یومین، و کذا لا ینقطع یومها، بناءً علی بعض النسخ، فإنّه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ینام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فمورد الروایة لا ظهور له فیما ینافی مذهب المحقّق فی المبتدأة، مع أنّه یکفی عدم دلالتها علی مذهب المشهور عند المشهور القائلین بالتحیّض بمجرّد الرؤیة،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أطلنا الکلام فی ذلک انتصاراً للحقّ و المحقّق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 ظاهر النصّ و الفتوی بین کون الاشتباه ناشئاً عن احتمال الدم فی أوّل الأمر للحیض أو العُذرة، أو ناشئاً عن احتمال طروّ احتمال الحیض بعد تحقّق دم العُذرة مع العلم ببقاء العُذرة، أو مع احتمال انقطاعها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تحقّق الحیض سابقاً و احتمل انقطاعه بعد طروّ العُذرة فالظاهر عدم دخوله تحت النصّ، فالرجوع فیها إلی استصحاب الحیض من غیر اختبار، قویّ</w:t>
      </w:r>
      <w:r>
        <w:rPr>
          <w:rFonts w:eastAsia="IRNazanin" w:cs="IRNazanin"/>
          <w:color w:val="111111"/>
          <w:sz w:val="28"/>
          <w:szCs w:val="28"/>
          <w:rtl w:val="true"/>
          <w:lang w:bidi="fa-IR"/>
        </w:rPr>
        <w:t>.</w:t>
      </w:r>
      <w:bookmarkStart w:id="127" w:name="pg13039_115238"/>
    </w:p>
    <w:p>
      <w:pPr>
        <w:pStyle w:val="BookText"/>
        <w:rPr/>
      </w:pPr>
      <w:bookmarkEnd w:id="127"/>
      <w:r>
        <w:rPr>
          <w:rFonts w:ascii="IRNazanin" w:hAnsi="IRNazanin" w:eastAsia="IRNazanin"/>
          <w:color w:val="111111"/>
          <w:sz w:val="28"/>
          <w:sz w:val="28"/>
          <w:szCs w:val="28"/>
          <w:rtl w:val="true"/>
          <w:lang w:bidi="fa-IR"/>
        </w:rPr>
        <w:t>و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 فیما لو شکّ فی الافتضاض، لکن ربما یستظهر من النصّ کون ما ذکر من التطوّق و الانغماس معیاراً فی تمیّز الحیض عن العُذرة یجب الرجوع إلیه عند الاشتباه مطلقاً، فوجوب الاختبار مع عدم الشکّ فی الافتضاض لا یخلو عن وجه، و مع الشکّ فیه فیرجع إلی قواعد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فظاهر النصّ و الفتوی وجوب الاختبار، فالعبادة من دونه فاسدة و إن طابقت الواقع، إلّا إذا غفل عن وجوب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الاختبار لکثرة الدم أو نحوه، ففی وجوب البناء علی أصالة الحیض أو أصالة عدمه فی غیر صورة سبق الحیض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اشتبهت الاستحاضة لذات العُذرة بها ففی الحکم بالاستحاضة مطلقاً؛ لأنّها الأصل بعد امتناع الحیض، أو بشرط عدم التطوّق؛ لما یستفاد من الروایة من أنّ التطوّق أمارة العذرة مطلقاً، أو عدمه مطلقاً؛ لخروج المورد عن الروایة و منع أصالة الاستحاضة، وجوه، خیرها أوسطها</w:t>
      </w:r>
      <w:r>
        <w:rPr>
          <w:rFonts w:eastAsia="IRNazanin" w:cs="IRNazanin"/>
          <w:color w:val="111111"/>
          <w:sz w:val="28"/>
          <w:szCs w:val="28"/>
          <w:rtl w:val="true"/>
          <w:lang w:bidi="fa-IR"/>
        </w:rPr>
        <w:t>.</w:t>
      </w:r>
    </w:p>
    <w:p>
      <w:pPr>
        <w:pStyle w:val="Heading6"/>
        <w:numPr>
          <w:ilvl w:val="5"/>
          <w:numId w:val="1"/>
        </w:numPr>
        <w:rPr/>
      </w:pPr>
      <w:bookmarkStart w:id="128" w:name="__RefHeading___Toc6451956_3224264995"/>
      <w:bookmarkStart w:id="129" w:name="_Toc49"/>
      <w:bookmarkEnd w:id="128"/>
      <w:r>
        <w:rPr>
          <w:rtl w:val="true"/>
        </w:rPr>
        <w:t>[</w:t>
      </w:r>
      <w:r>
        <w:rPr>
          <w:rtl w:val="true"/>
        </w:rPr>
        <w:t>ما تراه الصبیّة قبل إکمال التسع</w:t>
      </w:r>
      <w:r>
        <w:rPr>
          <w:rtl w:val="true"/>
        </w:rPr>
        <w:t>]</w:t>
      </w:r>
      <w:bookmarkEnd w:id="12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الصبیّة من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قمریّة لیس بحیض إجماعاً، کما عن جماعة </w:t>
      </w:r>
      <w:r>
        <w:rPr>
          <w:rStyle w:val="FootnoteAnchor"/>
          <w:rtl w:val="true"/>
        </w:rPr>
        <w:footnoteReference w:id="808"/>
      </w:r>
      <w:r>
        <w:rPr>
          <w:rFonts w:ascii="IRNazanin" w:hAnsi="IRNazanin" w:eastAsia="IRNazanin"/>
          <w:color w:val="111111"/>
          <w:sz w:val="28"/>
          <w:sz w:val="28"/>
          <w:szCs w:val="28"/>
          <w:rtl w:val="true"/>
          <w:lang w:bidi="fa-IR"/>
        </w:rPr>
        <w:t xml:space="preserve">، بل عن المعتبر </w:t>
      </w:r>
      <w:r>
        <w:rPr>
          <w:rStyle w:val="FootnoteAnchor"/>
          <w:rtl w:val="true"/>
        </w:rPr>
        <w:footnoteReference w:id="809"/>
      </w:r>
      <w:r>
        <w:rPr>
          <w:rFonts w:ascii="IRNazanin" w:hAnsi="IRNazanin" w:eastAsia="IRNazanin"/>
          <w:color w:val="111111"/>
          <w:sz w:val="28"/>
          <w:sz w:val="28"/>
          <w:szCs w:val="28"/>
          <w:rtl w:val="true"/>
          <w:lang w:bidi="fa-IR"/>
        </w:rPr>
        <w:t xml:space="preserve">نسبته إلی أهل العلم،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 عن الشافعی قولًا بتحقّقه بأوّل التاسعة، و آخر بما بعد مضیّ ستّة أشهر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الحنفیّة قولًا باحتمال فی السبع، و أُخری فی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حکی أنّ بنتاً</w:t>
      </w:r>
    </w:p>
    <w:p>
      <w:pPr>
        <w:pStyle w:val="BookText"/>
        <w:rPr/>
      </w:pPr>
      <w:r>
        <w:rPr>
          <w:rFonts w:ascii="IRNazanin" w:hAnsi="IRNazanin" w:eastAsia="IRNazanin"/>
          <w:color w:val="111111"/>
          <w:sz w:val="28"/>
          <w:sz w:val="28"/>
          <w:szCs w:val="28"/>
          <w:rtl w:val="true"/>
          <w:lang w:bidi="fa-IR"/>
        </w:rPr>
        <w:t>لأبی مطیع البلخیّ صارت جدّة و هی من بنات ثمان عشرة سنة، فقال أبو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فضحتنا هذه الجاریة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فالأصل فی المسألة قبل الإجماع صحیحة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تحض و مثلها لا تحیض،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یکون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تبلغ تسع سنین</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سؤال مشهور نبّه علیه جماعة، منهم الشارح فی الروض؛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و غیره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الحیض دلیل علی بلوغ المرأة و إن لم یجامعه السنّ، و حکموا هنا بأنّ الدم المرئی قبل التسع لیس بحیض، فما الدم المحکوم بأنّه حیض حتّی یستدلّ به علی البلوغ قبل التسع؟ و جمع بعض من عاصرناه بین الکلامین بحمل الدم المحکوم بکونه حیضاً دالّا علی البلوغ علی الحاصل بعد التسع و قبل إکمال العشر، و 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بلوغها بالسنّ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بالعشر، و علی القولین لو رأت دماً بشرائط الحیض بعد التسع حکم بکونه حیضاً، انتهی، ثمّ استبعد هذا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فی الجمع بین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العلم بالسنّ لا اعتبار بالدم قبله، و مع اشتباهه و وجود الدم فی وقت إمکان البلوغ یحکم بالبلوغ، و لا إشکال حینئذٍ </w:t>
      </w:r>
      <w:r>
        <w:rPr>
          <w:rStyle w:val="FootnoteAnchor"/>
          <w:rtl w:val="true"/>
        </w:rPr>
        <w:footnoteReference w:id="81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الاستشکال علی الوجه الذی قرّره إنّما یرد علی ظاهر کلامهم، حیث جعلوا الحیض دلیلًا مستقلا علی البلوغ فی مقابل السنّ، نظیر خروج المنیّ بالنسبة إلی الخمسة عشر للذکور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ذکره من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الحیض کاشفاً عن تحقّق التسع،</w:t>
      </w:r>
    </w:p>
    <w:p>
      <w:pPr>
        <w:pStyle w:val="BookText"/>
        <w:rPr/>
      </w:pPr>
      <w:r>
        <w:rPr>
          <w:rFonts w:ascii="IRNazanin" w:hAnsi="IRNazanin" w:eastAsia="IRNazanin"/>
          <w:color w:val="111111"/>
          <w:sz w:val="28"/>
          <w:sz w:val="28"/>
          <w:szCs w:val="28"/>
          <w:rtl w:val="true"/>
          <w:lang w:bidi="fa-IR"/>
        </w:rPr>
        <w:t>فالعلامة هی إکمال التسع لا غیر، إلّا أنّه قد یعلم بالتأریخ و قد یستکشف عنه بالحیض، فلم یندفع الإشکال عن ظاهر کلامهم إلّا بتأویله،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اشتراط الحیض بإکمال التسع هو عدم الحکم بالمشروط إلّا بعد تحقّق الشرط، فمع الشکّ فیه فضلًا عن نفیه بحکم الأصل لا بدّ من الرجوع إلی أصالة عدم المشروط، و لو منع کون البلوغ شرطاً بدعوی کون الصغر مانعاً، فاللازم عند الشکّ أیضاً الرجوع إلی أصالة استمرار المانع و عدم تحقّق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الحکم بالتحیّض علی الدم مطلقاً، أو بشرط اتّصافه بصفة دم الحیض یرجع إلیه فی المقام؛ لسلامته عن مزاحمة ما دلّ علی أنّ الحیض لا یحصل قبل التسع؛ نظراً إلی أنّه یستکشف تحقّق التسع من جهة الحکم بالحیضیَّة علی الدم المرئی لأجل العموم المذکور، 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لو سلّم العموم المذکور فإنّما هو فی المرأة، و الفرض الشکّ فی کون ذات الدم المفروضة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التمسّک فی الدم الجامع للأوصاف الخارج ممّن شکّ فی بلوغها التسع بالأخبار الکثیرة الدالّة علی ذکر أوصاف الحیض، فإنّها و إن لم تدلّ علی الانتفاء عند الانتفاء کما مرّ و سیأتی إلّا أنّها ظاهرة فی الوجود عند الوجود، و لا یعارضها ما دلّ علی عدم تحیّض الصغیرة </w:t>
      </w:r>
      <w:r>
        <w:rPr>
          <w:rStyle w:val="FootnoteAnchor"/>
          <w:rtl w:val="true"/>
        </w:rPr>
        <w:footnoteReference w:id="814"/>
      </w:r>
      <w:r>
        <w:rPr>
          <w:rFonts w:ascii="IRNazanin" w:hAnsi="IRNazanin" w:eastAsia="IRNazanin"/>
          <w:color w:val="111111"/>
          <w:sz w:val="28"/>
          <w:sz w:val="28"/>
          <w:szCs w:val="28"/>
          <w:rtl w:val="true"/>
          <w:lang w:bidi="fa-IR"/>
        </w:rPr>
        <w:t>لما عرفت من أنّا نستکشف من حیضیّة هذا الدم بهذه الأخبار عدم صغرها،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أخبار الأوصاف هو الرجوع إلیها عند الاشتباه بالاستحاضة، بمعنی استمرار الدم لا مطلقاً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الاقتصار فی علامة البلوغ علی ما علم حیضیّته عادة بالأوصاف و القرائن،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العلامة للبلوغ عندهم، الدم الجامع لجمیع شرائط</w:t>
      </w:r>
    </w:p>
    <w:p>
      <w:pPr>
        <w:pStyle w:val="BookText"/>
        <w:rPr/>
      </w:pPr>
      <w:r>
        <w:rPr>
          <w:rFonts w:ascii="IRNazanin" w:hAnsi="IRNazanin" w:eastAsia="IRNazanin"/>
          <w:color w:val="111111"/>
          <w:sz w:val="28"/>
          <w:sz w:val="28"/>
          <w:szCs w:val="28"/>
          <w:rtl w:val="true"/>
          <w:lang w:bidi="fa-IR"/>
        </w:rPr>
        <w:t>الحیض عدا البلوغ، کما یقال ذلک فی کون الحیض علامة لعدم الحمل، و استبراء الرحم عنه عند من یجعل الحمل من موانع الحیض، قال فی محکیّ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فی وقت الإمکان دلیل البلوغ، لا نعلم فیه خلافاً </w:t>
      </w:r>
      <w:r>
        <w:rPr>
          <w:rStyle w:val="FootnoteAnchor"/>
          <w:rtl w:val="true"/>
        </w:rPr>
        <w:footnoteReference w:id="81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التحدید بالسنّ المذکور تحقیق لا تقریب، کما هو مقتضی الأصل اللفظی و العملی فی جمیع الحدود الشرعیّة المعرّفة لأحکام شرعیّة، فاحتمال التقریب کما عن نهایة المصنّف قدّس سرّه </w:t>
      </w:r>
      <w:r>
        <w:rPr>
          <w:rStyle w:val="FootnoteAnchor"/>
          <w:rtl w:val="true"/>
        </w:rPr>
        <w:footnoteReference w:id="816"/>
      </w: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المشهور، کما عن جماعة </w:t>
      </w:r>
      <w:r>
        <w:rPr>
          <w:rStyle w:val="FootnoteAnchor"/>
          <w:rtl w:val="true"/>
        </w:rPr>
        <w:footnoteReference w:id="817"/>
      </w:r>
      <w:r>
        <w:rPr>
          <w:rFonts w:ascii="IRNazanin" w:hAnsi="IRNazanin" w:eastAsia="IRNazanin"/>
          <w:color w:val="111111"/>
          <w:sz w:val="28"/>
          <w:sz w:val="28"/>
          <w:szCs w:val="28"/>
          <w:rtl w:val="true"/>
          <w:lang w:bidi="fa-IR"/>
        </w:rPr>
        <w:t xml:space="preserve">، بل نسبه فی جامع المقاصد </w:t>
      </w:r>
      <w:r>
        <w:rPr>
          <w:rStyle w:val="FootnoteAnchor"/>
          <w:rtl w:val="true"/>
        </w:rPr>
        <w:footnoteReference w:id="818"/>
      </w:r>
      <w:r>
        <w:rPr>
          <w:rFonts w:ascii="IRNazanin" w:hAnsi="IRNazanin" w:eastAsia="IRNazanin"/>
          <w:color w:val="111111"/>
          <w:sz w:val="28"/>
          <w:sz w:val="28"/>
          <w:szCs w:val="28"/>
          <w:rtl w:val="true"/>
          <w:lang w:bidi="fa-IR"/>
        </w:rPr>
        <w:t>إلی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بالنسبة إلی ذات القرحة فقط علی الاختلاف الآتی لیس حیضاً، وفاقاً للمحکیّ عن الصدوقین </w:t>
      </w:r>
      <w:r>
        <w:rPr>
          <w:rStyle w:val="FootnoteAnchor"/>
          <w:rtl w:val="true"/>
        </w:rPr>
        <w:footnoteReference w:id="819"/>
      </w:r>
      <w:r>
        <w:rPr>
          <w:rFonts w:ascii="IRNazanin" w:hAnsi="IRNazanin" w:eastAsia="IRNazanin"/>
          <w:color w:val="111111"/>
          <w:sz w:val="28"/>
          <w:sz w:val="28"/>
          <w:szCs w:val="28"/>
          <w:rtl w:val="true"/>
          <w:lang w:bidi="fa-IR"/>
        </w:rPr>
        <w:t xml:space="preserve">و الشیخین </w:t>
      </w:r>
      <w:r>
        <w:rPr>
          <w:rStyle w:val="FootnoteAnchor"/>
          <w:rtl w:val="true"/>
        </w:rPr>
        <w:footnoteReference w:id="820"/>
      </w:r>
      <w:r>
        <w:rPr>
          <w:rFonts w:ascii="IRNazanin" w:hAnsi="IRNazanin" w:eastAsia="IRNazanin"/>
          <w:color w:val="111111"/>
          <w:sz w:val="28"/>
          <w:sz w:val="28"/>
          <w:szCs w:val="28"/>
          <w:rtl w:val="true"/>
          <w:lang w:bidi="fa-IR"/>
        </w:rPr>
        <w:t xml:space="preserve">و القاضی </w:t>
      </w:r>
      <w:r>
        <w:rPr>
          <w:rStyle w:val="FootnoteAnchor"/>
          <w:rtl w:val="true"/>
        </w:rPr>
        <w:footnoteReference w:id="821"/>
      </w:r>
      <w:r>
        <w:rPr>
          <w:rFonts w:ascii="Amiri" w:hAnsi="Amiri" w:eastAsia="Amiri" w:cs="Amiri"/>
          <w:color w:val="111111"/>
          <w:sz w:val="28"/>
          <w:sz w:val="28"/>
          <w:szCs w:val="28"/>
          <w:rtl w:val="true"/>
          <w:lang w:bidi="ar-SA"/>
        </w:rPr>
        <w:t xml:space="preserve">و الحلیّ </w:t>
      </w:r>
      <w:r>
        <w:rPr>
          <w:rStyle w:val="FootnoteAnchor"/>
          <w:rtl w:val="true"/>
        </w:rPr>
        <w:footnoteReference w:id="822"/>
      </w:r>
      <w:r>
        <w:rPr>
          <w:rFonts w:ascii="Amiri" w:hAnsi="Amiri" w:eastAsia="Amiri" w:cs="Amiri"/>
          <w:color w:val="111111"/>
          <w:sz w:val="28"/>
          <w:sz w:val="28"/>
          <w:szCs w:val="28"/>
          <w:rtl w:val="true"/>
          <w:lang w:bidi="ar-SA"/>
        </w:rPr>
        <w:t xml:space="preserve">و ابن حمزة </w:t>
      </w:r>
      <w:r>
        <w:rPr>
          <w:rStyle w:val="FootnoteAnchor"/>
          <w:rtl w:val="true"/>
        </w:rPr>
        <w:footnoteReference w:id="823"/>
      </w:r>
      <w:r>
        <w:rPr>
          <w:rFonts w:ascii="IRNazanin" w:hAnsi="IRNazanin" w:eastAsia="IRNazanin"/>
          <w:color w:val="111111"/>
          <w:sz w:val="28"/>
          <w:sz w:val="28"/>
          <w:szCs w:val="28"/>
          <w:rtl w:val="true"/>
          <w:lang w:bidi="fa-IR"/>
        </w:rPr>
        <w:t xml:space="preserve">و ابن سعید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و المصنّف فی کثیر من کتبه </w:t>
      </w:r>
      <w:r>
        <w:rPr>
          <w:rStyle w:val="FootnoteAnchor"/>
          <w:rtl w:val="true"/>
        </w:rPr>
        <w:footnoteReference w:id="825"/>
      </w:r>
      <w:r>
        <w:rPr>
          <w:rFonts w:ascii="IRNazanin" w:hAnsi="IRNazanin" w:eastAsia="IRNazanin"/>
          <w:color w:val="111111"/>
          <w:sz w:val="28"/>
          <w:sz w:val="28"/>
          <w:szCs w:val="28"/>
          <w:rtl w:val="true"/>
          <w:lang w:bidi="fa-IR"/>
        </w:rPr>
        <w:t xml:space="preserve">، و الشهیدین فی البیان </w:t>
      </w:r>
      <w:r>
        <w:rPr>
          <w:rStyle w:val="FootnoteAnchor"/>
          <w:rtl w:val="true"/>
        </w:rPr>
        <w:footnoteReference w:id="826"/>
      </w:r>
      <w:r>
        <w:rPr>
          <w:rFonts w:ascii="IRNazanin" w:hAnsi="IRNazanin" w:eastAsia="IRNazanin"/>
          <w:color w:val="111111"/>
          <w:sz w:val="28"/>
          <w:sz w:val="28"/>
          <w:szCs w:val="28"/>
          <w:rtl w:val="true"/>
          <w:lang w:bidi="fa-IR"/>
        </w:rPr>
        <w:t xml:space="preserve">و الروض </w:t>
      </w:r>
      <w:r>
        <w:rPr>
          <w:rStyle w:val="FootnoteAnchor"/>
          <w:rtl w:val="true"/>
        </w:rPr>
        <w:footnoteReference w:id="827"/>
      </w:r>
      <w:r>
        <w:rPr>
          <w:rFonts w:ascii="IRNazanin" w:hAnsi="IRNazanin" w:eastAsia="IRNazanin"/>
          <w:color w:val="111111"/>
          <w:sz w:val="28"/>
          <w:sz w:val="28"/>
          <w:szCs w:val="28"/>
          <w:rtl w:val="true"/>
          <w:lang w:bidi="fa-IR"/>
        </w:rPr>
        <w:t xml:space="preserve">، و المحقّق الثانی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الإسکافی عکس المشهور، فجعل الحیض من الجانب الأیمن، و زاد فجعل الاستحاضة من الجانب الأیسر </w:t>
      </w:r>
      <w:r>
        <w:rPr>
          <w:rStyle w:val="FootnoteAnchor"/>
          <w:rtl w:val="true"/>
        </w:rPr>
        <w:footnoteReference w:id="829"/>
      </w:r>
      <w:r>
        <w:rPr>
          <w:rFonts w:ascii="IRNazanin" w:hAnsi="IRNazanin" w:eastAsia="IRNazanin"/>
          <w:color w:val="111111"/>
          <w:sz w:val="28"/>
          <w:sz w:val="28"/>
          <w:szCs w:val="28"/>
          <w:rtl w:val="true"/>
          <w:lang w:bidi="fa-IR"/>
        </w:rPr>
        <w:t xml:space="preserve">، و تبعه علی الجزء الأوّل الشهید فی ظاهر الدروس </w:t>
      </w:r>
      <w:r>
        <w:rPr>
          <w:rStyle w:val="FootnoteAnchor"/>
          <w:rtl w:val="true"/>
        </w:rPr>
        <w:footnoteReference w:id="830"/>
      </w:r>
      <w:r>
        <w:rPr>
          <w:rFonts w:ascii="IRNazanin" w:hAnsi="IRNazanin" w:eastAsia="IRNazanin"/>
          <w:color w:val="111111"/>
          <w:sz w:val="28"/>
          <w:sz w:val="28"/>
          <w:szCs w:val="28"/>
          <w:rtl w:val="true"/>
          <w:lang w:bidi="fa-IR"/>
        </w:rPr>
        <w:t xml:space="preserve">، و ربما حکی عن ابن طاوس أیضاً </w:t>
      </w:r>
      <w:r>
        <w:rPr>
          <w:rStyle w:val="FootnoteAnchor"/>
          <w:rtl w:val="true"/>
        </w:rPr>
        <w:footnoteReference w:id="831"/>
      </w:r>
      <w:r>
        <w:rPr>
          <w:rFonts w:ascii="IRNazanin" w:hAnsi="IRNazanin" w:eastAsia="IRNazanin"/>
          <w:color w:val="111111"/>
          <w:sz w:val="28"/>
          <w:sz w:val="28"/>
          <w:szCs w:val="28"/>
          <w:rtl w:val="true"/>
          <w:lang w:bidi="fa-IR"/>
        </w:rPr>
        <w:t xml:space="preserve">، و اختاره کاشف الغطاء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المحکی عن ظاهر الشرائع </w:t>
      </w:r>
      <w:r>
        <w:rPr>
          <w:rStyle w:val="FootnoteAnchor"/>
          <w:rtl w:val="true"/>
        </w:rPr>
        <w:footnoteReference w:id="833"/>
      </w:r>
      <w:r>
        <w:rPr>
          <w:rFonts w:ascii="IRNazanin" w:hAnsi="IRNazanin" w:eastAsia="IRNazanin"/>
          <w:color w:val="111111"/>
          <w:sz w:val="28"/>
          <w:sz w:val="28"/>
          <w:szCs w:val="28"/>
          <w:rtl w:val="true"/>
          <w:lang w:bidi="fa-IR"/>
        </w:rPr>
        <w:t xml:space="preserve">و المختلف </w:t>
      </w:r>
      <w:r>
        <w:rPr>
          <w:rStyle w:val="FootnoteAnchor"/>
          <w:rtl w:val="true"/>
        </w:rPr>
        <w:footnoteReference w:id="834"/>
      </w:r>
      <w:r>
        <w:rPr>
          <w:rFonts w:ascii="IRNazanin" w:hAnsi="IRNazanin" w:eastAsia="IRNazanin"/>
          <w:color w:val="111111"/>
          <w:sz w:val="28"/>
          <w:sz w:val="28"/>
          <w:szCs w:val="28"/>
          <w:rtl w:val="true"/>
          <w:lang w:bidi="fa-IR"/>
        </w:rPr>
        <w:t xml:space="preserve">و الروض </w:t>
      </w:r>
      <w:r>
        <w:rPr>
          <w:rStyle w:val="FootnoteAnchor"/>
          <w:rtl w:val="true"/>
        </w:rPr>
        <w:footnoteReference w:id="835"/>
      </w:r>
      <w:r>
        <w:rPr>
          <w:rFonts w:ascii="IRNazanin" w:hAnsi="IRNazanin" w:eastAsia="IRNazanin"/>
          <w:color w:val="111111"/>
          <w:sz w:val="28"/>
          <w:sz w:val="28"/>
          <w:szCs w:val="28"/>
          <w:rtl w:val="true"/>
          <w:lang w:bidi="fa-IR"/>
        </w:rPr>
        <w:t xml:space="preserve">و الحدائق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و ربما کان فی محلّه؛ لاختلاف متن الروایة التی هی مستند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الکلینی عن محمّد بن یحیی، رفعه عن أبان،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منّا بها قرحة فی جوفها، و الدم سائل، لا تدری من دم الحیض أو من دم القرحة؟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مرها فلتستلقِ علی ظهرها، ثمّ ترفع رجلیها، ثمّ تستدخل إصبعها الوسطی، فإن خرج الدم من الجانب الأیمن فهو من الحیض، و إن خرج من الجانب الأیسر فهو من القرحة، الخبر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IRNazanin" w:hAnsi="IRNazanin" w:eastAsia="IRNazanin"/>
          <w:color w:val="111111"/>
          <w:sz w:val="28"/>
          <w:sz w:val="28"/>
          <w:szCs w:val="28"/>
          <w:rtl w:val="true"/>
          <w:lang w:bidi="fa-IR"/>
        </w:rPr>
        <w:t>، و الشیخ نقل هذه الروایة بعینها و ساق 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 من الجانب الأیسر فهو من الحیض، و إن خرج من الجانب الأیمن فهو من القرحة</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الشیخ أثبت؛ لموافقتها لما ذکره المفید </w:t>
      </w:r>
      <w:r>
        <w:rPr>
          <w:rStyle w:val="FootnoteAnchor"/>
          <w:rtl w:val="true"/>
        </w:rPr>
        <w:footnoteReference w:id="840"/>
      </w:r>
      <w:r>
        <w:rPr>
          <w:rFonts w:ascii="IRNazanin" w:hAnsi="IRNazanin" w:eastAsia="IRNazanin"/>
          <w:color w:val="111111"/>
          <w:sz w:val="28"/>
          <w:sz w:val="28"/>
          <w:szCs w:val="28"/>
          <w:rtl w:val="true"/>
          <w:lang w:bidi="fa-IR"/>
        </w:rPr>
        <w:t xml:space="preserve">و الصدوق فی المقنع </w:t>
      </w:r>
      <w:r>
        <w:rPr>
          <w:rStyle w:val="FootnoteAnchor"/>
          <w:rtl w:val="true"/>
        </w:rPr>
        <w:footnoteReference w:id="841"/>
      </w:r>
      <w:r>
        <w:rPr>
          <w:rFonts w:ascii="IRNazanin" w:hAnsi="IRNazanin" w:eastAsia="IRNazanin"/>
          <w:color w:val="111111"/>
          <w:sz w:val="28"/>
          <w:sz w:val="28"/>
          <w:szCs w:val="28"/>
          <w:rtl w:val="true"/>
          <w:lang w:bidi="fa-IR"/>
        </w:rPr>
        <w:t xml:space="preserve">و الفقیه </w:t>
      </w:r>
      <w:r>
        <w:rPr>
          <w:rStyle w:val="FootnoteAnchor"/>
          <w:rtl w:val="true"/>
        </w:rPr>
        <w:footnoteReference w:id="842"/>
      </w:r>
      <w:r>
        <w:rPr>
          <w:rFonts w:ascii="IRNazanin" w:hAnsi="IRNazanin" w:eastAsia="IRNazanin"/>
          <w:color w:val="111111"/>
          <w:sz w:val="28"/>
          <w:sz w:val="28"/>
          <w:szCs w:val="28"/>
          <w:rtl w:val="true"/>
          <w:lang w:bidi="fa-IR"/>
        </w:rPr>
        <w:t xml:space="preserve">الذی ضمن بصحّة ما فیه، و کونه مستخرجاً من الکتب المشهورة و والده قدّس سرّه فی رسالته </w:t>
      </w:r>
      <w:r>
        <w:rPr>
          <w:rStyle w:val="FootnoteAnchor"/>
          <w:rtl w:val="true"/>
        </w:rPr>
        <w:footnoteReference w:id="843"/>
      </w:r>
      <w:r>
        <w:rPr>
          <w:rFonts w:ascii="IRNazanin" w:hAnsi="IRNazanin" w:eastAsia="IRNazanin"/>
          <w:color w:val="111111"/>
          <w:sz w:val="28"/>
          <w:sz w:val="28"/>
          <w:szCs w:val="28"/>
          <w:rtl w:val="true"/>
          <w:lang w:bidi="fa-IR"/>
        </w:rPr>
        <w:t xml:space="preserve">التی کان مرجع جمیع من تأخّر عنه عند إعواز النصّ، کما صرّح به غیر واحد </w:t>
      </w:r>
      <w:r>
        <w:rPr>
          <w:rStyle w:val="FootnoteAnchor"/>
          <w:rtl w:val="true"/>
        </w:rPr>
        <w:footnoteReference w:id="844"/>
      </w:r>
      <w:r>
        <w:rPr>
          <w:rFonts w:ascii="IRNazanin" w:hAnsi="IRNazanin" w:eastAsia="IRNazanin"/>
          <w:color w:val="111111"/>
          <w:sz w:val="28"/>
          <w:sz w:val="28"/>
          <w:szCs w:val="28"/>
          <w:rtl w:val="true"/>
          <w:lang w:bidi="fa-IR"/>
        </w:rPr>
        <w:t xml:space="preserve">، و الشیخ فی النهایة </w:t>
      </w:r>
      <w:r>
        <w:rPr>
          <w:rStyle w:val="FootnoteAnchor"/>
          <w:rtl w:val="true"/>
        </w:rPr>
        <w:footnoteReference w:id="845"/>
      </w:r>
      <w:r>
        <w:rPr>
          <w:rFonts w:ascii="IRNazanin" w:hAnsi="IRNazanin" w:eastAsia="IRNazanin"/>
          <w:color w:val="111111"/>
          <w:sz w:val="28"/>
          <w:sz w:val="28"/>
          <w:szCs w:val="28"/>
          <w:rtl w:val="true"/>
          <w:lang w:bidi="fa-IR"/>
        </w:rPr>
        <w:t>، مع</w:t>
      </w:r>
    </w:p>
    <w:p>
      <w:pPr>
        <w:pStyle w:val="BookText"/>
        <w:rPr/>
      </w:pPr>
      <w:r>
        <w:rPr>
          <w:rFonts w:ascii="IRNazanin" w:hAnsi="IRNazanin" w:eastAsia="IRNazanin"/>
          <w:color w:val="111111"/>
          <w:sz w:val="28"/>
          <w:sz w:val="28"/>
          <w:szCs w:val="28"/>
          <w:rtl w:val="true"/>
          <w:lang w:bidi="fa-IR"/>
        </w:rPr>
        <w:t xml:space="preserve">انّ عمله فیها علی ما صحّ عنده من الروایة علی ما قیل </w:t>
      </w:r>
      <w:r>
        <w:rPr>
          <w:rStyle w:val="FootnoteAnchor"/>
          <w:rtl w:val="true"/>
        </w:rPr>
        <w:footnoteReference w:id="846"/>
      </w:r>
      <w:r>
        <w:rPr>
          <w:rFonts w:ascii="IRNazanin" w:hAnsi="IRNazanin" w:eastAsia="IRNazanin"/>
          <w:color w:val="111111"/>
          <w:sz w:val="28"/>
          <w:sz w:val="28"/>
          <w:szCs w:val="28"/>
          <w:rtl w:val="true"/>
          <w:lang w:bidi="fa-IR"/>
        </w:rPr>
        <w:t xml:space="preserve">و للمحکیّ عن الفقه الرضوی </w:t>
      </w:r>
      <w:r>
        <w:rPr>
          <w:rStyle w:val="FootnoteAnchor"/>
          <w:rtl w:val="true"/>
        </w:rPr>
        <w:footnoteReference w:id="847"/>
      </w:r>
      <w:r>
        <w:rPr>
          <w:rFonts w:ascii="IRNazanin" w:hAnsi="IRNazanin" w:eastAsia="IRNazanin"/>
          <w:color w:val="111111"/>
          <w:sz w:val="28"/>
          <w:sz w:val="28"/>
          <w:szCs w:val="28"/>
          <w:rtl w:val="true"/>
          <w:lang w:bidi="fa-IR"/>
        </w:rPr>
        <w:t>، و فیه کما عبّر بعبارته فی الفقیه، ثمّ أسنده إلی رسالة والده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اشتبه دم الحیض بدم القرحة فربما کان فی جوفها قرحة فلتستلقِ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یوافق التهذیب، و لعلّه لذلک کلّه ذکر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الکافی لعلّه سهو من الناسخ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مضافاً إلی الشهرة العظیمة بین القدماء و المتأخّرین، سیّما بعد ملاحظة رجوع الشهید عمّا فی الدروس </w:t>
      </w:r>
      <w:r>
        <w:rPr>
          <w:rStyle w:val="FootnoteAnchor"/>
          <w:rtl w:val="true"/>
        </w:rPr>
        <w:footnoteReference w:id="849"/>
      </w:r>
      <w:r>
        <w:rPr>
          <w:rFonts w:ascii="IRNazanin" w:hAnsi="IRNazanin" w:eastAsia="IRNazanin"/>
          <w:color w:val="111111"/>
          <w:sz w:val="28"/>
          <w:sz w:val="28"/>
          <w:szCs w:val="28"/>
          <w:rtl w:val="true"/>
          <w:lang w:bidi="fa-IR"/>
        </w:rPr>
        <w:t xml:space="preserve">، بل بین النساء، فإنّه المعروف بینهنّ کما صرّح به فی شرح المفاتیح </w:t>
      </w:r>
      <w:r>
        <w:rPr>
          <w:rStyle w:val="FootnoteAnchor"/>
          <w:rtl w:val="true"/>
        </w:rPr>
        <w:footnoteReference w:id="850"/>
      </w:r>
      <w:r>
        <w:rPr>
          <w:rFonts w:ascii="IRNazanin" w:hAnsi="IRNazanin" w:eastAsia="IRNazanin"/>
          <w:color w:val="111111"/>
          <w:sz w:val="28"/>
          <w:sz w:val="28"/>
          <w:szCs w:val="28"/>
          <w:rtl w:val="true"/>
          <w:lang w:bidi="fa-IR"/>
        </w:rPr>
        <w:t>، و کونه موافقاً لما روی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الحائض إذا أرادت أن تستبرء نفسها ألصقت بطنها إلی جدار و رفعت رجلها الیسری</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 فإنّه یدلّ علی أنّ الحیض فی الأیسر کما نبّه به فی جامع المقاصد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یعارض موافقة روایة الشیخ لما ذکره المفید و الصدوقان </w:t>
      </w:r>
      <w:r>
        <w:rPr>
          <w:rStyle w:val="FootnoteAnchor"/>
          <w:rtl w:val="true"/>
        </w:rPr>
        <w:footnoteReference w:id="853"/>
      </w:r>
      <w:r>
        <w:rPr>
          <w:rFonts w:ascii="IRNazanin" w:hAnsi="IRNazanin" w:eastAsia="IRNazanin"/>
          <w:color w:val="111111"/>
          <w:sz w:val="28"/>
          <w:sz w:val="28"/>
          <w:szCs w:val="28"/>
          <w:rtl w:val="true"/>
          <w:lang w:bidi="fa-IR"/>
        </w:rPr>
        <w:t xml:space="preserve">بما هو معروف من ضبط الکلینی و تقدّمه فی الحدیث، و ما فی المعتبر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معارض بما عن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بکون الأیسر علامة للحیض إنّما هو موجود فی بعض نسخ التهذیب الجدیدة، و القطع بأنّه تدلیس </w:t>
      </w:r>
      <w:r>
        <w:rPr>
          <w:rStyle w:val="FootnoteAnchor"/>
          <w:rtl w:val="true"/>
        </w:rPr>
        <w:footnoteReference w:id="855"/>
      </w:r>
      <w:r>
        <w:rPr>
          <w:rFonts w:ascii="IRNazanin" w:hAnsi="IRNazanin" w:eastAsia="IRNazanin"/>
          <w:color w:val="111111"/>
          <w:sz w:val="28"/>
          <w:sz w:val="28"/>
          <w:szCs w:val="28"/>
          <w:rtl w:val="true"/>
          <w:lang w:bidi="fa-IR"/>
        </w:rPr>
        <w:t>، بل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النسخ الجدیدة للتهذیب موافق لما فی الکافی </w:t>
      </w:r>
      <w:r>
        <w:rPr>
          <w:rStyle w:val="FootnoteAnchor"/>
          <w:rtl w:val="true"/>
        </w:rPr>
        <w:footnoteReference w:id="856"/>
      </w:r>
      <w:r>
        <w:rPr>
          <w:rFonts w:ascii="IRNazanin" w:hAnsi="IRNazanin" w:eastAsia="IRNazanin"/>
          <w:color w:val="111111"/>
          <w:sz w:val="28"/>
          <w:sz w:val="28"/>
          <w:szCs w:val="28"/>
          <w:rtl w:val="true"/>
          <w:lang w:bidi="fa-IR"/>
        </w:rPr>
        <w:t>، فیمکن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الکافی حجّة سالمة من الاضطراب و المعارض، بل الاضطراب و التعارض إنّما هو فی نسخ التهذیب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الشهرة فهی بین أرباب الحدیث غیر ثابتة، و بین أهل الفتوی ناشئة عن الترجیحات الاجتهادیة، مع أنّ تعیین الروایة بالشهرة فی الحقیقة قول بحجّیة الشهرة فقط؛ إذ لیس المقام مقام الانجبار، و لا من قبیل تعارض الأخبار،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و لو من جهة ظاهر الحکایة الحاکم علی أصالة الاتّحاد تعدّد الروایتین أمکن ترجیح ما فی التهذیب بموافقة المشهور، لکنّ الظاهر بل المقطوع اتّحاد الروایة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شهرة ما ذکر بین النساء، فهی غیر ثابتة، مع معارضتها بما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القرحة غالباً فی طرف الأمعاء و القلب </w:t>
      </w:r>
      <w:r>
        <w:rPr>
          <w:rStyle w:val="FootnoteAnchor"/>
          <w:rtl w:val="true"/>
        </w:rPr>
        <w:footnoteReference w:id="857"/>
      </w:r>
      <w:r>
        <w:rPr>
          <w:rFonts w:ascii="IRNazanin" w:hAnsi="IRNazanin" w:eastAsia="IRNazanin"/>
          <w:color w:val="111111"/>
          <w:sz w:val="28"/>
          <w:sz w:val="28"/>
          <w:szCs w:val="28"/>
          <w:rtl w:val="true"/>
          <w:lang w:bidi="fa-IR"/>
        </w:rPr>
        <w:t>، مع أنّ ثبوت شهادتهنّ فی ذات القرحة ممنوع جدّاً، و فی غیرها لا یجدی بناءً علی عدم الاعتبار بالجانب فی غیر صورة الاشتباه بالقرحة، کما سیجی‌ء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رفع الرجل الیسری فی الاستبراء، فمعارضة بروایةٍ أُخری </w:t>
      </w:r>
      <w:r>
        <w:rPr>
          <w:rStyle w:val="FootnoteAnchor"/>
          <w:rtl w:val="true"/>
        </w:rPr>
        <w:footnoteReference w:id="858"/>
      </w:r>
      <w:r>
        <w:rPr>
          <w:rFonts w:ascii="IRNazanin" w:hAnsi="IRNazanin" w:eastAsia="IRNazanin"/>
          <w:color w:val="111111"/>
          <w:sz w:val="28"/>
          <w:sz w:val="28"/>
          <w:szCs w:val="28"/>
          <w:rtl w:val="true"/>
          <w:lang w:bidi="fa-IR"/>
        </w:rPr>
        <w:t>دالّةٍ علی رفع الرجل الیمنی عند الاستبراء و إن کانت الأُولی أصحّ، مع أنّ فی دلالتها علی المطلوب تأمّلًا، بل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محلّ إشکال، و العمل علی المشهور؛ لإفادة الشهرة الظنّ بصدور روایة التهذیب، بل لو قیل بحجّیة الشهرة بناءً علی کشفها قطعاً عن صدور روایة ظنّیة لم یکن بعیداً، کما ثبت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فی المعتبر بعد نقل القولین و الروایة علی روایة الکلینی و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الأقوال فی ذلک مضطربة لا محصّل لها، و قول ابن الجنید یشابه ما تضمّنه روایة الکلینی، و الروایة مقطوعة فلا عمل بها </w:t>
      </w:r>
      <w:r>
        <w:rPr>
          <w:rStyle w:val="FootnoteAnchor"/>
          <w:rtl w:val="true"/>
        </w:rPr>
        <w:footnoteReference w:id="8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علی ذلک فی المدارک حیث إنّه بعد ذکر الاختلاف فی الفتوی و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فالأجود اطراح الروایة کما ذکره المصنّف فی المعتبر </w:t>
      </w:r>
      <w:r>
        <w:rPr>
          <w:rStyle w:val="FootnoteAnchor"/>
          <w:rtl w:val="true"/>
        </w:rPr>
        <w:footnoteReference w:id="860"/>
      </w:r>
      <w:r>
        <w:rPr>
          <w:rFonts w:ascii="IRNazanin" w:hAnsi="IRNazanin" w:eastAsia="IRNazanin"/>
          <w:color w:val="111111"/>
          <w:sz w:val="28"/>
          <w:sz w:val="28"/>
          <w:szCs w:val="28"/>
          <w:rtl w:val="true"/>
          <w:lang w:bidi="fa-IR"/>
        </w:rPr>
        <w:t xml:space="preserve">لضعفها و إرسالها و اضطرابها و مخالفتها للاعتبار؛ لأنّ القرحة یحتمل کونها فی کلّ من الجانبین، فالأولی الرجوع إلی حکم الأصل و اعتبار الأوصاف </w:t>
      </w:r>
      <w:r>
        <w:rPr>
          <w:rStyle w:val="FootnoteAnchor"/>
          <w:rtl w:val="true"/>
        </w:rPr>
        <w:footnoteReference w:id="8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علی ذلک فی الذخیرة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ضعفها بالإرسال، فلا ینبغی التأمّل فی انجباره بالشهرة بین</w:t>
      </w:r>
    </w:p>
    <w:p>
      <w:pPr>
        <w:pStyle w:val="BookText"/>
        <w:rPr/>
      </w:pPr>
      <w:r>
        <w:rPr>
          <w:rFonts w:ascii="IRNazanin" w:hAnsi="IRNazanin" w:eastAsia="IRNazanin"/>
          <w:color w:val="111111"/>
          <w:sz w:val="28"/>
          <w:sz w:val="28"/>
          <w:szCs w:val="28"/>
          <w:rtl w:val="true"/>
          <w:lang w:bidi="fa-IR"/>
        </w:rPr>
        <w:t>أهل الروایة و الفتوی، فلا إشکال فیها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اضطرابها من حیث المتن، فلا یوجب طرحها؛ لأنّ المفروض بعد اعتبار السند الحکم بصدور إحدی العبارتین عن الإمام علیه السلام، فهی مخصّصة لأدلّة الصفات و غیرها بما عدا صورة اشتباه الحیض بالقرحة، فاللازم بعد انتفاء المرجّح التخییر، لا الطرح و الرجوع إلی العمومات، إلّا أنّک قد عرفت أنّ روایة التهذیب لا تخلو من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فالأقوی اختصاص مراعاة الجانب بصورة اشتباه الحیض بالقرحة لا مطلقاً؛ وفاقاً للأکثر، فلو خرج الدم بصفات الحیض و شروطه من الجانب المخالف مع عدم القرحة فلا یمنع ذلک عن جعله حیضاً، خلافاً للمحکیّ عن الإسکافی فأخذ فی تعریف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عن الأیمن، و فی تعریف الاستحاضة الخروج من الأیسر، علی ما حکاه فی المعتبر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للمصنّف هنا؛ تبعاً للمنسوب فی الشرائع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 الخروج من الأیسر مطلقاً </w:t>
      </w:r>
      <w:r>
        <w:rPr>
          <w:rStyle w:val="FootnoteAnchor"/>
          <w:rtl w:val="true"/>
        </w:rPr>
        <w:footnoteReference w:id="864"/>
      </w:r>
      <w:r>
        <w:rPr>
          <w:rFonts w:ascii="IRNazanin" w:hAnsi="IRNazanin" w:eastAsia="IRNazanin"/>
          <w:color w:val="111111"/>
          <w:sz w:val="28"/>
          <w:sz w:val="28"/>
          <w:szCs w:val="28"/>
          <w:rtl w:val="true"/>
          <w:lang w:bidi="fa-IR"/>
        </w:rPr>
        <w:t>، و هو ضعیف؛ لوجوب الاقتصار فی تخصیص القواعد إلی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التعدّی عنه باعتبار أنّ الجانب إن کان له مدخل لم یختصّ ذلک بصورة الاشتباه بالقرحة، مدفوع بأنّه مجرّد اعتبار لا یخصّص العمومات الکثیرة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استمرار السیرة علی عدم مراعاة الجانب، و حکی عن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الحیض یخرج من الجانبین؛ لأنّ فم الرحم تارةً</w:t>
      </w:r>
      <w:bookmarkStart w:id="130" w:name="pg13039_115248"/>
    </w:p>
    <w:p>
      <w:pPr>
        <w:pStyle w:val="BookText"/>
        <w:rPr/>
      </w:pPr>
      <w:bookmarkEnd w:id="130"/>
      <w:r>
        <w:rPr>
          <w:rFonts w:ascii="IRNazanin" w:hAnsi="IRNazanin" w:eastAsia="IRNazanin"/>
          <w:color w:val="111111"/>
          <w:sz w:val="28"/>
          <w:sz w:val="28"/>
          <w:szCs w:val="28"/>
          <w:rtl w:val="true"/>
          <w:lang w:bidi="fa-IR"/>
        </w:rPr>
        <w:t xml:space="preserve">یمیل إلی الیمین و تارةً إلی الیسار </w:t>
      </w:r>
      <w:r>
        <w:rPr>
          <w:rStyle w:val="FootnoteAnchor"/>
          <w:rtl w:val="true"/>
        </w:rPr>
        <w:footnoteReference w:id="865"/>
      </w:r>
      <w:r>
        <w:rPr>
          <w:rFonts w:ascii="IRNazanin" w:hAnsi="IRNazanin" w:eastAsia="IRNazanin"/>
          <w:color w:val="111111"/>
          <w:sz w:val="28"/>
          <w:sz w:val="28"/>
          <w:szCs w:val="28"/>
          <w:rtl w:val="true"/>
          <w:lang w:bidi="fa-IR"/>
        </w:rPr>
        <w:t>، و لا ینافیه حکم الشارع بما ذکر فی ذات القرحة؛ لاحتمال کون الغالب خروج الحیض من الأیسر فاعتبره الشارع فی مورد خاصّ،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الأکثر و إن أطلقوا کون الجانب میزاناً عند اشتباه الحیض بالقرحة، إلّا أنّ الظاهر أنّهم یریدون هذا الاشتباه فی خصوص ذات القرحة، کما فهمه فی الروض </w:t>
      </w:r>
      <w:r>
        <w:rPr>
          <w:rStyle w:val="FootnoteAnchor"/>
          <w:rtl w:val="true"/>
        </w:rPr>
        <w:footnoteReference w:id="866"/>
      </w:r>
      <w:r>
        <w:rPr>
          <w:rFonts w:ascii="IRNazanin" w:hAnsi="IRNazanin" w:eastAsia="IRNazanin"/>
          <w:color w:val="111111"/>
          <w:sz w:val="28"/>
          <w:sz w:val="28"/>
          <w:szCs w:val="28"/>
          <w:rtl w:val="true"/>
          <w:lang w:bidi="fa-IR"/>
        </w:rPr>
        <w:t xml:space="preserve">من کلامهم، و یستفاد من عبارة الصدوقین و الرضوی </w:t>
      </w:r>
      <w:r>
        <w:rPr>
          <w:rStyle w:val="FootnoteAnchor"/>
          <w:rtl w:val="true"/>
        </w:rPr>
        <w:footnoteReference w:id="867"/>
      </w:r>
      <w:r>
        <w:rPr>
          <w:rFonts w:ascii="IRNazanin" w:hAnsi="IRNazanin" w:eastAsia="IRNazanin"/>
          <w:color w:val="111111"/>
          <w:sz w:val="28"/>
          <w:sz w:val="28"/>
          <w:szCs w:val="28"/>
          <w:rtl w:val="true"/>
          <w:lang w:bidi="fa-IR"/>
        </w:rPr>
        <w:t>، لا مجرّد احتمال القرحة و إن لم یعلم بها، فلا یجب الفحص عن الجانب و إن احتمل القرحة فیما یمکن فیه 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الأحوط مراعاة الکیفیة المذکورة فی الروایة؛ لاحتمال أن یکون له تأثیر فی أصل خروج الدم من أحد الجانبین أو فی العلم بخروجه منه، و الکلام هنا فی عدم الفرق بین صورة سبق القرحة أو سبق الحیض أو </w:t>
      </w:r>
      <w:r>
        <w:rPr>
          <w:rStyle w:val="FootnoteAnchor"/>
          <w:rtl w:val="true"/>
        </w:rPr>
        <w:footnoteReference w:id="868"/>
      </w:r>
      <w:r>
        <w:rPr>
          <w:rFonts w:ascii="IRNazanin" w:hAnsi="IRNazanin" w:eastAsia="IRNazanin"/>
          <w:color w:val="111111"/>
          <w:sz w:val="28"/>
          <w:sz w:val="28"/>
          <w:szCs w:val="28"/>
          <w:rtl w:val="true"/>
          <w:lang w:bidi="fa-IR"/>
        </w:rPr>
        <w:t>الدوران بینهما ابتداءً نظیر ما عرفت فی الاشتباه بالعُذْرَة، و کذا حکم صورة تعذّر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کاشف الغطاء </w:t>
      </w:r>
      <w:r>
        <w:rPr>
          <w:rStyle w:val="FootnoteAnchor"/>
          <w:rtl w:val="true"/>
        </w:rPr>
        <w:footnoteReference w:id="869"/>
      </w:r>
      <w:r>
        <w:rPr>
          <w:rFonts w:ascii="IRNazanin" w:hAnsi="IRNazanin" w:eastAsia="IRNazanin"/>
          <w:color w:val="111111"/>
          <w:sz w:val="28"/>
          <w:sz w:val="28"/>
          <w:szCs w:val="28"/>
          <w:rtl w:val="true"/>
          <w:lang w:bidi="fa-IR"/>
        </w:rPr>
        <w:t>بالقرح الجرح؛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التمیّز بینهما فی الباطن، أو لأنّهما فی 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نظر</w:t>
      </w:r>
      <w:r>
        <w:rPr>
          <w:rFonts w:eastAsia="IRNazanin" w:cs="IRNazanin"/>
          <w:color w:val="111111"/>
          <w:sz w:val="28"/>
          <w:szCs w:val="28"/>
          <w:rtl w:val="true"/>
          <w:lang w:bidi="fa-IR"/>
        </w:rPr>
        <w:t>.</w:t>
      </w:r>
    </w:p>
    <w:p>
      <w:pPr>
        <w:pStyle w:val="Heading6"/>
        <w:numPr>
          <w:ilvl w:val="5"/>
          <w:numId w:val="1"/>
        </w:numPr>
        <w:rPr/>
      </w:pPr>
      <w:bookmarkStart w:id="131" w:name="__RefHeading___Toc6451958_3224264995"/>
      <w:bookmarkStart w:id="132" w:name="_Toc50"/>
      <w:bookmarkEnd w:id="131"/>
      <w:r>
        <w:rPr>
          <w:rtl w:val="true"/>
        </w:rPr>
        <w:t>[</w:t>
      </w:r>
      <w:r>
        <w:rPr>
          <w:rtl w:val="true"/>
        </w:rPr>
        <w:t>لو رأت المرأة الدم بعد سنّ الیأس</w:t>
      </w:r>
      <w:r>
        <w:rPr>
          <w:rtl w:val="true"/>
        </w:rPr>
        <w:t>]</w:t>
      </w:r>
      <w:bookmarkEnd w:id="13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لا إشکال فی أنّ الخارج من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بلوغها</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بحیض بلا خلاف فیه بین أهل العلم، کما عن المعتبر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الخلاف فیما یتحقّق به الیأس من السنّ، فعن النهایة </w:t>
      </w:r>
      <w:r>
        <w:rPr>
          <w:rStyle w:val="FootnoteAnchor"/>
          <w:rtl w:val="true"/>
        </w:rPr>
        <w:footnoteReference w:id="871"/>
      </w:r>
      <w:r>
        <w:rPr>
          <w:rFonts w:ascii="IRNazanin" w:hAnsi="IRNazanin" w:eastAsia="IRNazanin"/>
          <w:color w:val="111111"/>
          <w:sz w:val="28"/>
          <w:sz w:val="28"/>
          <w:szCs w:val="28"/>
          <w:rtl w:val="true"/>
          <w:lang w:bidi="fa-IR"/>
        </w:rPr>
        <w:t xml:space="preserve">و الجمل </w:t>
      </w:r>
      <w:r>
        <w:rPr>
          <w:rStyle w:val="FootnoteAnchor"/>
          <w:rtl w:val="true"/>
        </w:rPr>
        <w:footnoteReference w:id="872"/>
      </w:r>
      <w:r>
        <w:rPr>
          <w:rFonts w:ascii="IRNazanin" w:hAnsi="IRNazanin" w:eastAsia="IRNazanin"/>
          <w:color w:val="111111"/>
          <w:sz w:val="28"/>
          <w:sz w:val="28"/>
          <w:szCs w:val="28"/>
          <w:rtl w:val="true"/>
          <w:lang w:bidi="fa-IR"/>
        </w:rPr>
        <w:t xml:space="preserve">و السرائر </w:t>
      </w:r>
      <w:r>
        <w:rPr>
          <w:rStyle w:val="FootnoteAnchor"/>
          <w:rtl w:val="true"/>
        </w:rPr>
        <w:footnoteReference w:id="873"/>
      </w:r>
      <w:r>
        <w:rPr>
          <w:rFonts w:ascii="Amiri" w:hAnsi="Amiri" w:eastAsia="Amiri" w:cs="Amiri"/>
          <w:color w:val="111111"/>
          <w:sz w:val="28"/>
          <w:sz w:val="28"/>
          <w:szCs w:val="28"/>
          <w:rtl w:val="true"/>
          <w:lang w:bidi="ar-SA"/>
        </w:rPr>
        <w:t xml:space="preserve">و المهذّب </w:t>
      </w:r>
      <w:r>
        <w:rPr>
          <w:rStyle w:val="FootnoteAnchor"/>
          <w:rtl w:val="true"/>
        </w:rPr>
        <w:footnoteReference w:id="874"/>
      </w:r>
      <w:r>
        <w:rPr>
          <w:rFonts w:ascii="IRNazanin" w:hAnsi="IRNazanin" w:eastAsia="IRNazanin"/>
          <w:color w:val="111111"/>
          <w:sz w:val="28"/>
          <w:sz w:val="28"/>
          <w:szCs w:val="28"/>
          <w:rtl w:val="true"/>
          <w:lang w:bidi="fa-IR"/>
        </w:rPr>
        <w:t xml:space="preserve">و طلاق الشرائع </w:t>
      </w:r>
      <w:r>
        <w:rPr>
          <w:rStyle w:val="FootnoteAnchor"/>
          <w:rtl w:val="true"/>
        </w:rPr>
        <w:footnoteReference w:id="875"/>
      </w:r>
      <w:r>
        <w:rPr>
          <w:rFonts w:ascii="IRNazanin" w:hAnsi="IRNazanin" w:eastAsia="IRNazanin"/>
          <w:color w:val="111111"/>
          <w:sz w:val="28"/>
          <w:sz w:val="28"/>
          <w:szCs w:val="28"/>
          <w:rtl w:val="true"/>
          <w:lang w:bidi="fa-IR"/>
        </w:rPr>
        <w:t xml:space="preserve">و المنتهی </w:t>
      </w:r>
      <w:r>
        <w:rPr>
          <w:rStyle w:val="FootnoteAnchor"/>
          <w:rtl w:val="true"/>
        </w:rPr>
        <w:footnoteReference w:id="876"/>
      </w:r>
      <w:r>
        <w:rPr>
          <w:rFonts w:ascii="IRNazanin" w:hAnsi="IRNazanin" w:eastAsia="IRNazanin"/>
          <w:color w:val="111111"/>
          <w:sz w:val="28"/>
          <w:sz w:val="28"/>
          <w:szCs w:val="28"/>
          <w:rtl w:val="true"/>
          <w:lang w:bidi="fa-IR"/>
        </w:rPr>
        <w:t xml:space="preserve">و المدارک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یتحقّق ببلوغ خمسین سنة مطلقاً؛ لصحیحة ابن الحجّاج المتقدّمة فی حدّ البلوغ </w:t>
      </w:r>
      <w:r>
        <w:rPr>
          <w:rStyle w:val="FootnoteAnchor"/>
          <w:rtl w:val="true"/>
        </w:rPr>
        <w:footnoteReference w:id="878"/>
      </w:r>
      <w:r>
        <w:rPr>
          <w:rFonts w:ascii="IRNazanin" w:hAnsi="IRNazanin" w:eastAsia="IRNazanin"/>
          <w:color w:val="111111"/>
          <w:sz w:val="28"/>
          <w:sz w:val="28"/>
          <w:szCs w:val="28"/>
          <w:rtl w:val="true"/>
          <w:lang w:bidi="fa-IR"/>
        </w:rPr>
        <w:t>، و مرسلة البزنطی المحکیّة فی المعتبر عن جامعه 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التی قد یئست من المحیض حدّها خمسون سنة</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الشرائع </w:t>
      </w:r>
      <w:r>
        <w:rPr>
          <w:rStyle w:val="FootnoteAnchor"/>
          <w:rtl w:val="true"/>
        </w:rPr>
        <w:footnoteReference w:id="880"/>
      </w:r>
      <w:r>
        <w:rPr>
          <w:rFonts w:ascii="IRNazanin" w:hAnsi="IRNazanin" w:eastAsia="IRNazanin"/>
          <w:color w:val="111111"/>
          <w:sz w:val="28"/>
          <w:sz w:val="28"/>
          <w:szCs w:val="28"/>
          <w:rtl w:val="true"/>
          <w:lang w:bidi="fa-IR"/>
        </w:rPr>
        <w:t xml:space="preserve">هنا، و المحکی عن بعض کتب المصنّف أیضاً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یتحقّق ببلوغ ستّین، و مال إلیه فی مجمع الفائدة </w:t>
      </w:r>
      <w:r>
        <w:rPr>
          <w:rStyle w:val="FootnoteAnchor"/>
          <w:rtl w:val="true"/>
        </w:rPr>
        <w:footnoteReference w:id="882"/>
      </w:r>
      <w:r>
        <w:rPr>
          <w:rFonts w:ascii="IRNazanin" w:hAnsi="IRNazanin" w:eastAsia="IRNazanin"/>
          <w:color w:val="111111"/>
          <w:sz w:val="28"/>
          <w:sz w:val="28"/>
          <w:szCs w:val="28"/>
          <w:rtl w:val="true"/>
          <w:lang w:bidi="fa-IR"/>
        </w:rPr>
        <w:t>للأُصول و قاعدة الإمکان،</w:t>
      </w:r>
    </w:p>
    <w:p>
      <w:pPr>
        <w:pStyle w:val="BookText"/>
        <w:rPr/>
      </w:pPr>
      <w:r>
        <w:rPr>
          <w:rFonts w:ascii="IRNazanin" w:hAnsi="IRNazanin" w:eastAsia="IRNazanin"/>
          <w:color w:val="111111"/>
          <w:sz w:val="28"/>
          <w:sz w:val="28"/>
          <w:szCs w:val="28"/>
          <w:rtl w:val="true"/>
          <w:lang w:bidi="fa-IR"/>
        </w:rPr>
        <w:t xml:space="preserve">و مرسلة الکافی </w:t>
      </w:r>
      <w:r>
        <w:rPr>
          <w:rStyle w:val="FootnoteAnchor"/>
          <w:rtl w:val="true"/>
        </w:rPr>
        <w:footnoteReference w:id="883"/>
      </w:r>
      <w:r>
        <w:rPr>
          <w:rFonts w:ascii="IRNazanin" w:hAnsi="IRNazanin" w:eastAsia="IRNazanin"/>
          <w:color w:val="111111"/>
          <w:sz w:val="28"/>
          <w:sz w:val="28"/>
          <w:szCs w:val="28"/>
          <w:rtl w:val="true"/>
          <w:lang w:bidi="fa-IR"/>
        </w:rPr>
        <w:t>و کأنها موثّقة ابن الحجّاج أو حسنته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یئست من المحیض، و 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التی یئست من المحیض و مثلها لا تحیض؟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ستّین سنة فقد یئست من المحیض، و مثلها لا تحیض</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تقیید إطلاقی الخمسین و الستّین و إن بعد الثانی بمرسلة ابن أبی عمیر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المرأة خمسین سنة لم ترَ حمرة، إلّا أن تکون امرأة من قریش</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وفاقاً للمحکیّ عن الفقیه </w:t>
      </w:r>
      <w:r>
        <w:rPr>
          <w:rStyle w:val="FootnoteAnchor"/>
          <w:rtl w:val="true"/>
        </w:rPr>
        <w:footnoteReference w:id="886"/>
      </w:r>
      <w:r>
        <w:rPr>
          <w:rFonts w:ascii="Amiri" w:hAnsi="Amiri" w:eastAsia="Amiri" w:cs="Amiri"/>
          <w:color w:val="111111"/>
          <w:sz w:val="28"/>
          <w:sz w:val="28"/>
          <w:szCs w:val="28"/>
          <w:rtl w:val="true"/>
          <w:lang w:bidi="ar-SA"/>
        </w:rPr>
        <w:t xml:space="preserve">و المقنعة </w:t>
      </w:r>
      <w:r>
        <w:rPr>
          <w:rStyle w:val="FootnoteAnchor"/>
          <w:rtl w:val="true"/>
        </w:rPr>
        <w:footnoteReference w:id="887"/>
      </w:r>
      <w:r>
        <w:rPr>
          <w:rFonts w:ascii="IRNazanin" w:hAnsi="IRNazanin" w:eastAsia="IRNazanin"/>
          <w:color w:val="111111"/>
          <w:sz w:val="28"/>
          <w:sz w:val="28"/>
          <w:szCs w:val="28"/>
          <w:rtl w:val="true"/>
          <w:lang w:bidi="fa-IR"/>
        </w:rPr>
        <w:t xml:space="preserve">و المبسوط </w:t>
      </w:r>
      <w:r>
        <w:rPr>
          <w:rStyle w:val="FootnoteAnchor"/>
          <w:rtl w:val="true"/>
        </w:rPr>
        <w:footnoteReference w:id="888"/>
      </w:r>
      <w:r>
        <w:rPr>
          <w:rFonts w:ascii="IRNazanin" w:hAnsi="IRNazanin" w:eastAsia="IRNazanin"/>
          <w:color w:val="111111"/>
          <w:sz w:val="28"/>
          <w:sz w:val="28"/>
          <w:szCs w:val="28"/>
          <w:rtl w:val="true"/>
          <w:lang w:bidi="fa-IR"/>
        </w:rPr>
        <w:t xml:space="preserve">و الوسیلة </w:t>
      </w:r>
      <w:r>
        <w:rPr>
          <w:rStyle w:val="FootnoteAnchor"/>
          <w:rtl w:val="true"/>
        </w:rPr>
        <w:footnoteReference w:id="889"/>
      </w:r>
      <w:r>
        <w:rPr>
          <w:rFonts w:ascii="IRNazanin" w:hAnsi="IRNazanin" w:eastAsia="IRNazanin"/>
          <w:color w:val="111111"/>
          <w:sz w:val="28"/>
          <w:sz w:val="28"/>
          <w:szCs w:val="28"/>
          <w:rtl w:val="true"/>
          <w:lang w:bidi="fa-IR"/>
        </w:rPr>
        <w:t xml:space="preserve">و الجامع </w:t>
      </w:r>
      <w:r>
        <w:rPr>
          <w:rStyle w:val="FootnoteAnchor"/>
          <w:rtl w:val="true"/>
        </w:rPr>
        <w:footnoteReference w:id="890"/>
      </w:r>
      <w:r>
        <w:rPr>
          <w:rFonts w:ascii="IRNazanin" w:hAnsi="IRNazanin" w:eastAsia="IRNazanin"/>
          <w:color w:val="111111"/>
          <w:sz w:val="28"/>
          <w:sz w:val="28"/>
          <w:szCs w:val="28"/>
          <w:rtl w:val="true"/>
          <w:lang w:bidi="fa-IR"/>
        </w:rPr>
        <w:t xml:space="preserve">و المعتبر </w:t>
      </w:r>
      <w:r>
        <w:rPr>
          <w:rStyle w:val="FootnoteAnchor"/>
          <w:rtl w:val="true"/>
        </w:rPr>
        <w:footnoteReference w:id="891"/>
      </w:r>
      <w:r>
        <w:rPr>
          <w:rFonts w:ascii="IRNazanin" w:hAnsi="IRNazanin" w:eastAsia="IRNazanin"/>
          <w:color w:val="111111"/>
          <w:sz w:val="28"/>
          <w:sz w:val="28"/>
          <w:szCs w:val="28"/>
          <w:rtl w:val="true"/>
          <w:lang w:bidi="fa-IR"/>
        </w:rPr>
        <w:t xml:space="preserve">و التذکرة </w:t>
      </w:r>
      <w:r>
        <w:rPr>
          <w:rStyle w:val="FootnoteAnchor"/>
          <w:rtl w:val="true"/>
        </w:rPr>
        <w:footnoteReference w:id="892"/>
      </w:r>
      <w:r>
        <w:rPr>
          <w:rFonts w:ascii="IRNazanin" w:hAnsi="IRNazanin" w:eastAsia="IRNazanin"/>
          <w:color w:val="111111"/>
          <w:sz w:val="28"/>
          <w:sz w:val="28"/>
          <w:szCs w:val="28"/>
          <w:rtl w:val="true"/>
          <w:lang w:bidi="fa-IR"/>
        </w:rPr>
        <w:t xml:space="preserve">و کتب الشهیدین </w:t>
      </w:r>
      <w:r>
        <w:rPr>
          <w:rStyle w:val="FootnoteAnchor"/>
          <w:rtl w:val="true"/>
        </w:rPr>
        <w:footnoteReference w:id="89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94"/>
      </w:r>
      <w:r>
        <w:rPr>
          <w:rFonts w:ascii="IRNazanin" w:hAnsi="IRNazanin" w:eastAsia="IRNazanin"/>
          <w:color w:val="111111"/>
          <w:sz w:val="28"/>
          <w:sz w:val="28"/>
          <w:szCs w:val="28"/>
          <w:rtl w:val="true"/>
          <w:lang w:bidi="fa-IR"/>
        </w:rPr>
        <w:t>، بل عن جملة من کتب</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بل عن التبیان </w:t>
      </w:r>
      <w:r>
        <w:rPr>
          <w:rStyle w:val="FootnoteAnchor"/>
          <w:rtl w:val="true"/>
        </w:rPr>
        <w:footnoteReference w:id="896"/>
      </w:r>
      <w:r>
        <w:rPr>
          <w:rFonts w:ascii="IRNazanin" w:hAnsi="IRNazanin" w:eastAsia="IRNazanin"/>
          <w:color w:val="111111"/>
          <w:sz w:val="28"/>
          <w:sz w:val="28"/>
          <w:szCs w:val="28"/>
          <w:rtl w:val="true"/>
          <w:lang w:bidi="fa-IR"/>
        </w:rPr>
        <w:t xml:space="preserve">و مجمع البیان </w:t>
      </w:r>
      <w:r>
        <w:rPr>
          <w:rStyle w:val="FootnoteAnchor"/>
          <w:rtl w:val="true"/>
        </w:rPr>
        <w:footnoteReference w:id="897"/>
      </w:r>
      <w:r>
        <w:rPr>
          <w:rFonts w:ascii="IRNazanin" w:hAnsi="IRNazanin" w:eastAsia="IRNazanin"/>
          <w:color w:val="111111"/>
          <w:sz w:val="28"/>
          <w:sz w:val="28"/>
          <w:szCs w:val="28"/>
          <w:rtl w:val="true"/>
          <w:lang w:bidi="fa-IR"/>
        </w:rPr>
        <w:t>نسبته إلی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جملة من هؤلاء ألحقوا النبطیة بالقرشیة، کما عن الوسیلة </w:t>
      </w:r>
      <w:r>
        <w:rPr>
          <w:rStyle w:val="FootnoteAnchor"/>
          <w:rtl w:val="true"/>
        </w:rPr>
        <w:footnoteReference w:id="898"/>
      </w:r>
      <w:r>
        <w:rPr>
          <w:rFonts w:ascii="IRNazanin" w:hAnsi="IRNazanin" w:eastAsia="IRNazanin"/>
          <w:color w:val="111111"/>
          <w:sz w:val="28"/>
          <w:sz w:val="28"/>
          <w:szCs w:val="28"/>
          <w:rtl w:val="true"/>
          <w:lang w:bidi="fa-IR"/>
        </w:rPr>
        <w:t xml:space="preserve">و الجامع </w:t>
      </w:r>
      <w:r>
        <w:rPr>
          <w:rStyle w:val="FootnoteAnchor"/>
          <w:rtl w:val="true"/>
        </w:rPr>
        <w:footnoteReference w:id="899"/>
      </w:r>
      <w:r>
        <w:rPr>
          <w:rFonts w:ascii="IRNazanin" w:hAnsi="IRNazanin" w:eastAsia="IRNazanin"/>
          <w:color w:val="111111"/>
          <w:sz w:val="28"/>
          <w:sz w:val="28"/>
          <w:szCs w:val="28"/>
          <w:rtl w:val="true"/>
          <w:lang w:bidi="fa-IR"/>
        </w:rPr>
        <w:t xml:space="preserve">و التذکرة </w:t>
      </w:r>
      <w:r>
        <w:rPr>
          <w:rStyle w:val="FootnoteAnchor"/>
          <w:rtl w:val="true"/>
        </w:rPr>
        <w:footnoteReference w:id="900"/>
      </w:r>
      <w:r>
        <w:rPr>
          <w:rFonts w:ascii="IRNazanin" w:hAnsi="IRNazanin" w:eastAsia="IRNazanin"/>
          <w:color w:val="111111"/>
          <w:sz w:val="28"/>
          <w:sz w:val="28"/>
          <w:szCs w:val="28"/>
          <w:rtl w:val="true"/>
          <w:lang w:bidi="fa-IR"/>
        </w:rPr>
        <w:t xml:space="preserve">و البیان </w:t>
      </w:r>
      <w:r>
        <w:rPr>
          <w:rStyle w:val="FootnoteAnchor"/>
          <w:rtl w:val="true"/>
        </w:rPr>
        <w:footnoteReference w:id="90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902"/>
      </w:r>
      <w:r>
        <w:rPr>
          <w:rFonts w:ascii="IRNazanin" w:hAnsi="IRNazanin" w:eastAsia="IRNazanin"/>
          <w:color w:val="111111"/>
          <w:sz w:val="28"/>
          <w:sz w:val="28"/>
          <w:szCs w:val="28"/>
          <w:rtl w:val="true"/>
          <w:lang w:bidi="fa-IR"/>
        </w:rPr>
        <w:t xml:space="preserve">، ناسباً له تارةً إلی المشهور کما فی الروض </w:t>
      </w:r>
      <w:r>
        <w:rPr>
          <w:rStyle w:val="FootnoteAnchor"/>
          <w:rtl w:val="true"/>
        </w:rPr>
        <w:footnoteReference w:id="903"/>
      </w:r>
      <w:r>
        <w:rPr>
          <w:rFonts w:ascii="IRNazanin" w:hAnsi="IRNazanin" w:eastAsia="IRNazanin"/>
          <w:color w:val="111111"/>
          <w:sz w:val="28"/>
          <w:sz w:val="28"/>
          <w:szCs w:val="28"/>
          <w:rtl w:val="true"/>
          <w:lang w:bidi="fa-IR"/>
        </w:rPr>
        <w:t xml:space="preserve">، و أُخری إلی الأصحاب </w:t>
      </w:r>
      <w:r>
        <w:rPr>
          <w:rStyle w:val="FootnoteAnchor"/>
          <w:rtl w:val="true"/>
        </w:rPr>
        <w:footnoteReference w:id="904"/>
      </w:r>
      <w:r>
        <w:rPr>
          <w:rFonts w:ascii="IRNazanin" w:hAnsi="IRNazanin" w:eastAsia="IRNazanin"/>
          <w:color w:val="111111"/>
          <w:sz w:val="28"/>
          <w:sz w:val="28"/>
          <w:szCs w:val="28"/>
          <w:rtl w:val="true"/>
          <w:lang w:bidi="fa-IR"/>
        </w:rPr>
        <w:t>و لم یوجد به روایة إلّا ما أرسله فی المقنعة بقوله فی کتاب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 القرشیّة و النبطیّة تریان الدم إلی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ثبت ذلک فعلیها العدّة حتّی تجاوز الستّین </w:t>
      </w:r>
      <w:r>
        <w:rPr>
          <w:rStyle w:val="FootnoteAnchor"/>
          <w:rtl w:val="true"/>
        </w:rPr>
        <w:footnoteReference w:id="9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ضعفها و إن قبل الانجبار بالأُصول و دعوی الشهرة و إطلاق روایة الستّین المتقدّمة، إلّا أنّ الأُصول منقطعة بمرسلة ابن أبی عمیر المتقدّمة،</w:t>
      </w:r>
      <w:bookmarkStart w:id="133" w:name="pg13039_115252"/>
    </w:p>
    <w:p>
      <w:pPr>
        <w:pStyle w:val="BookText"/>
        <w:rPr/>
      </w:pPr>
      <w:bookmarkEnd w:id="133"/>
      <w:r>
        <w:rPr>
          <w:rFonts w:ascii="IRNazanin" w:hAnsi="IRNazanin" w:eastAsia="IRNazanin"/>
          <w:color w:val="111111"/>
          <w:sz w:val="28"/>
          <w:sz w:val="28"/>
          <w:szCs w:val="28"/>
          <w:rtl w:val="true"/>
          <w:lang w:bidi="fa-IR"/>
        </w:rPr>
        <w:t xml:space="preserve">و دعوی الشهرة موهونة بإهمال ذکره من کثیر ممّن قال بالستّین فی الهاشمیة، کالشیخ </w:t>
      </w:r>
      <w:r>
        <w:rPr>
          <w:rStyle w:val="FootnoteAnchor"/>
          <w:rtl w:val="true"/>
        </w:rPr>
        <w:footnoteReference w:id="906"/>
      </w:r>
      <w:r>
        <w:rPr>
          <w:rFonts w:ascii="IRNazanin" w:hAnsi="IRNazanin" w:eastAsia="IRNazanin"/>
          <w:color w:val="111111"/>
          <w:sz w:val="28"/>
          <w:sz w:val="28"/>
          <w:szCs w:val="28"/>
          <w:rtl w:val="true"/>
          <w:lang w:bidi="fa-IR"/>
        </w:rPr>
        <w:t xml:space="preserve">و الصدوق </w:t>
      </w:r>
      <w:r>
        <w:rPr>
          <w:rStyle w:val="FootnoteAnchor"/>
          <w:rtl w:val="true"/>
        </w:rPr>
        <w:footnoteReference w:id="907"/>
      </w:r>
      <w:r>
        <w:rPr>
          <w:rFonts w:ascii="IRNazanin" w:hAnsi="IRNazanin" w:eastAsia="IRNazanin"/>
          <w:color w:val="111111"/>
          <w:sz w:val="28"/>
          <w:sz w:val="28"/>
          <w:szCs w:val="28"/>
          <w:rtl w:val="true"/>
          <w:lang w:bidi="fa-IR"/>
        </w:rPr>
        <w:t xml:space="preserve">و المحقّق فی المعتبر </w:t>
      </w:r>
      <w:r>
        <w:rPr>
          <w:rStyle w:val="FootnoteAnchor"/>
          <w:rtl w:val="true"/>
        </w:rPr>
        <w:footnoteReference w:id="908"/>
      </w:r>
      <w:r>
        <w:rPr>
          <w:rFonts w:ascii="Amiri" w:hAnsi="Amiri" w:eastAsia="Amiri" w:cs="Amiri"/>
          <w:color w:val="111111"/>
          <w:sz w:val="28"/>
          <w:sz w:val="28"/>
          <w:szCs w:val="28"/>
          <w:rtl w:val="true"/>
          <w:lang w:bidi="ar-SA"/>
        </w:rPr>
        <w:t xml:space="preserve">، فضلًا عمّن قال بالخمسین مطلقاً </w:t>
      </w:r>
      <w:r>
        <w:rPr>
          <w:rStyle w:val="FootnoteAnchor"/>
          <w:rtl w:val="true"/>
        </w:rPr>
        <w:footnoteReference w:id="909"/>
      </w:r>
      <w:r>
        <w:rPr>
          <w:rFonts w:ascii="IRNazanin" w:hAnsi="IRNazanin" w:eastAsia="IRNazanin"/>
          <w:color w:val="111111"/>
          <w:sz w:val="28"/>
          <w:sz w:val="28"/>
          <w:szCs w:val="28"/>
          <w:rtl w:val="true"/>
          <w:lang w:bidi="fa-IR"/>
        </w:rPr>
        <w:t>، بل المفید الذی هو الأصل فی روایة الخبر لم یظهر منه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روایة الستّین مع معارضتها بإطلاق روایة الخمسین لا یعبأ به بعد تخصیصها بمرسلة ابن أبی عمیر، فالمسألة محلّ الإشکال، و الاحتیاط مطلوب فیه علی کلّ حال، و سیجی‌ء باقی الکلام فی المسألة عند تعرّض المصنّف له أیضاً إن شاء اللّٰه تعالی</w:t>
      </w:r>
      <w:r>
        <w:rPr>
          <w:rFonts w:eastAsia="IRNazanin" w:cs="IRNazanin"/>
          <w:color w:val="111111"/>
          <w:sz w:val="28"/>
          <w:szCs w:val="28"/>
          <w:rtl w:val="true"/>
          <w:lang w:bidi="fa-IR"/>
        </w:rPr>
        <w:t>.</w:t>
      </w:r>
    </w:p>
    <w:p>
      <w:pPr>
        <w:pStyle w:val="Heading6"/>
        <w:numPr>
          <w:ilvl w:val="5"/>
          <w:numId w:val="1"/>
        </w:numPr>
        <w:rPr/>
      </w:pPr>
      <w:bookmarkStart w:id="134" w:name="__RefHeading___Toc6451960_3224264995"/>
      <w:bookmarkStart w:id="135" w:name="_Toc51"/>
      <w:bookmarkEnd w:id="134"/>
      <w:r>
        <w:rPr>
          <w:rtl w:val="true"/>
        </w:rPr>
        <w:t>[</w:t>
      </w:r>
      <w:r>
        <w:rPr>
          <w:rtl w:val="true"/>
        </w:rPr>
        <w:t>رؤیة الدم أقلّ من ثلاثة أیام و أکثر من عشرة أیّام</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لا إشکال فی کون الدم الخارج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بلیالیها و إن اختلفوا فی اشتراط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عن 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الحیض أعنی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الآتی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نصّاً و فتوی، و سیأتی الکلام فی کلّ من الثلاثة مفصّلًا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ذکر المصنّف الیأس سابقاً علی وجه الإجمال و إن فصّلناه فی الشرح أراد أن یبیّن سنّ الیأس،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القرشیة و النبطیّة ببلوغ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أی إکمالها،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إحداهما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فصّلنا الکلام فی ذلک عند تعرّض المصنّف رحمه اللّٰه لشروط الحیض إجمالًا، و لم یبقَ إلّا الکلام فی القرشیّة و النبطیة مفهوماً و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بالقرشیّة من انتسب بأبیها إلی قریش، و هی القبیلة المتولّدة من النضر بن کنانة بن خزیمة، من أجداد النبی صلّی اللّٰه علیه و آله، و لا یعرف منهم الآن إلّا الهاشمیون، و یثبت المصداق بما یثبت به غیره من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عبرة بالانتساب إلیها بالأُمّ علی المشهور کما فی الروض </w:t>
      </w:r>
      <w:r>
        <w:rPr>
          <w:rStyle w:val="FootnoteAnchor"/>
          <w:rtl w:val="true"/>
        </w:rPr>
        <w:footnoteReference w:id="910"/>
      </w:r>
      <w:r>
        <w:rPr>
          <w:rFonts w:ascii="IRNazanin" w:hAnsi="IRNazanin" w:eastAsia="IRNazanin"/>
          <w:color w:val="111111"/>
          <w:sz w:val="28"/>
          <w:sz w:val="28"/>
          <w:szCs w:val="28"/>
          <w:rtl w:val="true"/>
          <w:lang w:bidi="fa-IR"/>
        </w:rPr>
        <w:t>لأنّه المتبادر عرفاً، و لصحّة السلب عن المنتسب بالأُمّ، مع أنّ الوارد فی النصّ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امرأة من قریش</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 و هذا أظهر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الاکتفاء بالأُمّ کما استظهره فی الحدائق </w:t>
      </w:r>
      <w:r>
        <w:rPr>
          <w:rStyle w:val="FootnoteAnchor"/>
          <w:rtl w:val="true"/>
        </w:rPr>
        <w:footnoteReference w:id="912"/>
      </w:r>
      <w:r>
        <w:rPr>
          <w:rFonts w:ascii="Amiri" w:hAnsi="Amiri" w:eastAsia="Amiri" w:cs="Amiri"/>
          <w:color w:val="111111"/>
          <w:sz w:val="28"/>
          <w:sz w:val="28"/>
          <w:szCs w:val="28"/>
          <w:rtl w:val="true"/>
          <w:lang w:bidi="ar-SA"/>
        </w:rPr>
        <w:t xml:space="preserve">من جملة من الأصحاب و احتمله آخرون </w:t>
      </w:r>
      <w:r>
        <w:rPr>
          <w:rStyle w:val="FootnoteAnchor"/>
          <w:rtl w:val="true"/>
        </w:rPr>
        <w:footnoteReference w:id="913"/>
      </w:r>
      <w:r>
        <w:rPr>
          <w:rFonts w:ascii="IRNazanin" w:hAnsi="IRNazanin" w:eastAsia="IRNazanin"/>
          <w:color w:val="111111"/>
          <w:sz w:val="28"/>
          <w:sz w:val="28"/>
          <w:szCs w:val="28"/>
          <w:rtl w:val="true"/>
          <w:lang w:bidi="fa-IR"/>
        </w:rPr>
        <w:t>إمّا لصدق الانتساب عرفاً و شرعاً، و إمّا لأنّ للأُمّ مدخلًا شرعاً فی لحوق حکم الحیض، فهو خروج عن ظاهر اللفظ أو 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یذکر أصحابنا له معنی کما اعترف به فی جامع المقاصد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اختلف أهل اللغة فی معناه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العین </w:t>
      </w:r>
      <w:r>
        <w:rPr>
          <w:rStyle w:val="FootnoteAnchor"/>
          <w:rtl w:val="true"/>
        </w:rPr>
        <w:footnoteReference w:id="915"/>
      </w:r>
      <w:r>
        <w:rPr>
          <w:rFonts w:ascii="IRNazanin" w:hAnsi="IRNazanin" w:eastAsia="IRNazanin"/>
          <w:color w:val="111111"/>
          <w:sz w:val="28"/>
          <w:sz w:val="28"/>
          <w:szCs w:val="28"/>
          <w:rtl w:val="true"/>
          <w:lang w:bidi="fa-IR"/>
        </w:rPr>
        <w:t xml:space="preserve">و المحیط و الدیوان و المغرب و تهذیب الأزهری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p>
    <w:p>
      <w:pPr>
        <w:pStyle w:val="BookText"/>
        <w:rPr/>
      </w:pPr>
      <w:r>
        <w:rPr>
          <w:rFonts w:ascii="IRNazanin" w:hAnsi="IRNazanin" w:eastAsia="IRNazanin"/>
          <w:color w:val="111111"/>
          <w:sz w:val="28"/>
          <w:sz w:val="28"/>
          <w:szCs w:val="28"/>
          <w:rtl w:val="true"/>
          <w:lang w:bidi="fa-IR"/>
        </w:rPr>
        <w:t>قوم ینزلون سواد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قوم کانوا ینزلون سواد العراق ثمّ استعمل فی أخلاط الناس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الصحاح </w:t>
      </w:r>
      <w:r>
        <w:rPr>
          <w:rStyle w:val="FootnoteAnchor"/>
          <w:rtl w:val="true"/>
        </w:rPr>
        <w:footnoteReference w:id="918"/>
      </w:r>
      <w:r>
        <w:rPr>
          <w:rFonts w:ascii="IRNazanin" w:hAnsi="IRNazanin" w:eastAsia="IRNazanin"/>
          <w:color w:val="111111"/>
          <w:sz w:val="28"/>
          <w:sz w:val="28"/>
          <w:szCs w:val="28"/>
          <w:rtl w:val="true"/>
          <w:lang w:bidi="fa-IR"/>
        </w:rPr>
        <w:t xml:space="preserve">و النهایة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ینزلون البطائح بین العراقین البصرة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قوم من العجم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أحد أبویه عربیا و الآخر عجمیّاً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عرب استعجموا کقوم النعمان بن المنذر، أو عجم استعربوا کأهل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من العرب دخلوا العجم و الروم و اختلطت أنسابهم و فسدت ألسنتهم، و ذلک لمعرفتهم بأنباط الماء،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استخراجه لکثرة فلاحتهم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تقدیر فقد اعترف جماعة </w:t>
      </w:r>
      <w:r>
        <w:rPr>
          <w:rStyle w:val="FootnoteAnchor"/>
          <w:rtl w:val="true"/>
        </w:rPr>
        <w:footnoteReference w:id="922"/>
      </w:r>
      <w:r>
        <w:rPr>
          <w:rFonts w:ascii="IRNazanin" w:hAnsi="IRNazanin" w:eastAsia="IRNazanin"/>
          <w:color w:val="111111"/>
          <w:sz w:val="28"/>
          <w:sz w:val="28"/>
          <w:szCs w:val="28"/>
          <w:rtl w:val="true"/>
          <w:lang w:bidi="fa-IR"/>
        </w:rPr>
        <w:t xml:space="preserve">بعدم وجودهم فی أمثال ذلک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الأیّام، و ظاهر ذلک أنّهم کانوا طائفة خاصّة متّصفة بما ذکره أهل اللغة من نزولهم سواد العراق، أو بین البطائح أو غیر ذلک، لا أنّ النبطیة موضوع لکلّ من کان کذلک، لکن فی کشف الغطاء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النبطیة فی أصحّ الأقوال قوم کانوا فی زمان صدور الروایات ینزلون سواد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إلحاق کلّ نازل بقصد الوطن غیر بعید </w:t>
      </w:r>
      <w:r>
        <w:rPr>
          <w:rStyle w:val="FootnoteAnchor"/>
          <w:rtl w:val="true"/>
        </w:rPr>
        <w:footnoteReference w:id="924"/>
      </w:r>
      <w:r>
        <w:rPr>
          <w:rFonts w:ascii="IRNazanin" w:hAnsi="IRNazanin" w:eastAsia="IRNazanin"/>
          <w:color w:val="111111"/>
          <w:sz w:val="28"/>
          <w:sz w:val="28"/>
          <w:szCs w:val="28"/>
          <w:rtl w:val="true"/>
          <w:lang w:bidi="fa-IR"/>
        </w:rPr>
        <w:t>، و ذکر کاشف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یخرج النبطیة عن حکمها إذا خرجت من بلدها قبل بلوغها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فإذا لم یعلم انتساب الشخص إلی هؤلاء فالأصل عدمه، و لا یعارضها أصالة عدم ارتفاع الحیض کما لا یخفی، مع أنّ هذا الأصل لا یثبت کون الدم الخارج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ینفع فی بعض المقامات کوجوب اعتدادها بعدّة من لا تحیض و هی فی سنّ من تحیض، و مثله الکلام فیمن شکّ فی کونه هاشمیّاً، و الاحتیاط مطلوب، فلا یترک علی حال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الخوانساری فی حاشیة الروضة </w:t>
      </w:r>
      <w:r>
        <w:rPr>
          <w:rStyle w:val="FootnoteAnchor"/>
          <w:rtl w:val="true"/>
        </w:rPr>
        <w:footnoteReference w:id="926"/>
      </w:r>
      <w:r>
        <w:rPr>
          <w:rFonts w:ascii="IRNazanin" w:hAnsi="IRNazanin" w:eastAsia="IRNazanin"/>
          <w:color w:val="111111"/>
          <w:sz w:val="28"/>
          <w:sz w:val="28"/>
          <w:szCs w:val="28"/>
          <w:rtl w:val="true"/>
          <w:lang w:bidi="fa-IR"/>
        </w:rPr>
        <w:t>، تارةً بالظهور الحاصل من غلبة عدم کون الشخص هاشمیاً، و أُخری بأصالة عدم سقوط العبادة ما لم یتیقّن السقوط، و ثالثةً بأصالة عدم وجوب العدّة، ثمّ استشکل فی الظنّ الحاصل من الغلبة بالظنّ الحاصل من استقرار عادة المرأة و اتّصاف الدم بصفات دم الحیض، و فی أصالة عدم سقوط العبادة بالعمومات الدالّة علی السقوط برؤیة الدم مطلقاً أو بصفات الحیض، و فی أصالة عدم وجوب العدّة بأنّها معارضة بأصالة عدم بینونة الزوجة و أصالة</w:t>
      </w:r>
      <w:bookmarkStart w:id="136" w:name="pg13039_115256"/>
    </w:p>
    <w:p>
      <w:pPr>
        <w:pStyle w:val="BookText"/>
        <w:rPr/>
      </w:pPr>
      <w:bookmarkEnd w:id="136"/>
      <w:r>
        <w:rPr>
          <w:rFonts w:ascii="IRNazanin" w:hAnsi="IRNazanin" w:eastAsia="IRNazanin"/>
          <w:color w:val="111111"/>
          <w:sz w:val="28"/>
          <w:sz w:val="28"/>
          <w:szCs w:val="28"/>
          <w:rtl w:val="true"/>
          <w:lang w:bidi="fa-IR"/>
        </w:rPr>
        <w:t>عدم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أطال فی النقض و الإبرام علی الأُصول و العمومات، و کأنّه غفل عن أصالة عدم الانتساب المعوّل علیه عند الفقهاء فی جمیع المقامات، أو أنّه لم یعتبر الأصل و لو کان عدمیّاً فی الموضوعات الخارجیّة، و الأقوی ما ذکرنا</w:t>
      </w:r>
      <w:r>
        <w:rPr>
          <w:rFonts w:eastAsia="IRNazanin" w:cs="IRNazanin"/>
          <w:color w:val="111111"/>
          <w:sz w:val="28"/>
          <w:szCs w:val="28"/>
          <w:rtl w:val="true"/>
          <w:lang w:bidi="fa-IR"/>
        </w:rPr>
        <w:t>.</w:t>
      </w:r>
    </w:p>
    <w:p>
      <w:pPr>
        <w:pStyle w:val="Heading6"/>
        <w:numPr>
          <w:ilvl w:val="5"/>
          <w:numId w:val="1"/>
        </w:numPr>
        <w:rPr/>
      </w:pPr>
      <w:bookmarkStart w:id="137" w:name="__RefHeading___Toc6451962_3224264995"/>
      <w:bookmarkStart w:id="138" w:name="_Toc52"/>
      <w:bookmarkEnd w:id="137"/>
      <w:r>
        <w:rPr>
          <w:rtl w:val="true"/>
        </w:rPr>
        <w:t>[</w:t>
      </w:r>
      <w:r>
        <w:rPr>
          <w:rtl w:val="true"/>
        </w:rPr>
        <w:t>و أقلّه ثلاثة أیّام</w:t>
      </w:r>
      <w:r>
        <w:rPr>
          <w:rtl w:val="true"/>
        </w:rPr>
        <w:t>]</w:t>
      </w:r>
      <w:bookmarkEnd w:id="1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المحقّق و المحکیّ حدّ الاستفاضة </w:t>
      </w:r>
      <w:r>
        <w:rPr>
          <w:rStyle w:val="FootnoteAnchor"/>
          <w:rtl w:val="true"/>
        </w:rPr>
        <w:footnoteReference w:id="927"/>
      </w:r>
      <w:r>
        <w:rPr>
          <w:rFonts w:ascii="IRNazanin" w:hAnsi="IRNazanin" w:eastAsia="IRNazanin"/>
          <w:color w:val="111111"/>
          <w:sz w:val="28"/>
          <w:sz w:val="28"/>
          <w:szCs w:val="28"/>
          <w:rtl w:val="true"/>
          <w:lang w:bidi="fa-IR"/>
        </w:rPr>
        <w:t xml:space="preserve">، بل التواتر کالأخبار </w:t>
      </w:r>
      <w:r>
        <w:rPr>
          <w:rStyle w:val="FootnoteAnchor"/>
          <w:rtl w:val="true"/>
        </w:rPr>
        <w:footnoteReference w:id="928"/>
      </w:r>
      <w:r>
        <w:rPr>
          <w:rFonts w:ascii="IRNazanin" w:hAnsi="IRNazanin" w:eastAsia="IRNazanin"/>
          <w:color w:val="111111"/>
          <w:sz w:val="28"/>
          <w:sz w:val="28"/>
          <w:szCs w:val="28"/>
          <w:rtl w:val="true"/>
          <w:lang w:bidi="fa-IR"/>
        </w:rPr>
        <w:t xml:space="preserve">، فلا شبهة فیه، و إنّما الإشکال و الخلاف فی اعتبار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فالمشهور علی اعتبار التوالی، و حکی عن الإسکافی </w:t>
      </w:r>
      <w:r>
        <w:rPr>
          <w:rStyle w:val="FootnoteAnchor"/>
          <w:rtl w:val="true"/>
        </w:rPr>
        <w:footnoteReference w:id="929"/>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930"/>
      </w:r>
      <w:r>
        <w:rPr>
          <w:rFonts w:ascii="Amiri" w:hAnsi="Amiri" w:eastAsia="Amiri" w:cs="Amiri"/>
          <w:color w:val="111111"/>
          <w:sz w:val="28"/>
          <w:sz w:val="28"/>
          <w:szCs w:val="28"/>
          <w:rtl w:val="true"/>
          <w:lang w:bidi="ar-SA"/>
        </w:rPr>
        <w:t xml:space="preserve">و السیّد </w:t>
      </w:r>
      <w:r>
        <w:rPr>
          <w:rStyle w:val="FootnoteAnchor"/>
          <w:rtl w:val="true"/>
        </w:rPr>
        <w:footnoteReference w:id="931"/>
      </w:r>
      <w:r>
        <w:rPr>
          <w:rFonts w:ascii="IRNazanin" w:hAnsi="IRNazanin" w:eastAsia="IRNazanin"/>
          <w:color w:val="111111"/>
          <w:sz w:val="28"/>
          <w:sz w:val="28"/>
          <w:szCs w:val="28"/>
          <w:rtl w:val="true"/>
          <w:lang w:bidi="fa-IR"/>
        </w:rPr>
        <w:t xml:space="preserve">و الشیخ فی غیر النهایة </w:t>
      </w:r>
      <w:r>
        <w:rPr>
          <w:rStyle w:val="FootnoteAnchor"/>
          <w:rtl w:val="true"/>
        </w:rPr>
        <w:footnoteReference w:id="932"/>
      </w:r>
      <w:r>
        <w:rPr>
          <w:rFonts w:ascii="IRNazanin" w:hAnsi="IRNazanin" w:eastAsia="IRNazanin"/>
          <w:color w:val="111111"/>
          <w:sz w:val="28"/>
          <w:sz w:val="28"/>
          <w:szCs w:val="28"/>
          <w:rtl w:val="true"/>
          <w:lang w:bidi="fa-IR"/>
        </w:rPr>
        <w:t xml:space="preserve">و الحلبی </w:t>
      </w:r>
      <w:r>
        <w:rPr>
          <w:rStyle w:val="FootnoteAnchor"/>
          <w:rtl w:val="true"/>
        </w:rPr>
        <w:footnoteReference w:id="933"/>
      </w:r>
      <w:r>
        <w:rPr>
          <w:rFonts w:ascii="Amiri" w:hAnsi="Amiri" w:eastAsia="Amiri" w:cs="Amiri"/>
          <w:color w:val="111111"/>
          <w:sz w:val="28"/>
          <w:sz w:val="28"/>
          <w:szCs w:val="28"/>
          <w:rtl w:val="true"/>
          <w:lang w:bidi="ar-SA"/>
        </w:rPr>
        <w:t xml:space="preserve">و الحلّی </w:t>
      </w:r>
      <w:r>
        <w:rPr>
          <w:rStyle w:val="FootnoteAnchor"/>
          <w:rtl w:val="true"/>
        </w:rPr>
        <w:footnoteReference w:id="934"/>
      </w:r>
      <w:r>
        <w:rPr>
          <w:rFonts w:ascii="Amiri" w:hAnsi="Amiri" w:eastAsia="Amiri" w:cs="Amiri"/>
          <w:color w:val="111111"/>
          <w:sz w:val="28"/>
          <w:sz w:val="28"/>
          <w:szCs w:val="28"/>
          <w:rtl w:val="true"/>
          <w:lang w:bidi="ar-SA"/>
        </w:rPr>
        <w:t xml:space="preserve">و ابن حمزة </w:t>
      </w:r>
      <w:r>
        <w:rPr>
          <w:rStyle w:val="FootnoteAnchor"/>
          <w:rtl w:val="true"/>
        </w:rPr>
        <w:footnoteReference w:id="935"/>
      </w:r>
      <w:r>
        <w:rPr>
          <w:rFonts w:ascii="IRNazanin" w:hAnsi="IRNazanin" w:eastAsia="IRNazanin"/>
          <w:color w:val="111111"/>
          <w:sz w:val="28"/>
          <w:sz w:val="28"/>
          <w:szCs w:val="28"/>
          <w:rtl w:val="true"/>
          <w:lang w:bidi="fa-IR"/>
        </w:rPr>
        <w:t xml:space="preserve">و ابن سعید </w:t>
      </w:r>
      <w:r>
        <w:rPr>
          <w:rStyle w:val="FootnoteAnchor"/>
          <w:rtl w:val="true"/>
        </w:rPr>
        <w:footnoteReference w:id="936"/>
      </w:r>
      <w:r>
        <w:rPr>
          <w:rFonts w:ascii="Amiri" w:hAnsi="Amiri" w:eastAsia="Amiri" w:cs="Amiri"/>
          <w:color w:val="111111"/>
          <w:sz w:val="28"/>
          <w:sz w:val="28"/>
          <w:szCs w:val="28"/>
          <w:rtl w:val="true"/>
          <w:lang w:bidi="ar-SA"/>
        </w:rPr>
        <w:t xml:space="preserve">و المحقّق </w:t>
      </w:r>
      <w:r>
        <w:rPr>
          <w:rStyle w:val="FootnoteAnchor"/>
          <w:rtl w:val="true"/>
        </w:rPr>
        <w:footnoteReference w:id="937"/>
      </w:r>
      <w:r>
        <w:rPr>
          <w:rFonts w:ascii="Amiri" w:hAnsi="Amiri" w:eastAsia="Amiri" w:cs="Amiri"/>
          <w:color w:val="111111"/>
          <w:sz w:val="28"/>
          <w:sz w:val="28"/>
          <w:szCs w:val="28"/>
          <w:rtl w:val="true"/>
          <w:lang w:bidi="ar-SA"/>
        </w:rPr>
        <w:t xml:space="preserve">و المصنّف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و الشهیدین </w:t>
      </w:r>
      <w:r>
        <w:rPr>
          <w:rStyle w:val="FootnoteAnchor"/>
          <w:rtl w:val="true"/>
        </w:rPr>
        <w:footnoteReference w:id="93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940"/>
      </w:r>
      <w:r>
        <w:rPr>
          <w:rFonts w:ascii="IRNazanin" w:hAnsi="IRNazanin" w:eastAsia="IRNazanin"/>
          <w:color w:val="111111"/>
          <w:sz w:val="28"/>
          <w:sz w:val="28"/>
          <w:szCs w:val="28"/>
          <w:rtl w:val="true"/>
          <w:lang w:bidi="fa-IR"/>
        </w:rPr>
        <w:t xml:space="preserve">و أکثر من تأخّر عنهم </w:t>
      </w:r>
      <w:r>
        <w:rPr>
          <w:rStyle w:val="FootnoteAnchor"/>
          <w:rtl w:val="true"/>
        </w:rPr>
        <w:footnoteReference w:id="941"/>
      </w:r>
      <w:r>
        <w:rPr>
          <w:rFonts w:ascii="IRNazanin" w:hAnsi="IRNazanin" w:eastAsia="IRNazanin"/>
          <w:color w:val="111111"/>
          <w:sz w:val="28"/>
          <w:sz w:val="28"/>
          <w:szCs w:val="28"/>
          <w:rtl w:val="true"/>
          <w:lang w:bidi="fa-IR"/>
        </w:rPr>
        <w:t>، بل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أقلّ الحیض ثلاثة أیّام متتابعات و أکثره عشرة، و لا خلاف بین أصحابنا فی هذین الحدّین </w:t>
      </w:r>
      <w:r>
        <w:rPr>
          <w:rStyle w:val="FootnoteAnchor"/>
          <w:rtl w:val="true"/>
        </w:rPr>
        <w:footnoteReference w:id="9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اشتراط عدم قصوره عن ثلاثة أیّام متوالیة فعلیه إجماع أصحابنا </w:t>
      </w:r>
      <w:r>
        <w:rPr>
          <w:rStyle w:val="FootnoteAnchor"/>
          <w:rtl w:val="true"/>
        </w:rPr>
        <w:footnoteReference w:id="9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منهما، بل صریحهما بقرینة ذکرهما بعد ذلک الاختلاف فی اعتبار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معقد الاتّفاق هی أصل الثلاثة دون خصوص المتوالیة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أوهن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نفی الخلاف ممّا حکی عن الجامع، من أنّه لو رأت الدم یومین و نصفاً و انقطع لم یکن حیضاً بلا خلاف بین أصحابنا </w:t>
      </w:r>
      <w:r>
        <w:rPr>
          <w:rStyle w:val="FootnoteAnchor"/>
          <w:rtl w:val="true"/>
        </w:rPr>
        <w:footnoteReference w:id="944"/>
      </w:r>
      <w:r>
        <w:rPr>
          <w:rFonts w:ascii="IRNazanin" w:hAnsi="IRNazanin" w:eastAsia="IRNazanin"/>
          <w:color w:val="111111"/>
          <w:sz w:val="28"/>
          <w:sz w:val="28"/>
          <w:szCs w:val="28"/>
          <w:rtl w:val="true"/>
          <w:lang w:bidi="fa-IR"/>
        </w:rPr>
        <w:t>، فإنّ الظاهر من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رأساً کما یظهر من صدر کلامه فلا یشمل ما إذا عاد قبل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صرّح فی آخر کلامه أنّ الکلّ علی خلاف روایة یونس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فیدلّ علیه بعد تضعیف ما سیجی‌ء من أدلّة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الحیض الحاکمة علی أصل البراءة و استصحابها، مع أنّه معارض باستصحاب الأحکام التکلیفیة و الوضعیّة الثابتة لها قبل رؤیة هذا</w:t>
      </w:r>
    </w:p>
    <w:p>
      <w:pPr>
        <w:pStyle w:val="BookText"/>
        <w:rPr/>
      </w:pPr>
      <w:r>
        <w:rPr>
          <w:rFonts w:ascii="IRNazanin" w:hAnsi="IRNazanin" w:eastAsia="IRNazanin"/>
          <w:color w:val="111111"/>
          <w:sz w:val="28"/>
          <w:sz w:val="28"/>
          <w:szCs w:val="28"/>
          <w:rtl w:val="true"/>
          <w:lang w:bidi="fa-IR"/>
        </w:rPr>
        <w:t>الدم، فیتساقطان، و یبقی أصالة عدم الحیض سلیمة، و لا یعارضها أصالة عدم الاستحاضة و عدم تعلّق أحکامها؛ لأنّا إن قلنا بثبوت الواسطة بین الحیض و الاستحاضة علی ما یستفاد من کلام بعض، کما سیجی‌ء فی باب الاستحاضة فلا تنافی بین الأصلین، و إن قلنا بعدم الواسطة بینهما فی دم لم یعلم أنّه نفاس أو قرحة أو عُذرة فأصالة عدم الحیض حاکمة علی أصالة عدم الاستحاضة أیضاً؛ لأنّ المستفاد من الفتاوی بل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دم لم یحکم علیه بالحیضیَّة شرعاً و لم یعلم أنّه لقرحة أو عُذرة أو نفاس فهو محکوم علیه بأحکام الاستحاضة، و حینئذٍ فإذا انتفی کونه حیضاً بحکم الأصل تعیّن کونها استحاضة،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عن استفادة ذلک من النصوص و الفتاوی فلنا أیضاً أن نثبت أحکام الاستحاضة، بأن نحکم بوجوب الصلاة بمقتضی أصالة عدم الحیض السلیمة عن المعارض فی خصوص الصلاة، فیجب الاغتسال مع غمس القطنة؛ للقطع ببطلان الصلاة واقعاً بدونه؛ لأنّها إمّا حائض أو مستحاضة، و یجب تجدید الوضوء لکلّ صلاة مع عدم الغمس؛ لأنّ الوضوء الواحد لا یرفع حدثها قطعاً؛ لأنّه مردّد بین الحیض و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ینبغی أن یتوهّم إمکان العکس، بأن ینفی بأصالة عدم الاستحاضة وجوب الأغسال و غیرها من أحکام المستحاضة؛ لیلزم من ذلک نفی وجوب الصلاة و غیرها؛ لما تقرّر فی محلّه </w:t>
      </w:r>
      <w:r>
        <w:rPr>
          <w:rStyle w:val="FootnoteAnchor"/>
          <w:rtl w:val="true"/>
        </w:rPr>
        <w:footnoteReference w:id="945"/>
      </w:r>
      <w:r>
        <w:rPr>
          <w:rFonts w:ascii="IRNazanin" w:hAnsi="IRNazanin" w:eastAsia="IRNazanin"/>
          <w:color w:val="111111"/>
          <w:sz w:val="28"/>
          <w:sz w:val="28"/>
          <w:szCs w:val="28"/>
          <w:rtl w:val="true"/>
          <w:lang w:bidi="fa-IR"/>
        </w:rPr>
        <w:t>من أنّ نفی الآثار و اللوازم بالأُصول لا ینفی الملزوم، بخلاف إثبات الملزوم، فإنّه یوجب ثبوت اللازم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القول المشهور، بل یدلّ علیه بعد الأصل مضافاً إلی</w:t>
      </w:r>
    </w:p>
    <w:p>
      <w:pPr>
        <w:pStyle w:val="BookText"/>
        <w:rPr/>
      </w:pPr>
      <w:r>
        <w:rPr>
          <w:rFonts w:ascii="IRNazanin" w:hAnsi="IRNazanin" w:eastAsia="IRNazanin"/>
          <w:color w:val="111111"/>
          <w:sz w:val="28"/>
          <w:sz w:val="28"/>
          <w:szCs w:val="28"/>
          <w:rtl w:val="true"/>
          <w:lang w:bidi="fa-IR"/>
        </w:rPr>
        <w:t>ما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رأت یوماً و یومین فلیس ذلک من الحیض ما لم تر ثلاثة أیام متوالیات</w:t>
      </w:r>
      <w:r>
        <w:rPr>
          <w:rFonts w:eastAsia="IRNazanin" w:cs="IRNazanin"/>
          <w:color w:val="111111"/>
          <w:sz w:val="28"/>
          <w:szCs w:val="28"/>
          <w:rtl w:val="true"/>
          <w:lang w:bidi="fa-IR"/>
        </w:rPr>
        <w:t xml:space="preserve">»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إطلاق ظرفیة الثلاثة للحیض فی الأخبار </w:t>
      </w:r>
      <w:r>
        <w:rPr>
          <w:rStyle w:val="FootnoteAnchor"/>
          <w:rtl w:val="true"/>
        </w:rPr>
        <w:footnoteReference w:id="947"/>
      </w:r>
      <w:r>
        <w:rPr>
          <w:rFonts w:ascii="IRNazanin" w:hAnsi="IRNazanin" w:eastAsia="IRNazanin"/>
          <w:color w:val="111111"/>
          <w:sz w:val="28"/>
          <w:sz w:val="28"/>
          <w:szCs w:val="28"/>
          <w:rtl w:val="true"/>
          <w:lang w:bidi="fa-IR"/>
        </w:rPr>
        <w:t xml:space="preserve">استمراره فی هذا الزمان، و لیس هذا کما زُعم </w:t>
      </w:r>
      <w:r>
        <w:rPr>
          <w:rStyle w:val="FootnoteAnchor"/>
          <w:rtl w:val="true"/>
        </w:rPr>
        <w:footnoteReference w:id="948"/>
      </w:r>
      <w:r>
        <w:rPr>
          <w:rFonts w:ascii="IRNazanin" w:hAnsi="IRNazanin" w:eastAsia="IRNazanin"/>
          <w:color w:val="111111"/>
          <w:sz w:val="28"/>
          <w:sz w:val="28"/>
          <w:szCs w:val="28"/>
          <w:rtl w:val="true"/>
          <w:lang w:bidi="fa-IR"/>
        </w:rPr>
        <w:t>من قبیل نذر صوم ثلاثة أیّام فی عدم انفهام التوالی منه، بل من قبیل نذر الجلوس فی المسجد مثلًا ثلاثة أیّام، 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سیلان الدم ثلاثة أیام، 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زید ثلاثة أیّام، و نحو ذلک ممّا وقعت المدّة ظرفاً لفعل من شأنه الاستمرار، فإنّه یفهم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القید لبیان مقدار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یوجب ظهور تحدید الأکثر بالعشرة فی الاستمرار أیضاً مع عدم اعتبار استمرار الدم فیها فی تحقّق الأکثریة،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نلتزم بذلک فی العشرة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الحیض عشرة متوالیة، إلّا أنّ الشارع جعل النقاء بین الدمین فی العشرة فی حکم أیّام الدم علی المشهور کما سیجی‌ء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یستدلّ فی المقام بما دلّ من الأخبار </w:t>
      </w:r>
      <w:r>
        <w:rPr>
          <w:rStyle w:val="FootnoteAnchor"/>
          <w:rtl w:val="true"/>
        </w:rPr>
        <w:footnoteReference w:id="949"/>
      </w:r>
      <w:r>
        <w:rPr>
          <w:rFonts w:ascii="IRNazanin" w:hAnsi="IRNazanin" w:eastAsia="IRNazanin"/>
          <w:color w:val="111111"/>
          <w:sz w:val="28"/>
          <w:sz w:val="28"/>
          <w:szCs w:val="28"/>
          <w:rtl w:val="true"/>
          <w:lang w:bidi="fa-IR"/>
        </w:rPr>
        <w:t xml:space="preserve">و الإجماع علی أنّ أقلّ الطهر عشرة، بناءً علی أنّ لازم القول بعدم اعتبار التوالی فی الثلاثة جعل النقاء المتخلّل بینها طهراً، کما صرّح به فی الروض </w:t>
      </w:r>
      <w:r>
        <w:rPr>
          <w:rStyle w:val="FootnoteAnchor"/>
          <w:rtl w:val="true"/>
        </w:rPr>
        <w:footnoteReference w:id="950"/>
      </w:r>
      <w:r>
        <w:rPr>
          <w:rFonts w:ascii="IRNazanin" w:hAnsi="IRNazanin" w:eastAsia="IRNazanin"/>
          <w:color w:val="111111"/>
          <w:sz w:val="28"/>
          <w:sz w:val="28"/>
          <w:szCs w:val="28"/>
          <w:rtl w:val="true"/>
          <w:lang w:bidi="fa-IR"/>
        </w:rPr>
        <w:t xml:space="preserve">تبعاً للمحکیّ عن ابن سعید فی الجامع </w:t>
      </w:r>
      <w:r>
        <w:rPr>
          <w:rStyle w:val="FootnoteAnchor"/>
          <w:rtl w:val="true"/>
        </w:rPr>
        <w:footnoteReference w:id="951"/>
      </w:r>
      <w:r>
        <w:rPr>
          <w:rFonts w:ascii="IRNazanin" w:hAnsi="IRNazanin" w:eastAsia="IRNazanin"/>
          <w:color w:val="111111"/>
          <w:sz w:val="28"/>
          <w:sz w:val="28"/>
          <w:szCs w:val="28"/>
          <w:rtl w:val="true"/>
          <w:lang w:bidi="fa-IR"/>
        </w:rPr>
        <w:t xml:space="preserve">و المصنّف فی النهایة </w:t>
      </w:r>
      <w:r>
        <w:rPr>
          <w:rStyle w:val="FootnoteAnchor"/>
          <w:rtl w:val="true"/>
        </w:rPr>
        <w:footnoteReference w:id="952"/>
      </w:r>
      <w:r>
        <w:rPr>
          <w:rFonts w:ascii="IRNazanin" w:hAnsi="IRNazanin" w:eastAsia="IRNazanin"/>
          <w:color w:val="111111"/>
          <w:sz w:val="28"/>
          <w:sz w:val="28"/>
          <w:szCs w:val="28"/>
          <w:rtl w:val="true"/>
          <w:lang w:bidi="fa-IR"/>
        </w:rPr>
        <w:t>و فخر الإسلام فی شرح</w:t>
      </w:r>
    </w:p>
    <w:p>
      <w:pPr>
        <w:pStyle w:val="BookText"/>
        <w:rPr/>
      </w:pPr>
      <w:r>
        <w:rPr>
          <w:rFonts w:ascii="IRNazanin" w:hAnsi="IRNazanin" w:eastAsia="IRNazanin"/>
          <w:color w:val="111111"/>
          <w:sz w:val="28"/>
          <w:sz w:val="28"/>
          <w:szCs w:val="28"/>
          <w:rtl w:val="true"/>
          <w:lang w:bidi="fa-IR"/>
        </w:rPr>
        <w:t xml:space="preserve">الإرشاد </w:t>
      </w:r>
      <w:r>
        <w:rPr>
          <w:rStyle w:val="FootnoteAnchor"/>
          <w:rtl w:val="true"/>
        </w:rPr>
        <w:footnoteReference w:id="953"/>
      </w:r>
      <w:r>
        <w:rPr>
          <w:rFonts w:ascii="IRNazanin" w:hAnsi="IRNazanin" w:eastAsia="IRNazanin"/>
          <w:color w:val="111111"/>
          <w:sz w:val="28"/>
          <w:sz w:val="28"/>
          <w:szCs w:val="28"/>
          <w:rtl w:val="true"/>
          <w:lang w:bidi="fa-IR"/>
        </w:rPr>
        <w:t xml:space="preserve">و بعض آخر </w:t>
      </w:r>
      <w:r>
        <w:rPr>
          <w:rStyle w:val="FootnoteAnchor"/>
          <w:rtl w:val="true"/>
        </w:rPr>
        <w:footnoteReference w:id="954"/>
      </w:r>
      <w:r>
        <w:rPr>
          <w:rFonts w:ascii="IRNazanin" w:hAnsi="IRNazanin" w:eastAsia="IRNazanin"/>
          <w:color w:val="111111"/>
          <w:sz w:val="28"/>
          <w:sz w:val="28"/>
          <w:szCs w:val="28"/>
          <w:rtl w:val="true"/>
          <w:lang w:bidi="fa-IR"/>
        </w:rPr>
        <w:t>، و لعلّه من جهة أنّ الثلاثة المتفرّقة لو لم تکن مختصّة بالحیضیَّة لم یکن أقلّ الحیض ثلاثة، بل ربما یتحقّق بها أکثر الحیض، کما لو رأت الأوّل و الخامس و العاشر فیختصّ أقلّ الحیض بالثلاثة المتوالیة، و هو خلاف المفروض من عدم اعتبار التوالی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أصحاب هذا القول فی أیّام الدم، و أنّ الأخبار إنّما وردت فی مقام تحدید أیّام الدم قلّة و کثرة، کما هو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الحیض ثلاثة و أکثره عشرة</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ما فی مرسلة یونس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قلّة الحیض و کثرته باعتبار قلّة الدم و کثرته</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ثلاثة و أوسطه خمسة و أکثره عشرة</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فالخلاف حینئذٍ فی أنّه یعتبر التوالی فی أقلّ أیّام الدم أو لا یعتبر؟ فلا ینافی ذلک کون مجموع العشرة المتحقّق فیها ثلاثة متفرّقة محکوماً بالحیضیَّة عند الشارع، مع کونها الفرد الأقلّ للحیض،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السائل أو سیلان الدم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 من توجیه کلام القائلین بالتفرّق، بأنّهم فی مقام بیان أقلّ أیّام الرؤیة لا مطلق الحیض، أولی ممّا ذکره شارح الروضة فی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للأصحاب هنا مسامحة؛ فإنّ کون الأقلّ ثلاثة لا یجامع تفرّقها؛ فإنّ الظاهر أنّها مع التفرّق یکون الثلاثة و ما بینها حیضاً</w:t>
      </w:r>
    </w:p>
    <w:p>
      <w:pPr>
        <w:pStyle w:val="BookText"/>
        <w:rPr/>
      </w:pPr>
      <w:r>
        <w:rPr>
          <w:rFonts w:ascii="IRNazanin" w:hAnsi="IRNazanin" w:eastAsia="IRNazanin"/>
          <w:color w:val="111111"/>
          <w:sz w:val="28"/>
          <w:sz w:val="28"/>
          <w:szCs w:val="28"/>
          <w:rtl w:val="true"/>
          <w:lang w:bidi="fa-IR"/>
        </w:rPr>
        <w:t>و إلّا نقص الطهر عن أقلّه، فالأقلّ لا یمکن أن یکون إلّا ثلاثة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یتحقّق الخلاف فی أنّها مع التفرّق هل یکون حیضاً أم لا؟ و إذا ثبت کونه حیضاً کان من أفراد الزائدة علی الأقلّ </w:t>
      </w:r>
      <w:r>
        <w:rPr>
          <w:rStyle w:val="FootnoteAnchor"/>
          <w:rtl w:val="true"/>
        </w:rPr>
        <w:footnoteReference w:id="95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لیس فی الأقلّ، بل فی حیضیة الثلاثة المتفرّقة و إن کان من أفراد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تبعه علی هذا الوجه جماعة ممّن تأخّر عنه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بُعده عن ظاهر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فی التوجیه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کلامهم فی أقلّ أیّام الرؤیة و اعتبار التوالی فیها، لا الأیّام المحکوم فیها علی المرأة بالتحیّض، و لا ینافی ذلک جعل الأکثر عشرة؛ لأنّ المراد فیها أیضاً ذلک، فالعشرة المشتملة علی الثلاثة فی حکم الأکثر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استظهر فی الحدائق </w:t>
      </w:r>
      <w:r>
        <w:rPr>
          <w:rStyle w:val="FootnoteAnchor"/>
          <w:rtl w:val="true"/>
        </w:rPr>
        <w:footnoteReference w:id="960"/>
      </w:r>
      <w:r>
        <w:rPr>
          <w:rFonts w:ascii="IRNazanin" w:hAnsi="IRNazanin" w:eastAsia="IRNazanin"/>
          <w:color w:val="111111"/>
          <w:sz w:val="28"/>
          <w:sz w:val="28"/>
          <w:szCs w:val="28"/>
          <w:rtl w:val="true"/>
          <w:lang w:bidi="fa-IR"/>
        </w:rPr>
        <w:t xml:space="preserve">اختصاص الثلاثة المتفرّقة بالحیضیَّة من مرسلة یونس </w:t>
      </w:r>
      <w:r>
        <w:rPr>
          <w:rStyle w:val="FootnoteAnchor"/>
          <w:rtl w:val="true"/>
        </w:rPr>
        <w:footnoteReference w:id="961"/>
      </w:r>
      <w:r>
        <w:rPr>
          <w:rFonts w:ascii="IRNazanin" w:hAnsi="IRNazanin" w:eastAsia="IRNazanin"/>
          <w:color w:val="111111"/>
          <w:sz w:val="28"/>
          <w:sz w:val="28"/>
          <w:szCs w:val="28"/>
          <w:rtl w:val="true"/>
          <w:lang w:bidi="fa-IR"/>
        </w:rPr>
        <w:t xml:space="preserve">، و ظهورها فی ذلک ممنوع؛ و لذا فهم منها فی الوسیلة </w:t>
      </w:r>
      <w:r>
        <w:rPr>
          <w:rStyle w:val="FootnoteAnchor"/>
          <w:rtl w:val="true"/>
        </w:rPr>
        <w:footnoteReference w:id="962"/>
      </w:r>
      <w:r>
        <w:rPr>
          <w:rFonts w:ascii="IRNazanin" w:hAnsi="IRNazanin" w:eastAsia="IRNazanin"/>
          <w:color w:val="111111"/>
          <w:sz w:val="28"/>
          <w:sz w:val="28"/>
          <w:szCs w:val="28"/>
          <w:rtl w:val="true"/>
          <w:lang w:bidi="fa-IR"/>
        </w:rPr>
        <w:t xml:space="preserve">کون المجموع منها و ممّا بینها حیضاً، و صرّح به فی المعتبر أیضاً فی الفرع الثالث من فروع مسألة کون النفاس أکثره عشرة </w:t>
      </w:r>
      <w:r>
        <w:rPr>
          <w:rStyle w:val="FootnoteAnchor"/>
          <w:rtl w:val="true"/>
        </w:rPr>
        <w:footnoteReference w:id="963"/>
      </w:r>
      <w:r>
        <w:rPr>
          <w:rFonts w:ascii="IRNazanin" w:hAnsi="IRNazanin" w:eastAsia="IRNazanin"/>
          <w:color w:val="111111"/>
          <w:sz w:val="28"/>
          <w:sz w:val="28"/>
          <w:szCs w:val="28"/>
          <w:rtl w:val="true"/>
          <w:lang w:bidi="fa-IR"/>
        </w:rPr>
        <w:t xml:space="preserve">، و المصنّف فی التذکرة فی أواخر باب النفاس أیضاً </w:t>
      </w:r>
      <w:r>
        <w:rPr>
          <w:rStyle w:val="FootnoteAnchor"/>
          <w:rtl w:val="true"/>
        </w:rPr>
        <w:footnoteReference w:id="96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الحدائق لعلّه تبع فیه ما عن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رأت ثلاثة متفرّقة أو ساعات متفرّقة یتلفّق منها ثلاثة، و کانت وحدها حیضاً علی روایة یونس، و علی خلافها الکلّ </w:t>
      </w:r>
      <w:r>
        <w:rPr>
          <w:rStyle w:val="FootnoteAnchor"/>
          <w:rtl w:val="true"/>
        </w:rPr>
        <w:footnoteReference w:id="9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لیته أخذ بآخر العبارة لا بأوّلها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فیکفی فی المسألة ما قدّمناه من الأصل و الظهور المستفاد من الإطلاقات و الرضوی المنجبر بالشهرة العظیمة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فی المبسوط عن بعض أصحابنا </w:t>
      </w:r>
      <w:r>
        <w:rPr>
          <w:rStyle w:val="FootnoteAnchor"/>
          <w:rtl w:val="true"/>
        </w:rPr>
        <w:footnoteReference w:id="966"/>
      </w:r>
      <w:r>
        <w:rPr>
          <w:rFonts w:ascii="IRNazanin" w:hAnsi="IRNazanin" w:eastAsia="IRNazanin"/>
          <w:color w:val="111111"/>
          <w:sz w:val="28"/>
          <w:sz w:val="28"/>
          <w:szCs w:val="28"/>
          <w:rtl w:val="true"/>
          <w:lang w:bidi="fa-IR"/>
        </w:rPr>
        <w:t xml:space="preserve">، و عن الشیخ فی النهایة </w:t>
      </w:r>
      <w:r>
        <w:rPr>
          <w:rStyle w:val="FootnoteAnchor"/>
          <w:rtl w:val="true"/>
        </w:rPr>
        <w:footnoteReference w:id="967"/>
      </w:r>
      <w:r>
        <w:rPr>
          <w:rFonts w:ascii="IRNazanin" w:hAnsi="IRNazanin" w:eastAsia="IRNazanin"/>
          <w:color w:val="111111"/>
          <w:sz w:val="28"/>
          <w:sz w:val="28"/>
          <w:szCs w:val="28"/>
          <w:rtl w:val="true"/>
          <w:lang w:bidi="fa-IR"/>
        </w:rPr>
        <w:t xml:space="preserve">و التهذیبین </w:t>
      </w:r>
      <w:r>
        <w:rPr>
          <w:rStyle w:val="FootnoteAnchor"/>
          <w:rtl w:val="true"/>
        </w:rPr>
        <w:footnoteReference w:id="968"/>
      </w:r>
      <w:r>
        <w:rPr>
          <w:rFonts w:ascii="IRNazanin" w:hAnsi="IRNazanin" w:eastAsia="IRNazanin"/>
          <w:color w:val="111111"/>
          <w:sz w:val="28"/>
          <w:sz w:val="28"/>
          <w:szCs w:val="28"/>
          <w:rtl w:val="true"/>
          <w:lang w:bidi="fa-IR"/>
        </w:rPr>
        <w:t>و القاضی فی المهذّب، بل ظاهر المحکیّ عنه معروفیّة هذا القول؛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أصحابنا من قال باعتبار کونها متوالیة </w:t>
      </w:r>
      <w:r>
        <w:rPr>
          <w:rStyle w:val="FootnoteAnchor"/>
          <w:rtl w:val="true"/>
        </w:rPr>
        <w:footnoteReference w:id="969"/>
      </w:r>
      <w:r>
        <w:rPr>
          <w:rFonts w:ascii="IRNazanin" w:hAnsi="IRNazanin" w:eastAsia="IRNazanin"/>
          <w:color w:val="111111"/>
          <w:sz w:val="28"/>
          <w:sz w:val="28"/>
          <w:szCs w:val="28"/>
          <w:rtl w:val="true"/>
          <w:lang w:bidi="fa-IR"/>
        </w:rPr>
        <w:t xml:space="preserve">، و مال إلیه جماعة من متأخّری المتأخّرین کالمقدّس الأردبیلی </w:t>
      </w:r>
      <w:r>
        <w:rPr>
          <w:rStyle w:val="FootnoteAnchor"/>
          <w:rtl w:val="true"/>
        </w:rPr>
        <w:footnoteReference w:id="970"/>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971"/>
      </w:r>
      <w:r>
        <w:rPr>
          <w:rFonts w:ascii="IRNazanin" w:hAnsi="IRNazanin" w:eastAsia="IRNazanin"/>
          <w:color w:val="111111"/>
          <w:sz w:val="28"/>
          <w:sz w:val="28"/>
          <w:szCs w:val="28"/>
          <w:rtl w:val="true"/>
          <w:lang w:bidi="fa-IR"/>
        </w:rPr>
        <w:t xml:space="preserve">و الشیخ الحرّ العاملی فی رسالته </w:t>
      </w:r>
      <w:r>
        <w:rPr>
          <w:rStyle w:val="FootnoteAnchor"/>
          <w:rtl w:val="true"/>
        </w:rPr>
        <w:footnoteReference w:id="972"/>
      </w:r>
      <w:r>
        <w:rPr>
          <w:rFonts w:ascii="IRNazanin" w:hAnsi="IRNazanin" w:eastAsia="IRNazanin"/>
          <w:color w:val="111111"/>
          <w:sz w:val="28"/>
          <w:sz w:val="28"/>
          <w:szCs w:val="28"/>
          <w:rtl w:val="true"/>
          <w:lang w:bidi="fa-IR"/>
        </w:rPr>
        <w:t xml:space="preserve">، و صاحب الحدائق ناقلًا له عن جماعة من علماء البحرین </w:t>
      </w:r>
      <w:r>
        <w:rPr>
          <w:rStyle w:val="FootnoteAnchor"/>
          <w:rtl w:val="true"/>
        </w:rPr>
        <w:footnoteReference w:id="973"/>
      </w:r>
      <w:r>
        <w:rPr>
          <w:rFonts w:ascii="IRNazanin" w:hAnsi="IRNazanin" w:eastAsia="IRNazanin"/>
          <w:color w:val="111111"/>
          <w:sz w:val="28"/>
          <w:sz w:val="28"/>
          <w:szCs w:val="28"/>
          <w:rtl w:val="true"/>
          <w:lang w:bidi="fa-IR"/>
        </w:rPr>
        <w:t>لأصالة البراءة، و لقاعدة الإمکان؛ بناءً علی</w:t>
      </w:r>
    </w:p>
    <w:p>
      <w:pPr>
        <w:pStyle w:val="BookText"/>
        <w:rPr/>
      </w:pPr>
      <w:r>
        <w:rPr>
          <w:rFonts w:ascii="IRNazanin" w:hAnsi="IRNazanin" w:eastAsia="IRNazanin"/>
          <w:color w:val="111111"/>
          <w:sz w:val="28"/>
          <w:sz w:val="28"/>
          <w:szCs w:val="28"/>
          <w:rtl w:val="true"/>
          <w:lang w:bidi="fa-IR"/>
        </w:rPr>
        <w:t>جریانها فی المقام علی ما سیأتی و إطلاق الأخبار؛ بناءً علی منع ظهور التوالی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مرسلة یونس عن بعض رجاله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الطهر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المرأة أوّل ما تحیض ربما کانت کثیرة الدم، و یکون حیضها عشرة أیّام، فلا تزال کلّما کبرت نقصت حتّی ترجع إلی ثلاثة أیّام، فإذا رجعت إلی ثلاثة أیّام ارتفع حیضها، و لا یکون أقلّ من ثلاثة أیّام، و إذا رأت المرأة الدم فی أیّام حیضها ترکت الصلاة، فإذا استمرّ بها الدم ثلاثة أیّام فهی حائض، و إن انقطع الدم بعد ما رأته یوماً أو یومین اغتسلت و صلّت و انتظرت من یوم رأت الدم إلی عشرة أیّام، فإن رأت فی تلک العشرة أیّام من یوم رأت الدم یوماً أو یومین حتّی یتمّ لها ثلاثة أیّام فذلک الذی رأته فی أوّل الأمر مع هذا الذی رأته بعد ذلک فی العشرة فهو من الحیض، و إن مرّ بها من یوم رأت عشرة أیّام و لم ترَ الدم فذلک الیوم و الیومان الذی رأته لم یکن من الحیض، إنّما کان من علّة؛ إمّا قرحة فی جوفها، و إمّا من الجوف، فعلیها أن تعید الصلاة تلک الیومین التی ترکتها؛ لأنّها لم تکن حائضاً، فیجب أن تقضی ما ترکته من الصلاة فی الیوم و الیومین، و إن تمّ لها ثلاثة أیّام فهو من الحیض، و هو أدنی الحیض و لم یجب علیها القضاء، و لا یکون الطهر أقلّ من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حاضت المرأة و کان حیضها خمسة أیّام ثمّ انقطع الدم، اغتسلت و صلّت، فإن رأت بعد ذلک الدم و لم یتمّ لها من یوم طهرت الدم من أوّل ما رأت الثانی الذی رأته تمام العشرة أیّام و دام علیها، عدّت من أوّل ما رأت الدم الأوّل و الثانی عشرة أیّام، ثمّ هی مستحاضة تعمل ما تعمله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رأت المرأة فی أیّام حیضها من صفرة أو حمرة فهو من الحیض، و کلّ ما رأته</w:t>
      </w:r>
    </w:p>
    <w:p>
      <w:pPr>
        <w:pStyle w:val="BookText"/>
        <w:rPr/>
      </w:pPr>
      <w:r>
        <w:rPr>
          <w:rFonts w:ascii="IRNazanin" w:hAnsi="IRNazanin" w:eastAsia="IRNazanin"/>
          <w:color w:val="111111"/>
          <w:sz w:val="28"/>
          <w:sz w:val="28"/>
          <w:szCs w:val="28"/>
          <w:rtl w:val="true"/>
          <w:lang w:bidi="fa-IR"/>
        </w:rPr>
        <w:t xml:space="preserve">بعد أیّام حیضها فلیس من الحیض، الخبر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أصالة البراءة و إطلاق الأدلّة، فبما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قاعدة الإمکان، فبمنع الإمکان بعد قیام الدلیل علی التوالی، مع ما فیها من الإشکال فی جریانها فی مثل المقام،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المرسلة، فقد یجاب بقصور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مخالفة للمشهور بل شاذّة، کما فی الروض </w:t>
      </w:r>
      <w:r>
        <w:rPr>
          <w:rStyle w:val="FootnoteAnchor"/>
          <w:rtl w:val="true"/>
        </w:rPr>
        <w:footnoteReference w:id="976"/>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977"/>
      </w:r>
      <w:r>
        <w:rPr>
          <w:rFonts w:ascii="IRNazanin" w:hAnsi="IRNazanin" w:eastAsia="IRNazanin"/>
          <w:color w:val="111111"/>
          <w:sz w:val="28"/>
          <w:sz w:val="28"/>
          <w:szCs w:val="28"/>
          <w:rtl w:val="true"/>
          <w:lang w:bidi="fa-IR"/>
        </w:rPr>
        <w:t xml:space="preserve">، بل قد عرفت عن الجامع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علی خلافها؛ و لعلّه لرجوع الشیخ عنه و عدم الظفر بمخالفة القاضی، أو عدم الاعتداد بها، فالعمل بها فی مقابل الأصل المتقدّم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لولا الشهرة العظیمة کان القول بها قویّاً؛ لقوّة سندها و صراحة دلالتها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لهم بموثّقة ابن مسلم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رأت الدم قبل العشرة فهو من الحیضة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رأته بعد عشرة أیّام فهو من حیضة أُخری مستقبلة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حسنته الأُخری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رأت المرأة الدم قبل عشرة فهو من الحیضة الأُولی، و إن کان بعد العشرة فهو من العشرة المستقبلة </w:t>
      </w:r>
      <w:r>
        <w:rPr>
          <w:rStyle w:val="FootnoteAnchor"/>
          <w:rtl w:val="true"/>
        </w:rPr>
        <w:footnoteReference w:id="981"/>
      </w:r>
      <w:r>
        <w:rPr>
          <w:rFonts w:ascii="IRNazanin" w:hAnsi="IRNazanin" w:eastAsia="IRNazanin"/>
          <w:color w:val="111111"/>
          <w:sz w:val="28"/>
          <w:sz w:val="28"/>
          <w:szCs w:val="28"/>
          <w:rtl w:val="true"/>
          <w:lang w:bidi="fa-IR"/>
        </w:rPr>
        <w:t xml:space="preserve">، الخبر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بناءً علی أنّ ظاهرهما أنّها رأت الدم بعد ما رأته أوّلًا، سواء کان ما رأته أوّلًا ثلاثة أو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ظاهرهما کون حیضیّة الدم الأوّل مفروغاً عنها، و لا نسلّم الحیضیَّة إلّا بعد مضیّ ثلاثة متوالیة، کما نبّه علیه فی المعتبر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کاشف اللثام </w:t>
      </w:r>
      <w:r>
        <w:rPr>
          <w:rStyle w:val="FootnoteAnchor"/>
          <w:rtl w:val="true"/>
        </w:rPr>
        <w:footnoteReference w:id="985"/>
      </w:r>
      <w:r>
        <w:rPr>
          <w:rFonts w:ascii="IRNazanin" w:hAnsi="IRNazanin" w:eastAsia="IRNazanin"/>
          <w:color w:val="111111"/>
          <w:sz w:val="28"/>
          <w:sz w:val="28"/>
          <w:szCs w:val="28"/>
          <w:rtl w:val="true"/>
          <w:lang w:bidi="fa-IR"/>
        </w:rPr>
        <w:t xml:space="preserve">حکی هنا قولًا ثالثاً عن الراوندی </w:t>
      </w:r>
      <w:r>
        <w:rPr>
          <w:rStyle w:val="FootnoteAnchor"/>
          <w:rtl w:val="true"/>
        </w:rPr>
        <w:footnoteReference w:id="986"/>
      </w:r>
      <w:r>
        <w:rPr>
          <w:rFonts w:ascii="IRNazanin" w:hAnsi="IRNazanin" w:eastAsia="IRNazanin"/>
          <w:color w:val="111111"/>
          <w:sz w:val="28"/>
          <w:sz w:val="28"/>
          <w:szCs w:val="28"/>
          <w:rtl w:val="true"/>
          <w:lang w:bidi="fa-IR"/>
        </w:rPr>
        <w:t>، و هو اشتراط التوالی بالنسبة إلی غیر الحامل؛ لخبر إسحاق بن عمّار الجامع بین المرسلة و ما عداها من الأخبار؛ بناءً علی ظهورها فی التوالی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المرأة الحبلی تری الدم الیوم و الیومین؟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دماً عبیطاً فلا تصلِّ ذینک الیومین، و إن کان صفرة فلتغتسل عند کلّ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یراد به ترک الصلاة بمجرّد رؤیة الدم، و إن لزمها القضاء إذا لم یتوال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ذکرناه سابقاً من أنّ فهم التوالی لتبادر بیان مقدار الاستمرار من نصوص أقلّ الحیض،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اتّصال الدم، بحیث متی وضعت الکرسف و صبرت هنیئة خرجت ملوّثة و لو بمقدار رأس الإبرة من الدم، و هذا هو المحکیّ عن ظاهر الإسکافی </w:t>
      </w:r>
      <w:r>
        <w:rPr>
          <w:rStyle w:val="FootnoteAnchor"/>
          <w:rtl w:val="true"/>
        </w:rPr>
        <w:footnoteReference w:id="989"/>
      </w:r>
      <w:r>
        <w:rPr>
          <w:rFonts w:ascii="IRNazanin" w:hAnsi="IRNazanin" w:eastAsia="IRNazanin"/>
          <w:color w:val="111111"/>
          <w:sz w:val="28"/>
          <w:sz w:val="28"/>
          <w:szCs w:val="28"/>
          <w:rtl w:val="true"/>
          <w:lang w:bidi="fa-IR"/>
        </w:rPr>
        <w:t xml:space="preserve">و الغنیة </w:t>
      </w:r>
      <w:r>
        <w:rPr>
          <w:rStyle w:val="FootnoteAnchor"/>
          <w:rtl w:val="true"/>
        </w:rPr>
        <w:footnoteReference w:id="990"/>
      </w:r>
      <w:r>
        <w:rPr>
          <w:rFonts w:ascii="IRNazanin" w:hAnsi="IRNazanin" w:eastAsia="IRNazanin"/>
          <w:color w:val="111111"/>
          <w:sz w:val="28"/>
          <w:sz w:val="28"/>
          <w:szCs w:val="28"/>
          <w:rtl w:val="true"/>
          <w:lang w:bidi="fa-IR"/>
        </w:rPr>
        <w:t xml:space="preserve">و الکافی </w:t>
      </w:r>
      <w:r>
        <w:rPr>
          <w:rStyle w:val="FootnoteAnchor"/>
          <w:rtl w:val="true"/>
        </w:rPr>
        <w:footnoteReference w:id="991"/>
      </w:r>
      <w:r>
        <w:rPr>
          <w:rFonts w:ascii="IRNazanin" w:hAnsi="IRNazanin" w:eastAsia="IRNazanin"/>
          <w:color w:val="111111"/>
          <w:sz w:val="28"/>
          <w:sz w:val="28"/>
          <w:szCs w:val="28"/>
          <w:rtl w:val="true"/>
          <w:lang w:bidi="fa-IR"/>
        </w:rPr>
        <w:t xml:space="preserve">و السرائر </w:t>
      </w:r>
      <w:r>
        <w:rPr>
          <w:rStyle w:val="FootnoteAnchor"/>
          <w:rtl w:val="true"/>
        </w:rPr>
        <w:footnoteReference w:id="992"/>
      </w:r>
      <w:r>
        <w:rPr>
          <w:rFonts w:ascii="IRNazanin" w:hAnsi="IRNazanin" w:eastAsia="IRNazanin"/>
          <w:color w:val="111111"/>
          <w:sz w:val="28"/>
          <w:sz w:val="28"/>
          <w:szCs w:val="28"/>
          <w:rtl w:val="true"/>
          <w:lang w:bidi="fa-IR"/>
        </w:rPr>
        <w:t xml:space="preserve">و جامع المقاصد مصرّحاً فی الأخیر بأنّ المتبادر إلی الأفهام من کون الدم ثلاثة أیّام حصولها فیها علی الاتّصال، و أنّه قد یوجد فی بعض الحواشی الاکتفاء بحصوله فی الثلاثة فی الجملة، و هو رجوع إلی ما لیس له مرجع </w:t>
      </w:r>
      <w:r>
        <w:rPr>
          <w:rStyle w:val="FootnoteAnchor"/>
          <w:rtl w:val="true"/>
        </w:rPr>
        <w:footnoteReference w:id="99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عدم معروفیّة هذا القول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فی الظهور عبارة غایة المرام؛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ثلاثة أیّام بلیالیها متتالیة، بحیث لا یخلو من الفرج فی آن من آنات الثلاثة، و إن قلّ تارةً و کثر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مذهب الشیخ و ابنی بابویه و ابن إدریس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القول الآخر، 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ما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رأت ساعة دماً و ساعة طهراً کذلک إلی العشرة لم یکن حیضاً علی مذهب من یراعی ثلاثة أیّام متوالیات </w:t>
      </w:r>
      <w:r>
        <w:rPr>
          <w:rStyle w:val="FootnoteAnchor"/>
          <w:rtl w:val="true"/>
        </w:rPr>
        <w:footnoteReference w:id="9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المنتهی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تناوب الدم و النقاء فی الساعات فی العشر یضمّ الدماء بعضها إلی بعض علی عدم اشتراط التوالی </w:t>
      </w:r>
      <w:r>
        <w:rPr>
          <w:rStyle w:val="FootnoteAnchor"/>
          <w:rtl w:val="true"/>
        </w:rPr>
        <w:footnoteReference w:id="9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المعتبر </w:t>
      </w:r>
      <w:r>
        <w:rPr>
          <w:rStyle w:val="FootnoteAnchor"/>
          <w:rtl w:val="true"/>
        </w:rPr>
        <w:footnoteReference w:id="997"/>
      </w:r>
      <w:r>
        <w:rPr>
          <w:rFonts w:ascii="IRNazanin" w:hAnsi="IRNazanin" w:eastAsia="IRNazanin"/>
          <w:color w:val="111111"/>
          <w:sz w:val="28"/>
          <w:sz w:val="28"/>
          <w:szCs w:val="28"/>
          <w:rtl w:val="true"/>
          <w:lang w:bidi="fa-IR"/>
        </w:rPr>
        <w:t>و التذکرة فی باب النفاس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رأت بعد العاشر من النفاس ساعة دماً و ساعة طهراً و اجتمع ثلاثة أیّام فی عشرة کان الدم حیضاً علی الروایة و ما تخلّله، و علی القول الآخر استحاضة </w:t>
      </w:r>
      <w:r>
        <w:rPr>
          <w:rStyle w:val="FootnoteAnchor"/>
          <w:rtl w:val="true"/>
        </w:rPr>
        <w:footnoteReference w:id="99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العبائر کلّها ظاهرة فی أنّ وجود الدم فی کلّ من الثلاثة ساعة لا یکفی فی تحقّق الثلاثة علی کلا القولین، و لذا قال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رأت یومین و نصفاً لم یکن حیضاً لأنّه لم یستمرّ ثلاثة أیّام بلا خلاف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مجرّد اشتراط التوالی فی الأیّام لا یستلزم الاستمرار فی جمیع آنات أیّامها الثلاثة، بل یکفی وجوده فی کلّ یوم کما اختاره جماعة </w:t>
      </w:r>
      <w:r>
        <w:rPr>
          <w:rStyle w:val="FootnoteAnchor"/>
          <w:rtl w:val="true"/>
        </w:rPr>
        <w:footnoteReference w:id="1000"/>
      </w:r>
      <w:r>
        <w:rPr>
          <w:rFonts w:ascii="IRNazanin" w:hAnsi="IRNazanin" w:eastAsia="IRNazanin"/>
          <w:color w:val="111111"/>
          <w:sz w:val="28"/>
          <w:sz w:val="28"/>
          <w:szCs w:val="28"/>
          <w:rtl w:val="true"/>
          <w:lang w:bidi="fa-IR"/>
        </w:rPr>
        <w:t xml:space="preserve">، بل عن المدارک </w:t>
      </w:r>
      <w:r>
        <w:rPr>
          <w:rStyle w:val="FootnoteAnchor"/>
          <w:rtl w:val="true"/>
        </w:rPr>
        <w:footnoteReference w:id="1001"/>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1002"/>
      </w:r>
      <w:r>
        <w:rPr>
          <w:rFonts w:ascii="IRNazanin" w:hAnsi="IRNazanin" w:eastAsia="IRNazanin"/>
          <w:color w:val="111111"/>
          <w:sz w:val="28"/>
          <w:sz w:val="28"/>
          <w:szCs w:val="28"/>
          <w:rtl w:val="true"/>
          <w:lang w:bidi="fa-IR"/>
        </w:rPr>
        <w:t xml:space="preserve">و الذخیرة </w:t>
      </w:r>
      <w:r>
        <w:rPr>
          <w:rStyle w:val="FootnoteAnchor"/>
          <w:rtl w:val="true"/>
        </w:rPr>
        <w:footnoteReference w:id="1003"/>
      </w:r>
      <w:r>
        <w:rPr>
          <w:rFonts w:ascii="IRNazanin" w:hAnsi="IRNazanin" w:eastAsia="IRNazanin"/>
          <w:color w:val="111111"/>
          <w:sz w:val="28"/>
          <w:sz w:val="28"/>
          <w:szCs w:val="28"/>
          <w:rtl w:val="true"/>
          <w:lang w:bidi="fa-IR"/>
        </w:rPr>
        <w:t xml:space="preserve">و الحدائق </w:t>
      </w:r>
      <w:r>
        <w:rPr>
          <w:rStyle w:val="FootnoteAnchor"/>
          <w:rtl w:val="true"/>
        </w:rPr>
        <w:footnoteReference w:id="1004"/>
      </w:r>
      <w:r>
        <w:rPr>
          <w:rFonts w:ascii="IRNazanin" w:hAnsi="IRNazanin" w:eastAsia="IRNazanin"/>
          <w:color w:val="111111"/>
          <w:sz w:val="28"/>
          <w:sz w:val="28"/>
          <w:szCs w:val="28"/>
          <w:rtl w:val="true"/>
          <w:lang w:bidi="fa-IR"/>
        </w:rPr>
        <w:t>نسبته إلی الأکثر و اختیارهم له؛ تبعاً للشارح فی الروض،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النصّ الاکتفاء بوجوده فی کلّ یوم و إن لم یستوعبه؛ لصدق رؤیته ثلاثة أیّام؛ لأنّها ظرف</w:t>
      </w:r>
    </w:p>
    <w:p>
      <w:pPr>
        <w:pStyle w:val="BookText"/>
        <w:rPr/>
      </w:pPr>
      <w:r>
        <w:rPr>
          <w:rFonts w:ascii="IRNazanin" w:hAnsi="IRNazanin" w:eastAsia="IRNazanin"/>
          <w:color w:val="111111"/>
          <w:sz w:val="28"/>
          <w:sz w:val="28"/>
          <w:szCs w:val="28"/>
          <w:rtl w:val="true"/>
          <w:lang w:bidi="fa-IR"/>
        </w:rPr>
        <w:t xml:space="preserve">له، و لا یجب المطابقة بین الظرف و المظروف، و هذا هو الظاهر من کلام المصنّف، و ربما اعتبر مع ذلک فی تحقّقه أن یتّفق ثلاثة دماء،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ثلاثة أیّام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زیادة و لا نقصان، فیعتبر فی ذلک أنّها إذا رأته فی أوّل جزء من أوّل لیلة من الشهر أن تراه فی آخر جزء من الیوم الثالث، بحیث یکون عند غروبه موجوداً، و فی الیوم الوسط یکفی أیّ جزءٍ منه کان، و ربما بالغ بعضهم فاعتبر فیه الاتّصال فی الثلاثة، بحیث متی وضعت الکرسف تلوّث به فی جمیع أجزائها، و قد صرّح بهذا الاعتبار الشیخ جمال الدین بن فهد فی المحرّر </w:t>
      </w:r>
      <w:r>
        <w:rPr>
          <w:rStyle w:val="FootnoteAnchor"/>
          <w:rtl w:val="true"/>
        </w:rPr>
        <w:footnoteReference w:id="1006"/>
      </w:r>
      <w:r>
        <w:rPr>
          <w:rFonts w:ascii="IRNazanin" w:hAnsi="IRNazanin" w:eastAsia="IRNazanin"/>
          <w:color w:val="111111"/>
          <w:sz w:val="28"/>
          <w:sz w:val="28"/>
          <w:szCs w:val="28"/>
          <w:rtl w:val="true"/>
          <w:lang w:bidi="fa-IR"/>
        </w:rPr>
        <w:t>، و المحقّق الشیخ علی فی الشرح،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الاکتفاء بحصوله فیها فی الجملة رجوع إلی ما لیس له مرجع </w:t>
      </w:r>
      <w:r>
        <w:rPr>
          <w:rStyle w:val="FootnoteAnchor"/>
          <w:rtl w:val="true"/>
        </w:rPr>
        <w:footnoteReference w:id="1007"/>
      </w:r>
      <w:r>
        <w:rPr>
          <w:rFonts w:ascii="IRNazanin" w:hAnsi="IRNazanin" w:eastAsia="IRNazanin"/>
          <w:color w:val="111111"/>
          <w:sz w:val="28"/>
          <w:sz w:val="28"/>
          <w:szCs w:val="28"/>
          <w:rtl w:val="true"/>
          <w:lang w:bidi="fa-IR"/>
        </w:rPr>
        <w:t xml:space="preserve">، انتهی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w:t>
      </w:r>
      <w:r>
        <w:rPr>
          <w:rStyle w:val="FootnoteAnchor"/>
          <w:rtl w:val="true"/>
        </w:rPr>
        <w:footnoteReference w:id="1009"/>
      </w:r>
      <w:r>
        <w:rPr>
          <w:rFonts w:ascii="IRNazanin" w:hAnsi="IRNazanin" w:eastAsia="IRNazanin"/>
          <w:color w:val="111111"/>
          <w:sz w:val="28"/>
          <w:sz w:val="28"/>
          <w:szCs w:val="28"/>
          <w:rtl w:val="true"/>
          <w:lang w:bidi="fa-IR"/>
        </w:rPr>
        <w:t>أنّ المصرّح بهذا الاعتبار جماعة من القدماء و المتأخّرین، بل ظاهر کلام جماعة کما تقدّم عدم الخلاف فیه و عدم معروفیة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أقلّ الحیض ثلاثة أیّام بلیالیها بلا خلاف بین فقهاء أهل البیت علیهم السلام،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 إلی أبی یوسف کفایة یومین و أکثر الثالث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فیه و فی اعتبار دخول اللیالی و لو أُرید به ما بین</w:t>
      </w:r>
    </w:p>
    <w:p>
      <w:pPr>
        <w:pStyle w:val="BookText"/>
        <w:rPr/>
      </w:pPr>
      <w:r>
        <w:rPr>
          <w:rFonts w:ascii="IRNazanin" w:hAnsi="IRNazanin" w:eastAsia="IRNazanin"/>
          <w:color w:val="111111"/>
          <w:sz w:val="28"/>
          <w:sz w:val="28"/>
          <w:szCs w:val="28"/>
          <w:rtl w:val="true"/>
          <w:lang w:bidi="fa-IR"/>
        </w:rPr>
        <w:t>الثلاثة دلالة علی عدم کفایة وجوده فی کلّ یوم آناً ما، إلّا أن یراد وجوده فی کلّ یوم و لیلة، لکنّه یعلم عدم إرادة ذلک بملاحظة ما ذکره فی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یظهر ما فی کلام الشارح فی الروض </w:t>
      </w:r>
      <w:r>
        <w:rPr>
          <w:rStyle w:val="FootnoteAnchor"/>
          <w:rtl w:val="true"/>
        </w:rPr>
        <w:footnoteReference w:id="1011"/>
      </w:r>
      <w:r>
        <w:rPr>
          <w:rFonts w:ascii="IRNazanin" w:hAnsi="IRNazanin" w:eastAsia="IRNazanin"/>
          <w:color w:val="111111"/>
          <w:sz w:val="28"/>
          <w:sz w:val="28"/>
          <w:szCs w:val="28"/>
          <w:rtl w:val="true"/>
          <w:lang w:bidi="fa-IR"/>
        </w:rPr>
        <w:t xml:space="preserve">من الجمع بین اعترافه بدخول اللیالی فی الأیّام، و ذکرها فی معقد إجماع المنتهی و استظهاره کفایة وجود الدم فی کلّ یوم، و نحوه جمال الدین قدّس سرّه فی حاشیة الروضة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یستدلّ لما نسبه إلی الأکثر بموثّقة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الجاریة البکر أوّل ما تحیض فتقعد فی الشهر یومین و فی الشهر ثلاثة، یختلف علیها لا یکون طمثها فی الشهر عدّة أیّام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أن تجلس و تدع الصلاة ما دامت تری الدم ما لم تجز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فإنّ ترک الصلاة یومین إنّما یکون بأن تری الدم فی الیوم الأوّل بعد صلاة الظهرین، و یمکن أیضاً حملها علی تلفیق مقدار ثلاثة متوالیة، بأن تری الدم عصر الخمیس فتقعد عن الصلاة یوم الجمعة و یوم السبت و تطهر فی عصر الأحد، فلا حجّة فیها للأکثر کما لا حجّة فی قوله علیه السلام فی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رأت الدم فی أیّام حیضها ترکت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 کما زعم فی حاشیة الروض </w:t>
      </w:r>
      <w:r>
        <w:rPr>
          <w:rStyle w:val="FootnoteAnchor"/>
          <w:rtl w:val="true"/>
        </w:rPr>
        <w:footnoteReference w:id="1015"/>
      </w:r>
      <w:r>
        <w:rPr>
          <w:rFonts w:ascii="IRNazanin" w:hAnsi="IRNazanin" w:eastAsia="IRNazanin"/>
          <w:color w:val="111111"/>
          <w:sz w:val="28"/>
          <w:sz w:val="28"/>
          <w:szCs w:val="28"/>
          <w:rtl w:val="true"/>
          <w:lang w:bidi="fa-IR"/>
        </w:rPr>
        <w:t>لأنّها محمولة علی الغالب من الاستمرار فی أوّل زمان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 حجّیة فیما نقل عن النهایة </w:t>
      </w:r>
      <w:r>
        <w:rPr>
          <w:rStyle w:val="FootnoteAnchor"/>
          <w:rtl w:val="true"/>
        </w:rPr>
        <w:footnoteReference w:id="1016"/>
      </w:r>
      <w:r>
        <w:rPr>
          <w:rFonts w:ascii="IRNazanin" w:hAnsi="IRNazanin" w:eastAsia="IRNazanin"/>
          <w:color w:val="111111"/>
          <w:sz w:val="28"/>
          <w:sz w:val="28"/>
          <w:szCs w:val="28"/>
          <w:rtl w:val="true"/>
          <w:lang w:bidi="fa-IR"/>
        </w:rPr>
        <w:t xml:space="preserve">و المنتهی </w:t>
      </w:r>
      <w:r>
        <w:rPr>
          <w:rStyle w:val="FootnoteAnchor"/>
          <w:rtl w:val="true"/>
        </w:rPr>
        <w:footnoteReference w:id="1017"/>
      </w:r>
      <w:r>
        <w:rPr>
          <w:rFonts w:ascii="IRNazanin" w:hAnsi="IRNazanin" w:eastAsia="IRNazanin"/>
          <w:color w:val="111111"/>
          <w:sz w:val="28"/>
          <w:sz w:val="28"/>
          <w:szCs w:val="28"/>
          <w:rtl w:val="true"/>
          <w:lang w:bidi="fa-IR"/>
        </w:rPr>
        <w:t xml:space="preserve">و التذکرة </w:t>
      </w:r>
      <w:r>
        <w:rPr>
          <w:rStyle w:val="FootnoteAnchor"/>
          <w:rtl w:val="true"/>
        </w:rPr>
        <w:footnoteReference w:id="1018"/>
      </w:r>
      <w:r>
        <w:rPr>
          <w:rFonts w:ascii="IRNazanin" w:hAnsi="IRNazanin" w:eastAsia="IRNazanin"/>
          <w:color w:val="111111"/>
          <w:sz w:val="28"/>
          <w:sz w:val="28"/>
          <w:szCs w:val="28"/>
          <w:rtl w:val="true"/>
          <w:lang w:bidi="fa-IR"/>
        </w:rPr>
        <w:t>من أنّ الفترات المعتادة بین دفعات الحیض لا ینافی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الأخیر الإجماع علیه؛ لأنّ مرادنا بالتوالی عدم تخلّل النقاء و استمرار التقاطر من الرحم عرفاً و لو لم یخرج فی الخارج؛ و لذا فرّق فی النهایة و التذکرة بین الفترات و ما یتخلّل من ساعات النقاء بین الثلاثة علی القول بعدم اشتراط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دم الحیض یجتمع فی الرحم، ثمّ الرحم یقطّره شیئاً فشیئاً، فالفترة ما بین ظهور دفعةٍ و انتهاء اخری من الرحم إلی المنفذ، فإذا زاد علی تلک فهو النقاء </w:t>
      </w:r>
      <w:r>
        <w:rPr>
          <w:rStyle w:val="FootnoteAnchor"/>
          <w:rtl w:val="true"/>
        </w:rPr>
        <w:footnoteReference w:id="10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یخلو من منافاة؛ لتفسیر الاستمرار بتلطّخ الکرسف کلّما وضعت، إلّا أن یقیّد بما بعد الصبر هنیئة، و لعلّه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صاحب المدارک أوّلًا حیث نسب ما اختاره إلی الأکثر </w:t>
      </w:r>
      <w:r>
        <w:rPr>
          <w:rStyle w:val="FootnoteAnchor"/>
          <w:rtl w:val="true"/>
        </w:rPr>
        <w:footnoteReference w:id="1020"/>
      </w:r>
      <w:r>
        <w:rPr>
          <w:rFonts w:ascii="IRNazanin" w:hAnsi="IRNazanin" w:eastAsia="IRNazanin"/>
          <w:color w:val="111111"/>
          <w:sz w:val="28"/>
          <w:sz w:val="28"/>
          <w:szCs w:val="28"/>
          <w:rtl w:val="true"/>
          <w:lang w:bidi="fa-IR"/>
        </w:rPr>
        <w:t>، مع ما عرفت من الشهرة، بل ظهور الاتّفاق علی الخلاف من کلام جماعة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ادّعی فی مسألة التوالی ظهور الأخبار فیه، مع إنکاره</w:t>
      </w:r>
    </w:p>
    <w:p>
      <w:pPr>
        <w:pStyle w:val="BookText"/>
        <w:rPr/>
      </w:pPr>
      <w:r>
        <w:rPr>
          <w:rFonts w:ascii="IRNazanin" w:hAnsi="IRNazanin" w:eastAsia="IRNazanin"/>
          <w:color w:val="111111"/>
          <w:sz w:val="28"/>
          <w:sz w:val="28"/>
          <w:szCs w:val="28"/>
          <w:rtl w:val="true"/>
          <w:lang w:bidi="fa-IR"/>
        </w:rPr>
        <w:t>هنا ظهورها فی الاستمرار و الاتّصال فی الثلاثة، مع أنّک عرفت أنّ منشأ فهم التوالی من تلک الأخبار ظهورها فی الاستمرار، فیلزمه التوالی،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إشکال فی دخول اللیلتین بین الثلاثة لعدم الاستمرار بدونه، و أمّا لیلة الیوم الأوّل فالظاهر عدم دخوله کما لا یدخل فی أیّام الاعتکاف و لا أیّام الإقامة؛ لعدم الدلیل علیه من الشرع و لا العرف</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اللیالی فی الأیّام؛ إمّا بناءً علی أنّ الیوم اسم للّیل و النهار أو للتغلیب کما فی الروض </w:t>
      </w:r>
      <w:r>
        <w:rPr>
          <w:rStyle w:val="FootnoteAnchor"/>
          <w:rtl w:val="true"/>
        </w:rPr>
        <w:footnoteReference w:id="1021"/>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1022"/>
      </w:r>
      <w:r>
        <w:rPr>
          <w:rFonts w:ascii="IRNazanin" w:hAnsi="IRNazanin" w:eastAsia="IRNazanin"/>
          <w:color w:val="111111"/>
          <w:sz w:val="28"/>
          <w:sz w:val="28"/>
          <w:szCs w:val="28"/>
          <w:rtl w:val="true"/>
          <w:lang w:bidi="fa-IR"/>
        </w:rPr>
        <w:t>، ممنوعة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اللیلتین بین الثلاثة إنّما هو لتحقّق الاستمرار لا لدخول اللیل فی الیوم حقیقةً أو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المنتهی </w:t>
      </w:r>
      <w:r>
        <w:rPr>
          <w:rStyle w:val="FootnoteAnchor"/>
          <w:rtl w:val="true"/>
        </w:rPr>
        <w:footnoteReference w:id="1023"/>
      </w:r>
      <w:r>
        <w:rPr>
          <w:rFonts w:ascii="IRNazanin" w:hAnsi="IRNazanin" w:eastAsia="IRNazanin"/>
          <w:color w:val="111111"/>
          <w:sz w:val="28"/>
          <w:sz w:val="28"/>
          <w:szCs w:val="28"/>
          <w:rtl w:val="true"/>
          <w:lang w:bidi="fa-IR"/>
        </w:rPr>
        <w:t xml:space="preserve">و التذکرة </w:t>
      </w:r>
      <w:r>
        <w:rPr>
          <w:rStyle w:val="FootnoteAnchor"/>
          <w:rtl w:val="true"/>
        </w:rPr>
        <w:footnoteReference w:id="1024"/>
      </w:r>
      <w:r>
        <w:rPr>
          <w:rFonts w:ascii="IRNazanin" w:hAnsi="IRNazanin" w:eastAsia="IRNazanin"/>
          <w:color w:val="111111"/>
          <w:sz w:val="28"/>
          <w:sz w:val="28"/>
          <w:szCs w:val="28"/>
          <w:rtl w:val="true"/>
          <w:lang w:bidi="fa-IR"/>
        </w:rPr>
        <w:t xml:space="preserve">اعتبار الثلاثة بلیالیها، مع دعوی الإجماع علیه؛ و لعلّه لذا نسب هذا القول فی الذخیرة </w:t>
      </w:r>
      <w:r>
        <w:rPr>
          <w:rStyle w:val="FootnoteAnchor"/>
          <w:rtl w:val="true"/>
        </w:rPr>
        <w:footnoteReference w:id="1025"/>
      </w:r>
      <w:r>
        <w:rPr>
          <w:rFonts w:ascii="IRNazanin" w:hAnsi="IRNazanin" w:eastAsia="IRNazanin"/>
          <w:color w:val="111111"/>
          <w:sz w:val="28"/>
          <w:sz w:val="28"/>
          <w:szCs w:val="28"/>
          <w:rtl w:val="true"/>
          <w:lang w:bidi="fa-IR"/>
        </w:rPr>
        <w:t xml:space="preserve">إلی ظاهر الأصحاب، لکن لا یبعد رجوع الإجماع فی الکتابین إلی أصل الثلاثة، کما اعترف به جماعة، منهم کاشف اللثام </w:t>
      </w:r>
      <w:r>
        <w:rPr>
          <w:rStyle w:val="FootnoteAnchor"/>
          <w:rtl w:val="true"/>
        </w:rPr>
        <w:footnoteReference w:id="1026"/>
      </w:r>
      <w:r>
        <w:rPr>
          <w:rFonts w:ascii="IRNazanin" w:hAnsi="IRNazanin" w:eastAsia="IRNazanin"/>
          <w:color w:val="111111"/>
          <w:sz w:val="28"/>
          <w:sz w:val="28"/>
          <w:szCs w:val="28"/>
          <w:rtl w:val="true"/>
          <w:lang w:bidi="fa-IR"/>
        </w:rPr>
        <w:t xml:space="preserve">و صاحب الریاض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رأت الدم فی أثناء النهار اعتبر ثلاث لیال و تمام ما نقص من الیوم الأوّل؛ بناءً علی ما هو الأقوی من کفایة الیوم الملفّق</w:t>
      </w:r>
      <w:r>
        <w:rPr>
          <w:rFonts w:eastAsia="IRNazanin" w:cs="IRNazanin"/>
          <w:color w:val="111111"/>
          <w:sz w:val="28"/>
          <w:szCs w:val="28"/>
          <w:rtl w:val="true"/>
          <w:lang w:bidi="fa-IR"/>
        </w:rPr>
        <w:t>.</w:t>
      </w:r>
      <w:bookmarkStart w:id="139" w:name="pg13039_115272"/>
    </w:p>
    <w:p>
      <w:pPr>
        <w:pStyle w:val="BookText"/>
        <w:rPr/>
      </w:pPr>
      <w:bookmarkEnd w:id="139"/>
      <w:r>
        <w:rPr>
          <w:rFonts w:ascii="IRNazanin" w:hAnsi="IRNazanin" w:eastAsia="IRNazanin"/>
          <w:color w:val="111111"/>
          <w:sz w:val="28"/>
          <w:sz w:val="28"/>
          <w:szCs w:val="28"/>
          <w:rtl w:val="true"/>
          <w:lang w:bidi="fa-IR"/>
        </w:rPr>
        <w:t xml:space="preserve">و هل یجزی الملفّق من الأبعاض الغیر المتوالیة؛ بناءً علی القول بعدم التوالی؟ إشکال، من لزوم الاقتصار علی ظاهر المرسلة المتقدّمة، و ممّا تقدّم </w:t>
      </w:r>
      <w:r>
        <w:rPr>
          <w:rStyle w:val="FootnoteAnchor"/>
          <w:rtl w:val="true"/>
        </w:rPr>
        <w:footnoteReference w:id="1028"/>
      </w:r>
      <w:r>
        <w:rPr>
          <w:rFonts w:ascii="IRNazanin" w:hAnsi="IRNazanin" w:eastAsia="IRNazanin"/>
          <w:color w:val="111111"/>
          <w:sz w:val="28"/>
          <w:sz w:val="28"/>
          <w:szCs w:val="28"/>
          <w:rtl w:val="true"/>
          <w:lang w:bidi="fa-IR"/>
        </w:rPr>
        <w:t xml:space="preserve">عن المبسوط و الجامع و المنتهی من کفایة تلفّق الساعات؛ بناءً علی هذا القول، و به صرّح المصنّف فی النهایة و التذکرة فی باب النفاس؛ تبعاً للمحقّق فی المعتبر فی باب النفاس کما تقدّم </w:t>
      </w:r>
      <w:r>
        <w:rPr>
          <w:rStyle w:val="FootnoteAnchor"/>
          <w:rtl w:val="true"/>
        </w:rPr>
        <w:footnoteReference w:id="1029"/>
      </w:r>
      <w:r>
        <w:rPr>
          <w:rFonts w:ascii="IRNazanin" w:hAnsi="IRNazanin" w:eastAsia="IRNazanin"/>
          <w:color w:val="111111"/>
          <w:sz w:val="28"/>
          <w:sz w:val="28"/>
          <w:szCs w:val="28"/>
          <w:rtl w:val="true"/>
          <w:lang w:bidi="fa-IR"/>
        </w:rPr>
        <w:t>، و لا یهمّنا التعرّض للترجیح بعد ضعف ذلک القول</w:t>
      </w:r>
      <w:r>
        <w:rPr>
          <w:rFonts w:eastAsia="IRNazanin" w:cs="IRNazanin"/>
          <w:color w:val="111111"/>
          <w:sz w:val="28"/>
          <w:szCs w:val="28"/>
          <w:rtl w:val="true"/>
          <w:lang w:bidi="fa-IR"/>
        </w:rPr>
        <w:t>.</w:t>
      </w:r>
    </w:p>
    <w:p>
      <w:pPr>
        <w:pStyle w:val="Heading6"/>
        <w:numPr>
          <w:ilvl w:val="5"/>
          <w:numId w:val="1"/>
        </w:numPr>
        <w:rPr/>
      </w:pPr>
      <w:bookmarkStart w:id="140" w:name="__RefHeading___Toc6451964_3224264995"/>
      <w:bookmarkStart w:id="141" w:name="_Toc53"/>
      <w:bookmarkEnd w:id="140"/>
      <w:r>
        <w:rPr>
          <w:rtl w:val="true"/>
        </w:rPr>
        <w:t>[</w:t>
      </w:r>
      <w:r>
        <w:rPr>
          <w:rtl w:val="true"/>
        </w:rPr>
        <w:t>أکثر الحیض عشرة أیّام</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و حکایة الإجماع علیه </w:t>
      </w:r>
      <w:r>
        <w:rPr>
          <w:rStyle w:val="FootnoteAnchor"/>
          <w:rtl w:val="true"/>
        </w:rPr>
        <w:footnoteReference w:id="1030"/>
      </w:r>
      <w:r>
        <w:rPr>
          <w:rFonts w:ascii="IRNazanin" w:hAnsi="IRNazanin" w:eastAsia="IRNazanin"/>
          <w:color w:val="111111"/>
          <w:sz w:val="28"/>
          <w:sz w:val="28"/>
          <w:szCs w:val="28"/>
          <w:rtl w:val="true"/>
          <w:lang w:bidi="fa-IR"/>
        </w:rPr>
        <w:t xml:space="preserve">کالأخبار مستفیضة، و الروایة الواردة بالثمانیة </w:t>
      </w:r>
      <w:r>
        <w:rPr>
          <w:rStyle w:val="FootnoteAnchor"/>
          <w:rtl w:val="true"/>
        </w:rPr>
        <w:footnoteReference w:id="1031"/>
      </w:r>
      <w:r>
        <w:rPr>
          <w:rFonts w:ascii="IRNazanin" w:hAnsi="IRNazanin" w:eastAsia="IRNazanin"/>
          <w:color w:val="111111"/>
          <w:sz w:val="28"/>
          <w:sz w:val="28"/>
          <w:szCs w:val="28"/>
          <w:rtl w:val="true"/>
          <w:lang w:bidi="fa-IR"/>
        </w:rPr>
        <w:t xml:space="preserve">مع شذوذها، بل مخالفتها لإجماع المسلمین کما قیل </w:t>
      </w:r>
      <w:r>
        <w:rPr>
          <w:rStyle w:val="FootnoteAnchor"/>
          <w:rtl w:val="true"/>
        </w:rPr>
        <w:footnoteReference w:id="1032"/>
      </w:r>
      <w:r>
        <w:rPr>
          <w:rFonts w:ascii="IRNazanin" w:hAnsi="IRNazanin" w:eastAsia="IRNazanin"/>
          <w:color w:val="111111"/>
          <w:sz w:val="28"/>
          <w:sz w:val="28"/>
          <w:szCs w:val="28"/>
          <w:rtl w:val="true"/>
          <w:lang w:bidi="fa-IR"/>
        </w:rPr>
        <w:t>محمولة علی الحدّ المتعارف من عدم تجاوز الحیض الثمانیة، لا علی التحدید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خصوص أیّام الدم أو الأعمّ منها و من أیّام النقاء المتخلّلة بینها؛ بناءً علی المشهور من کونها من أیّام الحیض شرعاً، فلو رأت ثلاثة فانقطع ثمّ عاد فی العاشر و انقطع، کان ذلک أکثر أیّام الحیض حقیقة علی الثانی، و ملحقاً به شرعاً علی الأوّل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 فهل المراد منها الأیّام المتوالیة نظیر ما ذکرنا فی الأقلّ، أو الأعمّ؟ الظاهر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ابتناء المسألة علی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بالطهر الذی اتّفقوا علی کون أقلّه عشرة هو مطلق حال الطهارة للمرأة، أو خصوص الطهر بین الحیضتین، فعلی الأوّل لا یعقل عدم التوالی؛ لأنّ أیّام النقاء المتخلّلة حینئذٍ حیض شرعاً، و لیس کذلک علی الثانی سیّما علی مذهب من لم یعتبر التوالی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اعتبار التوالی و إن قلنا فی مسألة أقلّ الطهر بأنّ المراد به خصوص ما بین الحیضتین؛ لما عرفت من ظهور الأدلّة فی العشرة المتوالیة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فیما ذکرنا مخالفاً، بل الظاهر من نهایة المصنّف قدّس سرّه عدم القائل به؛ حیث قال فی أحکام التلفیق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جاوز الدم بصفة التلفیق الأکثر، فقد صارت مستحاضة کغیر ذات التلفیق، و لا قائل بالالتقاط من جمیع الشهر و إن لم یزد مبلغ الدم عن الأکثر </w:t>
      </w:r>
      <w:r>
        <w:rPr>
          <w:rStyle w:val="FootnoteAnchor"/>
          <w:rtl w:val="true"/>
        </w:rPr>
        <w:footnoteReference w:id="10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صاحب الحدائق </w:t>
      </w:r>
      <w:r>
        <w:rPr>
          <w:rStyle w:val="FootnoteAnchor"/>
          <w:rtl w:val="true"/>
        </w:rPr>
        <w:footnoteReference w:id="1034"/>
      </w:r>
      <w:r>
        <w:rPr>
          <w:rFonts w:ascii="IRNazanin" w:hAnsi="IRNazanin" w:eastAsia="IRNazanin"/>
          <w:color w:val="111111"/>
          <w:sz w:val="28"/>
          <w:sz w:val="28"/>
          <w:szCs w:val="28"/>
          <w:rtl w:val="true"/>
          <w:lang w:bidi="fa-IR"/>
        </w:rPr>
        <w:t>الخلاف؛ حیث لم یعتبر التوالی؛ تمسّکاً بإطلاق الأخبار السالم عن مزاحمة ما دلّ علی أنّ الطهر لا یکون فی أقلّ من عشرة؛ بناءً علی ما قرّره فی المسألة الآتیة من جواز تخلّل الطهر بین أجزاء الحیضة الواحدة، و أنّ الذی لا یکون أقلّ من عشرة هو الطهر بین الحیضتین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مذهبه فی أقلّ الحیض و أکثره یرجع إلی عدم اعتبار التوالی فیهما و جواز تخلّل الطهر بینهما، فلو رأت خمسة ثمّ انقطع الدم ثمانیة أیّام ثمّ عاد خمسة، کان الدم الثانی عنده من الحیضة الأُولی، و کانت الثمانیة طهراً کما</w:t>
      </w:r>
    </w:p>
    <w:p>
      <w:pPr>
        <w:pStyle w:val="BookText"/>
        <w:rPr/>
      </w:pPr>
      <w:r>
        <w:rPr>
          <w:rFonts w:ascii="IRNazanin" w:hAnsi="IRNazanin" w:eastAsia="IRNazanin"/>
          <w:color w:val="111111"/>
          <w:sz w:val="28"/>
          <w:sz w:val="28"/>
          <w:szCs w:val="28"/>
          <w:rtl w:val="true"/>
          <w:lang w:bidi="fa-IR"/>
        </w:rPr>
        <w:t>صرّح به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علی ذلک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روایة یونس المتقدّمة </w:t>
      </w:r>
      <w:r>
        <w:rPr>
          <w:rStyle w:val="FootnoteAnchor"/>
          <w:rtl w:val="true"/>
        </w:rPr>
        <w:footnoteReference w:id="1035"/>
      </w:r>
      <w:r>
        <w:rPr>
          <w:rFonts w:ascii="IRNazanin" w:hAnsi="IRNazanin" w:eastAsia="IRNazanin"/>
          <w:color w:val="111111"/>
          <w:sz w:val="28"/>
          <w:sz w:val="28"/>
          <w:szCs w:val="28"/>
          <w:rtl w:val="true"/>
          <w:lang w:bidi="fa-IR"/>
        </w:rPr>
        <w:t>،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الطهر فی أقلّ من عشرة، و إذا حاضت المرأة و کان حیضها خمسة ثمّ انقطع الدم اغتسلت 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رأت بعد ذلک الدم و لم یتمّ لها من یوم طهرت عشرة أیّام فذلک من الحیض 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رأت الدم من أوّل ما رأت الدم الثانی تمام العشرة أیّام و دام علیها عدت من أوّل ما رأت الدم الأوّل و الثانی عشرة أیّام، ثمّ هی 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 اللّٰه </w:t>
      </w:r>
      <w:r>
        <w:rPr>
          <w:rStyle w:val="FootnoteAnchor"/>
          <w:rtl w:val="true"/>
        </w:rPr>
        <w:footnoteReference w:id="10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المرأة إذا طلّقها زوجها متی تملک 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من الحیضة الثالثة فهی تملک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عجّل الدم علیها قبل أیّام قرئها؟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قبل عشرة أیّام فهو أملک بها، و هو من الحیضة التی طهرت منها، و إن کان الدم بعد العشرة فهو من الحیضة الثالثة، فهی أملک بنفسها</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معناها الرضوی،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ربما یعجّل الدم من الحیضة الثالثة </w:t>
      </w:r>
      <w:r>
        <w:rPr>
          <w:rStyle w:val="FootnoteAnchor"/>
          <w:rtl w:val="true"/>
        </w:rPr>
        <w:footnoteReference w:id="1038"/>
      </w:r>
      <w:r>
        <w:rPr>
          <w:rFonts w:ascii="IRNazanin" w:hAnsi="IRNazanin" w:eastAsia="IRNazanin"/>
          <w:color w:val="111111"/>
          <w:sz w:val="28"/>
          <w:sz w:val="28"/>
          <w:szCs w:val="28"/>
          <w:rtl w:val="true"/>
          <w:lang w:bidi="fa-IR"/>
        </w:rPr>
        <w:t>، و الحدّ بین الحیضتین القرء، و هو عشرة أیّام بیض؛ فإن رأت الدم بعد اغتسالها من الحیض قبل استکمال عشرة أیّام بیض فهو ما بقی من</w:t>
      </w:r>
    </w:p>
    <w:p>
      <w:pPr>
        <w:pStyle w:val="BookText"/>
        <w:rPr/>
      </w:pPr>
      <w:r>
        <w:rPr>
          <w:rFonts w:ascii="IRNazanin" w:hAnsi="IRNazanin" w:eastAsia="IRNazanin"/>
          <w:color w:val="111111"/>
          <w:sz w:val="28"/>
          <w:sz w:val="28"/>
          <w:szCs w:val="28"/>
          <w:rtl w:val="true"/>
          <w:lang w:bidi="fa-IR"/>
        </w:rPr>
        <w:t>الحیضة الأُولی، و إن رأت الدم بعد العشرة البیض فهو ما یعجل من الحیضة الثانیة</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روایتی ابن مسلم المتقدّمتین </w:t>
      </w:r>
      <w:r>
        <w:rPr>
          <w:rStyle w:val="FootnoteAnchor"/>
          <w:rtl w:val="true"/>
        </w:rPr>
        <w:footnoteReference w:id="10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قبل العشرة فهو من الحیضة الأُولی، و ما کان بعد العشرة فهو من الحیضة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المراد بالعشرة فی الفقرتین هی العشرة من مدّة انقطاع الدم الأوّل، لا من مدّة رؤیة الدم؛ إذ لا یتأتّی حینئذٍ الحکم بحیضیة ما تراه بعد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ذیل روایة یونس، فبمنع ظهوره فی کون مدّة العشرة من انقطاع الدم؛ لأنّ الظرف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یتمّ لها من یوم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بالفعل لا قید للعشرة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مؤخّراً عنها تعیّن کونه قیداً لها، و حینئذٍ فیراد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یتمّ لها من یوم طهرت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یتمّ لها من یوم نقائها إلی یوم الدم الثانی عشرة أیّام من أوّل حیضها،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أیّام نقائها لم یکن متمّمة للعشرة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بالفقرة الثانیة حینئذٍ علی اضطرابها متناً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رأت الدم قبل تمام العشرة لکن دام الدم إلی ما بعد العشرة، فیجعل متمّ العشرة حیضاً و الباقی استحاضة، فیکون موافقاً للقول المشهور و مناسباً للتفریع علی عدم کون الطهر أقلّ من عشرة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فی حاشیة نسخة التهذیب الموجودة عندی، المصحّحة المقروءة علی الشیخ الحرّ العاملی،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انطباقه علی مذهب المشهور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العشرة فی قوله فی الفقرة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العشرة المذکورة فی الفقرة الأُولی، و لا ریب أنّ المراد تمام العشرة من مبدأ ظهور الدم الأوّل لا من زمان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الروایة لا تخلو من اضطراب، لا یبعد أن یکون ناشئاً من ضمّ الراوی حین کتابة الروایة بعض ما حفظه بألفاظه إلی ما نقله بالمعنی، مع اختلاف الروایة فی التهذیب و الکافی،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فباحتمال أن یراد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الحیضة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توابعها ناشٍ منها لا بعض منها،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لا تبعیضیة؛ فإنّ الغالب أنّ الاستحاضة من توابع الحیض، و لا یقدح فی ذلک کونها فی الفقرة الثانیة تبعیضیة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المناسب لإطلاق الحکم بکونه منها، حتّی لو تجاوز الأوّل أو المجموع منهما العشرة، أو علی تقدیر کونه بعضاً منها، لا بدّ من تقییده بما إذا لم یتجاوز المجموع عشرة،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رؤیة الدم الأوّل، فیقیّد الحکم بکون ما کان بعد العشرة من الحیضة الثالثة بما إذا تخلّل فیها أقلّ الطهر، لکنّه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الوجه غیر بعید فی روایتی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بأس بمثل هذا بملاحظة ما سیجی‌ء من الدلیل فی المسألة الآتیة،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متوالیة، إجماعاً محقّقاً فی الجملة، و مستفیضاً کالأخبار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روایتا ابن مسلم، و مرسلة یونس، و روایة عبد الرحمن بن أبی عبد اللّٰه </w:t>
      </w:r>
      <w:r>
        <w:rPr>
          <w:rStyle w:val="FootnoteAnchor"/>
          <w:rtl w:val="true"/>
        </w:rPr>
        <w:footnoteReference w:id="1041"/>
      </w:r>
      <w:r>
        <w:rPr>
          <w:rFonts w:ascii="IRNazanin" w:hAnsi="IRNazanin" w:eastAsia="IRNazanin"/>
          <w:color w:val="111111"/>
          <w:sz w:val="28"/>
          <w:sz w:val="28"/>
          <w:szCs w:val="28"/>
          <w:rtl w:val="true"/>
          <w:lang w:bidi="fa-IR"/>
        </w:rPr>
        <w:t>، المتقدّمة جمیعاً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أُخری لابن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القرء فی أقلّ من عشرة فما زاد، و أقلّ ما یکون عشرة من حین تطهر إلی أن تری الدم</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إشکال فی ذلک، إنّما الإشکال فی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حالة الطهارة للمرأة التی توجب ترتیب جمیع أحکام الطهارة أو خصوص الطهر الفاصل بین الحیضتین، فلا ینافی تخلّل الطهر أقلّ من العشرة بین أجزاء الحیضة الواحدة حتّی یکون النقاء المتخلّل بین أیّام الحیض معدوداً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جملة من معاقد الإجماع کعبارة الانتصار </w:t>
      </w:r>
      <w:r>
        <w:rPr>
          <w:rStyle w:val="FootnoteAnchor"/>
          <w:rtl w:val="true"/>
        </w:rPr>
        <w:footnoteReference w:id="1043"/>
      </w:r>
      <w:r>
        <w:rPr>
          <w:rFonts w:ascii="IRNazanin" w:hAnsi="IRNazanin" w:eastAsia="IRNazanin"/>
          <w:color w:val="111111"/>
          <w:sz w:val="28"/>
          <w:sz w:val="28"/>
          <w:szCs w:val="28"/>
          <w:rtl w:val="true"/>
          <w:lang w:bidi="fa-IR"/>
        </w:rPr>
        <w:t xml:space="preserve">و الغنیة </w:t>
      </w:r>
      <w:r>
        <w:rPr>
          <w:rStyle w:val="FootnoteAnchor"/>
          <w:rtl w:val="true"/>
        </w:rPr>
        <w:footnoteReference w:id="1044"/>
      </w:r>
      <w:r>
        <w:rPr>
          <w:rFonts w:ascii="IRNazanin" w:hAnsi="IRNazanin" w:eastAsia="IRNazanin"/>
          <w:color w:val="111111"/>
          <w:sz w:val="28"/>
          <w:sz w:val="28"/>
          <w:szCs w:val="28"/>
          <w:rtl w:val="true"/>
          <w:lang w:bidi="fa-IR"/>
        </w:rPr>
        <w:t xml:space="preserve">و المنتهی </w:t>
      </w:r>
      <w:r>
        <w:rPr>
          <w:rStyle w:val="FootnoteAnchor"/>
          <w:rtl w:val="true"/>
        </w:rPr>
        <w:footnoteReference w:id="1045"/>
      </w:r>
      <w:r>
        <w:rPr>
          <w:rFonts w:ascii="IRNazanin" w:hAnsi="IRNazanin" w:eastAsia="IRNazanin"/>
          <w:color w:val="111111"/>
          <w:sz w:val="28"/>
          <w:sz w:val="28"/>
          <w:szCs w:val="28"/>
          <w:rtl w:val="true"/>
          <w:lang w:bidi="fa-IR"/>
        </w:rPr>
        <w:t xml:space="preserve">و التذکرة </w:t>
      </w:r>
      <w:r>
        <w:rPr>
          <w:rStyle w:val="FootnoteAnchor"/>
          <w:rtl w:val="true"/>
        </w:rPr>
        <w:footnoteReference w:id="1046"/>
      </w:r>
      <w:r>
        <w:rPr>
          <w:rFonts w:ascii="IRNazanin" w:hAnsi="IRNazanin" w:eastAsia="IRNazanin"/>
          <w:color w:val="111111"/>
          <w:sz w:val="28"/>
          <w:sz w:val="28"/>
          <w:szCs w:val="28"/>
          <w:rtl w:val="true"/>
          <w:lang w:bidi="fa-IR"/>
        </w:rPr>
        <w:t>الثانی، و هو أیضاً ظاهر الأخبار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عدا الصحیحة الأخیرة فواضح، و أمّا الصحیحة، فلأنّ القرء عبارة عمّا بین الحیضتین، کما صرّح به فی جملة من أخبار عدّة الطلاق </w:t>
      </w:r>
      <w:r>
        <w:rPr>
          <w:rStyle w:val="FootnoteAnchor"/>
          <w:rtl w:val="true"/>
        </w:rPr>
        <w:footnoteReference w:id="1047"/>
      </w:r>
      <w:r>
        <w:rPr>
          <w:rFonts w:ascii="IRNazanin" w:hAnsi="IRNazanin" w:eastAsia="IRNazanin"/>
          <w:color w:val="111111"/>
          <w:sz w:val="28"/>
          <w:sz w:val="28"/>
          <w:szCs w:val="28"/>
          <w:rtl w:val="true"/>
          <w:lang w:bidi="fa-IR"/>
        </w:rPr>
        <w:t xml:space="preserve">، و فی بعضها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مشتقّ من القرء بمعنی الجمع، سمّی به لأنّ الدم یجتمع فی هذه الأیّام، فإذا جاء وقت الحیض قذفه الرحم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یؤیّد اختصاص الإجماع بما ذکرنا ما تقدّم </w:t>
      </w:r>
      <w:r>
        <w:rPr>
          <w:rStyle w:val="FootnoteAnchor"/>
          <w:rtl w:val="true"/>
        </w:rPr>
        <w:footnoteReference w:id="1049"/>
      </w:r>
      <w:r>
        <w:rPr>
          <w:rFonts w:ascii="IRNazanin" w:hAnsi="IRNazanin" w:eastAsia="IRNazanin"/>
          <w:color w:val="111111"/>
          <w:sz w:val="28"/>
          <w:sz w:val="28"/>
          <w:szCs w:val="28"/>
          <w:rtl w:val="true"/>
          <w:lang w:bidi="fa-IR"/>
        </w:rPr>
        <w:t>عن ابن سعید</w:t>
      </w:r>
    </w:p>
    <w:p>
      <w:pPr>
        <w:pStyle w:val="BookText"/>
        <w:rPr/>
      </w:pPr>
      <w:r>
        <w:rPr>
          <w:rFonts w:ascii="IRNazanin" w:hAnsi="IRNazanin" w:eastAsia="IRNazanin"/>
          <w:color w:val="111111"/>
          <w:sz w:val="28"/>
          <w:sz w:val="28"/>
          <w:szCs w:val="28"/>
          <w:rtl w:val="true"/>
          <w:lang w:bidi="fa-IR"/>
        </w:rPr>
        <w:t>و المصنّف و الفخر و الشهید الثانی و غیرهم من کون النقاء المتخلّل بین الثلاثة المتفرّقة طهراً علی مذهب من لم یعتبر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المنتهی عند ذکر فروع التلفیق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بالتلفیق فکلّ قدر من الدم لا یجعل حیضاً تامّاً، و کذا کلّ قدر من الطهر، لکن جمیع الدماء حیض واحد و جمیع النقاء طهر کامل واحد، حتّی أنّ العدّة لا تنقضی بعود الدم ثلاث مرّات، و لو کان قدر کلّ من النقاء طهراً کاملًا خرجت العدّة بعد ثلاثة </w:t>
      </w:r>
      <w:r>
        <w:rPr>
          <w:rStyle w:val="FootnoteAnchor"/>
          <w:rtl w:val="true"/>
        </w:rPr>
        <w:footnoteReference w:id="10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بمثله صرّح فی النهایة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هذا بل یدلّ علیه مضافاً إلی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داود مولی أبی المغراء العجلی، عمّن أخبره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تکون حیضها سبعة أیّام أو ثمانیة أیّام، حیضها دائم مستقیم، ثمّ تحیض ثلاثة أیّام ثمّ ینقطع عنها الدم و تری البیاض لا صفرة و لا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 تصلّی و تصوم ثمّ یعود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أمسکت عن الصلاة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یوماً و تطهر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أمسکت و إذا رأت الطهر صلّت، فإذا مضت أیّام حیضها و استمرّ بها الطهر صلّت، فإذا رأت الدم فهی مستحاضة، قد انتظمت لک أمرها کلّه</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أبی عمیر عن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ثلاثة أیّام أو أربعة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الطهر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تصنع ما بینها و بین شهر، فإن انقطع الدم عنها، و إلّا فهی بمنزلة المستحاضة</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روایة أُخری لیونس بن یعقوب، عن أبی بصیر، عن أبی عبد اللّٰه علیه السلام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روایات سبع ظاهرة فیما ذکر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الإنصاف عدم دلالة الأخیرین علی المطلوب؛ لأنّ الظاهر أنّ المرأة المذکورة أُمرت بذلک لتحیّرها و احتمالها الحیض عند کلّ دم و الطهر عند کلّ نقاء إلی أن یعیّن لها الأمر، لا أنّ کلا من الدماء حیض فی الواقع و کلّ نقاء طهر، کیف؟ و لو کانت حیضاً واحداً لم یتجاوز العشرة، و لو کانت حیضات متعدّدة لم یفصل بینهما أقلّ من العشرة ضرورة، و علی هذا أیضاً یحمل ما عن المقنع </w:t>
      </w:r>
      <w:r>
        <w:rPr>
          <w:rStyle w:val="FootnoteAnchor"/>
          <w:rtl w:val="true"/>
        </w:rPr>
        <w:footnoteReference w:id="1055"/>
      </w:r>
      <w:r>
        <w:rPr>
          <w:rFonts w:ascii="IRNazanin" w:hAnsi="IRNazanin" w:eastAsia="IRNazanin"/>
          <w:color w:val="111111"/>
          <w:sz w:val="28"/>
          <w:sz w:val="28"/>
          <w:szCs w:val="28"/>
          <w:rtl w:val="true"/>
          <w:lang w:bidi="fa-IR"/>
        </w:rPr>
        <w:t xml:space="preserve">و الفقیه </w:t>
      </w:r>
      <w:r>
        <w:rPr>
          <w:rStyle w:val="FootnoteAnchor"/>
          <w:rtl w:val="true"/>
        </w:rPr>
        <w:footnoteReference w:id="1056"/>
      </w:r>
      <w:r>
        <w:rPr>
          <w:rFonts w:ascii="IRNazanin" w:hAnsi="IRNazanin" w:eastAsia="IRNazanin"/>
          <w:color w:val="111111"/>
          <w:sz w:val="28"/>
          <w:sz w:val="28"/>
          <w:szCs w:val="28"/>
          <w:rtl w:val="true"/>
          <w:lang w:bidi="fa-IR"/>
        </w:rPr>
        <w:t xml:space="preserve">و النهایة </w:t>
      </w:r>
      <w:r>
        <w:rPr>
          <w:rStyle w:val="FootnoteAnchor"/>
          <w:rtl w:val="true"/>
        </w:rPr>
        <w:footnoteReference w:id="1057"/>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058"/>
      </w:r>
      <w:r>
        <w:rPr>
          <w:rFonts w:ascii="IRNazanin" w:hAnsi="IRNazanin" w:eastAsia="IRNazanin"/>
          <w:color w:val="111111"/>
          <w:sz w:val="28"/>
          <w:sz w:val="28"/>
          <w:szCs w:val="28"/>
          <w:rtl w:val="true"/>
          <w:lang w:bidi="fa-IR"/>
        </w:rPr>
        <w:t xml:space="preserve">و المبسوط </w:t>
      </w:r>
      <w:r>
        <w:rPr>
          <w:rStyle w:val="FootnoteAnchor"/>
          <w:rtl w:val="true"/>
        </w:rPr>
        <w:footnoteReference w:id="1059"/>
      </w:r>
      <w:r>
        <w:rPr>
          <w:rFonts w:ascii="IRNazanin" w:hAnsi="IRNazanin" w:eastAsia="IRNazanin"/>
          <w:color w:val="111111"/>
          <w:sz w:val="28"/>
          <w:sz w:val="28"/>
          <w:szCs w:val="28"/>
          <w:rtl w:val="true"/>
          <w:lang w:bidi="fa-IR"/>
        </w:rPr>
        <w:t>من الفتوی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المعتبر بعد حکایة حمل الشیخ الروایتین فی الاستبصار علی امرأة اختلطت عادتها فی الحیض و تغیّرت عن أوقاتها،</w:t>
      </w:r>
    </w:p>
    <w:p>
      <w:pPr>
        <w:pStyle w:val="BookText"/>
        <w:rPr/>
      </w:pPr>
      <w:r>
        <w:rPr>
          <w:rFonts w:ascii="IRNazanin" w:hAnsi="IRNazanin" w:eastAsia="IRNazanin"/>
          <w:color w:val="111111"/>
          <w:sz w:val="28"/>
          <w:sz w:val="28"/>
          <w:szCs w:val="28"/>
          <w:rtl w:val="true"/>
          <w:lang w:bidi="fa-IR"/>
        </w:rPr>
        <w:t>و کذلک أیّام أقرائها، أو اشتبه علیها صفة الدم و لا یتمیّز لها دم الحیض عن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تأویل لا بأس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الطهر لا یکون أقلّ من عشرة،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لکن هذا لیس طهراً علی الیقین، بل هو دم مشتبه یعمل فیه بالاحتیاط </w:t>
      </w:r>
      <w:r>
        <w:rPr>
          <w:rStyle w:val="FootnoteAnchor"/>
          <w:rtl w:val="true"/>
        </w:rPr>
        <w:footnoteReference w:id="10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مولی أبی المغراء، فلا دلالة فیها إلّا علی وجوب الإتیان بالعبادة عند النقاء، و لا کلام فیه، و إنّما الکلام فی الحکم علی أیّام النقاء بالطهر بعد انکشاف تخلّلها بین أجزاء حیض واحد لیترتّب قضاء الصوم و نحوه، و لا تعرّض لذلک فی الروایة، و لیست فی مقام بیانه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المتقدّمة؛ فالمرسلة منها قد عرفت الحال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صدرها، فمحلّ الدلالة منه علی المطلب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الذی رأته فی أوّل الأمر مع هذا الذی رأته فی العشرة بعد ذلک فی العشرة فهو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الإنصاف أنّه لا یدلّ إلّا علی أنّ الدمین محکوم علیهما بأنّهما دم الحیض، و أمّا کون أیّام النقاء فی حکم أیّام الدم أو طهراً حقیقیاً فلا تعرّض له فی هذه الفقرة، بل فی قوله علیه السلام فی صدر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الطهر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أیّام المتخلّلة لیست طهراً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إرادة الطهر بین الحیضتین، مدفوعة بما ستعرف فی بیان حال معاقد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سلّم ظهور ذیلها فیما تقدّم عن صاحب الحدائق فی المسألة السابقة کان صارفاً لما ذکرنا من الظهور، لکنّک عرفت من </w:t>
      </w:r>
      <w:r>
        <w:rPr>
          <w:rStyle w:val="FootnoteAnchor"/>
          <w:rtl w:val="true"/>
        </w:rPr>
        <w:footnoteReference w:id="1061"/>
      </w:r>
      <w:r>
        <w:rPr>
          <w:rFonts w:ascii="IRNazanin" w:hAnsi="IRNazanin" w:eastAsia="IRNazanin"/>
          <w:color w:val="111111"/>
          <w:sz w:val="28"/>
          <w:sz w:val="28"/>
          <w:szCs w:val="28"/>
          <w:rtl w:val="true"/>
          <w:lang w:bidi="fa-IR"/>
        </w:rPr>
        <w:t>أنّه لا یکون الطهر إلّا بین الحیضتین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دلالة صدر المرسلة علی کون أیّام النقاء المتخلّلة بین الثلاثة المتفرّقة حیضاً هو الذی فهمه فی الوسیلة؛ حیث صرّح فیما لو رأت الدم یوماً أو یومین ثمّ ینقطع ثمّ یعود قبل انقضاء عشرة أیّام بمقدار ما یتمّ به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جمیع عشرة أیّام بحکم الحائض فی إحدی الروایتین </w:t>
      </w:r>
      <w:r>
        <w:rPr>
          <w:rStyle w:val="FootnoteAnchor"/>
          <w:rtl w:val="true"/>
        </w:rPr>
        <w:footnoteReference w:id="1062"/>
      </w:r>
      <w:r>
        <w:rPr>
          <w:rFonts w:ascii="IRNazanin" w:hAnsi="IRNazanin" w:eastAsia="IRNazanin"/>
          <w:color w:val="111111"/>
          <w:sz w:val="28"/>
          <w:sz w:val="28"/>
          <w:szCs w:val="28"/>
          <w:rtl w:val="true"/>
          <w:lang w:bidi="fa-IR"/>
        </w:rPr>
        <w:t xml:space="preserve">إذ لا ریب فی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یونس المتقدّمة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المحقّق و المصنّف قدّس سرّهما فی المعتبر </w:t>
      </w:r>
      <w:r>
        <w:rPr>
          <w:rStyle w:val="FootnoteAnchor"/>
          <w:rtl w:val="true"/>
        </w:rPr>
        <w:footnoteReference w:id="1064"/>
      </w:r>
      <w:r>
        <w:rPr>
          <w:rFonts w:ascii="IRNazanin" w:hAnsi="IRNazanin" w:eastAsia="IRNazanin"/>
          <w:color w:val="111111"/>
          <w:sz w:val="28"/>
          <w:sz w:val="28"/>
          <w:szCs w:val="28"/>
          <w:rtl w:val="true"/>
          <w:lang w:bidi="fa-IR"/>
        </w:rPr>
        <w:t xml:space="preserve">و التذکرة فی أواخر باب النفاس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یشیر إلی عدّ أیّام النقاء فی الحیض علی القول بعدم التوالی فی دلیلهم و فتواهم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الثلاثة فی ضمن العشرة؛ إذ الظاهر أنّه للاحتراز عن صیرورة الحیض أکثر من العشرة، کما لا یخفی علی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روایتی ابن مسلم و روایة عبد الرحمن بن أبی عبد اللّٰه الضعیفة سنداً، فبما تقدّم من التوجیه و إن کان بعیداً، إلّا أنّه أولی من طرحها؛ لشذوذها و مخالفتها </w:t>
      </w:r>
      <w:r>
        <w:rPr>
          <w:rStyle w:val="FootnoteAnchor"/>
          <w:rtl w:val="true"/>
        </w:rPr>
        <w:footnoteReference w:id="1066"/>
      </w:r>
      <w:r>
        <w:rPr>
          <w:rFonts w:ascii="IRNazanin" w:hAnsi="IRNazanin" w:eastAsia="IRNazanin"/>
          <w:color w:val="111111"/>
          <w:sz w:val="28"/>
          <w:sz w:val="28"/>
          <w:szCs w:val="28"/>
          <w:rtl w:val="true"/>
          <w:lang w:bidi="fa-IR"/>
        </w:rPr>
        <w:t xml:space="preserve">للمشهور؛ لإطلاق الإجماع فی کون أقلّ الطهر عشرة کما عن الخلاف </w:t>
      </w:r>
      <w:r>
        <w:rPr>
          <w:rStyle w:val="FootnoteAnchor"/>
          <w:rtl w:val="true"/>
        </w:rPr>
        <w:footnoteReference w:id="1067"/>
      </w:r>
      <w:r>
        <w:rPr>
          <w:rFonts w:ascii="IRNazanin" w:hAnsi="IRNazanin" w:eastAsia="IRNazanin"/>
          <w:color w:val="111111"/>
          <w:sz w:val="28"/>
          <w:sz w:val="28"/>
          <w:szCs w:val="28"/>
          <w:rtl w:val="true"/>
          <w:lang w:bidi="fa-IR"/>
        </w:rPr>
        <w:t xml:space="preserve">و غیره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تقییده بکونه بین الحیضتین فی بعض معاقد الإجماع </w:t>
      </w:r>
      <w:r>
        <w:rPr>
          <w:rStyle w:val="FootnoteAnchor"/>
          <w:rtl w:val="true"/>
        </w:rPr>
        <w:footnoteReference w:id="1069"/>
      </w:r>
      <w:r>
        <w:rPr>
          <w:rFonts w:ascii="Amiri" w:hAnsi="Amiri" w:eastAsia="Amiri" w:cs="Amiri"/>
          <w:color w:val="111111"/>
          <w:sz w:val="28"/>
          <w:sz w:val="28"/>
          <w:szCs w:val="28"/>
          <w:rtl w:val="true"/>
          <w:lang w:bidi="ar-SA"/>
        </w:rPr>
        <w:t>، فلأنّ</w:t>
      </w:r>
    </w:p>
    <w:p>
      <w:pPr>
        <w:pStyle w:val="BookText"/>
        <w:rPr/>
      </w:pPr>
      <w:r>
        <w:rPr>
          <w:rFonts w:ascii="IRNazanin" w:hAnsi="IRNazanin" w:eastAsia="IRNazanin"/>
          <w:color w:val="111111"/>
          <w:sz w:val="28"/>
          <w:sz w:val="28"/>
          <w:szCs w:val="28"/>
          <w:rtl w:val="true"/>
          <w:lang w:bidi="fa-IR"/>
        </w:rPr>
        <w:t>ما بین أیّام الحیض الواحد لیس طهراً عندهم، مع أنّ ظاهر العلّامة فی المنتهی کما عن صریح التذکرة و صریح الخلاف الإجماع علی عدم تحقّق الطهر بین أیّام حیض واحد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 فی فروع الملفّق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عندنا أنّ الطهر لا یکون أقلّ من عشرة، فعلی هذا لو رأت بین ثلاثة أیّام الحیض و العاشر نقاءً ثمّ رأت العاشر کان الکلّ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کون النقاء طهراً إلی أحد قولی الشافعی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رأت ثلاثة أیّام متوالیة فهو حیض قطعاً، فإذا انقطع و عاد قبل العاشر کان الدمان و ما بینهما حیضاً، ذهب إلیه علماؤنا أجمع </w:t>
      </w:r>
      <w:r>
        <w:rPr>
          <w:rStyle w:val="FootnoteAnchor"/>
          <w:rtl w:val="true"/>
        </w:rPr>
        <w:footnoteReference w:id="10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أنّه لو رأت ثلاثة أیّام و بعد ذلک رأت یوماً و لیلة نقاءً و یوماً دماً کان الحیض تمام العشرة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حکیناه عنه سابقاً </w:t>
      </w:r>
      <w:r>
        <w:rPr>
          <w:rStyle w:val="FootnoteAnchor"/>
          <w:rtl w:val="true"/>
        </w:rPr>
        <w:footnoteReference w:id="1073"/>
      </w:r>
      <w:r>
        <w:rPr>
          <w:rFonts w:ascii="IRNazanin" w:hAnsi="IRNazanin" w:eastAsia="IRNazanin"/>
          <w:color w:val="111111"/>
          <w:sz w:val="28"/>
          <w:sz w:val="28"/>
          <w:szCs w:val="28"/>
          <w:rtl w:val="true"/>
          <w:lang w:bidi="fa-IR"/>
        </w:rPr>
        <w:t>، فلعلّه محمول علی فرض تلفیق الحیض من أیّام الدم فقط، کما هو أحد قولی الشافعی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تقدّم </w:t>
      </w:r>
      <w:r>
        <w:rPr>
          <w:rStyle w:val="FootnoteAnchor"/>
          <w:rtl w:val="true"/>
        </w:rPr>
        <w:footnoteReference w:id="1074"/>
      </w:r>
      <w:r>
        <w:rPr>
          <w:rFonts w:ascii="IRNazanin" w:hAnsi="IRNazanin" w:eastAsia="IRNazanin"/>
          <w:color w:val="111111"/>
          <w:sz w:val="28"/>
          <w:sz w:val="28"/>
          <w:szCs w:val="28"/>
          <w:rtl w:val="true"/>
          <w:lang w:bidi="fa-IR"/>
        </w:rPr>
        <w:t>من الجامع و نهایة المصنّف و شرح الإرشاد للفخر و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أیّام النقاء المتخلّلة بین الثلاثة المتفرّقة طهراً عند من لم یعتبر التوالی، فهو غیر ثابت؛ لأنّ ابن سعید فی الجامع کما تقدّم کلامه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لم یزد علی أنّ الثلاثة المتفرّقة فی العشرة وحدها حیض علی روایة یونس و علی خلافها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اعتراف بالإجماع علی المذهب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فخر الإسلام فالمحکیّ عنه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استدلّ لاعتبار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یعتبر لزم إمّا کون الطهر أقلّ من عشرة لو جعل أیّام النقاء طهراً، و إمّا خروج الأقلّ عن کونه أقلّ لو جعل أیّام النقاء المتخلّلة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بالتزام الأوّل و اختصاص لزوم کون أقلّ الطهر عشرة بما بین الحیضتین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لیس فیه حکایة لهذا القول عن القائلین بعدم اعتبار التوالی، و إنّما هو انتصار لهم بإمکان أن یقولوا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کلام الماتن فی النهایة </w:t>
      </w:r>
      <w:r>
        <w:rPr>
          <w:rStyle w:val="FootnoteAnchor"/>
          <w:rtl w:val="true"/>
        </w:rPr>
        <w:footnoteReference w:id="1077"/>
      </w:r>
      <w:r>
        <w:rPr>
          <w:rFonts w:ascii="IRNazanin" w:hAnsi="IRNazanin" w:eastAsia="IRNazanin"/>
          <w:color w:val="111111"/>
          <w:sz w:val="28"/>
          <w:sz w:val="28"/>
          <w:szCs w:val="28"/>
          <w:rtl w:val="true"/>
          <w:lang w:bidi="fa-IR"/>
        </w:rPr>
        <w:t xml:space="preserve">و الشارح فی الروض </w:t>
      </w:r>
      <w:r>
        <w:rPr>
          <w:rStyle w:val="FootnoteAnchor"/>
          <w:rtl w:val="true"/>
        </w:rPr>
        <w:footnoteReference w:id="1078"/>
      </w:r>
      <w:r>
        <w:rPr>
          <w:rFonts w:ascii="IRNazanin" w:hAnsi="IRNazanin" w:eastAsia="IRNazanin"/>
          <w:color w:val="111111"/>
          <w:sz w:val="28"/>
          <w:sz w:val="28"/>
          <w:szCs w:val="28"/>
          <w:rtl w:val="true"/>
          <w:lang w:bidi="fa-IR"/>
        </w:rPr>
        <w:t>ظاهر فی حکایة هذا القول عنهم؛ و لعلّه اجتهاد فی الملازمة لا حکایة،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عرفت </w:t>
      </w:r>
      <w:r>
        <w:rPr>
          <w:rStyle w:val="FootnoteAnchor"/>
          <w:rtl w:val="true"/>
        </w:rPr>
        <w:footnoteReference w:id="1079"/>
      </w:r>
      <w:r>
        <w:rPr>
          <w:rFonts w:ascii="IRNazanin" w:hAnsi="IRNazanin" w:eastAsia="IRNazanin"/>
          <w:color w:val="111111"/>
          <w:sz w:val="28"/>
          <w:sz w:val="28"/>
          <w:szCs w:val="28"/>
          <w:rtl w:val="true"/>
          <w:lang w:bidi="fa-IR"/>
        </w:rPr>
        <w:t>من تصریح المصنّف فی التذکرة؛ تبعاً للمعتبر و الوسیلة بکون مجموع العشرة علی هذا القول حیضاً، بل هو أیضاً ظاهر المنتهی و المبسوط</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أقلّ من ثلاثة أیّام ثمّ رأت النقاء کذلک ثمّ الدم و انقطع لما دون العشرة کان طهراً عند أکثر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بعضهم یضمّ الثانی إلی الأوّل، فإن بلغ ثلاثة فالجمیع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تناوب الدم و النقاء فی</w:t>
      </w:r>
    </w:p>
    <w:p>
      <w:pPr>
        <w:pStyle w:val="BookText"/>
        <w:rPr/>
      </w:pPr>
      <w:r>
        <w:rPr>
          <w:rFonts w:ascii="IRNazanin" w:hAnsi="IRNazanin" w:eastAsia="IRNazanin"/>
          <w:color w:val="111111"/>
          <w:sz w:val="28"/>
          <w:sz w:val="28"/>
          <w:szCs w:val="28"/>
          <w:rtl w:val="true"/>
          <w:lang w:bidi="fa-IR"/>
        </w:rPr>
        <w:t>الساعات،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عادتها عشرة فرأتها متفرّقة و تجاوزت تحیّضت بعادتها و احتسبت النقاء من الحیض عند القائلین بالتلفیق مطلقاً، و عندنا بشرط أن تقدّمه حیض صحیح </w:t>
      </w:r>
      <w:r>
        <w:rPr>
          <w:rStyle w:val="FootnoteAnchor"/>
          <w:rtl w:val="true"/>
        </w:rPr>
        <w:footnoteReference w:id="10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ساعة دماً و ساعة طهراً کذلک لم یکن حیضاً علی مذهب من یراعی ثلاثة أیّام متوالیات و من یقول یضاف الثانی إلی الأوّل، فإن کان تتمّ ثلاثة أیّام من جملة العشرة کان الکلّ حیضاً و إن لم تتمّ کان طهراً </w:t>
      </w:r>
      <w:r>
        <w:rPr>
          <w:rStyle w:val="FootnoteAnchor"/>
          <w:rtl w:val="true"/>
        </w:rPr>
        <w:footnoteReference w:id="108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من المحقّق قدّس سرّه أیضاً فی توجیه روایة یونس بن یعقوب، إرسال هذه الکلّیة إرسال المسلّمات، و مع ذلک کلّه فلا یمکن الاتّکال علی ظاهر روایتی ابن مسلم و ابن أبی عبد اللّٰه </w:t>
      </w:r>
      <w:r>
        <w:rPr>
          <w:rStyle w:val="FootnoteAnchor"/>
          <w:rtl w:val="true"/>
        </w:rPr>
        <w:footnoteReference w:id="1082"/>
      </w:r>
      <w:r>
        <w:rPr>
          <w:rFonts w:ascii="IRNazanin" w:hAnsi="IRNazanin" w:eastAsia="IRNazanin"/>
          <w:color w:val="111111"/>
          <w:sz w:val="28"/>
          <w:sz w:val="28"/>
          <w:szCs w:val="28"/>
          <w:rtl w:val="true"/>
          <w:lang w:bidi="fa-IR"/>
        </w:rPr>
        <w:t xml:space="preserve">المتقدّمتین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الصحیحة الأخیرة لابن مسلم </w:t>
      </w:r>
      <w:r>
        <w:rPr>
          <w:rStyle w:val="FootnoteAnchor"/>
          <w:rtl w:val="true"/>
        </w:rPr>
        <w:footnoteReference w:id="1084"/>
      </w:r>
      <w:r>
        <w:rPr>
          <w:rFonts w:ascii="IRNazanin" w:hAnsi="IRNazanin" w:eastAsia="IRNazanin"/>
          <w:color w:val="111111"/>
          <w:sz w:val="28"/>
          <w:sz w:val="28"/>
          <w:szCs w:val="28"/>
          <w:rtl w:val="true"/>
          <w:lang w:bidi="fa-IR"/>
        </w:rPr>
        <w:t xml:space="preserve">، فهی من أدلّة المشهور؛ بناء علی أنّ تفسیر القرء بما بین الحیضتین فی کثیر من الأخبار </w:t>
      </w:r>
      <w:r>
        <w:rPr>
          <w:rStyle w:val="FootnoteAnchor"/>
          <w:rtl w:val="true"/>
        </w:rPr>
        <w:footnoteReference w:id="1085"/>
      </w:r>
      <w:r>
        <w:rPr>
          <w:rFonts w:ascii="IRNazanin" w:hAnsi="IRNazanin" w:eastAsia="IRNazanin"/>
          <w:color w:val="111111"/>
          <w:sz w:val="28"/>
          <w:sz w:val="28"/>
          <w:szCs w:val="28"/>
          <w:rtl w:val="true"/>
          <w:lang w:bidi="fa-IR"/>
        </w:rPr>
        <w:t xml:space="preserve">و بالطهر المطلق فی بعضها </w:t>
      </w:r>
      <w:r>
        <w:rPr>
          <w:rStyle w:val="FootnoteAnchor"/>
          <w:rtl w:val="true"/>
        </w:rPr>
        <w:footnoteReference w:id="1086"/>
      </w:r>
      <w:r>
        <w:rPr>
          <w:rFonts w:ascii="IRNazanin" w:hAnsi="IRNazanin" w:eastAsia="IRNazanin"/>
          <w:color w:val="111111"/>
          <w:sz w:val="28"/>
          <w:sz w:val="28"/>
          <w:szCs w:val="28"/>
          <w:rtl w:val="true"/>
          <w:lang w:bidi="fa-IR"/>
        </w:rPr>
        <w:t>، شاهد صدق علی أنّ الطهر المطلق لیس إلّا ما بین الحیضتین، و لا طهر سواه، مع أنّه لو سلّم ما ذکره المستدلّ فی صدر الصحیحة إلّا أنّ</w:t>
      </w:r>
    </w:p>
    <w:p>
      <w:pPr>
        <w:pStyle w:val="BookText"/>
        <w:rPr/>
      </w:pPr>
      <w:r>
        <w:rPr>
          <w:rFonts w:ascii="IRNazanin" w:hAnsi="IRNazanin" w:eastAsia="IRNazanin"/>
          <w:color w:val="111111"/>
          <w:sz w:val="28"/>
          <w:sz w:val="28"/>
          <w:szCs w:val="28"/>
          <w:rtl w:val="true"/>
          <w:lang w:bidi="fa-IR"/>
        </w:rPr>
        <w:t>ذیلها ظاهر فی مطلب المشهور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قول المشهور،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جوّزنا الطهر الحقیقی بین أجزاء الحیض لزم ترتّب جمیع أحکام الطاهر فی أیّام العادة إذا رأت النقاء فی ساعة مع علمه بعود الدم، و لذا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الطلاق حینئذٍ و یخرج عن کونه بدعیاً، و لها حکم الطهر فی الصوم و الصلاة و الأغسال و غیرها </w:t>
      </w:r>
      <w:r>
        <w:rPr>
          <w:rStyle w:val="FootnoteAnchor"/>
          <w:rtl w:val="true"/>
        </w:rPr>
        <w:footnoteReference w:id="10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الأخبار الکثیرة الدالّة علی وجوب التحیّض و ترک العبادات و إجراء تمام أحکام الحیض فی أیّام العادة، مقیّدةً بما إذا کان الدم فیها مستمرّاً من أوّلها إلی آخرها، مع أنّ هذا فرض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جمیع ما ذکرنا من أدلّة الطرفین، کان المرجع إلی استصحاب الحیض و أحکامه، و أصالة عدم الطهر و أحکامه؛ لأنّ النقاء إن کان فی أیّام یمکن جعلها مع ما بعدها من أیّام الدم أو بعضها حیضاً، فالمرجع إلی استصحاب الحیضیَّة و أحکامها، و أصالة عدم الطهر و أحکامه و إن لم یکن کذلک مثل ما لو رأت خمسة ثمّ رأت دماً بعد نقاء ثمانیة أیّام، کان المرجع إلی أصالة عدم تحقّق دم الحیض زائداً علی الخمسة؛ لأنّ استصحاب الحیض منقطع هنا باتّفاق القولین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أیضاً ضعف التفصیل فی النقاء المتخلّل بین الواقع فی خلال أقلّ الحیض علی مذهب من لم یعتبر التوالی فیکون طهراً، و بین الواقع بعد تحقّق أقلّ الحیض بمضیّ ثلاثة فیعدّ حیضاً، بل ظاهر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هو الأوّل؛ حیث إنّه بعد دعوی الإجماع علی أنّ أقلّ الحیض</w:t>
      </w:r>
    </w:p>
    <w:p>
      <w:pPr>
        <w:pStyle w:val="BookText"/>
        <w:rPr/>
      </w:pPr>
      <w:r>
        <w:rPr>
          <w:rFonts w:ascii="IRNazanin" w:hAnsi="IRNazanin" w:eastAsia="IRNazanin"/>
          <w:color w:val="111111"/>
          <w:sz w:val="28"/>
          <w:sz w:val="28"/>
          <w:szCs w:val="28"/>
          <w:rtl w:val="true"/>
          <w:lang w:bidi="fa-IR"/>
        </w:rPr>
        <w:t>ثلاثة متوالیة،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من الإجماع علی أنّ الأقلّ ثلاثة متوالیة مبنیّ علی أنّ من لم یشترط التوالی یحکم بکون الثلاثة فی العشرة و ما بینها من النقاء حیضاً لا الثلاثة خاصّة، کما فی شرح الإرشاد لفخر الإسلام و الروض و الهادی، و ذلک للإجماع علی أنّ أقلّ الحیض ثلاثة و أقلّ الطهر عشرة؛ و لذا یحکم بدخول المتخلّل من النقاء بین ثلاثة متوالیة و ما بعدها إلی العشرة فی الحیض، و لکن هؤلاء یخصّصون تحدید الطهر بما بین حیضتین و دخول المتخلّل بالنقاء بما بعد الثلاثة،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الثلاثة هنا حیضة واحدة؛ للإجماع و النصوص علی أنّ أقلّ الحیض ثلاثة و لا دلیل علی التخصیص </w:t>
      </w:r>
      <w:r>
        <w:rPr>
          <w:rStyle w:val="FootnoteAnchor"/>
          <w:rtl w:val="true"/>
        </w:rPr>
        <w:footnoteReference w:id="108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منشأ ما ذکره من اعتراف القائلین بعدم التوالی بکون النقاء المتخلّل بعد أقلّ الحیض حیضاً، ما تقدّم من النهایة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قائل بالتقاط العشرة من جمیع الشهر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صاحب الحدائق مع قوله بکون النقاء طهراً، استقرب ما نسبه إلی الأکثر فی مسألة اعتبار استمرار الدم فی الثلاثة المتوالیة أو المتفرّقة، من أنّه یکفی أن تری الدم فی جزءٍ من کلّ یوم </w:t>
      </w:r>
      <w:r>
        <w:rPr>
          <w:rStyle w:val="FootnoteAnchor"/>
          <w:rtl w:val="true"/>
        </w:rPr>
        <w:footnoteReference w:id="1090"/>
      </w:r>
      <w:r>
        <w:rPr>
          <w:rFonts w:ascii="IRNazanin" w:hAnsi="IRNazanin" w:eastAsia="IRNazanin"/>
          <w:color w:val="111111"/>
          <w:sz w:val="28"/>
          <w:sz w:val="28"/>
          <w:szCs w:val="28"/>
          <w:rtl w:val="true"/>
          <w:lang w:bidi="fa-IR"/>
        </w:rPr>
        <w:t>، فیلزمها أنّه إذا رأت فی کلّ یوم قبل دخول الوقت شیئاً من الدم ثمّ طهرت فی الوقت و هکذا إلی آخر عادتها أن لا یسقط الصلاة عنها، و کذلک إذا رأت بعد الثلاثة دم الحیض فی بعض لیالی رمضان ثمّ طهرت قبل الفجر فیجب علیها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القول فیمکن فرض حائض یستمرّ حیضها إلی ثمانین یوماً، بأن تری الأوّل</w:t>
      </w:r>
      <w:bookmarkStart w:id="142" w:name="pg13039_115287"/>
    </w:p>
    <w:p>
      <w:pPr>
        <w:pStyle w:val="BookText"/>
        <w:rPr/>
      </w:pPr>
      <w:bookmarkEnd w:id="142"/>
      <w:r>
        <w:rPr>
          <w:rFonts w:ascii="IRNazanin" w:hAnsi="IRNazanin" w:eastAsia="IRNazanin"/>
          <w:color w:val="111111"/>
          <w:sz w:val="28"/>
          <w:sz w:val="28"/>
          <w:szCs w:val="28"/>
          <w:rtl w:val="true"/>
          <w:lang w:bidi="fa-IR"/>
        </w:rPr>
        <w:t>و الخامس و العاشر و العشرین و الثلاثین و الأربعین و الخمسین و الستّین و السبعین و الثمانین، و لا یسقط عنها فی هذه المدّة صوم و لا صلاة، بل یمکن مضیّ عمر المرأة کلّه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اعتبر فی التلفیق الیوم الکامل، و أمّا لو أجزنا تلفیق الساعات فربما یطول حیضٌ واحد فی سنین کثیرة کما لا یخفی</w:t>
      </w:r>
      <w:r>
        <w:rPr>
          <w:rFonts w:eastAsia="IRNazanin" w:cs="IRNazanin"/>
          <w:color w:val="111111"/>
          <w:sz w:val="28"/>
          <w:szCs w:val="28"/>
          <w:rtl w:val="true"/>
          <w:lang w:bidi="fa-IR"/>
        </w:rPr>
        <w:t>.</w:t>
      </w:r>
    </w:p>
    <w:p>
      <w:pPr>
        <w:pStyle w:val="Heading6"/>
        <w:numPr>
          <w:ilvl w:val="5"/>
          <w:numId w:val="1"/>
        </w:numPr>
        <w:rPr/>
      </w:pPr>
      <w:bookmarkStart w:id="143" w:name="__RefHeading___Toc6451966_3224264995"/>
      <w:bookmarkStart w:id="144" w:name="_Toc54"/>
      <w:bookmarkEnd w:id="143"/>
      <w:r>
        <w:rPr>
          <w:rtl w:val="true"/>
        </w:rPr>
        <w:t>[</w:t>
      </w:r>
      <w:r>
        <w:rPr>
          <w:rtl w:val="true"/>
        </w:rPr>
        <w:t>حکم ذات العادة</w:t>
      </w:r>
      <w:r>
        <w:rPr>
          <w:rtl w:val="true"/>
        </w:rPr>
        <w:t>]</w:t>
      </w:r>
      <w:bookmarkEnd w:id="144"/>
    </w:p>
    <w:p>
      <w:pPr>
        <w:pStyle w:val="Heading6"/>
        <w:numPr>
          <w:ilvl w:val="5"/>
          <w:numId w:val="1"/>
        </w:numPr>
        <w:rPr/>
      </w:pPr>
      <w:bookmarkStart w:id="145" w:name="__RefHeading___Toc6451968_3224264995"/>
      <w:bookmarkStart w:id="146" w:name="_Toc55"/>
      <w:bookmarkEnd w:id="145"/>
      <w:r>
        <w:rPr>
          <w:rtl w:val="true"/>
        </w:rPr>
        <w:t>اشارة</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علم أنّ الحیض لا ینقص عن الثلاثة و لا یزید علی العشرة، لم یمتنع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حیضاً، بل قد یجب ذلک فیه للدلیل الخاصّ الشرعی، کالمقدار الذی تراه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المستقرّة لها، و قد لا یجب فیحکم علیه بالحیضیَّة لقاعدة الإمکان الآتیة، إمّا مطلقاً کما هو المشهور، و إمّا بشرط اتّصافه بأوصاف الحیض، کما احتمله الأردبیلی </w:t>
      </w:r>
      <w:r>
        <w:rPr>
          <w:rStyle w:val="FootnoteAnchor"/>
          <w:rtl w:val="true"/>
        </w:rPr>
        <w:footnoteReference w:id="1091"/>
      </w:r>
      <w:r>
        <w:rPr>
          <w:rFonts w:ascii="Amiri" w:hAnsi="Amiri" w:eastAsia="Amiri" w:cs="Amiri"/>
          <w:color w:val="111111"/>
          <w:sz w:val="28"/>
          <w:sz w:val="28"/>
          <w:szCs w:val="28"/>
          <w:rtl w:val="true"/>
          <w:lang w:bidi="ar-SA"/>
        </w:rPr>
        <w:t xml:space="preserve">، و جزم به جماعة ممّن تأخّر عنه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إلی ما تستقرّ به العادة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بشهرین 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حصول الحیض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و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محقّقاً و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قبل الإجماع 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الجاریة البکر أوّل ما تحیض تقعد فی الشهر یومین و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أن تجلس ما دامت تری الدم ما لم تجز العشرة، فإذا اتّفق شهران عدّة أیّام سواء فتلک أیّامها</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یونس الطویلة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انقطع الدم فی أقلّ من سبع أو أکثر فإنّها تغتسل ساعة تری الطهر و تصلّی، و لا تزال کذلک حتّی تنظر ما یکون فی الشهر الثانی، فإن انقطع الدم لوقته فی الشهر الأوّل سواء حتّی توالی علیه حیضتان أو ثلاث فقد علم الآن أنّ ذلک قد صار لها وقتاً و خلقاً معروفاً، تعمل علیه، و تدع ما سواه، و تکون سنّتها فیما یستقبل إن استحاضت قد صارت سنّة إلی أن تجلس أقراءها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 الوقت أن توالی علیه حیضتان أو ثلاث لقول رسول اللّٰه صلّی اللّٰه علیه و آله للتی تعرف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الصلاة أیّام أقرائک، فعلمنا أنّه لم یجعل القرء الواحد سنّة لها، و لکن سنّ لها الأقراء، و أدناه حیضتان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تبیّن من هذا الخبر مضافاً إلی سابقه و إلی الإجماع بقسمیه عدم تحقّقها بمرّة واحدة، خلافاً لبعض العامّة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حکی </w:t>
      </w:r>
      <w:r>
        <w:rPr>
          <w:rStyle w:val="FootnoteAnchor"/>
          <w:rtl w:val="true"/>
        </w:rPr>
        <w:footnoteReference w:id="1096"/>
      </w:r>
      <w:r>
        <w:rPr>
          <w:rFonts w:ascii="IRNazanin" w:hAnsi="IRNazanin" w:eastAsia="IRNazanin"/>
          <w:color w:val="111111"/>
          <w:sz w:val="28"/>
          <w:sz w:val="28"/>
          <w:szCs w:val="28"/>
          <w:rtl w:val="true"/>
          <w:lang w:bidi="fa-IR"/>
        </w:rPr>
        <w:t>عن شرح الکتاب لفخر الإسلام أنّه حکاه عن بعض أصحابنا، و لکنّه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فیردّه بعد ما تقدّم من النصّ و الإجماع مخالفة ذلک لمعنی العادة لغةً و عرفاً؛ لأنّها من العود، و یصحّ سلبها عن المرّة عرفاً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الروایتین کما لا یخفی علی المتأمّل یشمل قسمین من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العددیة خاصّة، و العددیّة و الوقتیة معاً، فتحقّق العادة شرعاً بالنسبة إلی الوقت خاصّة سواء کان اعتیادها من حیث أوّله، أو من حیث آخره، أو من حیث وسطه، أو من حیث أحد الطرفین مع الوسط یحتاج إلی دلیل</w:t>
      </w:r>
    </w:p>
    <w:p>
      <w:pPr>
        <w:pStyle w:val="BookText"/>
        <w:rPr/>
      </w:pPr>
      <w:r>
        <w:rPr>
          <w:rFonts w:ascii="IRNazanin" w:hAnsi="IRNazanin" w:eastAsia="IRNazanin"/>
          <w:color w:val="111111"/>
          <w:sz w:val="28"/>
          <w:sz w:val="28"/>
          <w:szCs w:val="28"/>
          <w:rtl w:val="true"/>
          <w:lang w:bidi="fa-IR"/>
        </w:rPr>
        <w:t>غیر المضمرة و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بقوله فی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لا وقت لها إلّا أیّامها، قلّت أو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بیان العدد و الوقت کنایة عن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التمسّک فیه بعموم مثل قوله علیه السلام فی مرسلة یونس المتقدّمة فی مسألة اعتبار التوالی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رأت المرأة الدم فی أیّام حیضها تترک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 تحقّق الصدق العرفی، و الظاهر عدم تحقّقه بالمرّتین، بل الظاهر أیّام الحیض التی اعتادتها و تکرّر الدم فیها کثیراً بحیث صارت عادة عرفیّة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أحکام العادة تدور مدار العادة الشرعیّة، و هی المختصّة بمورد الروایتین، أو العادة العرفیّة الحاصلة من تکرّر الدم مراراً کثیرة و إن کان خارجاً عن موردهما، کالوقتیة المحضة الحاصلة بتوافق شهرین أو حیضتین فی الوقت، و کالعددیة الناقصة الحاصلة فی الوقتیة المذکورة کما سیجی‌ء، و ککثیر من أفراد العادة التی ذکرها المحقّق </w:t>
      </w:r>
      <w:r>
        <w:rPr>
          <w:rStyle w:val="FootnoteAnchor"/>
          <w:rtl w:val="true"/>
        </w:rPr>
        <w:footnoteReference w:id="1097"/>
      </w:r>
      <w:r>
        <w:rPr>
          <w:rFonts w:ascii="Amiri" w:hAnsi="Amiri" w:eastAsia="Amiri" w:cs="Amiri"/>
          <w:color w:val="111111"/>
          <w:sz w:val="28"/>
          <w:sz w:val="28"/>
          <w:szCs w:val="28"/>
          <w:rtl w:val="true"/>
          <w:lang w:bidi="ar-SA"/>
        </w:rPr>
        <w:t xml:space="preserve">و المصنّف قدّس سرّه فی المنتهی </w:t>
      </w:r>
      <w:r>
        <w:rPr>
          <w:rStyle w:val="FootnoteAnchor"/>
          <w:rtl w:val="true"/>
        </w:rPr>
        <w:footnoteReference w:id="1098"/>
      </w:r>
      <w:r>
        <w:rPr>
          <w:rFonts w:ascii="IRNazanin" w:hAnsi="IRNazanin" w:eastAsia="IRNazanin"/>
          <w:color w:val="111111"/>
          <w:sz w:val="28"/>
          <w:sz w:val="28"/>
          <w:szCs w:val="28"/>
          <w:rtl w:val="true"/>
          <w:lang w:bidi="fa-IR"/>
        </w:rPr>
        <w:t xml:space="preserve">و غیره </w:t>
      </w:r>
      <w:r>
        <w:rPr>
          <w:rStyle w:val="FootnoteAnchor"/>
          <w:rtl w:val="true"/>
        </w:rPr>
        <w:footnoteReference w:id="1099"/>
      </w:r>
      <w:r>
        <w:rPr>
          <w:rFonts w:ascii="IRNazanin" w:hAnsi="IRNazanin" w:eastAsia="IRNazanin"/>
          <w:color w:val="111111"/>
          <w:sz w:val="28"/>
          <w:sz w:val="28"/>
          <w:szCs w:val="28"/>
          <w:rtl w:val="true"/>
          <w:lang w:bidi="fa-IR"/>
        </w:rPr>
        <w:t xml:space="preserve">و الشهید قدّس سرّه فی الذکری </w:t>
      </w:r>
      <w:r>
        <w:rPr>
          <w:rStyle w:val="FootnoteAnchor"/>
          <w:rtl w:val="true"/>
        </w:rPr>
        <w:footnoteReference w:id="1100"/>
      </w:r>
      <w:r>
        <w:rPr>
          <w:rFonts w:ascii="IRNazanin" w:hAnsi="IRNazanin" w:eastAsia="IRNazanin"/>
          <w:color w:val="111111"/>
          <w:sz w:val="28"/>
          <w:sz w:val="28"/>
          <w:szCs w:val="28"/>
          <w:rtl w:val="true"/>
          <w:lang w:bidi="fa-IR"/>
        </w:rPr>
        <w:t>و غیر ذلک ممّا یبعد استنباطه من الروایتین، فلا یکفی فی ثبوت حکم العادة فی هذه الأفراد بتکرّر الدم مرّتین، بل لا بدّ من تحقّق العادة عرفاً، فالنسبة بین العادة العرفیّة و الشرعیّة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یبعد أن یقال مضافاً إلی عدم القول بالفصل بین العادة الحاصلة من المرّتین و الحاصلة من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الروایتین، سیّما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توالی الحیض علی نهج واحد موجب للأخذ بالجامع بینهما فی الدم الثالث، سواء اتّفقا فی الوقت فقط أو فی العدد فقط أو فیهما، فیؤخذ فی الأوّل بوقتهما، و فی الثانی بعددهما، و فی الثالث بوقتهما و عددهما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بتوالی الحیضتین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یتخلّل بینهما حیض یخرجهما عن نظامهما، فلا یقدح تخلّل نقاء شهر أو أکثر و لا تخلّل حیض لا یخرجهما عن نظامهما، کما لو رأت فی الشهر الأوّل خمسة و فی الثانی ثلاثة، و فی الثالث خمسة و فی الرابع ثلاثة، و فی الخامس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کلّ فرد خمسة و فی کلّ زوج ثلاثة، فإنّه یحکم هنا بتحقّق عادتین، فإذا رأت فی الشهر الفرد دماً مستمرّاً أخذت بالخمسة، و إذا استمرّ بها الدم فی شهر الزوج أخذت بالثلاثة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أقسام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الروایتین بیان ضابط لتحدید العادة العرفیّة کما بیّن ضابط کثیر السهو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ممّن یسهو فی کلّ ثلاث فهو ممّن یکثر سهوه</w:t>
      </w:r>
      <w:r>
        <w:rPr>
          <w:rFonts w:eastAsia="IRNazanin" w:cs="IRNazanin"/>
          <w:color w:val="111111"/>
          <w:sz w:val="28"/>
          <w:szCs w:val="28"/>
          <w:rtl w:val="true"/>
          <w:lang w:bidi="fa-IR"/>
        </w:rPr>
        <w:t xml:space="preserve">»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ذلک بل ینادی به قوله علیه السلام فی الروایة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القرء الواحد سنّة لها، و إنّما سنّ لها الأقراء، و أدناه حیضتان فصاعداً</w:t>
      </w:r>
      <w:r>
        <w:rPr>
          <w:rFonts w:eastAsia="IRNazanin" w:cs="IRNazanin"/>
          <w:color w:val="111111"/>
          <w:sz w:val="28"/>
          <w:szCs w:val="28"/>
          <w:rtl w:val="true"/>
          <w:lang w:bidi="fa-IR"/>
        </w:rPr>
        <w:t xml:space="preserve">»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کلّما کانت سنّة المرأة الأخذ بأقرائها المعتادة فأقلّ ما یتحقّق به العادة تحقّق حیضتین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إمّا متّفقة أو مختلفة، فالمتفقة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أیّامها متساویة کأربعة فی کلّ شهر، فإذا تجاوز الدم العشرة تحیّضت بالأربعة</w:t>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مترتّبة أو لا، فالمترتّبة کالمتّفقة، کما إذا رأت فی الشهر الأوّل ثلاثة، و فی الثانی أربعة، و فی الثالث خمسة، ثمّ عادت إلی ثلاثة، ثمّ إلی أربعة، ثمّ إلی خمسة و هکذا، صار ذلک عادة، فإذا تجاوز الدم فی شهر العشرة تحیّضت بنوبة ذلک الشهر، ثمّ علی تالیه بحسب العادة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نسیت نوبته فالحقّ عندی أنّها تجلس أقلّ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نسیت أحد الأخیرین تحیّضت بالأربعة؛ لأنّها المتعیّن ثمّ تجلس و الأخیرین ثلاثة ثلاثة لاحتمال أن یکون ما حیّضناها فیه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تکن مترتّبة، مثل أن رأت فی الأوّل الثلاثة، و فی الثانی الخمسة، و فی الثالث أربعة، فإن أمکن ضبطه و اعتاد فهو کالمتّفق </w:t>
      </w:r>
      <w:r>
        <w:rPr>
          <w:rStyle w:val="FootnoteAnchor"/>
          <w:rtl w:val="true"/>
        </w:rPr>
        <w:footnoteReference w:id="11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تجری نحو ذلک فی الوقتیّة المحضة أیضاً، کأن تری فی شهر أوّله، و فی الثانی ثانیه و فی الثالث ثالثه ثمّ فی الرابع أوّله و فی الخامس ثانیه و فی السادس ثالثه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غیر المترتّبة أیضاً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اعتیاد الوقت خاصّة قد یکون بالنسبة إلی أوّله، و قد یکون بالنسبة إلی آخره، و قد یکون بالنسبة إلی الوسط</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أقسام العادة أکثر من أن تذکر، ذکر بعضها المصنّف فی کتبه </w:t>
      </w:r>
      <w:r>
        <w:rPr>
          <w:rStyle w:val="FootnoteAnchor"/>
          <w:rtl w:val="true"/>
        </w:rPr>
        <w:footnoteReference w:id="1104"/>
      </w:r>
      <w:r>
        <w:rPr>
          <w:rFonts w:ascii="Amiri" w:hAnsi="Amiri" w:eastAsia="Amiri" w:cs="Amiri"/>
          <w:color w:val="111111"/>
          <w:sz w:val="28"/>
          <w:sz w:val="28"/>
          <w:szCs w:val="28"/>
          <w:rtl w:val="true"/>
          <w:lang w:bidi="ar-SA"/>
        </w:rPr>
        <w:t xml:space="preserve">تبعاً للمحقّق </w:t>
      </w:r>
      <w:r>
        <w:rPr>
          <w:rStyle w:val="FootnoteAnchor"/>
          <w:rtl w:val="true"/>
        </w:rPr>
        <w:footnoteReference w:id="1105"/>
      </w:r>
      <w:r>
        <w:rPr>
          <w:rFonts w:ascii="IRNazanin" w:hAnsi="IRNazanin" w:eastAsia="IRNazanin"/>
          <w:color w:val="111111"/>
          <w:sz w:val="28"/>
          <w:sz w:val="28"/>
          <w:szCs w:val="28"/>
          <w:rtl w:val="true"/>
          <w:lang w:bidi="fa-IR"/>
        </w:rPr>
        <w:t xml:space="preserve">، و تبعهما الشهید </w:t>
      </w:r>
      <w:r>
        <w:rPr>
          <w:rStyle w:val="FootnoteAnchor"/>
          <w:rtl w:val="true"/>
        </w:rPr>
        <w:footnoteReference w:id="1106"/>
      </w:r>
      <w:r>
        <w:rPr>
          <w:rFonts w:ascii="IRNazanin" w:hAnsi="IRNazanin" w:eastAsia="IRNazanin"/>
          <w:color w:val="111111"/>
          <w:sz w:val="28"/>
          <w:sz w:val="28"/>
          <w:szCs w:val="28"/>
          <w:rtl w:val="true"/>
          <w:lang w:bidi="fa-IR"/>
        </w:rPr>
        <w:t xml:space="preserve">و غیره </w:t>
      </w:r>
      <w:r>
        <w:rPr>
          <w:rStyle w:val="FootnoteAnchor"/>
          <w:rtl w:val="true"/>
        </w:rPr>
        <w:footnoteReference w:id="1107"/>
      </w:r>
      <w:r>
        <w:rPr>
          <w:rFonts w:ascii="IRNazanin" w:hAnsi="IRNazanin" w:eastAsia="IRNazanin"/>
          <w:color w:val="111111"/>
          <w:sz w:val="28"/>
          <w:sz w:val="28"/>
          <w:szCs w:val="28"/>
          <w:rtl w:val="true"/>
          <w:lang w:bidi="fa-IR"/>
        </w:rPr>
        <w:t xml:space="preserve">و إن احتمل الشهید نسخ کلّ عدد لما قبله و انتفاء العادة بذلک </w:t>
      </w:r>
      <w:r>
        <w:rPr>
          <w:rStyle w:val="FootnoteAnchor"/>
          <w:rtl w:val="true"/>
        </w:rPr>
        <w:footnoteReference w:id="1108"/>
      </w:r>
      <w:r>
        <w:rPr>
          <w:rFonts w:ascii="Amiri" w:hAnsi="Amiri" w:eastAsia="Amiri" w:cs="Amiri"/>
          <w:color w:val="111111"/>
          <w:sz w:val="28"/>
          <w:sz w:val="28"/>
          <w:szCs w:val="28"/>
          <w:rtl w:val="true"/>
          <w:lang w:bidi="ar-SA"/>
        </w:rPr>
        <w:t xml:space="preserve">، إلّا أنّک عرفت </w:t>
      </w:r>
      <w:r>
        <w:rPr>
          <w:rStyle w:val="FootnoteAnchor"/>
          <w:rtl w:val="true"/>
        </w:rPr>
        <w:footnoteReference w:id="1109"/>
      </w:r>
      <w:r>
        <w:rPr>
          <w:rFonts w:ascii="IRNazanin" w:hAnsi="IRNazanin" w:eastAsia="IRNazanin"/>
          <w:color w:val="111111"/>
          <w:sz w:val="28"/>
          <w:sz w:val="28"/>
          <w:szCs w:val="28"/>
          <w:rtl w:val="true"/>
          <w:lang w:bidi="fa-IR"/>
        </w:rPr>
        <w:t>الإشکال فیها،</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خروجها عن مورد النصّ، و لعلّه لذا احتمل فی الذکری ما عرفت من النسخ </w:t>
      </w:r>
      <w:r>
        <w:rPr>
          <w:rStyle w:val="FootnoteAnchor"/>
          <w:rtl w:val="true"/>
        </w:rPr>
        <w:footnoteReference w:id="1110"/>
      </w:r>
      <w:r>
        <w:rPr>
          <w:rFonts w:ascii="IRNazanin" w:hAnsi="IRNazanin" w:eastAsia="IRNazanin"/>
          <w:color w:val="111111"/>
          <w:sz w:val="28"/>
          <w:sz w:val="28"/>
          <w:szCs w:val="28"/>
          <w:rtl w:val="true"/>
          <w:lang w:bidi="fa-IR"/>
        </w:rPr>
        <w:t>،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العادة فیها بالمرّتین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اندفاع الأوّل بکفایة عمومات العادة فی ذلک، و النسخ إنّما یکون مع عدم کونها منتظمة متنسّقة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اندفاع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بعدم القول بالفصل بین التکرار مراراً أو مرّتین، و إمّا بأنّ المستفاد من النصّ تحدید العادة العرفیّة، و لکن المسألة بعد لا تخلو عن الإشکال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أنّه لا إشکال فی عدم اعتبار تعدّد الشهر الهلالی فی تحقّق العادة العددیة، وفاقاً للمحکی عن الخلاف </w:t>
      </w:r>
      <w:r>
        <w:rPr>
          <w:rStyle w:val="FootnoteAnchor"/>
          <w:rtl w:val="true"/>
        </w:rPr>
        <w:footnoteReference w:id="1111"/>
      </w:r>
      <w:r>
        <w:rPr>
          <w:rFonts w:ascii="IRNazanin" w:hAnsi="IRNazanin" w:eastAsia="IRNazanin"/>
          <w:color w:val="111111"/>
          <w:sz w:val="28"/>
          <w:sz w:val="28"/>
          <w:szCs w:val="28"/>
          <w:rtl w:val="true"/>
          <w:lang w:bidi="fa-IR"/>
        </w:rPr>
        <w:t xml:space="preserve">و المبسوط </w:t>
      </w:r>
      <w:r>
        <w:rPr>
          <w:rStyle w:val="FootnoteAnchor"/>
          <w:rtl w:val="true"/>
        </w:rPr>
        <w:footnoteReference w:id="1112"/>
      </w:r>
      <w:r>
        <w:rPr>
          <w:rFonts w:ascii="IRNazanin" w:hAnsi="IRNazanin" w:eastAsia="IRNazanin"/>
          <w:color w:val="111111"/>
          <w:sz w:val="28"/>
          <w:sz w:val="28"/>
          <w:szCs w:val="28"/>
          <w:rtl w:val="true"/>
          <w:lang w:bidi="fa-IR"/>
        </w:rPr>
        <w:t xml:space="preserve">و النهایة </w:t>
      </w:r>
      <w:r>
        <w:rPr>
          <w:rStyle w:val="FootnoteAnchor"/>
          <w:rtl w:val="true"/>
        </w:rPr>
        <w:footnoteReference w:id="1113"/>
      </w:r>
      <w:r>
        <w:rPr>
          <w:rFonts w:ascii="IRNazanin" w:hAnsi="IRNazanin" w:eastAsia="IRNazanin"/>
          <w:color w:val="111111"/>
          <w:sz w:val="28"/>
          <w:sz w:val="28"/>
          <w:szCs w:val="28"/>
          <w:rtl w:val="true"/>
          <w:lang w:bidi="fa-IR"/>
        </w:rPr>
        <w:t xml:space="preserve">و الذکری </w:t>
      </w:r>
      <w:r>
        <w:rPr>
          <w:rStyle w:val="FootnoteAnchor"/>
          <w:rtl w:val="true"/>
        </w:rPr>
        <w:footnoteReference w:id="111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115"/>
      </w:r>
      <w:r>
        <w:rPr>
          <w:rFonts w:ascii="IRNazanin" w:hAnsi="IRNazanin" w:eastAsia="IRNazanin"/>
          <w:color w:val="111111"/>
          <w:sz w:val="28"/>
          <w:sz w:val="28"/>
          <w:szCs w:val="28"/>
          <w:rtl w:val="true"/>
          <w:lang w:bidi="fa-IR"/>
        </w:rPr>
        <w:t xml:space="preserve">و غیرها </w:t>
      </w:r>
      <w:r>
        <w:rPr>
          <w:rStyle w:val="FootnoteAnchor"/>
          <w:rtl w:val="true"/>
        </w:rPr>
        <w:footnoteReference w:id="1116"/>
      </w:r>
      <w:r>
        <w:rPr>
          <w:rFonts w:ascii="IRNazanin" w:hAnsi="IRNazanin" w:eastAsia="IRNazanin"/>
          <w:color w:val="111111"/>
          <w:sz w:val="28"/>
          <w:sz w:val="28"/>
          <w:szCs w:val="28"/>
          <w:rtl w:val="true"/>
          <w:lang w:bidi="fa-IR"/>
        </w:rPr>
        <w:t>، و نسبه فی الأخیر إلی کلمات الأصحاب، فلو رأت فی أوّل شهر خمسة و فی وسطه أو آخره خمسة کفی فی العددیة، لکن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الدم إذا استمرّ فی الشهر الثانی تحیّضت فیه بالخمستین </w:t>
      </w:r>
      <w:r>
        <w:rPr>
          <w:rStyle w:val="FootnoteAnchor"/>
          <w:rtl w:val="true"/>
        </w:rPr>
        <w:footnoteReference w:id="1117"/>
      </w:r>
      <w:r>
        <w:rPr>
          <w:rFonts w:ascii="IRNazanin" w:hAnsi="IRNazanin" w:eastAsia="IRNazanin"/>
          <w:color w:val="111111"/>
          <w:sz w:val="28"/>
          <w:sz w:val="28"/>
          <w:szCs w:val="28"/>
          <w:rtl w:val="true"/>
          <w:lang w:bidi="fa-IR"/>
        </w:rPr>
        <w:t xml:space="preserve">علی إشکال، انتهی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إشکال فی التحیّض</w:t>
      </w:r>
    </w:p>
    <w:p>
      <w:pPr>
        <w:pStyle w:val="BookText"/>
        <w:rPr/>
      </w:pPr>
      <w:r>
        <w:rPr>
          <w:rFonts w:ascii="IRNazanin" w:hAnsi="IRNazanin" w:eastAsia="IRNazanin"/>
          <w:color w:val="111111"/>
          <w:sz w:val="28"/>
          <w:sz w:val="28"/>
          <w:szCs w:val="28"/>
          <w:rtl w:val="true"/>
          <w:lang w:bidi="fa-IR"/>
        </w:rPr>
        <w:t>بخمسة واحدة؛ لأنّ تعدّد الحیض لم یصر لها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الوقتیة فعن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تعدّد الهلال فیه، محتجّاً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الشهر فی کلام النبیّ و الأئمة صلّی اللّٰه علیه و علیهم إنّما یحمل علی الهلالی؛ نظراً إلی أنّه الأغلب فی عادات النساء، و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رأته ثلاثة ثمّ انقطع عشرة ثمّ رأته ثلاثة ثمّ انقطع عشرة ثمّ رأته و عبر العشرة فلا وقت لها معلوم؛ لعدم تماثل الوقت باعتبار الشهر </w:t>
      </w:r>
      <w:r>
        <w:rPr>
          <w:rStyle w:val="FootnoteAnchor"/>
          <w:rtl w:val="true"/>
        </w:rPr>
        <w:footnoteReference w:id="11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تنظّر فیه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تکرّر الطهر یحصِّل الوقت، و احتجاجه بأنّ الشهر فی النصوص یحمل علی الهلالی إنّما یتمّ لو کان فی النصوص ذکر الشهر، و لیس إلّا فی مضمرة سماعة </w:t>
      </w:r>
      <w:r>
        <w:rPr>
          <w:rStyle w:val="FootnoteAnchor"/>
          <w:rtl w:val="true"/>
        </w:rPr>
        <w:footnoteReference w:id="1120"/>
      </w:r>
      <w:r>
        <w:rPr>
          <w:rFonts w:ascii="IRNazanin" w:hAnsi="IRNazanin" w:eastAsia="IRNazanin"/>
          <w:color w:val="111111"/>
          <w:sz w:val="28"/>
          <w:sz w:val="28"/>
          <w:szCs w:val="28"/>
          <w:rtl w:val="true"/>
          <w:lang w:bidi="fa-IR"/>
        </w:rPr>
        <w:t xml:space="preserve">و مرسلة یونس </w:t>
      </w:r>
      <w:r>
        <w:rPr>
          <w:rStyle w:val="FootnoteAnchor"/>
          <w:rtl w:val="true"/>
        </w:rPr>
        <w:footnoteReference w:id="1121"/>
      </w:r>
      <w:r>
        <w:rPr>
          <w:rFonts w:ascii="IRNazanin" w:hAnsi="IRNazanin" w:eastAsia="IRNazanin"/>
          <w:color w:val="111111"/>
          <w:sz w:val="28"/>
          <w:sz w:val="28"/>
          <w:szCs w:val="28"/>
          <w:rtl w:val="true"/>
          <w:lang w:bidi="fa-IR"/>
        </w:rPr>
        <w:t xml:space="preserve">، و فی الاحتجاج بهما إشکال؛ لضعف الثانیة بالإرسال، و الأولی بجرح سماعة و انقطاع خبره </w:t>
      </w:r>
      <w:r>
        <w:rPr>
          <w:rStyle w:val="FootnoteAnchor"/>
          <w:rtl w:val="true"/>
        </w:rPr>
        <w:footnoteReference w:id="11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التمسّک فی اعتبار الهلالی بالأخبار، فضعیف بعد ما عرفت من أنّ المستفاد من الخبرین عموم ثبوت العادة بالمرّتین، و لذا اعترف هو نفسه کغیره من الأصحاب بعدم اعتبار الهلالی فی العددیّة، ناسباً ذلک إلی کلمات الأصحاب، و بکون ذکر الشهرین فی الروایتین محمولًا علی الغالب، فمع ذلک کیف یمکن الاقتصار علی الشهرین الهلالیین؟ بل عرفت أنّ مقتضی الاقتصار علی مورد الروایة خروج کثیر من أفراد العادة کالوقتیة المحضة</w:t>
      </w:r>
    </w:p>
    <w:p>
      <w:pPr>
        <w:pStyle w:val="BookText"/>
        <w:rPr/>
      </w:pPr>
      <w:r>
        <w:rPr>
          <w:rFonts w:ascii="IRNazanin" w:hAnsi="IRNazanin" w:eastAsia="IRNazanin"/>
          <w:color w:val="111111"/>
          <w:sz w:val="28"/>
          <w:sz w:val="28"/>
          <w:szCs w:val="28"/>
          <w:rtl w:val="true"/>
          <w:lang w:bidi="fa-IR"/>
        </w:rPr>
        <w:t xml:space="preserve">و غیرها ممّا اعترف بها فی جامع المقاصد </w:t>
      </w:r>
      <w:r>
        <w:rPr>
          <w:rStyle w:val="FootnoteAnchor"/>
          <w:rtl w:val="true"/>
        </w:rPr>
        <w:footnoteReference w:id="1123"/>
      </w:r>
      <w:r>
        <w:rPr>
          <w:rFonts w:ascii="IRNazanin" w:hAnsi="IRNazanin" w:eastAsia="IRNazanin"/>
          <w:color w:val="111111"/>
          <w:sz w:val="28"/>
          <w:sz w:val="28"/>
          <w:szCs w:val="28"/>
          <w:rtl w:val="true"/>
          <w:lang w:bidi="fa-IR"/>
        </w:rPr>
        <w:t>، فالتمسّک بالخبرین لاعتبار الهلالی فی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عنهما فی الروض بضعف السند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الجواب عن عدم تماثل الوقت فی غیر الهلالین بتکرّر الطهر 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تکرّر طهران متساویان، کأن رأت ثلاثة حیضاً ثمّ عشرة طهراً ثمّ ثلاثة حیضاً ثمّ عشرة طهراً ثمّ ثلاثة حیضاً، فیصدق علی الدم المرئیّ بعد مضیّ مقدار ذلک الطهر من الحیض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رأت الدم فی أیّام حیضها؛ لأنّها اعتادت بالحیض عقیب عشرة الطهر، فالیوم الحادی عشر من أیّام الطهر معدود من أیّام حیضها عرفاً إذا رأت الدم فیه تحیّضت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المرأة شهرها صارت ذات عادة، و هو إجماع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بشهر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التی دمها حیض و طهر، و أقلّه ثلاثة عشر یوماً عندنا </w:t>
      </w:r>
      <w:r>
        <w:rPr>
          <w:rStyle w:val="FootnoteAnchor"/>
          <w:rtl w:val="true"/>
        </w:rPr>
        <w:footnoteReference w:id="11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بعینه فی النهایة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المبتدأة دم الحیض خمسة أیّام و عشرة أیّام طهراً بعد ذلک ثمّ رأت خمسة أیّام دم الحیض، ثمّ عشرة أیّام طهراً ثمّ استحیضت، فقد حصلت لها عادة فی الحیض و الطهر، تجعل أیّام حیضها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خمسة أیّام، و أیّام طهرها عشرة أیّام، و کذا إذا رأت دم الحیض خمسة أیّام و خمسة و خمسین یوماً طهراً ثمّ رأت خمسة أیّام حیضاً و خمسة و خمسین طهراً ثمّ استحیضت، تجعل حیضها فی کلّ شهرین خمسة أیّام؛ لأنّ ذلک صار عادتها </w:t>
      </w:r>
      <w:r>
        <w:rPr>
          <w:rStyle w:val="FootnoteAnchor"/>
          <w:rtl w:val="true"/>
        </w:rPr>
        <w:footnoteReference w:id="11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فی النهایة </w:t>
      </w:r>
      <w:r>
        <w:rPr>
          <w:rStyle w:val="FootnoteAnchor"/>
          <w:rtl w:val="true"/>
        </w:rPr>
        <w:footnoteReference w:id="1128"/>
      </w:r>
      <w:r>
        <w:rPr>
          <w:rFonts w:ascii="IRNazanin" w:hAnsi="IRNazanin" w:eastAsia="IRNazanin"/>
          <w:color w:val="111111"/>
          <w:sz w:val="28"/>
          <w:sz w:val="28"/>
          <w:szCs w:val="28"/>
          <w:rtl w:val="true"/>
          <w:lang w:bidi="fa-IR"/>
        </w:rPr>
        <w:t xml:space="preserve">و غرضها </w:t>
      </w:r>
      <w:r>
        <w:rPr>
          <w:rStyle w:val="FootnoteAnchor"/>
          <w:rtl w:val="true"/>
        </w:rPr>
        <w:footnoteReference w:id="1129"/>
      </w:r>
      <w:r>
        <w:rPr>
          <w:rFonts w:ascii="IRNazanin" w:hAnsi="IRNazanin" w:eastAsia="IRNazanin"/>
          <w:color w:val="111111"/>
          <w:sz w:val="28"/>
          <w:sz w:val="28"/>
          <w:szCs w:val="28"/>
          <w:rtl w:val="true"/>
          <w:lang w:bidi="fa-IR"/>
        </w:rPr>
        <w:t>من حصول العادة فی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العادة بانحصار طهرها فی عدد معیّن؛ لیکون ما بعده وقت الحیض و لا یتحیّض إلّا فیه، فتکون المرأة فی المثالین المفروضین معتادة فی الحیض من حیث العدد 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العدد، فلمعلومیّة عدد أیّام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حیث الوقت، فلمعلومیّة أیّام الطهر الحاصلة من تکرّره لوقت الحیض، کما عرفت من عبارة الروض </w:t>
      </w:r>
      <w:r>
        <w:rPr>
          <w:rStyle w:val="FootnoteAnchor"/>
          <w:rtl w:val="true"/>
        </w:rPr>
        <w:footnoteReference w:id="1130"/>
      </w:r>
      <w:r>
        <w:rPr>
          <w:rFonts w:ascii="IRNazanin" w:hAnsi="IRNazanin" w:eastAsia="IRNazanin"/>
          <w:color w:val="111111"/>
          <w:sz w:val="28"/>
          <w:sz w:val="28"/>
          <w:szCs w:val="28"/>
          <w:rtl w:val="true"/>
          <w:lang w:bidi="fa-IR"/>
        </w:rPr>
        <w:t>، فهی فی الحقیقة عادة وقتیة للحیض إذ یصدق علی الدم المرئی بعد کلّ عشرة أیّام طهر فی المثال الأوّل، أو خمسة و خمسین فی الثانی أنّها رأته فی أیّام حیضها، و لیست هذه العادة مقصودة بنفسها للطهر حتّی یرد علیه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الأدلّة کالروایتین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تکرّر الحیض یثبت عادة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ذلک یثبت عادة فی الطهر أیضاً لو فرض تساویهما کالحیض، فممنوع لا دلیل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ترجع من استمرّ بها الدم فیما فرضه من المثال بعد أن تحکم بحیضیة خمسة و مضیّ أقلّ الطهر إلی ما تقتضیه الأدلّة من الأوصاف و غیرها، فتأمّل </w:t>
      </w:r>
      <w:r>
        <w:rPr>
          <w:rStyle w:val="FootnoteAnchor"/>
          <w:rtl w:val="true"/>
        </w:rPr>
        <w:footnoteReference w:id="11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مراد الشیخ من عادة الطهر لیس وجوب الحکم بطهریّة الدم المرئی فیه و إن کان محکوماً علیه بالحیضیَّة و لو بقاعدة الإمکان، بل غرضه تحصیل وقتٍ للحیض حتّی تتحیّض بمجرّد الرؤیة عند حضوره و یرجع إلیه عند استمرار الدم، کما عرفت من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العادة الوقتیة بتکرّر الطهر لا یحصل بحیضتین؛ لأنّ الطهرین المتساویین إنّما یقعان بین ثلاث حیضات، مع أنّ ظاهر النصّ و الفتوی حصول العادة مطلقاً بحیضتین،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العادة هنا أیضاً إنّما حصلت بالحیضتین الأخیرتین؛ لأنّهما الموقّتان بما بعد الطهر المعیّن دون الحیض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یحتاج إلیه لتحقّق تساوی الطهر المحصّل 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استوت الحیضتان عدداً و وقتاً فی شهرین هلالیین متوالیین حصلت العادة بمجرّد تحقّق الحیض الثانی و إن کان ما بعده من الطهر مخالفاً لما بعد الحیض الأوّل من الطهر، و أمّا إذا استوتا لا علی هذا الوجه، بأن نقصتا عن الشهرین أو زادتا فلا بدّ من تکریر طهرین متساویین، کما یعلم ذلک ممّا ذکره الشیخ من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مراد الشهید من اعتبار تکرّر طهرین متساویین، فیخصّص ذلک بصورة حصول العادة فی أقلّ من الشهر و فی الزائد من الشهر، إلّا أنّ المنسوب إلیه اعتبار ذلک مطلقاً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العادة تعدّد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الخبر من الشهر بناء علی الغالب، فلو تساوی الحیضان فی شهر واحد کفی فی</w:t>
      </w:r>
    </w:p>
    <w:p>
      <w:pPr>
        <w:pStyle w:val="BookText"/>
        <w:rPr/>
      </w:pPr>
      <w:r>
        <w:rPr>
          <w:rFonts w:ascii="IRNazanin" w:hAnsi="IRNazanin" w:eastAsia="IRNazanin"/>
          <w:color w:val="111111"/>
          <w:sz w:val="28"/>
          <w:sz w:val="28"/>
          <w:szCs w:val="28"/>
          <w:rtl w:val="true"/>
          <w:lang w:bidi="fa-IR"/>
        </w:rPr>
        <w:t>العددیّة، صرّح به فی المبسوط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تساویا فی الزیادة علی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الوقتیة فالظاهر اشتراط تکرّر طهرین متساویین وقتاً، و لو تساویا عدداً و اختلفا وقتاً استقرّ العدد لا غیر، فحینئذٍ تستظهر برؤیة الدم الثالث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عبر عن العشرة رجعت إلی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استقرّ وقتاً و اختلفا عدداً اعتبر الوقت و أقلّ العددین؛ لتکرّره، و لعموم خبر 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وقتیة لا غیر؛ لعدم عود العدد الأوّل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اختلف العدد و لم یستقرّ الطهر بتکراره متساویاً مرّتین فلا وقت هنا قطعاً، و فی العدد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کلام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عبرة باستقرار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فائدته لو تغایر الوقت فی الثالث، فإن لم یعتبر استقرار الطهر جلست لرؤیة الدم، و إن اعتبرناه فبعد الثلاثة أو حضور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تقدّم علی الوقت، و لو تأخّر ذلک أمکن استظهاراً، و یمکن القطع بالحیض هنا؛ إذ وجوده فی الجملة مقطوع به و تأخّر وقته یزیده انبعاثاً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 اتّحاد الوقت إنّما یؤثّر فی الجلوس برؤیة الدم فیه، و قلّما یتّفق دائماً، 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استقرّت العادة ثمّ تقدّمها أو تأخّرها الدم بیوم أو یومین إلی العشرة فیحکم بأنّه حیض، فإن زاد علی العشرة فلا، انتهی کلام الذکری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ظاهر کلامه الاعتراف بأنّه متی وجد الدم الثالث فی وقت الأوّلین یحکم علیه بالحیضیَّة، فما یتفرّع علیه من أنّها حینئذٍ تستظهر برؤیة الثالث إلی ثلاثة و إن کان فی الوقت المتقدّم؛ بناءً علی استظهار المبتدأة و المضطربة، فیثبت العادة بالدورة الثالثة،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ذلک توقّف العلم باستواء الطهر الثانی للأوّل علی العلم بکون الدم الثالث حیضاً، فلا بدّ من استکشاف ذلک بمضیّ الثلاثة؛ بناءً علی وجوب استظهار غیر المعتادة، و بعد ذلک یتحقّق العادة؛ و لذا قال فی الذخیرة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الجلوس بعد حضور الوقت قبل الثلاثة إذا رأته قبل الوقت؛ بناءً علی اعتبار عادة الطهر إشکال إن قلنا باستظهار المبتدأة و المضطربة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بعد الإغماض ممّا ذکرنا من الاحتمال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عنده حصول نقاء بعد الحیض الثانی مساوٍ للنقاء الواقع بعد الحیض الأوّل، فلو زاد أو نقص لم یتحقّق فی حقّها عادة حتّی یقال تقدّمت عادتها أو تأخّرت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معترف کما عرفت بوجوب التحیّض عند رؤیة الدم الثالث فی وقت الأوّلین؛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الدم فی أیّام حیضها ترکت الصلاة</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تحیّضها لیس من جهة مجرّد استواء الحیضین، بل لاستواء الطهرین أیضاً مدخل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لا ینفکّ رؤیة الدم الثالث فی الوقت المتقدّم عن استواء وقت الطهرین؛ و لذا لا یظهر ثمرة هذا الاشتراط فی هذا الفرض، و إنّما تظهر فی هذا الدم إذا وجد قبل وقت الأوّلین أو بعده؛ فإنّه لا یحکم بالحیضیَّة بمجرّد الرؤیة؛ بناءً علی استظهار المبتدأة، لأنّها غیر داخلة فی المعتادة، و لا فیمن تعجّل بها الوقت قبل العادة لتدخل فی عموم ما دلّ علی أنّ التقدّم علی الحیض بیومین أو مطلقاً حیض؛</w:t>
      </w:r>
    </w:p>
    <w:p>
      <w:pPr>
        <w:pStyle w:val="BookText"/>
        <w:rPr/>
      </w:pPr>
      <w:r>
        <w:rPr>
          <w:rFonts w:ascii="Amiri" w:hAnsi="Amiri" w:eastAsia="Amiri" w:cs="Amiri"/>
          <w:color w:val="111111"/>
          <w:sz w:val="28"/>
          <w:sz w:val="28"/>
          <w:szCs w:val="28"/>
          <w:rtl w:val="true"/>
          <w:lang w:bidi="ar-SA"/>
        </w:rPr>
        <w:t xml:space="preserve">معلّلًا بأنّه ربما تعجّل بها الوقت </w:t>
      </w:r>
      <w:r>
        <w:rPr>
          <w:rStyle w:val="FootnoteAnchor"/>
          <w:rtl w:val="true"/>
        </w:rPr>
        <w:footnoteReference w:id="1137"/>
      </w:r>
      <w:r>
        <w:rPr>
          <w:rFonts w:ascii="IRNazanin" w:hAnsi="IRNazanin" w:eastAsia="IRNazanin"/>
          <w:color w:val="111111"/>
          <w:sz w:val="28"/>
          <w:sz w:val="28"/>
          <w:szCs w:val="28"/>
          <w:rtl w:val="true"/>
          <w:lang w:bidi="fa-IR"/>
        </w:rPr>
        <w:t>لأنّ المفروض عدم تحقّق العادة لفقد شرطها، و هو استواء الطهرین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رأت الدم الثالث فی وقت الأوّلین ثمّ رأت الرابع مقدّماً علی الوقت أو مؤخّراً؛ فإنّه و إن لم تره فی أیّام حیضها إلّا أنّه یصدق أنّه تعجّل بها الوقت، فیحکم علیه بالحیضیَّة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اعترض به علی الشهید من أنّه لو لم یحکم علی الدم الثالث المرئی قبل العادة بالحیضیَّة لم یحکم علیه و لو فی الرابع فما زاد؛ إذ لا فرق بین الثالث و الرابع، فینفی فائدة هذا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بالاستظهار فی الدم المعجّل قبل العادة انتفت هذه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سند الشهید فی هذا الاشتراط لو أراده علی الإطلاق، و لم نعثر علیه کما اعترف به جماعة </w:t>
      </w:r>
      <w:r>
        <w:rPr>
          <w:rStyle w:val="FootnoteAnchor"/>
          <w:rtl w:val="true"/>
        </w:rPr>
        <w:footnoteReference w:id="1138"/>
      </w:r>
      <w:r>
        <w:rPr>
          <w:rFonts w:ascii="IRNazanin" w:hAnsi="IRNazanin" w:eastAsia="IRNazanin"/>
          <w:color w:val="111111"/>
          <w:sz w:val="28"/>
          <w:sz w:val="28"/>
          <w:szCs w:val="28"/>
          <w:rtl w:val="true"/>
          <w:lang w:bidi="fa-IR"/>
        </w:rPr>
        <w:t xml:space="preserve">، و قد عرفت </w:t>
      </w:r>
      <w:r>
        <w:rPr>
          <w:rStyle w:val="FootnoteAnchor"/>
          <w:rtl w:val="true"/>
        </w:rPr>
        <w:footnoteReference w:id="1139"/>
      </w:r>
      <w:r>
        <w:rPr>
          <w:rFonts w:ascii="IRNazanin" w:hAnsi="IRNazanin" w:eastAsia="IRNazanin"/>
          <w:color w:val="111111"/>
          <w:sz w:val="28"/>
          <w:sz w:val="28"/>
          <w:szCs w:val="28"/>
          <w:rtl w:val="true"/>
          <w:lang w:bidi="fa-IR"/>
        </w:rPr>
        <w:t>أنّه یحتمل أن یکون مراده اعتبار استقرار الطهر فی غیر ما إذا استوت الحیضتان فی شهرین هلالیین متوالیین، بل فیما إذا استویا فیما دون، أو فی الزائد علیهما، بل سیاق عبارته لا یأبی ذلک؛ حیث ذکر أوّلًا عدم اعتبار تعدّد الشهر فی العادة العددیّة و جواز حصولها فی أقلّ من شهرین أو فی الزیادة علیهما،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الوقتیة یعنی حصول العادة الوقتیة فی هاتین الصورتین فالظاهر اشتراط تکرّر طهرین متساویین، فتأمّل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عبارة الشهید فی المقام لا تخلو من إشکال و اضطراب</w:t>
      </w:r>
    </w:p>
    <w:p>
      <w:pPr>
        <w:pStyle w:val="BookText"/>
        <w:rPr/>
      </w:pPr>
      <w:r>
        <w:rPr>
          <w:rFonts w:ascii="IRNazanin" w:hAnsi="IRNazanin" w:eastAsia="IRNazanin"/>
          <w:color w:val="111111"/>
          <w:sz w:val="28"/>
          <w:sz w:val="28"/>
          <w:szCs w:val="28"/>
          <w:rtl w:val="true"/>
          <w:lang w:bidi="fa-IR"/>
        </w:rPr>
        <w:t xml:space="preserve">کما اعترف به بعض المعاصرین من الأعلام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هل یؤخذ بأقلّ العددین فی العادة الوقتیة المحضة، و یجعل عادة لها فتسمّی بالعددیّة الناقصة، أم لا؟ ظاهر المنتهی </w:t>
      </w:r>
      <w:r>
        <w:rPr>
          <w:rStyle w:val="FootnoteAnchor"/>
          <w:rtl w:val="true"/>
        </w:rPr>
        <w:footnoteReference w:id="1141"/>
      </w:r>
      <w:r>
        <w:rPr>
          <w:rFonts w:ascii="IRNazanin" w:hAnsi="IRNazanin" w:eastAsia="IRNazanin"/>
          <w:color w:val="111111"/>
          <w:sz w:val="28"/>
          <w:sz w:val="28"/>
          <w:szCs w:val="28"/>
          <w:rtl w:val="true"/>
          <w:lang w:bidi="fa-IR"/>
        </w:rPr>
        <w:t xml:space="preserve">و الذکری </w:t>
      </w:r>
      <w:r>
        <w:rPr>
          <w:rStyle w:val="FootnoteAnchor"/>
          <w:rtl w:val="true"/>
        </w:rPr>
        <w:footnoteReference w:id="1142"/>
      </w:r>
      <w:r>
        <w:rPr>
          <w:rFonts w:ascii="IRNazanin" w:hAnsi="IRNazanin" w:eastAsia="IRNazanin"/>
          <w:color w:val="111111"/>
          <w:sz w:val="28"/>
          <w:sz w:val="28"/>
          <w:szCs w:val="28"/>
          <w:rtl w:val="true"/>
          <w:lang w:bidi="fa-IR"/>
        </w:rPr>
        <w:t xml:space="preserve">الأوّل، و صریح جامع المقاصد </w:t>
      </w:r>
      <w:r>
        <w:rPr>
          <w:rStyle w:val="FootnoteAnchor"/>
          <w:rtl w:val="true"/>
        </w:rPr>
        <w:footnoteReference w:id="1143"/>
      </w:r>
      <w:r>
        <w:rPr>
          <w:rFonts w:ascii="IRNazanin" w:hAnsi="IRNazanin" w:eastAsia="IRNazanin"/>
          <w:color w:val="111111"/>
          <w:sz w:val="28"/>
          <w:sz w:val="28"/>
          <w:szCs w:val="28"/>
          <w:rtl w:val="true"/>
          <w:lang w:bidi="fa-IR"/>
        </w:rPr>
        <w:t xml:space="preserve">و الروض </w:t>
      </w:r>
      <w:r>
        <w:rPr>
          <w:rStyle w:val="FootnoteAnchor"/>
          <w:rtl w:val="true"/>
        </w:rPr>
        <w:footnoteReference w:id="1144"/>
      </w:r>
      <w:r>
        <w:rPr>
          <w:rFonts w:ascii="IRNazanin" w:hAnsi="IRNazanin" w:eastAsia="IRNazanin"/>
          <w:color w:val="111111"/>
          <w:sz w:val="28"/>
          <w:sz w:val="28"/>
          <w:szCs w:val="28"/>
          <w:rtl w:val="true"/>
          <w:lang w:bidi="fa-IR"/>
        </w:rPr>
        <w:t xml:space="preserve">الثانی؛ لعدم تحقّق الاستواء و الاستقامة، و هو حسن إن أوجبنا الجمود علی ظاهر النصّ، و إلّا فالظاهر صدق أیّام الأقراء علی العدد الأقلّ، و قد عرفت </w:t>
      </w:r>
      <w:r>
        <w:rPr>
          <w:rStyle w:val="FootnoteAnchor"/>
          <w:rtl w:val="true"/>
        </w:rPr>
        <w:footnoteReference w:id="1145"/>
      </w:r>
      <w:r>
        <w:rPr>
          <w:rFonts w:ascii="IRNazanin" w:hAnsi="IRNazanin" w:eastAsia="IRNazanin"/>
          <w:color w:val="111111"/>
          <w:sz w:val="28"/>
          <w:sz w:val="28"/>
          <w:szCs w:val="28"/>
          <w:rtl w:val="true"/>
          <w:lang w:bidi="fa-IR"/>
        </w:rPr>
        <w:t xml:space="preserve">أنّ الجمود علی ظاهر النصّ یوجب خروج أکثر أصناف العادة، لکنّ الأقوی عدم ثبوت العدد الناقص، فلا یرجع إلیها عند الاستمرار؛ لأنّ الظاهر من أدلّة رجوع المستحاضة إلی أیّامها و ترک ما عداها ثبوت أیّام معلومة معیّنة، فإذا أخذت بالأقلّ فلم تأخذ بأقرائها و إنّما أخذت بقرء واحد من أقرائها، و قد نصّ فی المرسلة الطویلة </w:t>
      </w:r>
      <w:r>
        <w:rPr>
          <w:rStyle w:val="FootnoteAnchor"/>
          <w:rtl w:val="true"/>
        </w:rPr>
        <w:footnoteReference w:id="1146"/>
      </w:r>
      <w:r>
        <w:rPr>
          <w:rFonts w:ascii="Amiri" w:hAnsi="Amiri" w:eastAsia="Amiri" w:cs="Amiri"/>
          <w:color w:val="111111"/>
          <w:sz w:val="28"/>
          <w:sz w:val="28"/>
          <w:szCs w:val="28"/>
          <w:rtl w:val="true"/>
          <w:lang w:bidi="ar-SA"/>
        </w:rPr>
        <w:t>علی أنّ النبیّ صلّی اللّٰه علیه و آله لم یسنّ لها القرء الواحد، و إنّما سنّ لها الأقراء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لو کان خلاف العددی بیوم کامل، و لو کان ببعض یوم فالمصرّح به فی کشف الغطاء أنّه لا یقدح </w:t>
      </w:r>
      <w:r>
        <w:rPr>
          <w:rStyle w:val="FootnoteAnchor"/>
          <w:rtl w:val="true"/>
        </w:rPr>
        <w:footnoteReference w:id="1147"/>
      </w:r>
      <w:r>
        <w:rPr>
          <w:rFonts w:ascii="IRNazanin" w:hAnsi="IRNazanin" w:eastAsia="IRNazanin"/>
          <w:color w:val="111111"/>
          <w:sz w:val="28"/>
          <w:sz w:val="28"/>
          <w:szCs w:val="28"/>
          <w:rtl w:val="true"/>
          <w:lang w:bidi="fa-IR"/>
        </w:rPr>
        <w:t>، و هو علی إطلاقه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العبرة فی العادة باستواء الأخذ و الانقطاع، سواء کان بینهما نقاء محکوم بالحیضیَّة علی نهج واحد أو </w:t>
      </w:r>
      <w:r>
        <w:rPr>
          <w:rStyle w:val="FootnoteAnchor"/>
          <w:rtl w:val="true"/>
        </w:rPr>
        <w:footnoteReference w:id="1148"/>
      </w:r>
      <w:r>
        <w:rPr>
          <w:rFonts w:ascii="IRNazanin" w:hAnsi="IRNazanin" w:eastAsia="IRNazanin"/>
          <w:color w:val="111111"/>
          <w:sz w:val="28"/>
          <w:sz w:val="28"/>
          <w:szCs w:val="28"/>
          <w:rtl w:val="true"/>
          <w:lang w:bidi="fa-IR"/>
        </w:rPr>
        <w:t>مع الاختلاف أم لم یکن، أو بأیّام الدم و إن تخلّل النقاء، أو بأیّام الدم المتّصل و لا ینظر إلی المنفصل بعد النقاء؟ وجوه، ظاهر أکثر العبارات الأوّل، خصوصاً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اعتادت النقاء فی أثناء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أکثر النصوص، و ظاهر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مثل قوله فی المرسلة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کبر سنّها نقصت أیّامها</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 مضافاً إلی انصراف إطلاق أیّامها التی کانت تقعد فیها و نحو ذلک إلی أیّام الدم،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جزم بعض من قارب عصرنا </w:t>
      </w:r>
      <w:r>
        <w:rPr>
          <w:rStyle w:val="FootnoteAnchor"/>
          <w:rtl w:val="true"/>
        </w:rPr>
        <w:footnoteReference w:id="1150"/>
      </w:r>
      <w:r>
        <w:rPr>
          <w:rFonts w:ascii="IRNazanin" w:hAnsi="IRNazanin" w:eastAsia="IRNazanin"/>
          <w:color w:val="111111"/>
          <w:sz w:val="28"/>
          <w:sz w:val="28"/>
          <w:szCs w:val="28"/>
          <w:rtl w:val="true"/>
          <w:lang w:bidi="fa-IR"/>
        </w:rPr>
        <w:t>إلی الثالث مدّعیاً أنّه المستفاد من الفتاوی و النصوص بعد إمعان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اعتادت ثلاثة ثمّ نقاء یوم ثمّ الدم یومین، فأیّام حیضها ستّة علی الأوّل، و خمسة علی الثانی، و ثلاثة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المرّتین المثبتین للعادة بین ثبوت حیضیّتهما بالوجدان، أو بقاعدة الإمکان، أو بالصفات مع استمرار الدم، أو بالملفّق من الثلاثة أو 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ثبوتها بالوجدان، فظاهر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الصفات عند استمرار الدم، فلأنّ ظاهر روایات صفة الدم جعل الشارع إیّاها طریقاً للحیض الواقعی، إمّا مطلقاً کما ذهب إلیه صاحب</w:t>
      </w:r>
    </w:p>
    <w:p>
      <w:pPr>
        <w:pStyle w:val="BookText"/>
        <w:rPr/>
      </w:pPr>
      <w:r>
        <w:rPr>
          <w:rFonts w:ascii="IRNazanin" w:hAnsi="IRNazanin" w:eastAsia="IRNazanin"/>
          <w:color w:val="111111"/>
          <w:sz w:val="28"/>
          <w:sz w:val="28"/>
          <w:szCs w:val="28"/>
          <w:rtl w:val="true"/>
          <w:lang w:bidi="fa-IR"/>
        </w:rPr>
        <w:t xml:space="preserve">المدارک </w:t>
      </w:r>
      <w:r>
        <w:rPr>
          <w:rStyle w:val="FootnoteAnchor"/>
          <w:rtl w:val="true"/>
        </w:rPr>
        <w:footnoteReference w:id="1151"/>
      </w:r>
      <w:r>
        <w:rPr>
          <w:rFonts w:ascii="IRNazanin" w:hAnsi="IRNazanin" w:eastAsia="IRNazanin"/>
          <w:color w:val="111111"/>
          <w:sz w:val="28"/>
          <w:sz w:val="28"/>
          <w:szCs w:val="28"/>
          <w:rtl w:val="true"/>
          <w:lang w:bidi="fa-IR"/>
        </w:rPr>
        <w:t xml:space="preserve">و من تبعه </w:t>
      </w:r>
      <w:r>
        <w:rPr>
          <w:rStyle w:val="FootnoteAnchor"/>
          <w:rtl w:val="true"/>
        </w:rPr>
        <w:footnoteReference w:id="1152"/>
      </w:r>
      <w:r>
        <w:rPr>
          <w:rFonts w:ascii="IRNazanin" w:hAnsi="IRNazanin" w:eastAsia="IRNazanin"/>
          <w:color w:val="111111"/>
          <w:sz w:val="28"/>
          <w:sz w:val="28"/>
          <w:szCs w:val="28"/>
          <w:rtl w:val="true"/>
          <w:lang w:bidi="fa-IR"/>
        </w:rPr>
        <w:t>، و إمّا فی مورد اختلاط الحیض بالاستحاضة بعبور الدم العشرة کما هو مذهب المشهور، و علی کلّ تقدیر فقد جعلها الشارع بمنزلة الوجدان فی إثبات الحیض الواقعی، کسائر الطرق الشرعیّة للموضوعات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ضعف قیاس الرجوع إلی الصفات علی الرجوع إلی الروایات للمتحیّرة، فکما لا یثبت بها العادة کذلک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أیضاً وجه ثبوتها بقاعدة الإمکان؛ لأنّ المستفاد من دلیل تلک القاعدة علی تقدیر تمامیّتها جعل اجتماع الشروط و فقد الموانع المقرّرة فی الشریعة طریقاً للحیض الواقعی، کما لا یخفی علی من تأمّل فی أدلّتها، بل ظاهر الروایتین المقدّمتین </w:t>
      </w:r>
      <w:r>
        <w:rPr>
          <w:rStyle w:val="FootnoteAnchor"/>
          <w:rtl w:val="true"/>
        </w:rPr>
        <w:footnoteReference w:id="1153"/>
      </w:r>
      <w:r>
        <w:rPr>
          <w:rFonts w:ascii="IRNazanin" w:hAnsi="IRNazanin" w:eastAsia="IRNazanin"/>
          <w:color w:val="111111"/>
          <w:sz w:val="28"/>
          <w:sz w:val="28"/>
          <w:szCs w:val="28"/>
          <w:rtl w:val="true"/>
          <w:lang w:bidi="fa-IR"/>
        </w:rPr>
        <w:t>فیما یثبت به العادة کون الدم فی المرّتین حیضاً بمقتضی الإمکان لا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خلاف فی ذلک، کما أنّه لا خلاف فی ثبوتها بالصفات،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فیه خلافاً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یشکل فی بعض أفراد التمییز الحکم بتحقّق العادة علی الدم المحکوم بکونه حیضاً، کما لو رأته فی المرّة الأُولی أسود و فی المرّة الثانیة أحمر، و لذا تردّد فی الذکری </w:t>
      </w:r>
      <w:r>
        <w:rPr>
          <w:rStyle w:val="FootnoteAnchor"/>
          <w:rtl w:val="true"/>
        </w:rPr>
        <w:footnoteReference w:id="1155"/>
      </w:r>
      <w:r>
        <w:rPr>
          <w:rFonts w:ascii="IRNazanin" w:hAnsi="IRNazanin" w:eastAsia="IRNazanin"/>
          <w:color w:val="111111"/>
          <w:sz w:val="28"/>
          <w:sz w:val="28"/>
          <w:szCs w:val="28"/>
          <w:rtl w:val="true"/>
          <w:lang w:bidi="fa-IR"/>
        </w:rPr>
        <w:t xml:space="preserve">، و استقرب فی التحریر العدم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فیما یتحقّق به العادة، أمّا ما به تزول، فالظاهر أنّه لا خلاف عندنا فی عدم زوالها بمرّة واحدة، خلافاً للمحکیّ فی المنتهی </w:t>
      </w:r>
      <w:r>
        <w:rPr>
          <w:rStyle w:val="FootnoteAnchor"/>
          <w:rtl w:val="true"/>
        </w:rPr>
        <w:footnoteReference w:id="1157"/>
      </w:r>
      <w:r>
        <w:rPr>
          <w:rFonts w:ascii="IRNazanin" w:hAnsi="IRNazanin" w:eastAsia="IRNazanin"/>
          <w:color w:val="111111"/>
          <w:sz w:val="28"/>
          <w:sz w:val="28"/>
          <w:szCs w:val="28"/>
          <w:rtl w:val="true"/>
          <w:lang w:bidi="fa-IR"/>
        </w:rPr>
        <w:t>عن أبی یوسف؛ بناءً علی مذهبه من ثبوت العادة بالمرّة، و لا فی زوالها بطروّ عادة اخری حاصلة من تکرّر الدم مرّتین متساویتین علی خلاف العادة الأُولی،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عادتها ثلاثة، فرأت خمسة فی شهر و انقطع فهو حیض إجماعاً، فلو استمرّ فی الرابع جلست </w:t>
      </w:r>
      <w:r>
        <w:rPr>
          <w:rStyle w:val="FootnoteAnchor"/>
          <w:rtl w:val="true"/>
        </w:rPr>
        <w:footnoteReference w:id="1158"/>
      </w:r>
      <w:r>
        <w:rPr>
          <w:rFonts w:ascii="IRNazanin" w:hAnsi="IRNazanin" w:eastAsia="IRNazanin"/>
          <w:color w:val="111111"/>
          <w:sz w:val="28"/>
          <w:sz w:val="28"/>
          <w:szCs w:val="28"/>
          <w:rtl w:val="true"/>
          <w:lang w:bidi="fa-IR"/>
        </w:rPr>
        <w:t xml:space="preserve">عادتها الثلاثة عندنا، و عند أبی حنیفة و محمّد، و عند أبی یوسف تحیّض خمسة، أمّا لو رأته فی الشهر الرابع خمسة کالثالث و استمرّ فی الخامس، کان حیضها خمسة لتحقّق العادة الثانیة، و هو اتّفاق </w:t>
      </w:r>
      <w:r>
        <w:rPr>
          <w:rStyle w:val="FootnoteAnchor"/>
          <w:rtl w:val="true"/>
        </w:rPr>
        <w:footnoteReference w:id="11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انتقال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انتقل المکان فی شهر ثمّ استمرّ فی الثانی عملت علی عادتها القدیمة، خلافاً لأبی یوسف، و لو رأتها مرّتین ثمّ استمرّ فی الثالث ردّت إلی ما رأته مرّتین عندنا، و عند الثلاثة </w:t>
      </w:r>
      <w:r>
        <w:rPr>
          <w:rStyle w:val="FootnoteAnchor"/>
          <w:rtl w:val="true"/>
        </w:rPr>
        <w:footnoteReference w:id="11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ذلک عرفاً من أدلّة العادة، فإن کان فی ذلک خفاء فی نظر العرف بالنسبة إلی المرّتین فإنّما هو لخفاء تحقّق العادة بهما عندهم، و إلّا فلو فرض تحقّق عادة عرفیة بعد تحقّق مثلها فلا یرتابون فی أنّ مراد الشارع من وجوب الجلوس بقدر أیّام عادتها هی العادة الفعلیّة، دون ما کان لها عادة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ریب فی نسخ العادة الثانیة للأُولی عند أهل العرف؛ حیثما فرض تحقّق العادة عندهم بحکمهم أو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تکرّر مخالفة العادة لا علی نسق واحد، فظاهر کلام المنتهی عدم زوال العادة؛ لأنّه قال فی ردّ أبی یوسف القائل بزوالها بالتخلّف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العادة المتقدّمة دلیل علی أیّامها التی اعتادت، فلا یبطل حکم هذا الدلیل إلّا بدلیل مثله، و هی العادة بخلافه </w:t>
      </w:r>
      <w:r>
        <w:rPr>
          <w:rStyle w:val="FootnoteAnchor"/>
          <w:rtl w:val="true"/>
        </w:rPr>
        <w:footnoteReference w:id="11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یشکل فیما لو وقع التخلّف مراراً متعدّدة، سیّما إذا صدق فی العرف أن لیس لها أیّام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جریر المتقدّمة فی صفات الحیض،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الدم یستمرّ بها الشهر و الشهرین و الثلاثة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أیّام حیضها ثمّ تغتسل لکلّ صلاتین،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حیضها تختلف علیها و کان یتقدّم علیها الحیض الیوم و الیومین و الثلاثة و یتأخّر مثل ذلک، و ما علمها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لیس به خفاء، هو دم حارّ تجد له حرقة، و دم الاستحاضة دم فاسد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حیث دلّت علی الرجوع إلی التمیّز مع اختلاف أوقات الدم بعد استقرار العادة العددیة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اختلاف أیّام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من أوّل الأمر، بأن لا یتحقّق لها عادة، فالمراد من تقدّم الیوم و الیومین تقدّمه عن محلّه فی المرّة السابقة، لا تقدّمه و تأخّره عن عادتها المستقرّة؛ إذ مجرّد تقدّم</w:t>
      </w:r>
      <w:bookmarkStart w:id="147" w:name="pg13039_115305"/>
    </w:p>
    <w:p>
      <w:pPr>
        <w:pStyle w:val="BookText"/>
        <w:rPr/>
      </w:pPr>
      <w:bookmarkEnd w:id="147"/>
      <w:r>
        <w:rPr>
          <w:rFonts w:ascii="IRNazanin" w:hAnsi="IRNazanin" w:eastAsia="IRNazanin"/>
          <w:color w:val="111111"/>
          <w:sz w:val="28"/>
          <w:sz w:val="28"/>
          <w:szCs w:val="28"/>
          <w:rtl w:val="true"/>
          <w:lang w:bidi="fa-IR"/>
        </w:rPr>
        <w:t>الدم علی العادة أو تأخّره عنها بالیومین أو الثلاثة لا یوجب الرجوع إلی التمیّز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فالرجوع فی زوال العادة إلی حکم العرف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المصنّف ما یتحقّق به العادة ذکر ما یتفرّع علی تحقّق العادة و عدمه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أحکام المعتادة و غیرها المعبّر عنه بالمبتدئة و المضطربة یقع تارةً فی وقت تحیّضها، و أُخری فی مقداره بعد تحقّق الحیض، و قد ذکر المصنّف قدّس سرّه بعض هذه الأحکام، و نحن نستوفی الکلّ،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و لا خلاف فی أنّ ما تراه المرأة من الدم ذی</w:t>
      </w:r>
    </w:p>
    <w:p>
      <w:pPr>
        <w:pStyle w:val="Heading6"/>
        <w:numPr>
          <w:ilvl w:val="5"/>
          <w:numId w:val="1"/>
        </w:numPr>
        <w:rPr/>
      </w:pPr>
      <w:bookmarkStart w:id="148" w:name="__RefHeading___Toc6451970_3224264995"/>
      <w:bookmarkStart w:id="149" w:name="_Toc56"/>
      <w:bookmarkEnd w:id="148"/>
      <w:r>
        <w:rPr>
          <w:rtl w:val="true"/>
        </w:rPr>
        <w:t>[</w:t>
      </w:r>
      <w:r>
        <w:rPr>
          <w:rtl w:val="true"/>
        </w:rPr>
        <w:t>لو رأت الدم الصفرة أو الکدرة فی أیام الحیض و الأسود الحار فی أیام الطهر</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لون 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الکدرة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ضدّ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الأیّام المختصّة بالحیض بحسب عادة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بعد العمومات الآمرة بالقعود عن الصلاة أیّام الحیض خصوص المستفیضة، کقوله علیه السلام فی مرسلة یونس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رأت المرأة فی أیّام حیضها من صفرة أو غیره فهو من الحیض، و کلّ ما رأته بعد أیّام حیضها فلیس من الحیض</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المرسلة الطویلة فی حکم المضطربة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تعرف أیّامها ما احتاجت إلی معرفة لون الدم؛ لأنّ السنّة فی الحیض أن تکون الصفرة و الکدرة فی أیّام الحیض إذا عرفت حیضاً کلّه</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الصفرة و الکدرة فی أیّام</w:t>
      </w:r>
    </w:p>
    <w:p>
      <w:pPr>
        <w:pStyle w:val="BookText"/>
        <w:rPr/>
      </w:pPr>
      <w:r>
        <w:rPr>
          <w:rFonts w:ascii="IRNazanin" w:hAnsi="IRNazanin" w:eastAsia="IRNazanin"/>
          <w:color w:val="111111"/>
          <w:sz w:val="28"/>
          <w:sz w:val="28"/>
          <w:szCs w:val="28"/>
          <w:rtl w:val="true"/>
          <w:lang w:bidi="fa-IR"/>
        </w:rPr>
        <w:t>الحیض حیض، و فی أیّام الطهر طهر</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تری الصفرة فی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حتّی تنقضی أیّامها، و إن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إلی غیر ذلک من الأخبار التی لا یبعد دعوی تواترها، مع أنّ المحکی عن السیّد و الشیخ فی الناصریات </w:t>
      </w:r>
      <w:r>
        <w:rPr>
          <w:rStyle w:val="FootnoteAnchor"/>
          <w:rtl w:val="true"/>
        </w:rPr>
        <w:footnoteReference w:id="1168"/>
      </w:r>
      <w:r>
        <w:rPr>
          <w:rFonts w:ascii="IRNazanin" w:hAnsi="IRNazanin" w:eastAsia="IRNazanin"/>
          <w:color w:val="111111"/>
          <w:sz w:val="28"/>
          <w:sz w:val="28"/>
          <w:szCs w:val="28"/>
          <w:rtl w:val="true"/>
          <w:lang w:bidi="fa-IR"/>
        </w:rPr>
        <w:t xml:space="preserve">و الخلاف </w:t>
      </w:r>
      <w:r>
        <w:rPr>
          <w:rStyle w:val="FootnoteAnchor"/>
          <w:rtl w:val="true"/>
        </w:rPr>
        <w:footnoteReference w:id="1169"/>
      </w:r>
      <w:r>
        <w:rPr>
          <w:rFonts w:ascii="IRNazanin" w:hAnsi="IRNazanin" w:eastAsia="IRNazanin"/>
          <w:color w:val="111111"/>
          <w:sz w:val="28"/>
          <w:sz w:val="28"/>
          <w:szCs w:val="28"/>
          <w:rtl w:val="true"/>
          <w:lang w:bidi="fa-IR"/>
        </w:rPr>
        <w:t>کما سیجی‌ء فی قاعدة الإمکان دعوی الإجماع علی الکلیّتین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فلا إشکال فی المسألة بناءً علی ما فسّرنا به أیّام الحیض، و أمّا ما فسّره به فی الروض </w:t>
      </w:r>
      <w:r>
        <w:rPr>
          <w:rStyle w:val="FootnoteAnchor"/>
          <w:rtl w:val="true"/>
        </w:rPr>
        <w:footnoteReference w:id="1170"/>
      </w:r>
      <w:r>
        <w:rPr>
          <w:rFonts w:ascii="IRNazanin" w:hAnsi="IRNazanin" w:eastAsia="IRNazanin"/>
          <w:color w:val="111111"/>
          <w:sz w:val="28"/>
          <w:sz w:val="28"/>
          <w:szCs w:val="28"/>
          <w:rtl w:val="true"/>
          <w:lang w:bidi="fa-IR"/>
        </w:rPr>
        <w:t xml:space="preserve">و استظهره المصنّف فی النهایة </w:t>
      </w:r>
      <w:r>
        <w:rPr>
          <w:rStyle w:val="FootnoteAnchor"/>
          <w:rtl w:val="true"/>
        </w:rPr>
        <w:footnoteReference w:id="1171"/>
      </w:r>
      <w:r>
        <w:rPr>
          <w:rFonts w:ascii="IRNazanin" w:hAnsi="IRNazanin" w:eastAsia="IRNazanin"/>
          <w:color w:val="111111"/>
          <w:sz w:val="28"/>
          <w:sz w:val="28"/>
          <w:szCs w:val="28"/>
          <w:rtl w:val="true"/>
          <w:lang w:bidi="fa-IR"/>
        </w:rPr>
        <w:t xml:space="preserve">و هو صریح المبسوط </w:t>
      </w:r>
      <w:r>
        <w:rPr>
          <w:rStyle w:val="FootnoteAnchor"/>
          <w:rtl w:val="true"/>
        </w:rPr>
        <w:footnoteReference w:id="1172"/>
      </w:r>
      <w:r>
        <w:rPr>
          <w:rFonts w:ascii="IRNazanin" w:hAnsi="IRNazanin" w:eastAsia="IRNazanin"/>
          <w:color w:val="111111"/>
          <w:sz w:val="28"/>
          <w:sz w:val="28"/>
          <w:szCs w:val="28"/>
          <w:rtl w:val="true"/>
          <w:lang w:bidi="fa-IR"/>
        </w:rPr>
        <w:t xml:space="preserve">و السرائر </w:t>
      </w:r>
      <w:r>
        <w:rPr>
          <w:rStyle w:val="FootnoteAnchor"/>
          <w:rtl w:val="true"/>
        </w:rPr>
        <w:footnoteReference w:id="1173"/>
      </w:r>
      <w:r>
        <w:rPr>
          <w:rFonts w:ascii="IRNazanin" w:hAnsi="IRNazanin" w:eastAsia="IRNazanin"/>
          <w:color w:val="111111"/>
          <w:sz w:val="28"/>
          <w:sz w:val="28"/>
          <w:szCs w:val="28"/>
          <w:rtl w:val="true"/>
          <w:lang w:bidi="fa-IR"/>
        </w:rPr>
        <w:t>من أنّ المراد بأیّام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إمکان الحیض، سواء کانت أیّام العادة أو غیرها، فعلی هذا تدخل المبتدأة و من تعقّب أیّام عادتها دم بعد أقلّ الطهر، 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أمکن کونه حیضاً، قال فی الروض بعد تفسیرها بأیّام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فسّرت بأیّام العادة، و النصوص بعمومها دالّة علی الأوّل </w:t>
      </w:r>
      <w:r>
        <w:rPr>
          <w:rStyle w:val="FootnoteAnchor"/>
          <w:rtl w:val="true"/>
        </w:rPr>
        <w:footnoteReference w:id="1174"/>
      </w:r>
      <w:r>
        <w:rPr>
          <w:rFonts w:ascii="IRNazanin" w:hAnsi="IRNazanin" w:eastAsia="IRNazanin"/>
          <w:color w:val="111111"/>
          <w:sz w:val="28"/>
          <w:sz w:val="28"/>
          <w:szCs w:val="28"/>
          <w:rtl w:val="true"/>
          <w:lang w:bidi="fa-IR"/>
        </w:rPr>
        <w:t>، انتهی، فلا یخلو عن إشکال، بل نظر و منع، لعدم</w:t>
      </w:r>
    </w:p>
    <w:p>
      <w:pPr>
        <w:pStyle w:val="BookText"/>
        <w:rPr/>
      </w:pPr>
      <w:r>
        <w:rPr>
          <w:rFonts w:ascii="IRNazanin" w:hAnsi="IRNazanin" w:eastAsia="IRNazanin"/>
          <w:color w:val="111111"/>
          <w:sz w:val="28"/>
          <w:sz w:val="28"/>
          <w:szCs w:val="28"/>
          <w:rtl w:val="true"/>
          <w:lang w:bidi="fa-IR"/>
        </w:rPr>
        <w:t>العموم فی النصوص، بل المتبادر من أیّام الحیض فیها أیّام العادة، سیّما الفقرة المتقدّمة من مرسلة یونس الطویلة، و سیأتی أن لیس فیها نصّ صریح و لا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ینطبق هذا التفسیر علی ما سیأتی من قاعدة الإمکان، مع أنّ هذا الکلام یصیر حینئذٍ عبارة أُخری عن القاعدة، فلا مناسبة لذکره هنا فی ذیل بیان موضوع العادة، و لا لقوله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دم یمکن أن یکون حیضاً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یستظهر إرادة هذا المعنی بقرینة مقابلة هذه الفقرة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الأسود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الطهر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استحاضة، إذ لو لم یرد من أیّام الطهر أیّام امتناع الحیض فی مقابل أیّام إمکانه، بل أُرید منه خصوص ما عدا أیّام العادة لم یستقم الکلام علی عمومه؛ لوجوب إخراج کثیر من الأفراد، حتّی لا یبقی إلّا ما امتنع کونه حیضاً من أیّام عادة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أیّام وجوب الطهر فی مقابل أیّام وجوب الحیض، لا أیّام امتناع الحیض فی مقابل أیّام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تراه المعتادة فی أیّام طهرها لا یحکم علیه بالفساد علی الإطلاق، بل فیه تفصیل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إمّا أن یحدث للمعتادة قبل العادة و إمّا أن یحدث بعدها، فإن حدث قبلها فالظاهر الحکم بالحیضیَّة و لو مع الصفرة؛ لقوله علیه السلام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تری الدم قبل وقتها،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فلتدع الصلاة؛ فإنّه ربما تعجّل بها الوقت</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 و نحوها الأخبار المستفیضة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الدالّة علی أنّ الصفرة قبل الحیض مطلقاً أو بیومین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یعارضها مفهوم 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إذا رأت الدم فی أیّام حیضها ترکت الصلاة</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 و لا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لأنّهما مقیّدان بالمستفیضة المذکورة، مع أنّ الظاهر من الشرطیّة فی الأوّل سوقها لمجرّد بیان الوجود عند الوجود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صریح تلک المستفیضة کظاهر الموثّقة إناطة الحکم بتقدّم الدم علی وجه یصدق علیه تعجیل العادة، فلو رأت عشرین یوماً أو أکثر قبل عادتها فالظاهر عدم صدق تعجیل الوقت، فالیوم و الیومان محمولان علی التمثیل؛ خلافاً لظاهر المحقّق </w:t>
      </w:r>
      <w:r>
        <w:rPr>
          <w:rStyle w:val="FootnoteAnchor"/>
          <w:rtl w:val="true"/>
        </w:rPr>
        <w:footnoteReference w:id="1179"/>
      </w:r>
      <w:r>
        <w:rPr>
          <w:rFonts w:ascii="IRNazanin" w:hAnsi="IRNazanin" w:eastAsia="IRNazanin"/>
          <w:color w:val="111111"/>
          <w:sz w:val="28"/>
          <w:sz w:val="28"/>
          <w:szCs w:val="28"/>
          <w:rtl w:val="true"/>
          <w:lang w:bidi="fa-IR"/>
        </w:rPr>
        <w:t xml:space="preserve">و الشهید </w:t>
      </w:r>
      <w:r>
        <w:rPr>
          <w:rStyle w:val="FootnoteAnchor"/>
          <w:rtl w:val="true"/>
        </w:rPr>
        <w:footnoteReference w:id="1180"/>
      </w:r>
      <w:r>
        <w:rPr>
          <w:rFonts w:ascii="IRNazanin" w:hAnsi="IRNazanin" w:eastAsia="IRNazanin"/>
          <w:color w:val="111111"/>
          <w:sz w:val="28"/>
          <w:sz w:val="28"/>
          <w:szCs w:val="28"/>
          <w:rtl w:val="true"/>
          <w:lang w:bidi="fa-IR"/>
        </w:rPr>
        <w:t xml:space="preserve">الثانیین فألحقاه بدم المبتدأة و المضطربة و إن اختلفا فیهما فی التحیّض بالرؤیة و عدمه، و للمحکی عن جماعة </w:t>
      </w:r>
      <w:r>
        <w:rPr>
          <w:rStyle w:val="FootnoteAnchor"/>
          <w:rtl w:val="true"/>
        </w:rPr>
        <w:footnoteReference w:id="1181"/>
      </w:r>
      <w:r>
        <w:rPr>
          <w:rFonts w:ascii="IRNazanin" w:hAnsi="IRNazanin" w:eastAsia="IRNazanin"/>
          <w:color w:val="111111"/>
          <w:sz w:val="28"/>
          <w:sz w:val="28"/>
          <w:szCs w:val="28"/>
          <w:rtl w:val="true"/>
          <w:lang w:bidi="fa-IR"/>
        </w:rPr>
        <w:t xml:space="preserve">فأطلقوا إلحاقه بما تراه فی العادة، بل ربما حکی عن بعض الإجماع، و کأنّ المحکی عنه کاشف اللثام </w:t>
      </w:r>
      <w:r>
        <w:rPr>
          <w:rStyle w:val="FootnoteAnchor"/>
          <w:rtl w:val="true"/>
        </w:rPr>
        <w:footnoteReference w:id="1182"/>
      </w:r>
      <w:r>
        <w:rPr>
          <w:rFonts w:ascii="IRNazanin" w:hAnsi="IRNazanin" w:eastAsia="IRNazanin"/>
          <w:color w:val="111111"/>
          <w:sz w:val="28"/>
          <w:sz w:val="28"/>
          <w:szCs w:val="28"/>
          <w:rtl w:val="true"/>
          <w:lang w:bidi="fa-IR"/>
        </w:rPr>
        <w:t xml:space="preserve">کما صرّح بحکایته عنه بعض آخر </w:t>
      </w:r>
      <w:r>
        <w:rPr>
          <w:rStyle w:val="FootnoteAnchor"/>
          <w:rtl w:val="true"/>
        </w:rPr>
        <w:footnoteReference w:id="1183"/>
      </w:r>
      <w:r>
        <w:rPr>
          <w:rFonts w:ascii="IRNazanin" w:hAnsi="IRNazanin" w:eastAsia="IRNazanin"/>
          <w:color w:val="111111"/>
          <w:sz w:val="28"/>
          <w:sz w:val="28"/>
          <w:szCs w:val="28"/>
          <w:rtl w:val="true"/>
          <w:lang w:bidi="fa-IR"/>
        </w:rPr>
        <w:t>، لکن نسبة هذه الدعوی إلیه توهّم، بل ظاهره اختیار ما فی المسالک من اختیاره</w:t>
      </w:r>
    </w:p>
    <w:p>
      <w:pPr>
        <w:pStyle w:val="BookText"/>
        <w:rPr/>
      </w:pPr>
      <w:r>
        <w:rPr>
          <w:rFonts w:ascii="IRNazanin" w:hAnsi="IRNazanin" w:eastAsia="IRNazanin"/>
          <w:color w:val="111111"/>
          <w:sz w:val="28"/>
          <w:sz w:val="28"/>
          <w:szCs w:val="28"/>
          <w:rtl w:val="true"/>
          <w:lang w:bidi="fa-IR"/>
        </w:rPr>
        <w:t xml:space="preserve">جعلها کالمبتدأة </w:t>
      </w:r>
      <w:r>
        <w:rPr>
          <w:rStyle w:val="FootnoteAnchor"/>
          <w:rtl w:val="true"/>
        </w:rPr>
        <w:footnoteReference w:id="1184"/>
      </w:r>
      <w:r>
        <w:rPr>
          <w:rFonts w:ascii="IRNazanin" w:hAnsi="IRNazanin" w:eastAsia="IRNazanin"/>
          <w:color w:val="111111"/>
          <w:sz w:val="28"/>
          <w:sz w:val="28"/>
          <w:szCs w:val="28"/>
          <w:rtl w:val="true"/>
          <w:lang w:bidi="fa-IR"/>
        </w:rPr>
        <w:t>، و دعواه الإجماع إنّما هی علی حیضیة العدد الذی اعتادته المرأة، سواء رأتها فی العادة أو متقدّماً علیها أو متأخّراً عنها، لا علی تحیّض المعتادة بمجرّد رؤیة الدم قبل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واضح علی من لاحظ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فیشهد لهذا القول إطلاق موثّقة سماعة المذکورة </w:t>
      </w:r>
      <w:r>
        <w:rPr>
          <w:rStyle w:val="FootnoteAnchor"/>
          <w:rtl w:val="true"/>
        </w:rPr>
        <w:footnoteReference w:id="1185"/>
      </w:r>
      <w:r>
        <w:rPr>
          <w:rFonts w:ascii="IRNazanin" w:hAnsi="IRNazanin" w:eastAsia="IRNazanin"/>
          <w:color w:val="111111"/>
          <w:sz w:val="28"/>
          <w:sz w:val="28"/>
          <w:szCs w:val="28"/>
          <w:rtl w:val="true"/>
          <w:lang w:bidi="fa-IR"/>
        </w:rPr>
        <w:t>، مضافاً إلی 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صدق تعجیل الوقت بمطلق التقدّم،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جریان قاعدة الإمکان بعدم استقراره کما سیجی‌ء فی المبتدأة و 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موثّقة عبد الرحمن البصری المتقدّمة فی أکثر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الدم من الحیضة الثالثة فهی تملک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عجّل الدم علیها قبل أیّام قرئها؟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قبل عشرة أیّام فهو من الحیضة الأُولی فهو أملک بها، و هو من الحیضة التی طهرت منها، و إن کان الدم بعد العشرة فهو من الحیضة الثالثة و هی أملک بنفسها</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دلالة علی وجوب التحیّض برؤیة الدم الثالث بمجرّد مضیّ العشرة من الحیضة السابقة، لکن لا یبعد دعوی انصرافها إلی الدم المتّصف بالصفات، و سیجی‌ء تحیّض المبتدأة و المضطربة أیضاً برؤیة الدم متّصفاً بالصفات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الاستئناس بها لتقریب الدلالة فی موثّقة سماعة بأن یستشهد</w:t>
      </w:r>
    </w:p>
    <w:p>
      <w:pPr>
        <w:pStyle w:val="BookText"/>
        <w:rPr/>
      </w:pPr>
      <w:r>
        <w:rPr>
          <w:rFonts w:ascii="IRNazanin" w:hAnsi="IRNazanin" w:eastAsia="IRNazanin"/>
          <w:color w:val="111111"/>
          <w:sz w:val="28"/>
          <w:sz w:val="28"/>
          <w:szCs w:val="28"/>
          <w:rtl w:val="true"/>
          <w:lang w:bidi="fa-IR"/>
        </w:rPr>
        <w:t>بها علی صدق التعجیل بمجرّد التقدّم علی العادة قلیلًا کان أو کثیراً، حیث إنّ الراوی سأل عن صورة تعجیل الدم فاستفصل الإمام فیها بین ما انفصل عن الحیض السابق بعشرة و بین ما انفصل بأقلّ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یظهر من الروض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الفرق فی التقدّم بین الیومین و الزائد عنهما إحداث قول ثالث، لکنّه غیر ثابت، و دلالة الموثّقة أیضاً علی صدق تعجیل الوقت بمطلق التقدّم ممنوعة؛ إذ الثابت بها بعد التسلیم صدق تعجیل الدم لا تعجیل الوقت،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العادة، و لا منافاة بین أن تعجّل الدم فتری حیضاً و لا یتقدّم العادة بل تری الحیض أیضاً عند حضورها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تعجیل الوقت إنّما یصدق إذا ظنّ من جهة قرب الزمان بالعادة أنّ المرئی دم العادة تقدّم علی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حدث قبلها، و إن حدث بعدها، ففی التحیّض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الحکم بالحیضیَّة فیه أولی من الحکم فی صورة التقدّم؛ لأنّ تأخّره یزیده انبعاثاً، مع إمکان دعوی عدم القول بالفرق بین التقدّم و التأخّر، و قوّة احتمال أن یستفاد من تعلیل الحکم بالتعجیل فی الموثّقة المتقدّمة إناطة الحکم بمطلق التخلّف</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الأصل عدم الحیض، و قد عرفت عدم جریان قاعدة الإمکان هنا لعدم استقراره، و ضعف الوجوه المذکورة للتحیّض، مضافاً إلی ما تقدّم من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1188"/>
      </w:r>
      <w:r>
        <w:rPr>
          <w:rFonts w:ascii="Amiri" w:hAnsi="Amiri" w:eastAsia="Amiri" w:cs="Amiri"/>
          <w:color w:val="111111"/>
          <w:sz w:val="28"/>
          <w:sz w:val="28"/>
          <w:szCs w:val="28"/>
          <w:rtl w:val="true"/>
          <w:lang w:bidi="ar-SA"/>
        </w:rPr>
        <w:t>، الدالّة</w:t>
      </w:r>
    </w:p>
    <w:p>
      <w:pPr>
        <w:pStyle w:val="BookText"/>
        <w:rPr/>
      </w:pPr>
      <w:r>
        <w:rPr>
          <w:rFonts w:ascii="IRNazanin" w:hAnsi="IRNazanin" w:eastAsia="IRNazanin"/>
          <w:color w:val="111111"/>
          <w:sz w:val="28"/>
          <w:sz w:val="28"/>
          <w:szCs w:val="28"/>
          <w:rtl w:val="true"/>
          <w:lang w:bidi="fa-IR"/>
        </w:rPr>
        <w:t>علی أنّ مطلق الدم المرئی أو خصوص الصفرة بعد الحیض بیومین لیس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هذه الأخبار ما إذا رأت الدم فی أیّامها و تعدّت عن أیّامها بیوم أو یومین، لا ما إذا حدث الدم بعد أیّامها، و بین المسألتین بونٌ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اشتبه الأمر علی بعض، فتخیّل أنّ الکلام هنا فی المسألة الأُولی، فاختار فی المسألة أنّ الدم إذا تأخّر عن العادة فلا بدّ من الاستظهار بیوم أو یومین، و منه یظهر أیضاً فساد ما أجاب به فی الحدائق </w:t>
      </w:r>
      <w:r>
        <w:rPr>
          <w:rStyle w:val="FootnoteAnchor"/>
          <w:rtl w:val="true"/>
        </w:rPr>
        <w:footnoteReference w:id="1189"/>
      </w:r>
      <w:r>
        <w:rPr>
          <w:rFonts w:ascii="IRNazanin" w:hAnsi="IRNazanin" w:eastAsia="IRNazanin"/>
          <w:color w:val="111111"/>
          <w:sz w:val="28"/>
          <w:sz w:val="28"/>
          <w:szCs w:val="28"/>
          <w:rtl w:val="true"/>
          <w:lang w:bidi="fa-IR"/>
        </w:rPr>
        <w:t>عن صاحبی المدارک و الذخیرة، حیث رجّحا فی المسألة التحیّض مع اتّصاف الدم بصفات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مخالف للأخبار الدالّة علی الاستظهار؛ إذ لا تفصیل فیها بین کون الدم بالصفات و عدمه، فالحکم بالتحیّض فی المقام لا یخلو عن إشکال، کما لا یخلو عن قوّة؛ للوجوه المذکورة؛ و لذا مال إلی الحکم بالتحیّض من لم یحکم به فی المتقدّم کالشهید </w:t>
      </w:r>
      <w:r>
        <w:rPr>
          <w:rStyle w:val="FootnoteAnchor"/>
          <w:rtl w:val="true"/>
        </w:rPr>
        <w:footnoteReference w:id="1190"/>
      </w:r>
      <w:r>
        <w:rPr>
          <w:rFonts w:ascii="Amiri" w:hAnsi="Amiri" w:eastAsia="Amiri" w:cs="Amiri"/>
          <w:color w:val="111111"/>
          <w:sz w:val="28"/>
          <w:sz w:val="28"/>
          <w:szCs w:val="28"/>
          <w:rtl w:val="true"/>
          <w:lang w:bidi="ar-SA"/>
        </w:rPr>
        <w:t xml:space="preserve">و المحقّق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فالظاهر أنّه لا فرق بین التأخّر بزمان طویل أو قصیر؛ لأنّه کلما طال الزمان زاد انبعاثاً، إذ المفروض أنّها لم تر الدم فی العادة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المحکیّ عن الشیخ فی المبسوط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استقرّ لها عادة ثمّ تقدّمها الدم أو تأخّر بیوم أو یومین حکمت بأنّه من الحیض، و إن تقدّم بأکثر من ذلک أو تأخّر بمثل ذلک إلی تمام العشرة حکم أیضاً بأنّه دم</w:t>
      </w:r>
    </w:p>
    <w:p>
      <w:pPr>
        <w:pStyle w:val="BookText"/>
        <w:rPr/>
      </w:pPr>
      <w:r>
        <w:rPr>
          <w:rFonts w:ascii="IRNazanin" w:hAnsi="IRNazanin" w:eastAsia="IRNazanin"/>
          <w:color w:val="111111"/>
          <w:sz w:val="28"/>
          <w:sz w:val="28"/>
          <w:szCs w:val="28"/>
          <w:rtl w:val="true"/>
          <w:lang w:bidi="fa-IR"/>
        </w:rPr>
        <w:t xml:space="preserve">الحیض </w:t>
      </w:r>
      <w:r>
        <w:rPr>
          <w:rStyle w:val="FootnoteAnchor"/>
          <w:rtl w:val="true"/>
        </w:rPr>
        <w:footnoteReference w:id="11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بمثل ذلک إلی تمام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تجاوز الدم العادة، لا ما إذا تأخّر حدوث الدم عن العادة کما فهمه فی المدارک </w:t>
      </w:r>
      <w:r>
        <w:rPr>
          <w:rStyle w:val="FootnoteAnchor"/>
          <w:rtl w:val="true"/>
        </w:rPr>
        <w:footnoteReference w:id="1193"/>
      </w:r>
      <w:r>
        <w:rPr>
          <w:rFonts w:ascii="IRNazanin" w:hAnsi="IRNazanin" w:eastAsia="IRNazanin"/>
          <w:color w:val="111111"/>
          <w:sz w:val="28"/>
          <w:sz w:val="28"/>
          <w:szCs w:val="28"/>
          <w:rtl w:val="true"/>
          <w:lang w:bidi="fa-IR"/>
        </w:rPr>
        <w:t xml:space="preserve">تبعاً لظاهر الذکری </w:t>
      </w:r>
      <w:r>
        <w:rPr>
          <w:rStyle w:val="FootnoteAnchor"/>
          <w:rtl w:val="true"/>
        </w:rPr>
        <w:footnoteReference w:id="1194"/>
      </w:r>
      <w:r>
        <w:rPr>
          <w:rFonts w:ascii="IRNazanin" w:hAnsi="IRNazanin" w:eastAsia="IRNazanin"/>
          <w:color w:val="111111"/>
          <w:sz w:val="28"/>
          <w:sz w:val="28"/>
          <w:szCs w:val="28"/>
          <w:rtl w:val="true"/>
          <w:lang w:bidi="fa-IR"/>
        </w:rPr>
        <w:t>، فیکون الغرض من هذا الکلام بیان مقدار تحیّض من تقدّمها الدم و تأخّرها مع الرؤیة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لو حدث الدم قبل العادة علی وجه یصدق تعجیل العادة، بأن تقدّم بزمان قلیل أو حدث بعدها، طال الزمان أو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حدث فی زمان متقدّم لا یصدق معه تعجیل العادة کما لو رأته قبل عشرین یوماً من العادة، فقد عرفت أنّ أخبار التقدّم علی العادة لا تفی بالدلالة علی التحیّض فی هذا الفرض فحکمه حکم دم المبتدأة، فلا بدّ من التعرّض له و إن أهمله المصنّف قدّس سرّه،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الأظهر أنّها تتحیّض بالرؤیة بشرط اتّصاف الدم بصفات الحیض، و بدونه تستظهر إلی مضیّ ثلاثة؛ وفاقاً لجماعة من المتأخّرین </w:t>
      </w:r>
      <w:r>
        <w:rPr>
          <w:rStyle w:val="FootnoteAnchor"/>
          <w:rtl w:val="true"/>
        </w:rPr>
        <w:footnoteReference w:id="1195"/>
      </w:r>
      <w:r>
        <w:rPr>
          <w:rFonts w:ascii="IRNazanin" w:hAnsi="IRNazanin" w:eastAsia="IRNazanin"/>
          <w:color w:val="111111"/>
          <w:sz w:val="28"/>
          <w:sz w:val="28"/>
          <w:szCs w:val="28"/>
          <w:rtl w:val="true"/>
          <w:lang w:bidi="fa-IR"/>
        </w:rPr>
        <w:t xml:space="preserve">، تبعاً لصاحب المدارک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الحکم مع وجود الشرط، فیدلّ علیه مضافاً إلی أخبار الصفات</w:t>
      </w:r>
    </w:p>
    <w:p>
      <w:pPr>
        <w:pStyle w:val="BookText"/>
        <w:rPr/>
      </w:pPr>
      <w:r>
        <w:rPr>
          <w:rFonts w:ascii="IRNazanin" w:hAnsi="IRNazanin" w:eastAsia="IRNazanin"/>
          <w:color w:val="111111"/>
          <w:sz w:val="28"/>
          <w:sz w:val="28"/>
          <w:szCs w:val="28"/>
          <w:rtl w:val="true"/>
          <w:lang w:bidi="fa-IR"/>
        </w:rPr>
        <w:t>إن لم نقل بورودها فی صورة تردّد الأمر بین الحیض و الاستحاضة العرفیة، و هی الدم المتّصل بأیّام العادة، فلا ینفع فی صورة عدم اختلاط الحیض بالاستحاضة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 الواردة فی الحبلی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الدم الیوم و الیومین،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دماً عبیطاً فلا تصلّی ذینک الیومین، و إن کان صفرة فلتغتسل عند کلّ صلاتین</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بناءً علی عدم القول بالفصل بین الحامل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ما سیجی‌ء </w:t>
      </w:r>
      <w:r>
        <w:rPr>
          <w:rStyle w:val="FootnoteAnchor"/>
          <w:rtl w:val="true"/>
        </w:rPr>
        <w:footnoteReference w:id="1198"/>
      </w:r>
      <w:r>
        <w:rPr>
          <w:rFonts w:ascii="IRNazanin" w:hAnsi="IRNazanin" w:eastAsia="IRNazanin"/>
          <w:color w:val="111111"/>
          <w:sz w:val="28"/>
          <w:sz w:val="28"/>
          <w:szCs w:val="28"/>
          <w:rtl w:val="true"/>
          <w:lang w:bidi="fa-IR"/>
        </w:rPr>
        <w:t>من صحیحة ابن الحجّاج، و إطلاق صحیحة ابن المغیرة عن أبی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نفست فترکت الصلاة ثلاثین یوماً ثمّ طهرت ثمّ رأت الدم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لأنّ أیّامها أیّام الطهر قد جازت مع أیّام النفاس</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خرج عنها الصفرة لما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علی التحیّض و ترتیب آثار الحیض عند وجدان الدم بالصفات بمجرّد سماع 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 فِی الْمَحِیضِ</w:t>
      </w:r>
      <w:r>
        <w:rPr>
          <w:rFonts w:eastAsia="Amiri" w:cs="Amiri" w:ascii="Amiri" w:hAnsi="Amiri"/>
          <w:color w:val="111111"/>
          <w:sz w:val="28"/>
          <w:szCs w:val="28"/>
          <w:rtl w:val="true"/>
          <w:lang w:bidi="ar-SA"/>
        </w:rPr>
        <w:t xml:space="preserve">) </w:t>
      </w:r>
      <w:r>
        <w:rPr>
          <w:rStyle w:val="FootnoteAnchor"/>
          <w:rtl w:val="true"/>
        </w:rPr>
        <w:footnoteReference w:id="1200"/>
      </w:r>
      <w:r>
        <w:rPr>
          <w:rFonts w:ascii="IRNazanin" w:hAnsi="IRNazanin" w:eastAsia="IRNazanin"/>
          <w:color w:val="111111"/>
          <w:sz w:val="28"/>
          <w:sz w:val="28"/>
          <w:szCs w:val="28"/>
          <w:rtl w:val="true"/>
          <w:lang w:bidi="fa-IR"/>
        </w:rPr>
        <w:t>، أو غیر ذلک من الخطابات الواردة فی أحکام الحائض</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تصدیق غیر واحدة من النساء للإمام علیه السلام عند بیان أوصاف الحیض، فقال بعضهن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کان امرأة ما زاد علی هذا</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و قالت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تراه کان امرأة</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عدم الحکم مع عدم الصفات، فیدلّ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الحیض السلیمة من ورود قاعدة الإمکان علیها فی المقام؛ لما مرّ، و ما دلّ علی أنّها إن رأت الصفرة فی غیر أیّامها توضّأت و صلّت </w:t>
      </w:r>
      <w:r>
        <w:rPr>
          <w:rStyle w:val="FootnoteAnchor"/>
          <w:rtl w:val="true"/>
        </w:rPr>
        <w:footnoteReference w:id="1203"/>
      </w:r>
      <w:r>
        <w:rPr>
          <w:rFonts w:ascii="IRNazanin" w:hAnsi="IRNazanin" w:eastAsia="IRNazanin"/>
          <w:color w:val="111111"/>
          <w:sz w:val="28"/>
          <w:sz w:val="28"/>
          <w:szCs w:val="28"/>
          <w:rtl w:val="true"/>
          <w:lang w:bidi="fa-IR"/>
        </w:rPr>
        <w:t>، و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الدم فی أیّام حیضها ترکت الصلاة</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 بناءً علی عدم القول بالفصل بین المبتدأة و ما تراه المعتادة فی غیر وقتها ممّا لا یلحق بوقتها، و مفهوم روایة الحامل المتقدّمة </w:t>
      </w:r>
      <w:r>
        <w:rPr>
          <w:rStyle w:val="FootnoteAnchor"/>
          <w:rtl w:val="true"/>
        </w:rPr>
        <w:footnoteReference w:id="1205"/>
      </w:r>
      <w:r>
        <w:rPr>
          <w:rFonts w:ascii="IRNazanin" w:hAnsi="IRNazanin" w:eastAsia="IRNazanin"/>
          <w:color w:val="111111"/>
          <w:sz w:val="28"/>
          <w:sz w:val="28"/>
          <w:szCs w:val="28"/>
          <w:rtl w:val="true"/>
          <w:lang w:bidi="fa-IR"/>
        </w:rPr>
        <w:t>، و صریح منطوق صحیحة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نفست فمکثت ثلاثین یوماً أو أکثر ثمّ طهرت ثمّ رأت دماً أو صفرة،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صفرة لتغتسل و لتصلّ و لا تمسک عن الصلاة</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و لا یخفی صراحتها من حیث التفصیل بین الدم و الصفرة، الکاشف عن انصراف الدم فی سائر الأخبار إلی ما یقابل الصفرة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المبسوط </w:t>
      </w:r>
      <w:r>
        <w:rPr>
          <w:rStyle w:val="FootnoteAnchor"/>
          <w:rtl w:val="true"/>
        </w:rPr>
        <w:footnoteReference w:id="1207"/>
      </w:r>
      <w:r>
        <w:rPr>
          <w:rFonts w:ascii="Amiri" w:hAnsi="Amiri" w:eastAsia="Amiri" w:cs="Amiri"/>
          <w:color w:val="111111"/>
          <w:sz w:val="28"/>
          <w:sz w:val="28"/>
          <w:szCs w:val="28"/>
          <w:rtl w:val="true"/>
          <w:lang w:bidi="ar-SA"/>
        </w:rPr>
        <w:t xml:space="preserve">و المهذّب </w:t>
      </w:r>
      <w:r>
        <w:rPr>
          <w:rStyle w:val="FootnoteAnchor"/>
          <w:rtl w:val="true"/>
        </w:rPr>
        <w:footnoteReference w:id="1208"/>
      </w:r>
      <w:r>
        <w:rPr>
          <w:rFonts w:ascii="IRNazanin" w:hAnsi="IRNazanin" w:eastAsia="IRNazanin"/>
          <w:color w:val="111111"/>
          <w:sz w:val="28"/>
          <w:sz w:val="28"/>
          <w:szCs w:val="28"/>
          <w:rtl w:val="true"/>
          <w:lang w:bidi="fa-IR"/>
        </w:rPr>
        <w:t xml:space="preserve">و الوسیلة </w:t>
      </w:r>
      <w:r>
        <w:rPr>
          <w:rStyle w:val="FootnoteAnchor"/>
          <w:rtl w:val="true"/>
        </w:rPr>
        <w:footnoteReference w:id="1209"/>
      </w:r>
      <w:r>
        <w:rPr>
          <w:rFonts w:ascii="IRNazanin" w:hAnsi="IRNazanin" w:eastAsia="IRNazanin"/>
          <w:color w:val="111111"/>
          <w:sz w:val="28"/>
          <w:sz w:val="28"/>
          <w:szCs w:val="28"/>
          <w:rtl w:val="true"/>
          <w:lang w:bidi="fa-IR"/>
        </w:rPr>
        <w:t xml:space="preserve">و الجامع </w:t>
      </w:r>
      <w:r>
        <w:rPr>
          <w:rStyle w:val="FootnoteAnchor"/>
          <w:rtl w:val="true"/>
        </w:rPr>
        <w:footnoteReference w:id="1210"/>
      </w:r>
      <w:r>
        <w:rPr>
          <w:rFonts w:ascii="Amiri" w:hAnsi="Amiri" w:eastAsia="Amiri" w:cs="Amiri"/>
          <w:color w:val="111111"/>
          <w:sz w:val="28"/>
          <w:sz w:val="28"/>
          <w:szCs w:val="28"/>
          <w:rtl w:val="true"/>
          <w:lang w:bidi="ar-SA"/>
        </w:rPr>
        <w:t xml:space="preserve">و جملة من کتب المصنّف قدّس سرّه </w:t>
      </w:r>
      <w:r>
        <w:rPr>
          <w:rStyle w:val="FootnoteAnchor"/>
          <w:rtl w:val="true"/>
        </w:rPr>
        <w:footnoteReference w:id="1211"/>
      </w:r>
      <w:r>
        <w:rPr>
          <w:rFonts w:ascii="IRNazanin" w:hAnsi="IRNazanin" w:eastAsia="IRNazanin"/>
          <w:color w:val="111111"/>
          <w:sz w:val="28"/>
          <w:sz w:val="28"/>
          <w:szCs w:val="28"/>
          <w:rtl w:val="true"/>
          <w:lang w:bidi="fa-IR"/>
        </w:rPr>
        <w:t xml:space="preserve">و الذکری </w:t>
      </w:r>
      <w:r>
        <w:rPr>
          <w:rStyle w:val="FootnoteAnchor"/>
          <w:rtl w:val="true"/>
        </w:rPr>
        <w:footnoteReference w:id="1212"/>
      </w:r>
      <w:r>
        <w:rPr>
          <w:rFonts w:ascii="Amiri" w:hAnsi="Amiri" w:eastAsia="Amiri" w:cs="Amiri"/>
          <w:color w:val="111111"/>
          <w:sz w:val="28"/>
          <w:sz w:val="28"/>
          <w:szCs w:val="28"/>
          <w:rtl w:val="true"/>
          <w:lang w:bidi="ar-SA"/>
        </w:rPr>
        <w:t xml:space="preserve">و الروضة </w:t>
      </w:r>
      <w:r>
        <w:rPr>
          <w:rStyle w:val="FootnoteAnchor"/>
          <w:rtl w:val="true"/>
        </w:rPr>
        <w:footnoteReference w:id="1213"/>
      </w:r>
      <w:r>
        <w:rPr>
          <w:rFonts w:ascii="IRNazanin" w:hAnsi="IRNazanin" w:eastAsia="IRNazanin"/>
          <w:color w:val="111111"/>
          <w:sz w:val="28"/>
          <w:sz w:val="28"/>
          <w:szCs w:val="28"/>
          <w:rtl w:val="true"/>
          <w:lang w:bidi="fa-IR"/>
        </w:rPr>
        <w:t>، فقالوا بالتحیّض</w:t>
      </w:r>
    </w:p>
    <w:p>
      <w:pPr>
        <w:pStyle w:val="BookText"/>
        <w:rPr/>
      </w:pPr>
      <w:r>
        <w:rPr>
          <w:rFonts w:ascii="IRNazanin" w:hAnsi="IRNazanin" w:eastAsia="IRNazanin"/>
          <w:color w:val="111111"/>
          <w:sz w:val="28"/>
          <w:sz w:val="28"/>
          <w:szCs w:val="28"/>
          <w:rtl w:val="true"/>
          <w:lang w:bidi="fa-IR"/>
        </w:rPr>
        <w:t xml:space="preserve">برؤیة الدم مطلقاً و إن کان صفرة، بل هو الأشهر کما عن کشف الالتباس </w:t>
      </w:r>
      <w:r>
        <w:rPr>
          <w:rStyle w:val="FootnoteAnchor"/>
          <w:rtl w:val="true"/>
        </w:rPr>
        <w:footnoteReference w:id="1214"/>
      </w:r>
      <w:r>
        <w:rPr>
          <w:rFonts w:ascii="IRNazanin" w:hAnsi="IRNazanin" w:eastAsia="IRNazanin"/>
          <w:color w:val="111111"/>
          <w:sz w:val="28"/>
          <w:sz w:val="28"/>
          <w:szCs w:val="28"/>
          <w:rtl w:val="true"/>
          <w:lang w:bidi="fa-IR"/>
        </w:rPr>
        <w:t xml:space="preserve">، و ربما ینسب إلی ظاهر المقنعة </w:t>
      </w:r>
      <w:r>
        <w:rPr>
          <w:rStyle w:val="FootnoteAnchor"/>
          <w:rtl w:val="true"/>
        </w:rPr>
        <w:footnoteReference w:id="1215"/>
      </w:r>
      <w:r>
        <w:rPr>
          <w:rFonts w:ascii="IRNazanin" w:hAnsi="IRNazanin" w:eastAsia="IRNazanin"/>
          <w:color w:val="111111"/>
          <w:sz w:val="28"/>
          <w:sz w:val="28"/>
          <w:szCs w:val="28"/>
          <w:rtl w:val="true"/>
          <w:lang w:bidi="fa-IR"/>
        </w:rPr>
        <w:t>، و هو توهّم؛ لأنّه لم یزد فی المقنعة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الحائض هی المرأة التی تری الدم الأحمر الخارج منها بحرارة فینبغی لها إذا رأته أن تترک الصلاة </w:t>
      </w:r>
      <w:r>
        <w:rPr>
          <w:rStyle w:val="FootnoteAnchor"/>
          <w:rtl w:val="true"/>
        </w:rPr>
        <w:footnoteReference w:id="121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فربما یستدلّ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بقاعدة الإمکان کما ذکره المصنّف قدّس سرّه فی المنتهی </w:t>
      </w:r>
      <w:r>
        <w:rPr>
          <w:rStyle w:val="FootnoteAnchor"/>
          <w:rtl w:val="true"/>
        </w:rPr>
        <w:footnoteReference w:id="1217"/>
      </w:r>
      <w:r>
        <w:rPr>
          <w:rFonts w:ascii="IRNazanin" w:hAnsi="IRNazanin" w:eastAsia="IRNazanin"/>
          <w:color w:val="111111"/>
          <w:sz w:val="28"/>
          <w:sz w:val="28"/>
          <w:szCs w:val="28"/>
          <w:rtl w:val="true"/>
          <w:lang w:bidi="fa-IR"/>
        </w:rPr>
        <w:t xml:space="preserve">و المختلف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بأخبار الصفات المتقدّمة؛ بناءً علی عدم القول بالفصل بین کون المرئی متّصفاً بالصفات أو غیر متّصف کما ادّعاه استاد الکلّ فی شرح المفاتیح </w:t>
      </w:r>
      <w:r>
        <w:rPr>
          <w:rStyle w:val="FootnoteAnchor"/>
          <w:rtl w:val="true"/>
        </w:rPr>
        <w:footnoteReference w:id="1219"/>
      </w:r>
      <w:r>
        <w:rPr>
          <w:rFonts w:ascii="IRNazanin" w:hAnsi="IRNazanin" w:eastAsia="IRNazanin"/>
          <w:color w:val="111111"/>
          <w:sz w:val="28"/>
          <w:sz w:val="28"/>
          <w:szCs w:val="28"/>
          <w:rtl w:val="true"/>
          <w:lang w:bidi="fa-IR"/>
        </w:rPr>
        <w:t xml:space="preserve">، و تبعه فی الریاض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بإطلاق الأخبار الدالّة علی ترک الصوم بمجرّد رؤیة الدم، و أنّها أیّ ساعة رأت الدم فقد أفطرت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صحیحة ابن المغیرة المتقدّمة </w:t>
      </w:r>
      <w:r>
        <w:rPr>
          <w:rStyle w:val="FootnoteAnchor"/>
          <w:rtl w:val="true"/>
        </w:rPr>
        <w:footnoteReference w:id="1222"/>
      </w:r>
      <w:r>
        <w:rPr>
          <w:rFonts w:ascii="IRNazanin" w:hAnsi="IRNazanin" w:eastAsia="IRNazanin"/>
          <w:color w:val="111111"/>
          <w:sz w:val="28"/>
          <w:sz w:val="28"/>
          <w:szCs w:val="28"/>
          <w:rtl w:val="true"/>
          <w:lang w:bidi="fa-IR"/>
        </w:rPr>
        <w:t>فی أدلّة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خصوص الموثّقة المتقدّمة </w:t>
      </w:r>
      <w:r>
        <w:rPr>
          <w:rStyle w:val="FootnoteAnchor"/>
          <w:rtl w:val="true"/>
        </w:rPr>
        <w:footnoteReference w:id="1223"/>
      </w:r>
      <w:r>
        <w:rPr>
          <w:rFonts w:ascii="IRNazanin" w:hAnsi="IRNazanin" w:eastAsia="IRNazanin"/>
          <w:color w:val="111111"/>
          <w:sz w:val="28"/>
          <w:sz w:val="28"/>
          <w:szCs w:val="28"/>
          <w:rtl w:val="true"/>
          <w:lang w:bidi="fa-IR"/>
        </w:rPr>
        <w:t>فی حکم من عجّل علیها الدم قبل أیّام أقرائها؛ بناءً علی عدم الفصل بین المبتدأة و المعتادة إذا تقدّم دمها العادة علی وجه لا یلحق بالعادة، بأن یقدّم علیها بزمان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الجاریة البکر أوّل ما تحیض تقعد فی الشهر یومین، و فی الشهر ثلاثة لا یکون طمثها عدّة أیّام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أن تجلس فتدع الصلاة ما دامت تری الدم ما لم یجز العشرة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الدم فی أوّل حیضها و استمرّ الدم، ترکت الصلاة عشرة أیّام</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الجاریة أوّل ما تحیض یدفع علیها الدم فتکون مستحاضة، أنّها تنتظر بالصلاة فلا تصلّی حتّی یمضی أکثر ما یکون من الحیض، فإذا مضی ذلک و هو عشرة أیّام فعلت ما تفعله المستحاضة</w:t>
      </w:r>
      <w:r>
        <w:rPr>
          <w:rFonts w:eastAsia="IRNazanin" w:cs="IRNazanin"/>
          <w:color w:val="111111"/>
          <w:sz w:val="28"/>
          <w:szCs w:val="28"/>
          <w:rtl w:val="true"/>
          <w:lang w:bidi="fa-IR"/>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الجمیع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قاعدة الإمکان، فلعدم جریانها فی المقام؛ لعدم استقرار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 بحکم المستقرّة بأصالة بقاء الدم إلی الثلاثة، مدفوع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جریان أصالة البقاء فی مثل ما نحن فیه، بل الأصل عدم حدوث الزائد علی ما حدث، کیف؟ و لو ثبت بحکم الأصل بقاؤه إلی</w:t>
      </w:r>
    </w:p>
    <w:p>
      <w:pPr>
        <w:pStyle w:val="BookText"/>
        <w:rPr/>
      </w:pPr>
      <w:r>
        <w:rPr>
          <w:rFonts w:ascii="IRNazanin" w:hAnsi="IRNazanin" w:eastAsia="IRNazanin"/>
          <w:color w:val="111111"/>
          <w:sz w:val="28"/>
          <w:sz w:val="28"/>
          <w:szCs w:val="28"/>
          <w:rtl w:val="true"/>
          <w:lang w:bidi="fa-IR"/>
        </w:rPr>
        <w:t>الثلاثة لم یحتج إلی قاعدة الإمکان؛ للاتّفاق من الطرفین علی أنّ الدم المستمرّ إلی ثلاثةٍ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تحیّض المعتادة برؤیة الدم مع أصالة عدم حدوث الزائد فلأنّ العادة سبب شرعی للحکم، و لیس من جهة الإمکان حتّی یعتبر فیه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استقامة ما ذکره المحقّق و عدم استقامة ما اعترض علیه المصنّف؛ فإنّ المحکی عنه فی المعتبر بعد ما استدلّ علی لزوم الاحتیاط بالعبادة بأنّ مقتضی الدلیل لزوم العبادة حتّی یتّفق المسقط،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لزم ما ذکرته قبل الثلاثة لزم بعدها، لجواز أن تری ما هو أسود و یتجاوز فیکون هو حیضاً لا الثلاثة،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إنّ الیوم و الیومین لیس حیضاً حتّی یستکمل ثلاثاً، و الأصل عدم التتمّة حتّی یتحقّق، أمّا إذا استقرّ ثلاثاً فقد کمل ما یصلح أن یکون حیضاً، و لا یبطل هذا إلّا مع التجاوز، و الأصل عدمه </w:t>
      </w:r>
      <w:r>
        <w:rPr>
          <w:rStyle w:val="FootnoteAnchor"/>
          <w:rtl w:val="true"/>
        </w:rPr>
        <w:footnoteReference w:id="12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اعترضه المصنّف قدّس سرّه بأنّه إمّا أن یعتبر فی صیرورة الدم حیضاً صلاحیته له، أو وجود ما یعلم أنّه حیض، و الثانی یلزم منه أن لا یحکم بالحیضیَّة إلّا بعد الانقطاع علی العشرة؛ إذ بدونه لا یقطع لجواز أن یکون الحیض ما یتلوه، و إن اعتبرت الصلاحیة فهی موجودة فی البابین </w:t>
      </w:r>
      <w:r>
        <w:rPr>
          <w:rStyle w:val="FootnoteAnchor"/>
          <w:rtl w:val="true"/>
        </w:rPr>
        <w:footnoteReference w:id="12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جریان أصالة البقاء فی الدم لکنّه لا یجدی فی إثبات الإمکان المستقر، لیدخل تحت معاقد إجماعات قاعدة الإمکان؛ لأنّ</w:t>
      </w:r>
    </w:p>
    <w:p>
      <w:pPr>
        <w:pStyle w:val="BookText"/>
        <w:rPr/>
      </w:pPr>
      <w:r>
        <w:rPr>
          <w:rFonts w:ascii="IRNazanin" w:hAnsi="IRNazanin" w:eastAsia="IRNazanin"/>
          <w:color w:val="111111"/>
          <w:sz w:val="28"/>
          <w:sz w:val="28"/>
          <w:szCs w:val="28"/>
          <w:rtl w:val="true"/>
          <w:lang w:bidi="fa-IR"/>
        </w:rPr>
        <w:t>مراد المجمعین من الاستقرار هو الواقعی المتیقّن،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الموجود فی ثلاثة أیّام، و لیس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 فی نصّ شرعی حتّی یترتّب علی الثابت منه بالاستصحاب ما یترتّب علی المستقرّ الواقعی،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یندفع ما یتوهّم أنّه لو بنی علی أصالة بقاء الدم لم یجز الحکم بالتحیّض بعد الثلاثة؛ لأصالة بقائه إلی ما بعد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مجرّد بقائه إلی ما بعد العشرة لا یوجب عدم حیضیّة المرئی ابتداءً، إلّا إذا فرض حدوث دم آخر أقوی منه، و عرفت أنّ الأصل عدمه و إن قلنا بجریان أصالة البقاء فی هذا الدم الموجود، مع أنّ التجاوز عن العشرة، مع تجدّد الدم الأقوی لیس کانقطاع الدم علی ما دون الثلاثة بحیث یکشف عن امتناع کون المرئی أوّلًا حیضاً فی الواقع لیکون احتماله موجباً لعدم استقرار الإمکان، و إنّما هو حکم شرعی ظاهری یرجع إلی ترجیح أحد الدمین اللذین یمکن حیضیّة کلّ منهما إمکاناً مستقرّاً علی الآخر لمرجّح شرعی و هی الصفة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ما ذکرنا کلا أو بعضاً لم یتمسّک بهذه القاعدة أحد ممّن ادّعی الإجماع علیها، کالمحقّق </w:t>
      </w:r>
      <w:r>
        <w:rPr>
          <w:rStyle w:val="FootnoteAnchor"/>
          <w:rtl w:val="true"/>
        </w:rPr>
        <w:footnoteReference w:id="122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230"/>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1231"/>
      </w:r>
      <w:r>
        <w:rPr>
          <w:rFonts w:ascii="IRNazanin" w:hAnsi="IRNazanin" w:eastAsia="IRNazanin"/>
          <w:color w:val="111111"/>
          <w:sz w:val="28"/>
          <w:sz w:val="28"/>
          <w:szCs w:val="28"/>
          <w:rtl w:val="true"/>
          <w:lang w:bidi="fa-IR"/>
        </w:rPr>
        <w:t xml:space="preserve">و غیرهم </w:t>
      </w:r>
      <w:r>
        <w:rPr>
          <w:rStyle w:val="FootnoteAnchor"/>
          <w:rtl w:val="true"/>
        </w:rPr>
        <w:footnoteReference w:id="12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 المصنّف قدّس سرّه </w:t>
      </w:r>
      <w:r>
        <w:rPr>
          <w:rStyle w:val="FootnoteAnchor"/>
          <w:rtl w:val="true"/>
        </w:rPr>
        <w:footnoteReference w:id="1233"/>
      </w:r>
      <w:r>
        <w:rPr>
          <w:rFonts w:ascii="IRNazanin" w:hAnsi="IRNazanin" w:eastAsia="IRNazanin"/>
          <w:color w:val="111111"/>
          <w:sz w:val="28"/>
          <w:sz w:val="28"/>
          <w:szCs w:val="28"/>
          <w:rtl w:val="true"/>
          <w:lang w:bidi="fa-IR"/>
        </w:rPr>
        <w:t xml:space="preserve">، و تبعه فی شرح المفاتیح </w:t>
      </w:r>
      <w:r>
        <w:rPr>
          <w:rStyle w:val="FootnoteAnchor"/>
          <w:rtl w:val="true"/>
        </w:rPr>
        <w:footnoteReference w:id="1234"/>
      </w:r>
      <w:r>
        <w:rPr>
          <w:rFonts w:ascii="IRNazanin" w:hAnsi="IRNazanin" w:eastAsia="IRNazanin"/>
          <w:color w:val="111111"/>
          <w:sz w:val="28"/>
          <w:sz w:val="28"/>
          <w:szCs w:val="28"/>
          <w:rtl w:val="true"/>
          <w:lang w:bidi="fa-IR"/>
        </w:rPr>
        <w:t xml:space="preserve">و الریاض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أخبار الصفات، فقد اعترفنا بمضمونها، إلّا أنّ دعوی عدم القول بالفصل ممنوعة جدّاً،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کلام المصنّف فی المنتهی و المختلف فی مواضع متعدّدة اختصاص النزاع بالدم المتّصف، کما اعترف به صاحب المدارک </w:t>
      </w:r>
      <w:r>
        <w:rPr>
          <w:rStyle w:val="FootnoteAnchor"/>
          <w:rtl w:val="true"/>
        </w:rPr>
        <w:footnoteReference w:id="1236"/>
      </w:r>
      <w:r>
        <w:rPr>
          <w:rFonts w:ascii="IRNazanin" w:hAnsi="IRNazanin" w:eastAsia="IRNazanin"/>
          <w:color w:val="111111"/>
          <w:sz w:val="28"/>
          <w:sz w:val="28"/>
          <w:szCs w:val="28"/>
          <w:rtl w:val="true"/>
          <w:lang w:bidi="fa-IR"/>
        </w:rPr>
        <w:t xml:space="preserve">، تبعاً للمحکی عن ابن فهد فی المهذّب البارع </w:t>
      </w:r>
      <w:r>
        <w:rPr>
          <w:rStyle w:val="FootnoteAnchor"/>
          <w:rtl w:val="true"/>
        </w:rPr>
        <w:footnoteReference w:id="1237"/>
      </w:r>
      <w:r>
        <w:rPr>
          <w:rFonts w:ascii="IRNazanin" w:hAnsi="IRNazanin" w:eastAsia="IRNazanin"/>
          <w:color w:val="111111"/>
          <w:sz w:val="28"/>
          <w:sz w:val="28"/>
          <w:szCs w:val="28"/>
          <w:rtl w:val="true"/>
          <w:lang w:bidi="fa-IR"/>
        </w:rPr>
        <w:t xml:space="preserve">، فاعتراض الوحید البهبهانی </w:t>
      </w:r>
      <w:r>
        <w:rPr>
          <w:rStyle w:val="FootnoteAnchor"/>
          <w:rtl w:val="true"/>
        </w:rPr>
        <w:footnoteReference w:id="1238"/>
      </w:r>
      <w:r>
        <w:rPr>
          <w:rFonts w:ascii="IRNazanin" w:hAnsi="IRNazanin" w:eastAsia="IRNazanin"/>
          <w:color w:val="111111"/>
          <w:sz w:val="28"/>
          <w:sz w:val="28"/>
          <w:szCs w:val="28"/>
          <w:rtl w:val="true"/>
          <w:lang w:bidi="fa-IR"/>
        </w:rPr>
        <w:t xml:space="preserve">و بعض من تبعه </w:t>
      </w:r>
      <w:r>
        <w:rPr>
          <w:rStyle w:val="FootnoteAnchor"/>
          <w:rtl w:val="true"/>
        </w:rPr>
        <w:footnoteReference w:id="1239"/>
      </w:r>
      <w:r>
        <w:rPr>
          <w:rFonts w:ascii="IRNazanin" w:hAnsi="IRNazanin" w:eastAsia="IRNazanin"/>
          <w:color w:val="111111"/>
          <w:sz w:val="28"/>
          <w:sz w:val="28"/>
          <w:szCs w:val="28"/>
          <w:rtl w:val="true"/>
          <w:lang w:bidi="fa-IR"/>
        </w:rPr>
        <w:t xml:space="preserve">علی صاحب المدارک فی فهم هذا من کلام المصنّف کأنه لم یقع فی محلّه، بل کلمات غیر المصنّف ممّن اختار التحیّض بالرؤیة مطلقة، یمکن دعوی انصرافها إلی المتّصف بالصفات، سیّما مع ذکرهم إیّاها فی تعریف الحیض، فتطبیق کلامهم علی عبارة المقنعة المتقدّمة </w:t>
      </w:r>
      <w:r>
        <w:rPr>
          <w:rStyle w:val="FootnoteAnchor"/>
          <w:rtl w:val="true"/>
        </w:rPr>
        <w:footnoteReference w:id="1240"/>
      </w:r>
      <w:r>
        <w:rPr>
          <w:rFonts w:ascii="IRNazanin" w:hAnsi="IRNazanin" w:eastAsia="IRNazanin"/>
          <w:color w:val="111111"/>
          <w:sz w:val="28"/>
          <w:sz w:val="28"/>
          <w:szCs w:val="28"/>
          <w:rtl w:val="true"/>
          <w:lang w:bidi="fa-IR"/>
        </w:rPr>
        <w:t xml:space="preserve">غیر بعیدة، خصوصاً مع جعل الصفرة فی مقابل الدم فی غیر واحد من النصوص کما تقدّم بعضها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ضعف الاستدلال بالموثّقة المتقدّمة </w:t>
      </w:r>
      <w:r>
        <w:rPr>
          <w:rStyle w:val="FootnoteAnchor"/>
          <w:rtl w:val="true"/>
        </w:rPr>
        <w:footnoteReference w:id="1242"/>
      </w:r>
      <w:r>
        <w:rPr>
          <w:rFonts w:ascii="IRNazanin" w:hAnsi="IRNazanin" w:eastAsia="IRNazanin"/>
          <w:color w:val="111111"/>
          <w:sz w:val="28"/>
          <w:sz w:val="28"/>
          <w:szCs w:val="28"/>
          <w:rtl w:val="true"/>
          <w:lang w:bidi="fa-IR"/>
        </w:rPr>
        <w:t>فی عدّة الطلاق،</w:t>
      </w:r>
    </w:p>
    <w:p>
      <w:pPr>
        <w:pStyle w:val="BookText"/>
        <w:rPr/>
      </w:pPr>
      <w:r>
        <w:rPr>
          <w:rFonts w:ascii="IRNazanin" w:hAnsi="IRNazanin" w:eastAsia="IRNazanin"/>
          <w:color w:val="111111"/>
          <w:sz w:val="28"/>
          <w:sz w:val="28"/>
          <w:szCs w:val="28"/>
          <w:rtl w:val="true"/>
          <w:lang w:bidi="fa-IR"/>
        </w:rPr>
        <w:t xml:space="preserve">و بصحیحة ابن المغیرة </w:t>
      </w:r>
      <w:r>
        <w:rPr>
          <w:rStyle w:val="FootnoteAnchor"/>
          <w:rtl w:val="true"/>
        </w:rPr>
        <w:footnoteReference w:id="1243"/>
      </w:r>
      <w:r>
        <w:rPr>
          <w:rFonts w:ascii="IRNazanin" w:hAnsi="IRNazanin" w:eastAsia="IRNazanin"/>
          <w:color w:val="111111"/>
          <w:sz w:val="28"/>
          <w:sz w:val="28"/>
          <w:szCs w:val="28"/>
          <w:rtl w:val="true"/>
          <w:lang w:bidi="fa-IR"/>
        </w:rPr>
        <w:t xml:space="preserve">، و بما دلّ علی إخطار الصائمة برؤیة الدم </w:t>
      </w:r>
      <w:r>
        <w:rPr>
          <w:rStyle w:val="FootnoteAnchor"/>
          <w:rtl w:val="true"/>
        </w:rPr>
        <w:footnoteReference w:id="1244"/>
      </w:r>
      <w:r>
        <w:rPr>
          <w:rFonts w:ascii="IRNazanin" w:hAnsi="IRNazanin" w:eastAsia="IRNazanin"/>
          <w:color w:val="111111"/>
          <w:sz w:val="28"/>
          <w:sz w:val="28"/>
          <w:szCs w:val="28"/>
          <w:rtl w:val="true"/>
          <w:lang w:bidi="fa-IR"/>
        </w:rPr>
        <w:t>، مع أنّه لا یخفی علی المتأمّل سوق هذه الأخبار لبیان حکم آخر، و هو أنّ الدم فی أیّ زمان وقع تفطر الصائمة، لدفع ما ربما یتوهّم من کونه کالسفر لا یقدح فیه حدوثه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أنّ رؤیة الدم فیها کنایة عن خروج الحیض، فلو رضی إنسان بالتمسّک بإطلاق الرؤیة و عدم جعلها کنایة عن الخروج عن المخرج یرضی بأن یتمسّک بإطلاق الدم، و لا یجعلها کنایة عن خصوص دم الحیض،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کلّه التمسّک بالموثّقات </w:t>
      </w:r>
      <w:r>
        <w:rPr>
          <w:rStyle w:val="FootnoteAnchor"/>
          <w:rtl w:val="true"/>
        </w:rPr>
        <w:footnoteReference w:id="1245"/>
      </w:r>
      <w:r>
        <w:rPr>
          <w:rFonts w:ascii="IRNazanin" w:hAnsi="IRNazanin" w:eastAsia="IRNazanin"/>
          <w:color w:val="111111"/>
          <w:sz w:val="28"/>
          <w:sz w:val="28"/>
          <w:szCs w:val="28"/>
          <w:rtl w:val="true"/>
          <w:lang w:bidi="fa-IR"/>
        </w:rPr>
        <w:t>الأخیرة؛ فإنّ المفروض فیها تحقّق الحیضیَّة، و إنّما السؤال من مقدار التحیّض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ضعف هذا القول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القول بالاستظهار إلی الثلاثة، کما عن الإسکافی </w:t>
      </w:r>
      <w:r>
        <w:rPr>
          <w:rStyle w:val="FootnoteAnchor"/>
          <w:rtl w:val="true"/>
        </w:rPr>
        <w:footnoteReference w:id="1246"/>
      </w:r>
      <w:r>
        <w:rPr>
          <w:rFonts w:ascii="Amiri" w:hAnsi="Amiri" w:eastAsia="Amiri" w:cs="Amiri"/>
          <w:color w:val="111111"/>
          <w:sz w:val="28"/>
          <w:sz w:val="28"/>
          <w:szCs w:val="28"/>
          <w:rtl w:val="true"/>
          <w:lang w:bidi="ar-SA"/>
        </w:rPr>
        <w:t xml:space="preserve">و السیّد </w:t>
      </w:r>
      <w:r>
        <w:rPr>
          <w:rStyle w:val="FootnoteAnchor"/>
          <w:rtl w:val="true"/>
        </w:rPr>
        <w:footnoteReference w:id="1247"/>
      </w:r>
      <w:r>
        <w:rPr>
          <w:rFonts w:ascii="Amiri" w:hAnsi="Amiri" w:eastAsia="Amiri" w:cs="Amiri"/>
          <w:color w:val="111111"/>
          <w:sz w:val="28"/>
          <w:sz w:val="28"/>
          <w:szCs w:val="28"/>
          <w:rtl w:val="true"/>
          <w:lang w:bidi="ar-SA"/>
        </w:rPr>
        <w:t xml:space="preserve">و سلّار </w:t>
      </w:r>
      <w:r>
        <w:rPr>
          <w:rStyle w:val="FootnoteAnchor"/>
          <w:rtl w:val="true"/>
        </w:rPr>
        <w:footnoteReference w:id="1248"/>
      </w:r>
      <w:r>
        <w:rPr>
          <w:rFonts w:ascii="IRNazanin" w:hAnsi="IRNazanin" w:eastAsia="IRNazanin"/>
          <w:color w:val="111111"/>
          <w:sz w:val="28"/>
          <w:sz w:val="28"/>
          <w:szCs w:val="28"/>
          <w:rtl w:val="true"/>
          <w:lang w:bidi="fa-IR"/>
        </w:rPr>
        <w:t xml:space="preserve">و الحلبی </w:t>
      </w:r>
      <w:r>
        <w:rPr>
          <w:rStyle w:val="FootnoteAnchor"/>
          <w:rtl w:val="true"/>
        </w:rPr>
        <w:footnoteReference w:id="1249"/>
      </w:r>
      <w:r>
        <w:rPr>
          <w:rFonts w:ascii="Amiri" w:hAnsi="Amiri" w:eastAsia="Amiri" w:cs="Amiri"/>
          <w:color w:val="111111"/>
          <w:sz w:val="28"/>
          <w:sz w:val="28"/>
          <w:szCs w:val="28"/>
          <w:rtl w:val="true"/>
          <w:lang w:bidi="ar-SA"/>
        </w:rPr>
        <w:t xml:space="preserve">و الحلیّ </w:t>
      </w:r>
      <w:r>
        <w:rPr>
          <w:rStyle w:val="FootnoteAnchor"/>
          <w:rtl w:val="true"/>
        </w:rPr>
        <w:footnoteReference w:id="1250"/>
      </w:r>
      <w:r>
        <w:rPr>
          <w:rFonts w:ascii="Amiri" w:hAnsi="Amiri" w:eastAsia="Amiri" w:cs="Amiri"/>
          <w:color w:val="111111"/>
          <w:sz w:val="28"/>
          <w:sz w:val="28"/>
          <w:szCs w:val="28"/>
          <w:rtl w:val="true"/>
          <w:lang w:bidi="ar-SA"/>
        </w:rPr>
        <w:t xml:space="preserve">و المحقّق </w:t>
      </w:r>
      <w:r>
        <w:rPr>
          <w:rStyle w:val="FootnoteAnchor"/>
          <w:rtl w:val="true"/>
        </w:rPr>
        <w:footnoteReference w:id="1251"/>
      </w:r>
      <w:r>
        <w:rPr>
          <w:rFonts w:ascii="Amiri" w:hAnsi="Amiri" w:eastAsia="Amiri" w:cs="Amiri"/>
          <w:color w:val="111111"/>
          <w:sz w:val="28"/>
          <w:sz w:val="28"/>
          <w:szCs w:val="28"/>
          <w:rtl w:val="true"/>
          <w:lang w:bidi="ar-SA"/>
        </w:rPr>
        <w:t>و المصنّف فی</w:t>
      </w:r>
      <w:bookmarkStart w:id="150" w:name="pg13039_115321"/>
    </w:p>
    <w:p>
      <w:pPr>
        <w:pStyle w:val="BookText"/>
        <w:rPr/>
      </w:pPr>
      <w:bookmarkEnd w:id="150"/>
      <w:r>
        <w:rPr>
          <w:rFonts w:ascii="IRNazanin" w:hAnsi="IRNazanin" w:eastAsia="IRNazanin"/>
          <w:color w:val="111111"/>
          <w:sz w:val="28"/>
          <w:sz w:val="28"/>
          <w:szCs w:val="28"/>
          <w:rtl w:val="true"/>
          <w:lang w:bidi="fa-IR"/>
        </w:rPr>
        <w:t xml:space="preserve">القواعد </w:t>
      </w:r>
      <w:r>
        <w:rPr>
          <w:rStyle w:val="FootnoteAnchor"/>
          <w:rtl w:val="true"/>
        </w:rPr>
        <w:footnoteReference w:id="1252"/>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253"/>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254"/>
      </w:r>
      <w:r>
        <w:rPr>
          <w:rFonts w:ascii="IRNazanin" w:hAnsi="IRNazanin" w:eastAsia="IRNazanin"/>
          <w:color w:val="111111"/>
          <w:sz w:val="28"/>
          <w:sz w:val="28"/>
          <w:szCs w:val="28"/>
          <w:rtl w:val="true"/>
          <w:lang w:bidi="fa-IR"/>
        </w:rPr>
        <w:t xml:space="preserve">للأصل المتقدّم المندفع بما تقدّم، و قد تقدّم احتمال حمل إطلاق کلماتهم علی الدم المتّصف به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فی المبتدأة، و أمّا المضطربة، فالأقوی أنّها کالمبتدأة؛ لاتّحاد الدلیل، و عن البیان </w:t>
      </w:r>
      <w:r>
        <w:rPr>
          <w:rStyle w:val="FootnoteAnchor"/>
          <w:rtl w:val="true"/>
        </w:rPr>
        <w:footnoteReference w:id="1256"/>
      </w:r>
      <w:r>
        <w:rPr>
          <w:rFonts w:ascii="IRNazanin" w:hAnsi="IRNazanin" w:eastAsia="IRNazanin"/>
          <w:color w:val="111111"/>
          <w:sz w:val="28"/>
          <w:sz w:val="28"/>
          <w:szCs w:val="28"/>
          <w:rtl w:val="true"/>
          <w:lang w:bidi="fa-IR"/>
        </w:rPr>
        <w:t xml:space="preserve">و الدروس </w:t>
      </w:r>
      <w:r>
        <w:rPr>
          <w:rStyle w:val="FootnoteAnchor"/>
          <w:rtl w:val="true"/>
        </w:rPr>
        <w:footnoteReference w:id="1257"/>
      </w:r>
      <w:r>
        <w:rPr>
          <w:rFonts w:ascii="IRNazanin" w:hAnsi="IRNazanin" w:eastAsia="IRNazanin"/>
          <w:color w:val="111111"/>
          <w:sz w:val="28"/>
          <w:sz w:val="28"/>
          <w:szCs w:val="28"/>
          <w:rtl w:val="true"/>
          <w:lang w:bidi="fa-IR"/>
        </w:rPr>
        <w:t>التفصیل فی المضطربة بین ظنّها بالحیض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وقت تحیّض المرأة بأقسامها من المعتادة و غیرها، و أمّا مقدار تحیّضها فاعلم أنّه لا إشکال فی أنّ الدم إذا انقطع علی العشرة فهو حیض، سواء فی ذلک المعتادة و غیرها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و الخلاف فی بعض أفرادها مثل ما بعد الاستظهار و غیره</w:t>
      </w:r>
      <w:r>
        <w:rPr>
          <w:rFonts w:eastAsia="IRNazanin" w:cs="IRNazanin"/>
          <w:color w:val="111111"/>
          <w:sz w:val="28"/>
          <w:szCs w:val="28"/>
          <w:rtl w:val="true"/>
          <w:lang w:bidi="fa-IR"/>
        </w:rPr>
        <w:t>.</w:t>
      </w:r>
    </w:p>
    <w:p>
      <w:pPr>
        <w:pStyle w:val="Heading6"/>
        <w:numPr>
          <w:ilvl w:val="5"/>
          <w:numId w:val="1"/>
        </w:numPr>
        <w:rPr/>
      </w:pPr>
      <w:bookmarkStart w:id="151" w:name="__RefHeading___Toc6451972_3224264995"/>
      <w:bookmarkStart w:id="152" w:name="_Toc57"/>
      <w:bookmarkEnd w:id="151"/>
      <w:r>
        <w:rPr>
          <w:rtl w:val="true"/>
        </w:rPr>
        <w:t>[</w:t>
      </w:r>
      <w:r>
        <w:rPr>
          <w:rtl w:val="true"/>
        </w:rPr>
        <w:t>لو تجاوز الدم عشرة أیّام</w:t>
      </w:r>
      <w:r>
        <w:rPr>
          <w:rtl w:val="true"/>
        </w:rPr>
        <w:t>]</w:t>
      </w:r>
      <w:bookmarkEnd w:id="152"/>
    </w:p>
    <w:p>
      <w:pPr>
        <w:pStyle w:val="Heading6"/>
        <w:numPr>
          <w:ilvl w:val="5"/>
          <w:numId w:val="1"/>
        </w:numPr>
        <w:rPr/>
      </w:pPr>
      <w:bookmarkStart w:id="153" w:name="__RefHeading___Toc6451974_3224264995"/>
      <w:bookmarkStart w:id="154" w:name="_Toc58"/>
      <w:bookmarkEnd w:id="153"/>
      <w:r>
        <w:rPr>
          <w:rtl w:val="true"/>
        </w:rPr>
        <w:t>اشارة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 الدم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رجعت المرأة فی تمیّز حیضها عن طهرها إلی ما نصبه الشارع مائزاً فی حقّها بحسب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لا تخلو إمّا أن تکون بالفعل ذات عادة مستقرّة، و إمّا أن لا تکون کذلک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إمّا أن تکون ممّن سبقت لها عادة فنسیتها، و إمّا أن تکون ممّن لم یستقرّ لها عادة أصلًا و الأولی تسمّی ناسیة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إمّا أن تکون مبتدأة أی ابتدأ بها الدم، أو ابتدأت به مرّة أو مرّتین مختلفتین، و إمّا أن لا تکون کذلک، إن تکرّر منها الدم مراراً و تسمّی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یطلق المبتدأة علی الأخیرتین، و علی الاصطلاح الأوّل جری فی المعتبر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حکی عن ظاهر المبسوط و الجمل و الغنیة و السرائر و الوسیلة و المنتهی و النهایة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النسبة إلی کثیر منها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جری فی الشرائع </w:t>
      </w:r>
      <w:r>
        <w:rPr>
          <w:rStyle w:val="FootnoteAnchor"/>
          <w:rtl w:val="true"/>
        </w:rPr>
        <w:footnoteReference w:id="1260"/>
      </w:r>
      <w:r>
        <w:rPr>
          <w:rFonts w:ascii="IRNazanin" w:hAnsi="IRNazanin" w:eastAsia="IRNazanin"/>
          <w:color w:val="111111"/>
          <w:sz w:val="28"/>
          <w:sz w:val="28"/>
          <w:szCs w:val="28"/>
          <w:rtl w:val="true"/>
          <w:lang w:bidi="fa-IR"/>
        </w:rPr>
        <w:t xml:space="preserve">کالمصنّف فی بعض کتبه </w:t>
      </w:r>
      <w:r>
        <w:rPr>
          <w:rStyle w:val="FootnoteAnchor"/>
          <w:rtl w:val="true"/>
        </w:rPr>
        <w:footnoteReference w:id="1261"/>
      </w:r>
      <w:r>
        <w:rPr>
          <w:rFonts w:ascii="IRNazanin" w:hAnsi="IRNazanin" w:eastAsia="IRNazanin"/>
          <w:color w:val="111111"/>
          <w:sz w:val="28"/>
          <w:sz w:val="28"/>
          <w:szCs w:val="28"/>
          <w:rtl w:val="true"/>
          <w:lang w:bidi="fa-IR"/>
        </w:rPr>
        <w:t xml:space="preserve">و الشهید </w:t>
      </w:r>
      <w:r>
        <w:rPr>
          <w:rStyle w:val="FootnoteAnchor"/>
          <w:rtl w:val="true"/>
        </w:rPr>
        <w:footnoteReference w:id="1262"/>
      </w:r>
      <w:r>
        <w:rPr>
          <w:rFonts w:ascii="IRNazanin" w:hAnsi="IRNazanin" w:eastAsia="IRNazanin"/>
          <w:color w:val="111111"/>
          <w:sz w:val="28"/>
          <w:sz w:val="28"/>
          <w:szCs w:val="28"/>
          <w:rtl w:val="true"/>
          <w:lang w:bidi="fa-IR"/>
        </w:rPr>
        <w:t xml:space="preserve">، و نسبه غیر واحد </w:t>
      </w:r>
      <w:r>
        <w:rPr>
          <w:rStyle w:val="FootnoteAnchor"/>
          <w:rtl w:val="true"/>
        </w:rPr>
        <w:footnoteReference w:id="1263"/>
      </w:r>
      <w:r>
        <w:rPr>
          <w:rFonts w:ascii="Amiri" w:hAnsi="Amiri" w:eastAsia="Amiri" w:cs="Amiri"/>
          <w:color w:val="111111"/>
          <w:sz w:val="28"/>
          <w:sz w:val="28"/>
          <w:szCs w:val="28"/>
          <w:rtl w:val="true"/>
          <w:lang w:bidi="ar-SA"/>
        </w:rPr>
        <w:t>إلی من تأخّر عن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یستشهد له بمرسلة یونس الطویلة؛ حیث حصر فیها المستحاضة فی ثلاثة أقسام و جعل الناسیة قسماً واحداً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المبتدأة بالمعنی الأخصّ أیضاً مقابل الناسیة و المعتادة، فالقسم الرابع و هی من لم تستقرّ لها عادة مع تکرّر الدم غیر مذکور فی المرسلة، إلّا علی التقریب الذی ذکره جمال الملّة فی حاشیة الروضة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شمولها لمن لم یستقرّ لها عادة و عدم شمولها للناسیة کما سیأتی، و هذا الخلاف</w:t>
      </w:r>
    </w:p>
    <w:p>
      <w:pPr>
        <w:pStyle w:val="BookText"/>
        <w:rPr/>
      </w:pPr>
      <w:r>
        <w:rPr>
          <w:rFonts w:ascii="IRNazanin" w:hAnsi="IRNazanin" w:eastAsia="IRNazanin"/>
          <w:color w:val="111111"/>
          <w:sz w:val="28"/>
          <w:sz w:val="28"/>
          <w:szCs w:val="28"/>
          <w:rtl w:val="true"/>
          <w:lang w:bidi="fa-IR"/>
        </w:rPr>
        <w:t>و إن لم یکن فیه مزید ثمرة إلّا أنّ المرسلة الشریفة مشتملة علی فوائد کثیرة أُخر، فینبغی التیمّن بذکر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علی بن إبراهیم، عن أبیه، عن محمد بن عیسی، عن یونس، عن غیر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سألوا أبا عبد اللّٰه علیه السلام عن الحائض و السنّة فی وقته،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سنّ فی الحیض ثلاث سنن، بیّن فیها کلّ مشکل لمن سمعها و فهمها حتّی لم یدع </w:t>
      </w:r>
      <w:r>
        <w:rPr>
          <w:rStyle w:val="FootnoteAnchor"/>
          <w:rtl w:val="true"/>
        </w:rPr>
        <w:footnoteReference w:id="1265"/>
      </w:r>
      <w:r>
        <w:rPr>
          <w:rFonts w:ascii="IRNazanin" w:hAnsi="IRNazanin" w:eastAsia="IRNazanin"/>
          <w:color w:val="111111"/>
          <w:sz w:val="28"/>
          <w:sz w:val="28"/>
          <w:szCs w:val="28"/>
          <w:rtl w:val="true"/>
          <w:lang w:bidi="fa-IR"/>
        </w:rPr>
        <w:t>لأحد فیه مقالًا بالرأی، أمّا إحدی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فالحائض التی لها أیّام معلومة قد أحصتها بلا اختلاط علیها، ثمّ استحاضت فاستمرّ بها الدم، و هی فی ذلک تعرف أیّامها و مبلغ عددها، فإنّ امرأة یقال لها فاطمة بنت أبی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استحاضت فاستمرّ بها الدم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أُمّ سلمة رضی اللّٰه عنها، فسألت رسول اللّٰه صلّی اللّٰه علیه و آله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قدر أقرائها أو قدر حیضها،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عرق، فأمرها أن تغتسل و تستثفر بثوب و تصلّی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النبیّ صلّی اللّٰه علیه و آله فی التی تعرف أیّام أقرائها و لم یختلط علیها، أ لا تری أنّه لم یسألها کم یوم هی؟ و لم یقل إذا زادت علی کذا یوماً فأنت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سنّ لها أیّاماً معلومة کانت لها من قلیل أو کثیر بعد أن تعرفها، و کذلک أفتی أبی علیه السلام و سئل عن المستحاضة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عرق أو رکضة من الشیطان، فلتدع الصلاة أیّام أقرائها ثمّ تغتسل و تتوضّأ لکلّ صلاة،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سال مثل المثعب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هو موافق له، فهذه سنّة التی تعرف أیّام أقرائها، و لا وقت لها إلّا أیّامها قلّت أو کثرت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سنّة التی کانت لها أیّام متقدّمة ثمّ اختلط علیها من طول الدم، و زادت و نقصت حتّی أغفلت عددها و موضعها من الشهر؛ فإنّ سنّتها غیر ذلک؛ و ذلک إنّ فاطمة بنت أبی حبیش أتت النبیّ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أستحاض و لا أطهر؟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بحیض و إنّما هو عرق، فإذا أقبلت الحیضة فدعی الصلاة، و إذا أدبرت فاغسلی عنک الدم و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تغتسل فی کلّ صلاة، و کانت تجلس فی مرکن لأُختها، فکانت صفرة الدم یعلو الماء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رسول اللّٰه صلّی اللّٰه علیه و آله أمر هذه بغیر ما أمر به تلک، أ لا تری أنّه لم یقل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أیّام أقرائک، و لکن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الحیضة فدعی الصلاة و إذا أدبرت فاغتسلی و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یبیّن أنّ هذه امرأة قد اختلط علیها أیّامها لم تعرف عددها و لا وقتها، أ لا تسمعها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أستحاض و لا 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استحیضت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أقلّ من ذلک تکون الریبة و الاختلاط، فلهذا احتاجت إلی أن تعرف إقبال الدم من إدباره و تغییر لونه من السواد إلی غیره، و ذلک أنّ دم الحیض أسود یعرف، و لو کانت تعرف أیّامها ما احتاجت إلی معرفة لون الدم؛ لأنّ السنّة فی الحیض أن تکون الصفرة و الکدرة فما فوقها فی أیّام الحیض إذا عرفت حیضاً کلّه إن کان الدم أسود أو غیر ذلک، فهذا یبیّن لک أنّ قلیل الدم و کثیره أیّام الحیض حیض کلّه إذا کانت الأیّام معلومةً،</w:t>
      </w:r>
    </w:p>
    <w:p>
      <w:pPr>
        <w:pStyle w:val="BookText"/>
        <w:rPr/>
      </w:pPr>
      <w:r>
        <w:rPr>
          <w:rFonts w:ascii="IRNazanin" w:hAnsi="IRNazanin" w:eastAsia="IRNazanin"/>
          <w:color w:val="111111"/>
          <w:sz w:val="28"/>
          <w:sz w:val="28"/>
          <w:szCs w:val="28"/>
          <w:rtl w:val="true"/>
          <w:lang w:bidi="fa-IR"/>
        </w:rPr>
        <w:t>فإذا جهلت الأیام و عددها احتاجت إلی النظر حینئذٍ إلی إقبال الدم و إدباره و تغیّر لونه من السواد، ثمّ تدع الصلاة علی قدر ذلک، و لا أری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کذا و کذا یوماً فما زادت فأنت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تؤمر الأُولی بذلک، و کذا أفتی أبی علیه السلام فی مثل ذلک، و ذلک أنّ امرأة من أهلنا استحاضت فسألت أبی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الدم البحرانی فدعی الصلاة، و إذا رأیت الطهر و لو ساعة من نهار فاغتسلی و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فأری جواب أبی علیه السلام هنا </w:t>
      </w:r>
      <w:r>
        <w:rPr>
          <w:rStyle w:val="FootnoteAnchor"/>
          <w:rtl w:val="true"/>
        </w:rPr>
        <w:footnoteReference w:id="1268"/>
      </w:r>
      <w:r>
        <w:rPr>
          <w:rFonts w:ascii="IRNazanin" w:hAnsi="IRNazanin" w:eastAsia="IRNazanin"/>
          <w:color w:val="111111"/>
          <w:sz w:val="28"/>
          <w:sz w:val="28"/>
          <w:szCs w:val="28"/>
          <w:rtl w:val="true"/>
          <w:lang w:bidi="fa-IR"/>
        </w:rPr>
        <w:t>غیر جواب أبی علیه السلام فی المستحاضة الأُولی، إلا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أیّام أقرائها؛ لأنّه نظر إلی عدد الأیّام، و قال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الدم البحرانی فدعی الصلاة، و أمر ها هنا أن ینظر إلی الدم إذا أقبل و إذا أدبر و تغیّر،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دم الحیض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سمّاه بحرانیاً لکثرته و لونه، و هذه سنّة النبی صلّی اللّٰه علیه و آله فی التی اختلط أیّامها حتّی لا تعرفها، و إنّما تعرفها بالدم ما کان من قلیل الأیّام و کثیره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السنّة الثالثة، فهی للتی لیس لها أیّام متقدّمة، و لم تر الدم قط، و رأت أوّل ما أدرکت و استمرّ بها، فإنّ سنّة هذه غیر سنّة الأُولی و الثانیة، و ذلک أنّ امرأة یقال لها حمنة بنت جحش أتت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استحضت حیضة شدیدة،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احتشی کرسفاً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أشدّ من ذلک و ذلک </w:t>
      </w:r>
      <w:r>
        <w:rPr>
          <w:rStyle w:val="FootnoteAnchor"/>
          <w:rtl w:val="true"/>
        </w:rPr>
        <w:footnoteReference w:id="1269"/>
      </w:r>
      <w:r>
        <w:rPr>
          <w:rFonts w:ascii="Amiri" w:hAnsi="Amiri" w:eastAsia="Amiri" w:cs="Amiri"/>
          <w:color w:val="111111"/>
          <w:sz w:val="28"/>
          <w:sz w:val="28"/>
          <w:szCs w:val="28"/>
          <w:rtl w:val="true"/>
          <w:lang w:bidi="ar-SA"/>
        </w:rPr>
        <w:t xml:space="preserve">، إنّی أثجّه ثجّاً </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تلجّمی و تحیّضی فی کلّ شهر فی علم اللّٰه ستّة أو سبعة، ثمّ اغتسلی غسلًا و صومی ثلاثة و عشرین أو أربعة و عشرین و اغتسلی للفجر غسلًا، و أُخری الظهر و عجّلی العصر و اغتسلی غسلًا، و أخّری المغرب و عجّلی العشاء و اغتسلی غسلًا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فأراه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فی هذه غیر ما بیّن فی الأُولی و الثانیة؛ و ذلک لأنّ أمر هذه مخالف لأمر تینک، أ لا تری أنّ أیّامها لو کانت أقلّ من سبع و کانت خمساً أو أقلّ من ذلک ما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تحیّضی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 أمرها بترک الصلاة أیّاماً و هی مستحاضة غیر حائض، و کذلک لو کان حیضها أکثر من سبع و کانت أیّامها عشراً أو أکثر لم یأمرها بالصلاة و هی حائض؟ ثمّ ممّا یزید هذا بیاناً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یکون التحیّض إلّا للمرأة التی ترید أن تکلّف ما تعمل الحائض، إلا تراه لم یقل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معلومة تحیّضی أیّام حیضک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یبیّن هذا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کان لها</w:t>
      </w:r>
      <w:r>
        <w:rPr>
          <w:rFonts w:eastAsia="Amiri" w:cs="Amiri" w:ascii="Amiri" w:hAnsi="Amiri"/>
          <w:color w:val="111111"/>
          <w:sz w:val="28"/>
          <w:szCs w:val="28"/>
          <w:rtl w:val="true"/>
          <w:lang w:bidi="ar-SA"/>
        </w:rPr>
        <w:t xml:space="preserve">] </w:t>
      </w:r>
      <w:r>
        <w:rPr>
          <w:rStyle w:val="FootnoteAnchor"/>
          <w:rtl w:val="true"/>
        </w:rPr>
        <w:footnoteReference w:id="1272"/>
      </w:r>
      <w:r>
        <w:rPr>
          <w:rFonts w:ascii="IRNazanin" w:hAnsi="IRNazanin" w:eastAsia="IRNazanin"/>
          <w:color w:val="111111"/>
          <w:sz w:val="28"/>
          <w:sz w:val="28"/>
          <w:szCs w:val="28"/>
          <w:rtl w:val="true"/>
          <w:lang w:bidi="fa-IR"/>
        </w:rPr>
        <w:t>و إن کانت الأشیاء کلّها فی علم اللّٰه، فهذا بیّن واضح أنّ هذه لم یکن لها أیّام قبل تلک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سنّة التی استمرّ بها الدم أوّل ما تراه، أقصی وقتها سبع، و أقصی طهرها ثلاث و عشرون، حتّی یصیر لها أیّام معلومة فتنتقل إلیها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حالات المستحاضة تدور علی هذه السنن الثلاث لا تکاد أبداً تخلو من 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لها أیّام معلومة من قلیل أو کثیر فهی علی أیّامها و خلقتها التی جرت علیها، لیس فیه عدد معلوم موقّت غیر 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اختلطت الأیّام علیها و تقدّمت و تأخّرت و تغیّر علیها الدم ألواناً، فسنّتها إقبال الدم و إدباره و تغیّر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لها أیّام قبل ذلک و استحاضت أوّل ما رأت، فوقتها سبع و طهرها ثلاث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استمرّ بها الدم أشهراً فعلت فی کلّ شهر کما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انقطع الدم فی أقلّ من سبع أو أکثر من سبع؛ فإنّها تغتسل ساعة تری الطهر و تصلّی، و لا تزال کذلک حتّی تنظر ما یکون فی الشهر الثانی، فإن انقطع الدم لوقته من الشهر الأوّل حتّی توالی علیه حیضتان أو ثلاث، فقد علم الآن أنّ ذلک قد صار لها وقتاً و خلقاً معروفاً تعمل علیه و تدع ما سواه، و تکون سنّتها فیما یستقبل إن استحاضت، فقد صارت سنّةً إلی أن تجلس أقرائها، و إنّما جعل الوقت أن توالی علیها حیضتان أو ثلاث لقول رسول اللّٰه صلّی اللّٰه علیه و آله للتی تعرف أیّامها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فعلمنا أنّه لم یجعل القرء الواحد سنّة لها و لکن سنّ لها الأقراء، و أدناه حیضتان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اختلطت علیها فزادت و نقصت حتّی لا تقف بها علی حدّ و لا من الدم علی لون، عملت بإقبال الدم و إدباره، و لیس لها سنّة غیر هذا؛ لقول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الحیضة فدعی الصلاة و إذا أدبرت فاغتسلی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أسود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 أبی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الدم البحرانی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الأمر کذلک و لکنّ الدم أطبق علیها، فلم تزل الاستحاضة</w:t>
      </w:r>
    </w:p>
    <w:p>
      <w:pPr>
        <w:pStyle w:val="BookText"/>
        <w:rPr/>
      </w:pPr>
      <w:r>
        <w:rPr>
          <w:rFonts w:ascii="IRNazanin" w:hAnsi="IRNazanin" w:eastAsia="IRNazanin"/>
          <w:color w:val="111111"/>
          <w:sz w:val="28"/>
          <w:sz w:val="28"/>
          <w:szCs w:val="28"/>
          <w:rtl w:val="true"/>
          <w:lang w:bidi="fa-IR"/>
        </w:rPr>
        <w:t xml:space="preserve">دارّة، و کان الدم علی لون واحد فسنّتها السبع و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العشرون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قصّتها قصّة حمنة حین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أثجّه ثجّاً</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انتهی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مشتمل علی أحکام کثیرة للحائض و المستحاضة، بل ظاهره حصر سنن المستحاضة فی الثلاث، لا حصر نفس المستحاضة فی ثلاث کما فی الروض، حتّی ألجأ لذلک إلی إدخال من لم یستقرّ لها عادة فی أحد القسمین الأخیرین، ثمّ رجّح إدخالها فی أوّلهما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حصر الأقسام فی الناسیة و الذاکرة و المبتدأة، و لا یخفی أنّ من لم یستقرّ لها عادة بعدُ لا تدخل فی الناسیة و لا فی الذاکرة لعادتها، فلو لم تدخل فی المبتدأة بطل الحصر الذی ذکره علیه السلام </w:t>
      </w:r>
      <w:r>
        <w:rPr>
          <w:rStyle w:val="FootnoteAnchor"/>
          <w:rtl w:val="true"/>
        </w:rPr>
        <w:footnoteReference w:id="12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معترضاً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فی تعریفها یعنی تعریف المبتدأة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لها أیّام قبل ذلک و استحاضت أوّل ما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خلاف مطلوبکم؛ لأنّه فسّر المبتدأة بأنّها من تستحاض فی أوّل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التعریف صادق علی المدّعی و إن اجری آخره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الذی استحاضت أوّل ما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 بطل الحصر، فلا بدّ من حمله علی وجه یصحّ معه الحصر، و هو أن یرید بالأوّلیة ما لا یستقرّ معها العادة بعدُ، و هو أوّل إضافی یصحّ الحمل علیه، و قد دلّ علیه مواضع من الحدیث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دعاه إلی التکلّف الذی ذکره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مخالفاً لظاهر اللفظ، بل صریح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 الدم قط و رأت أوّل ما أدرکت و استمرّ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 من دلالة الروایة علی حصر المستحاضة فی ثلاث، و لا یخفی أن لیس فی موضع منها دلالة علی ذلک، و إنّما یدلّ علی حصر سنن المستحاضة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الخوانساری فی حاشیة الروضة </w:t>
      </w:r>
      <w:r>
        <w:rPr>
          <w:rStyle w:val="FootnoteAnchor"/>
          <w:rtl w:val="true"/>
        </w:rPr>
        <w:footnoteReference w:id="1277"/>
      </w:r>
      <w:r>
        <w:rPr>
          <w:rFonts w:ascii="IRNazanin" w:hAnsi="IRNazanin" w:eastAsia="IRNazanin"/>
          <w:color w:val="111111"/>
          <w:sz w:val="28"/>
          <w:sz w:val="28"/>
          <w:szCs w:val="28"/>
          <w:rtl w:val="true"/>
          <w:lang w:bidi="fa-IR"/>
        </w:rPr>
        <w:t>من عدم ظهور الروایة فی الناسیة، و إنّما المراد بذات السنّة الثانیة هی من لیس لها عادة بالفعل و إن کانت لها سابقاً، و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لا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عدّة مواضع من الروایة تأبی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الناسیة فی الروایة، و حینئذٍ فلا بدّ من إلحاق من لم یستقرّ لها عادة </w:t>
      </w:r>
      <w:r>
        <w:rPr>
          <w:rStyle w:val="FootnoteAnchor"/>
          <w:rtl w:val="true"/>
        </w:rPr>
        <w:footnoteReference w:id="1278"/>
      </w:r>
      <w:r>
        <w:rPr>
          <w:rFonts w:ascii="IRNazanin" w:hAnsi="IRNazanin" w:eastAsia="IRNazanin"/>
          <w:color w:val="111111"/>
          <w:sz w:val="28"/>
          <w:sz w:val="28"/>
          <w:szCs w:val="28"/>
          <w:rtl w:val="true"/>
          <w:lang w:bidi="fa-IR"/>
        </w:rPr>
        <w:t>بإحدی الأصناف المزبورة، و لا إشکال فی عدم لحوقها بالمعتادة، فبقی داخلة فی إحدی الأخیرتین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مساق الروایة عدم اختلاف حکم الأخیرتین، و أنّ ما وقع فی الروایة من الحکم برجوع الناسیة إلی التمیّز و المبتدأة إلی الروایات إنّما هو لأنّ الغالب فی المبتدأة اتّحاد لون الدم و کثرته لقوّة زائدة، و فی الناسیة خلاف ذلک؛ و لذا صرّح علیه السلام فیما بعد فی الناسیة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الأمر کذلک و لکن الدم أطبق علیها، و کان الدم علی لون واحد فسنّتها السبع و الثلاث و العشرون؛ لأنّ قصّتها قصّة حمنة حین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أثجّه</w:t>
      </w:r>
    </w:p>
    <w:p>
      <w:pPr>
        <w:pStyle w:val="BookText"/>
        <w:rPr/>
      </w:pPr>
      <w:r>
        <w:rPr>
          <w:rFonts w:ascii="IRNazanin" w:hAnsi="IRNazanin" w:eastAsia="IRNazanin"/>
          <w:color w:val="111111"/>
          <w:sz w:val="28"/>
          <w:sz w:val="28"/>
          <w:szCs w:val="28"/>
          <w:rtl w:val="true"/>
          <w:lang w:bidi="fa-IR"/>
        </w:rPr>
        <w:t>ثجّاً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فدلّت علی أنّ رجوع حمنة إلی الروایات إنّما کان لاتّحاد لون الدم الذی استفاده علیه السلام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أثجّه 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اختلاف الدم فی المبتدأة فلیس لها الرجوع إلی السبع و الثلاث و العشرین بمقتضی التعلیل المذکور، فیجب إمّا إلحاقها بالمعتادة و هو غیر معقول، و إمّا خروج سنّتها عن السنن الثلاث، و هو باطل بمقتضی الحصر المنصوص علیه فی مواضع من الروایة، فتعیّن إلحاقها بالناسیة فی الرجوع إلی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حکمها یمکن أن یستفاد من تعلیل رجوع الناسیة الفاقدة للتمیّز إلی الروایات إنّ </w:t>
      </w:r>
      <w:r>
        <w:rPr>
          <w:rStyle w:val="FootnoteAnchor"/>
          <w:rtl w:val="true"/>
        </w:rPr>
        <w:footnoteReference w:id="1279"/>
      </w:r>
      <w:r>
        <w:rPr>
          <w:rFonts w:ascii="IRNazanin" w:hAnsi="IRNazanin" w:eastAsia="IRNazanin"/>
          <w:color w:val="111111"/>
          <w:sz w:val="28"/>
          <w:sz w:val="28"/>
          <w:szCs w:val="28"/>
          <w:rtl w:val="true"/>
          <w:lang w:bidi="fa-IR"/>
        </w:rPr>
        <w:t>قصّتها قصّة حمنة، فدلّ علی أنّ کلّ من کان مثلها لا بدّ أن ترجع إلی الروایات، و تقدّم فی الروایات أنّ إرجاع حمنة إلی الروایات لمخالفتها للقسمین الأوّلین فی العادة و التمیّز، فدلّ علی أنّ التمیّز کالعادة مقدّم علی الروایات مطلقاً، و المرجع بعده إلی الروایات مطلقاً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دعوی شمول السنّة الثانیة لمن لم یستقرّ لها عادة لا یخلو عن شهادة بعض الفقرات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من ذلک کلّه أنّ المبتدأة و الناسیة لا تختلفان فی الحکم المذکور فی الروایة، و إنّما ذکر کلا منهما فی مورد السنّة علی حدة من باب غلبة دخول الناسیة فی موضع التمییز، و غلبة دخول المبتدأة فی موضع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ذکر الوحید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بالتأمّل فی الروایة یظهر ظهوراً تامّاً أنّ حکم المبتدأة و المضطربة واحد </w:t>
      </w:r>
      <w:r>
        <w:rPr>
          <w:rStyle w:val="FootnoteAnchor"/>
          <w:rtl w:val="true"/>
        </w:rPr>
        <w:footnoteReference w:id="12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یظهر اندفاع</w:t>
      </w:r>
      <w:bookmarkStart w:id="155" w:name="pg13039_115331"/>
    </w:p>
    <w:p>
      <w:pPr>
        <w:pStyle w:val="BookText"/>
        <w:rPr/>
      </w:pPr>
      <w:bookmarkEnd w:id="155"/>
      <w:r>
        <w:rPr>
          <w:rFonts w:ascii="IRNazanin" w:hAnsi="IRNazanin" w:eastAsia="IRNazanin"/>
          <w:color w:val="111111"/>
          <w:sz w:val="28"/>
          <w:sz w:val="28"/>
          <w:szCs w:val="28"/>
          <w:rtl w:val="true"/>
          <w:lang w:bidi="fa-IR"/>
        </w:rPr>
        <w:t xml:space="preserve">إیراد صاحب الحدائق </w:t>
      </w:r>
      <w:r>
        <w:rPr>
          <w:rStyle w:val="FootnoteAnchor"/>
          <w:rtl w:val="true"/>
        </w:rPr>
        <w:footnoteReference w:id="1281"/>
      </w:r>
      <w:r>
        <w:rPr>
          <w:rFonts w:ascii="IRNazanin" w:hAnsi="IRNazanin" w:eastAsia="IRNazanin"/>
          <w:color w:val="111111"/>
          <w:sz w:val="28"/>
          <w:sz w:val="28"/>
          <w:szCs w:val="28"/>
          <w:rtl w:val="true"/>
          <w:lang w:bidi="fa-IR"/>
        </w:rPr>
        <w:t>علی المشهور من اختصاص التمییز بالناسیة، و الروایات بالمبتدئة، فلا وجه للتعدّی عن مورد کلّ منها إلی غیره، و التسویة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حکم أقسام المستحاضة،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دمها العشرة</w:t>
      </w:r>
    </w:p>
    <w:p>
      <w:pPr>
        <w:pStyle w:val="Heading6"/>
        <w:numPr>
          <w:ilvl w:val="5"/>
          <w:numId w:val="1"/>
        </w:numPr>
        <w:rPr/>
      </w:pPr>
      <w:bookmarkStart w:id="156" w:name="__RefHeading___Toc6451976_3224264995"/>
      <w:bookmarkStart w:id="157" w:name="_Toc59"/>
      <w:bookmarkEnd w:id="156"/>
      <w:r>
        <w:rPr>
          <w:rtl w:val="true"/>
        </w:rPr>
        <w:t>[</w:t>
      </w:r>
      <w:r>
        <w:rPr>
          <w:rtl w:val="true"/>
        </w:rPr>
        <w:t>ذات العادة</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ذات العادة المستقرّة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بإجماع العلماء، عدا مالک، کما عن المعتبر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Style w:val="FootnoteAnchor"/>
          <w:rtl w:val="true"/>
        </w:rPr>
        <w:footnoteReference w:id="1283"/>
      </w:r>
      <w:r>
        <w:rPr>
          <w:rFonts w:ascii="IRNazanin" w:hAnsi="IRNazanin" w:eastAsia="IRNazanin"/>
          <w:color w:val="111111"/>
          <w:sz w:val="28"/>
          <w:sz w:val="28"/>
          <w:szCs w:val="28"/>
          <w:rtl w:val="true"/>
          <w:lang w:bidi="fa-IR"/>
        </w:rPr>
        <w:t>المستفیضة، بل المتواترة الواردة فی المستحاضة، و سیأتی جملة منها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العبارة تقدیم العادة علی التمییز عند اجتماعهما، و هو المشهور المحکی صریحاً عن المفید و السیّد و أتباعهما </w:t>
      </w:r>
      <w:r>
        <w:rPr>
          <w:rStyle w:val="FootnoteAnchor"/>
          <w:rtl w:val="true"/>
        </w:rPr>
        <w:footnoteReference w:id="1284"/>
      </w:r>
      <w:r>
        <w:rPr>
          <w:rFonts w:ascii="IRNazanin" w:hAnsi="IRNazanin" w:eastAsia="IRNazanin"/>
          <w:color w:val="111111"/>
          <w:sz w:val="28"/>
          <w:sz w:val="28"/>
          <w:szCs w:val="28"/>
          <w:rtl w:val="true"/>
          <w:lang w:bidi="fa-IR"/>
        </w:rPr>
        <w:t xml:space="preserve">و الشیخ فی غیر النهایة </w:t>
      </w:r>
      <w:r>
        <w:rPr>
          <w:rStyle w:val="FootnoteAnchor"/>
          <w:rtl w:val="true"/>
        </w:rPr>
        <w:footnoteReference w:id="1285"/>
      </w:r>
      <w:r>
        <w:rPr>
          <w:rFonts w:ascii="IRNazanin" w:hAnsi="IRNazanin" w:eastAsia="IRNazanin"/>
          <w:color w:val="111111"/>
          <w:sz w:val="28"/>
          <w:sz w:val="28"/>
          <w:szCs w:val="28"/>
          <w:rtl w:val="true"/>
          <w:lang w:bidi="fa-IR"/>
        </w:rPr>
        <w:t xml:space="preserve">و الحلبی </w:t>
      </w:r>
      <w:r>
        <w:rPr>
          <w:rStyle w:val="FootnoteAnchor"/>
          <w:rtl w:val="true"/>
        </w:rPr>
        <w:footnoteReference w:id="1286"/>
      </w:r>
      <w:r>
        <w:rPr>
          <w:rFonts w:ascii="IRNazanin" w:hAnsi="IRNazanin" w:eastAsia="IRNazanin"/>
          <w:color w:val="111111"/>
          <w:sz w:val="28"/>
          <w:sz w:val="28"/>
          <w:szCs w:val="28"/>
          <w:rtl w:val="true"/>
          <w:lang w:bidi="fa-IR"/>
        </w:rPr>
        <w:t xml:space="preserve">و الحلی </w:t>
      </w:r>
      <w:r>
        <w:rPr>
          <w:rStyle w:val="FootnoteAnchor"/>
          <w:rtl w:val="true"/>
        </w:rPr>
        <w:footnoteReference w:id="1287"/>
      </w:r>
      <w:r>
        <w:rPr>
          <w:rFonts w:ascii="IRNazanin" w:hAnsi="IRNazanin" w:eastAsia="IRNazanin"/>
          <w:color w:val="111111"/>
          <w:sz w:val="28"/>
          <w:sz w:val="28"/>
          <w:szCs w:val="28"/>
          <w:rtl w:val="true"/>
          <w:lang w:bidi="fa-IR"/>
        </w:rPr>
        <w:t xml:space="preserve">و ابن سعید </w:t>
      </w:r>
      <w:r>
        <w:rPr>
          <w:rStyle w:val="FootnoteAnchor"/>
          <w:rtl w:val="true"/>
        </w:rPr>
        <w:footnoteReference w:id="1288"/>
      </w:r>
      <w:r>
        <w:rPr>
          <w:rFonts w:ascii="IRNazanin" w:hAnsi="IRNazanin" w:eastAsia="IRNazanin"/>
          <w:color w:val="111111"/>
          <w:sz w:val="28"/>
          <w:sz w:val="28"/>
          <w:szCs w:val="28"/>
          <w:rtl w:val="true"/>
          <w:lang w:bidi="fa-IR"/>
        </w:rPr>
        <w:t xml:space="preserve">و المحقّق و المصنّف فی کتبهما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الشهیدین </w:t>
      </w:r>
      <w:r>
        <w:rPr>
          <w:rStyle w:val="FootnoteAnchor"/>
          <w:rtl w:val="true"/>
        </w:rPr>
        <w:footnoteReference w:id="129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291"/>
      </w:r>
      <w:r>
        <w:rPr>
          <w:rFonts w:ascii="IRNazanin" w:hAnsi="IRNazanin" w:eastAsia="IRNazanin"/>
          <w:color w:val="111111"/>
          <w:sz w:val="28"/>
          <w:sz w:val="28"/>
          <w:szCs w:val="28"/>
          <w:rtl w:val="true"/>
          <w:lang w:bidi="fa-IR"/>
        </w:rPr>
        <w:t xml:space="preserve">و غیرهم </w:t>
      </w:r>
      <w:r>
        <w:rPr>
          <w:rStyle w:val="FootnoteAnchor"/>
          <w:rtl w:val="true"/>
        </w:rPr>
        <w:footnoteReference w:id="1292"/>
      </w:r>
      <w:r>
        <w:rPr>
          <w:rFonts w:ascii="IRNazanin" w:hAnsi="IRNazanin" w:eastAsia="IRNazanin"/>
          <w:color w:val="111111"/>
          <w:sz w:val="28"/>
          <w:sz w:val="28"/>
          <w:szCs w:val="28"/>
          <w:rtl w:val="true"/>
          <w:lang w:bidi="fa-IR"/>
        </w:rPr>
        <w:t xml:space="preserve">، و هو الأظهر؛ لعموم المستفیضة الدالّة علی وجوب رجوع المستحاضة إلی عادتها، و خصوص المستفیضة الدالّة علی أنّ الصفرة فی أیّام الحیض حیض </w:t>
      </w:r>
      <w:r>
        <w:rPr>
          <w:rStyle w:val="FootnoteAnchor"/>
          <w:rtl w:val="true"/>
        </w:rPr>
        <w:footnoteReference w:id="1293"/>
      </w:r>
      <w:r>
        <w:rPr>
          <w:rFonts w:ascii="IRNazanin" w:hAnsi="IRNazanin" w:eastAsia="IRNazanin"/>
          <w:color w:val="111111"/>
          <w:sz w:val="28"/>
          <w:sz w:val="28"/>
          <w:szCs w:val="28"/>
          <w:rtl w:val="true"/>
          <w:lang w:bidi="fa-IR"/>
        </w:rPr>
        <w:t>، المسوقة لبیان أنّ الصفة لا تنظر إلیها فی أیّام العادة، و قد صرّح به علیه السلام فی قوله فی المرسلة الطویلة فیمن جهلت أیّامها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لو کانت تعرف أیّامها ما احتاجت إلی معرفة لون الدم؛ لأنّ البیّنة فی الحیض أن تکون الصفرة و الکدرة فما فوقها فی أیّام الحیض إذا عرفت حیضاً إذا کانت الأیّام معلومة، فإذا جهلت الأیّام و عددها احتاجت إلی النظر حینئذٍ إلی إقبال الدم و إدباره و تغیّر لونه إلی أن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سنّة النبی صلّی اللّٰه علیه و آله فی التی اختلط علیها أیّامها حتّی لا تعرفها و إنّما تعرفها بالدم</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و هذه المستفیضة هی المخصّصة لعموم أدلّة الرجوع إلی الصفات، فلا یبقی لها عموم یعارض عمومات أدلّة الرجوع إلی العادة، مع أنّ بعض أخبار الصفات صریحة فی اختصاص اعتبارها بصورة عدم العادة،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إسحاق بن جریر،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علی الصادق علیه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امرأة تحیض فیجوز أیّام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أیّام حیضها دون العشرة أیّام استظهرت بیوم واحد ثمّ هی مستحاضة،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الدم یستمرّ بها الشهر و الشهرین و الثلاثة،</w:t>
      </w:r>
    </w:p>
    <w:p>
      <w:pPr>
        <w:pStyle w:val="BookText"/>
        <w:rPr/>
      </w:pPr>
      <w:r>
        <w:rPr>
          <w:rFonts w:ascii="IRNazanin" w:hAnsi="IRNazanin" w:eastAsia="IRNazanin"/>
          <w:color w:val="111111"/>
          <w:sz w:val="28"/>
          <w:sz w:val="28"/>
          <w:szCs w:val="28"/>
          <w:rtl w:val="true"/>
          <w:lang w:bidi="fa-IR"/>
        </w:rPr>
        <w:t>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أیّام حیضها ثمّ تغتسل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حیضها تختلف علیها، و کان یتقدّم الحیض الیوم و الیومین و الثلاثة و یتأخّر مثل ذلک، فما علمها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لیس به خفاء، هو دم حارّ، تجد له حرقة، و دم الاستحاضة دم فاسد بارد</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جمیع ما ذکرنا یظهر ضعف المحکیّ عن الشیخ فی النهایة </w:t>
      </w:r>
      <w:r>
        <w:rPr>
          <w:rStyle w:val="FootnoteAnchor"/>
          <w:rtl w:val="true"/>
        </w:rPr>
        <w:footnoteReference w:id="1296"/>
      </w:r>
      <w:r>
        <w:rPr>
          <w:rFonts w:ascii="IRNazanin" w:hAnsi="IRNazanin" w:eastAsia="IRNazanin"/>
          <w:color w:val="111111"/>
          <w:sz w:val="28"/>
          <w:sz w:val="28"/>
          <w:szCs w:val="28"/>
          <w:rtl w:val="true"/>
          <w:lang w:bidi="fa-IR"/>
        </w:rPr>
        <w:t xml:space="preserve">و المبسوط </w:t>
      </w:r>
      <w:r>
        <w:rPr>
          <w:rStyle w:val="FootnoteAnchor"/>
          <w:rtl w:val="true"/>
        </w:rPr>
        <w:footnoteReference w:id="1297"/>
      </w:r>
      <w:r>
        <w:rPr>
          <w:rFonts w:ascii="IRNazanin" w:hAnsi="IRNazanin" w:eastAsia="IRNazanin"/>
          <w:color w:val="111111"/>
          <w:sz w:val="28"/>
          <w:sz w:val="28"/>
          <w:szCs w:val="28"/>
          <w:rtl w:val="true"/>
          <w:lang w:bidi="fa-IR"/>
        </w:rPr>
        <w:t xml:space="preserve">و الإصباح </w:t>
      </w:r>
      <w:r>
        <w:rPr>
          <w:rStyle w:val="FootnoteAnchor"/>
          <w:rtl w:val="true"/>
        </w:rPr>
        <w:footnoteReference w:id="1298"/>
      </w:r>
      <w:r>
        <w:rPr>
          <w:rFonts w:ascii="IRNazanin" w:hAnsi="IRNazanin" w:eastAsia="IRNazanin"/>
          <w:color w:val="111111"/>
          <w:sz w:val="28"/>
          <w:sz w:val="28"/>
          <w:szCs w:val="28"/>
          <w:rtl w:val="true"/>
          <w:lang w:bidi="fa-IR"/>
        </w:rPr>
        <w:t xml:space="preserve">من تقدیم التمییز، بل ادّعی فی الخلاف إجماع الفرقة علی أنّ اعتبار صفة الدم مقدّم علی العادة، لکنّه قوّی فی آخر کلامه تقدیم العادة </w:t>
      </w:r>
      <w:r>
        <w:rPr>
          <w:rStyle w:val="FootnoteAnchor"/>
          <w:rtl w:val="true"/>
        </w:rPr>
        <w:footnoteReference w:id="1299"/>
      </w:r>
      <w:r>
        <w:rPr>
          <w:rFonts w:ascii="IRNazanin" w:hAnsi="IRNazanin" w:eastAsia="IRNazanin"/>
          <w:color w:val="111111"/>
          <w:sz w:val="28"/>
          <w:sz w:val="28"/>
          <w:szCs w:val="28"/>
          <w:rtl w:val="true"/>
          <w:lang w:bidi="fa-IR"/>
        </w:rPr>
        <w:t xml:space="preserve">، کما عن المبسوط </w:t>
      </w:r>
      <w:r>
        <w:rPr>
          <w:rStyle w:val="FootnoteAnchor"/>
          <w:rtl w:val="true"/>
        </w:rPr>
        <w:footnoteReference w:id="1300"/>
      </w:r>
      <w:r>
        <w:rPr>
          <w:rFonts w:ascii="IRNazanin" w:hAnsi="IRNazanin" w:eastAsia="IRNazanin"/>
          <w:color w:val="111111"/>
          <w:sz w:val="28"/>
          <w:sz w:val="28"/>
          <w:szCs w:val="28"/>
          <w:rtl w:val="true"/>
          <w:lang w:bidi="fa-IR"/>
        </w:rPr>
        <w:t>، فهذا رجوع عمّا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یتلوه فی الضعف ما فی الوسیلة من التخییر بینهما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لا فرق فی إطلاق النصّ و الفتوی بین العادة المستفادة من الأخذ و الانقطاع و المستفادة من التمییز؛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أقرائها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 المحقّق الثانی إلی تقدیم التمییز علی القسم الأخیر،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الفرع لا یزید علی أصله، مع احتمال الترجیح لصدق الأقراء، و فیه بُعد؛ لأنّه خلاف المتعارف </w:t>
      </w:r>
      <w:r>
        <w:rPr>
          <w:rStyle w:val="FootnoteAnchor"/>
          <w:rtl w:val="true"/>
        </w:rPr>
        <w:footnoteReference w:id="13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القسمین إن کان من جهة عدم تحقّق الحیض الواقعی بمجرّد العمل بالصفات، و المتبادر من أیّام قرئها الواقعیة لا التعبّدیة مع الجهل بالواقع،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العادة المستفادة من الأخذ و الانقطاع مع کون الدم محکوماً شرعاً بالحیضیَّة بمجرّد قاعدة الإمکان أولی بأن رُجّح علیها أدلّة التمییز کما لا یخفی، فلا بدّ من اختصاص الحکم بالحیض القطعی الوجدانی، و هو خلاف الإجماع ظاهراً، مع أنّ اللازم من ذلک عدم الاعتبار بهذه العادة و لو لم یزاحمها التمییز، و منه یظهر فساد الفرق إن کان من جهة أنّ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الحاصل من الأخذ و الانقطاع، مع أنّ هذا تشکیک ابتدائی لا یقدح فی عموم المطلقات،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هنا لغوی،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الخدشة فی تحقّق العادة بالتمییز أو بقاعدة الإمکان بحیث یترتّب علیها آثار العادة و لو مع سلامة عن مزاحمة التمییز أولی، کما تقدّم فی بیان تحقّق العادة من أنّ ثبوت العادة بالتمییز مشکل، إلّا أن یتمسّک فیه بالإجماع کما یظهر من المنتهی </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 المسلّم من الإجماع ما إذا لم یعارضها تمییز، فعمومات أدلّة الرجوع إلی الأوصاف سلیمة عن مزاحمة الرجوع إلی العادة، و المسألة محلّ إشکال؛ و لذا توقّف فیه الشارح فی الروض </w:t>
      </w:r>
      <w:r>
        <w:rPr>
          <w:rStyle w:val="FootnoteAnchor"/>
          <w:rtl w:val="true"/>
        </w:rPr>
        <w:footnoteReference w:id="1304"/>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جماعة و صریح آخرین </w:t>
      </w:r>
      <w:r>
        <w:rPr>
          <w:rStyle w:val="FootnoteAnchor"/>
          <w:rtl w:val="true"/>
        </w:rPr>
        <w:footnoteReference w:id="1306"/>
      </w:r>
      <w:r>
        <w:rPr>
          <w:rFonts w:ascii="IRNazanin" w:hAnsi="IRNazanin" w:eastAsia="IRNazanin"/>
          <w:color w:val="111111"/>
          <w:sz w:val="28"/>
          <w:sz w:val="28"/>
          <w:szCs w:val="28"/>
          <w:rtl w:val="true"/>
          <w:lang w:bidi="fa-IR"/>
        </w:rPr>
        <w:t>أنّ محلّ الخلاف هو مطلق ما</w:t>
      </w:r>
    </w:p>
    <w:p>
      <w:pPr>
        <w:pStyle w:val="BookText"/>
        <w:rPr/>
      </w:pPr>
      <w:r>
        <w:rPr>
          <w:rFonts w:ascii="IRNazanin" w:hAnsi="IRNazanin" w:eastAsia="IRNazanin"/>
          <w:color w:val="111111"/>
          <w:sz w:val="28"/>
          <w:sz w:val="28"/>
          <w:szCs w:val="28"/>
          <w:rtl w:val="true"/>
          <w:lang w:bidi="fa-IR"/>
        </w:rPr>
        <w:t>لو اجتمع العادة مع التمییز، سواء أمکن الجمع بینهما بجعل المجموع حیضاً واحداً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العادة تجعل عادتها حیضاً و ما سواها استحاضة، فإن اجتمع مع العادة تمییز،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علی العادة،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علی التمییز، و قیل بالتخییر، و الأوّل أظهر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عبائر جماعة کالمصنّف فی المختلف </w:t>
      </w:r>
      <w:r>
        <w:rPr>
          <w:rStyle w:val="FootnoteAnchor"/>
          <w:rtl w:val="true"/>
        </w:rPr>
        <w:footnoteReference w:id="1308"/>
      </w:r>
      <w:r>
        <w:rPr>
          <w:rFonts w:ascii="IRNazanin" w:hAnsi="IRNazanin" w:eastAsia="IRNazanin"/>
          <w:color w:val="111111"/>
          <w:sz w:val="28"/>
          <w:sz w:val="28"/>
          <w:szCs w:val="28"/>
          <w:rtl w:val="true"/>
          <w:lang w:bidi="fa-IR"/>
        </w:rPr>
        <w:t xml:space="preserve">و التحریر </w:t>
      </w:r>
      <w:r>
        <w:rPr>
          <w:rStyle w:val="FootnoteAnchor"/>
          <w:rtl w:val="true"/>
        </w:rPr>
        <w:footnoteReference w:id="1309"/>
      </w:r>
      <w:r>
        <w:rPr>
          <w:rFonts w:ascii="IRNazanin" w:hAnsi="IRNazanin" w:eastAsia="IRNazanin"/>
          <w:color w:val="111111"/>
          <w:sz w:val="28"/>
          <w:sz w:val="28"/>
          <w:szCs w:val="28"/>
          <w:rtl w:val="true"/>
          <w:lang w:bidi="fa-IR"/>
        </w:rPr>
        <w:t xml:space="preserve">و کاشف الرموز </w:t>
      </w:r>
      <w:r>
        <w:rPr>
          <w:rStyle w:val="FootnoteAnchor"/>
          <w:rtl w:val="true"/>
        </w:rPr>
        <w:footnoteReference w:id="1310"/>
      </w:r>
      <w:r>
        <w:rPr>
          <w:rFonts w:ascii="IRNazanin" w:hAnsi="IRNazanin" w:eastAsia="IRNazanin"/>
          <w:color w:val="111111"/>
          <w:sz w:val="28"/>
          <w:sz w:val="28"/>
          <w:szCs w:val="28"/>
          <w:rtl w:val="true"/>
          <w:lang w:bidi="fa-IR"/>
        </w:rPr>
        <w:t xml:space="preserve">و صاحب الموجز </w:t>
      </w:r>
      <w:r>
        <w:rPr>
          <w:rStyle w:val="FootnoteAnchor"/>
          <w:rtl w:val="true"/>
        </w:rPr>
        <w:footnoteReference w:id="1311"/>
      </w:r>
      <w:r>
        <w:rPr>
          <w:rFonts w:ascii="IRNazanin" w:hAnsi="IRNazanin" w:eastAsia="IRNazanin"/>
          <w:color w:val="111111"/>
          <w:sz w:val="28"/>
          <w:sz w:val="28"/>
          <w:szCs w:val="28"/>
          <w:rtl w:val="true"/>
          <w:lang w:bidi="fa-IR"/>
        </w:rPr>
        <w:t xml:space="preserve">و شارحه </w:t>
      </w:r>
      <w:r>
        <w:rPr>
          <w:rStyle w:val="FootnoteAnchor"/>
          <w:rtl w:val="true"/>
        </w:rPr>
        <w:footnoteReference w:id="1312"/>
      </w:r>
      <w:r>
        <w:rPr>
          <w:rFonts w:ascii="IRNazanin" w:hAnsi="IRNazanin" w:eastAsia="IRNazanin"/>
          <w:color w:val="111111"/>
          <w:sz w:val="28"/>
          <w:sz w:val="28"/>
          <w:szCs w:val="28"/>
          <w:rtl w:val="true"/>
          <w:lang w:bidi="fa-IR"/>
        </w:rPr>
        <w:t>، و ظاهر هذا العنوان کما تری یشمل صورة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الوسیلة بعد تقسیم غیر المبتدأة إلی أقسام أربعة بحسب وجدان العادة و التمییز أو أحدهما و فقدانهما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لها عادة و تمییز یجوز لها أن تعمل علی العادة و علی التمییز مخیّرةً فیهما،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عادتها سبعة فی کلّ شهر، ثمّ رأت عشرة أیّام بصفة دم الحیض فی شهر ثمّ اتّصل الدم، أو رأت ثلاثة أیّام بصفة دم الحیض و الباقی دماً أحمر و قد اتّصل الدم، فإن شاءت عملت علی العادة، و إن شاءت عملت علی التمییز، و أمثال ذلک کذلک </w:t>
      </w:r>
      <w:r>
        <w:rPr>
          <w:rStyle w:val="FootnoteAnchor"/>
          <w:rtl w:val="true"/>
        </w:rPr>
        <w:footnoteReference w:id="131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إمکان الجمع فی المثالین فی التحیّض بین العادة و التمییز و مع ذلک قال بالتخییر، و منه یعلم أنّ مراد المحقّق من اجتماع العادة و التمییز فی عبارة الشرائع لیس مخصوصاً بصورة تعارضهما و عدم إمکان الحکم بحیضیَّة کلّ منهما مستقلا أو مجتمعاً؛ لأنّ القائل بالتخییر علی الظاهر منحصر فی ابن حمزة فی الوسیلة، و قد عرفت أنّ کلامه فی صورة إمکان الجمع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أظهر من ذلک کلّه کلام الشیخ المحکیّ عن مبسوطه،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القسم الثانی و هی التی لها عادة و تمییز، مثل أن تکون امرأة تحیض فی أوّل کلّ شهر خمسة أیّام فرأت فی شهر عشرة أیّام دم الحیض، ثمّ رأت بعدها دم الاستحاضة و اتّصل، فیکون حیضها عشرة أیّام اعتباراً بالتمییز، و کذلک إذا کانت عادتها خمسة أیّام فرأت ثلاثة أیّام دماً أسود ثمّ رأت دماً أحمر إلی آخر الشهر، فإنّ حیضها ثلاثة أیّام و ما بعدها استحاضة اعتباراً بالتمییز، و کذلک إذا کانت عادتها خمسة أیّام من أوّل الشهر فرأت فی أوّل الشهر ثلاثة أیّام دماً أحمر و ثلاثة أیّام دماً أسود و أربعة أیّام دماً أحمر و اتّصل، کان حیضها أیّام الدم الأسود اعتباراً بالتمییز و یکون حیضها تقدّم أو تأخّر </w:t>
      </w:r>
      <w:r>
        <w:rPr>
          <w:rStyle w:val="FootnoteAnchor"/>
          <w:rtl w:val="true"/>
        </w:rPr>
        <w:footnoteReference w:id="1314"/>
      </w:r>
      <w:r>
        <w:rPr>
          <w:rFonts w:ascii="IRNazanin" w:hAnsi="IRNazanin" w:eastAsia="IRNazanin"/>
          <w:color w:val="111111"/>
          <w:sz w:val="28"/>
          <w:sz w:val="28"/>
          <w:szCs w:val="28"/>
          <w:rtl w:val="true"/>
          <w:lang w:bidi="fa-IR"/>
        </w:rPr>
        <w:t xml:space="preserve">، و کذلک إذا کانت عادتها ثلاثة أیّام من أوّل الشهر </w:t>
      </w:r>
      <w:r>
        <w:rPr>
          <w:rStyle w:val="FootnoteAnchor"/>
          <w:rtl w:val="true"/>
        </w:rPr>
        <w:footnoteReference w:id="1315"/>
      </w:r>
      <w:r>
        <w:rPr>
          <w:rFonts w:ascii="IRNazanin" w:hAnsi="IRNazanin" w:eastAsia="IRNazanin"/>
          <w:color w:val="111111"/>
          <w:sz w:val="28"/>
          <w:sz w:val="28"/>
          <w:szCs w:val="28"/>
          <w:rtl w:val="true"/>
          <w:lang w:bidi="fa-IR"/>
        </w:rPr>
        <w:t xml:space="preserve">فرأت ستّة أیّام دماً أحمر و أربعة أیّام دماً أسود و اتّصل، جعل حیضها الأربعة أیّام التی رأت فیها دماً أسود اعتباراً بالتمییز </w:t>
      </w:r>
      <w:r>
        <w:rPr>
          <w:rStyle w:val="FootnoteAnchor"/>
          <w:rtl w:val="true"/>
        </w:rPr>
        <w:footnoteReference w:id="1316"/>
      </w:r>
      <w:r>
        <w:rPr>
          <w:rFonts w:ascii="IRNazanin" w:hAnsi="IRNazanin" w:eastAsia="IRNazanin"/>
          <w:color w:val="111111"/>
          <w:sz w:val="28"/>
          <w:sz w:val="28"/>
          <w:szCs w:val="28"/>
          <w:rtl w:val="true"/>
          <w:lang w:bidi="fa-IR"/>
        </w:rPr>
        <w:t>، و لو قلنا فی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تعمل علی العادة دون التمییز لما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المستحاضة ترجع إلی</w:t>
      </w:r>
    </w:p>
    <w:p>
      <w:pPr>
        <w:pStyle w:val="BookText"/>
        <w:rPr/>
      </w:pPr>
      <w:r>
        <w:rPr>
          <w:rFonts w:ascii="IRNazanin" w:hAnsi="IRNazanin" w:eastAsia="IRNazanin"/>
          <w:color w:val="111111"/>
          <w:sz w:val="28"/>
          <w:sz w:val="28"/>
          <w:szCs w:val="28"/>
          <w:rtl w:val="true"/>
          <w:lang w:bidi="fa-IR"/>
        </w:rPr>
        <w:t>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یفصّلوا </w:t>
      </w:r>
      <w:r>
        <w:rPr>
          <w:rStyle w:val="FootnoteAnchor"/>
          <w:rtl w:val="true"/>
        </w:rPr>
        <w:footnoteReference w:id="1317"/>
      </w:r>
      <w:r>
        <w:rPr>
          <w:rFonts w:ascii="Amiri" w:hAnsi="Amiri" w:eastAsia="Amiri" w:cs="Amiri"/>
          <w:color w:val="111111"/>
          <w:sz w:val="28"/>
          <w:sz w:val="28"/>
          <w:szCs w:val="28"/>
          <w:rtl w:val="true"/>
          <w:lang w:bidi="ar-SA"/>
        </w:rPr>
        <w:t xml:space="preserve">کان قویّاً </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ذکره من الأمثلة ممّا یمکن الجمع فیه بین العادة و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الظهور بل الصراحة کلام المصنّف فی التحریر،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الجامعة للعادة و التمییز، فإن اتّحد الزمان فلا بحث إجماعاً، و إن اختلف فللشیخ قولان، أصحّهما العمل علی العادة </w:t>
      </w:r>
      <w:r>
        <w:rPr>
          <w:rStyle w:val="FootnoteAnchor"/>
          <w:rtl w:val="true"/>
        </w:rPr>
        <w:footnoteReference w:id="13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مورد الخلاف ما عدا اتّحاد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ذات عادة و تمییز، فإن توافق مقتضاهما تحیّضت بما دلّا علیه، و إن اختلفا، فإن تخلّل بینهما أقلّ طهر کما إذا رأت عشرین یوماً ضعیفاً، ثمّ خمسة أیّام قویّاً، ثمّ ضعیفاً، و عادتها الخمسة الأُولی، فقدر العادة حیض بحکم العادة، و القویّ حیض آخر بحکم التمییز، و إن قلنا بتقدیم العادة خاصّة فالخمسة الأُولی حیض و الثانی </w:t>
      </w:r>
      <w:r>
        <w:rPr>
          <w:rStyle w:val="FootnoteAnchor"/>
          <w:rtl w:val="true"/>
        </w:rPr>
        <w:footnoteReference w:id="1320"/>
      </w:r>
      <w:r>
        <w:rPr>
          <w:rFonts w:ascii="IRNazanin" w:hAnsi="IRNazanin" w:eastAsia="IRNazanin"/>
          <w:color w:val="111111"/>
          <w:sz w:val="28"/>
          <w:sz w:val="28"/>
          <w:szCs w:val="28"/>
          <w:rtl w:val="true"/>
          <w:lang w:bidi="fa-IR"/>
        </w:rPr>
        <w:t xml:space="preserve">استحاضة، و إن قلنا بتقدیم التمییز خاصّة فالخمسة السواد حیض و الثانی </w:t>
      </w:r>
      <w:r>
        <w:rPr>
          <w:rStyle w:val="FootnoteAnchor"/>
          <w:rtl w:val="true"/>
        </w:rPr>
        <w:footnoteReference w:id="1321"/>
      </w:r>
      <w:r>
        <w:rPr>
          <w:rFonts w:ascii="Amiri" w:hAnsi="Amiri" w:eastAsia="Amiri" w:cs="Amiri"/>
          <w:color w:val="111111"/>
          <w:sz w:val="28"/>
          <w:sz w:val="28"/>
          <w:szCs w:val="28"/>
          <w:rtl w:val="true"/>
          <w:lang w:bidi="ar-SA"/>
        </w:rPr>
        <w:t>استحاضة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یتخلّل بینهما قدر الطهر کما لو کانت تحیض فی خمسة أوّل الشهر فرأت فی دور عشرة سواداً ثمّ حمرة و استحیضت، فالأقوی الردّ إلی العادة </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ثمّ أخذ فی الاستدلال علیه، ثمّ ذکر القول بالتمییز، و لا یخفی</w:t>
      </w:r>
    </w:p>
    <w:p>
      <w:pPr>
        <w:pStyle w:val="BookText"/>
        <w:rPr/>
      </w:pPr>
      <w:r>
        <w:rPr>
          <w:rFonts w:ascii="IRNazanin" w:hAnsi="IRNazanin" w:eastAsia="IRNazanin"/>
          <w:color w:val="111111"/>
          <w:sz w:val="28"/>
          <w:sz w:val="28"/>
          <w:szCs w:val="28"/>
          <w:rtl w:val="true"/>
          <w:lang w:bidi="fa-IR"/>
        </w:rPr>
        <w:t>أنّ مثاله ممّا یمکن الجمع فیه بین العادة و التمییز بجعل مجموع العشرة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کلامه فی التذکرة،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یعنی المعتادة عدداً و وقتاً المتجاوز دمها العشرة ممیّزةً، فإن اتّفق زمان التمییز و العادة فلا بحث، و إن اختلف، إمّا بالزمان، کما لو کانت عادتها الخمسة الأُولی، فرأت فی شهر الاستحاضة صفة الحیض فی الخمسة الثانیة، أو بالعدد، کما لو رأت الستّة الأُولی بصفة دم الحیض، أو أربعة، فللشیخ قولان </w:t>
      </w:r>
      <w:r>
        <w:rPr>
          <w:rStyle w:val="FootnoteAnchor"/>
          <w:rtl w:val="true"/>
        </w:rPr>
        <w:footnoteReference w:id="132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ظهور المثالین، بل صراحة الأخیر فی کون صورة إمکان الجمع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اختلفا یعنی العادة و التمییز زماناً سواء اختلفا عدداً أم لا، فللشیخ قولان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ذاکرة العدد الناسیة للوقت إذا عارض تمییزها عدد أیّام العادة لم ترجع إلی التمییز، بناء علی ترجیح العادة علی التمییز </w:t>
      </w:r>
      <w:r>
        <w:rPr>
          <w:rStyle w:val="FootnoteAnchor"/>
          <w:rtl w:val="true"/>
        </w:rPr>
        <w:footnoteReference w:id="13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تعارض العادة و التمییز فی ذاکرة العدد الناسیة للوقت لا یتصوّر إلّا بزیادة أیّام التمییز علی العادة أو نقصانها عنه، و لا ریب أنّ الجمع ممکن بالتحیّض بالزائد، کما صنعه شارح الجعفریة </w:t>
      </w:r>
      <w:r>
        <w:rPr>
          <w:rStyle w:val="FootnoteAnchor"/>
          <w:rtl w:val="true"/>
        </w:rPr>
        <w:footnoteReference w:id="1326"/>
      </w:r>
      <w:r>
        <w:rPr>
          <w:rFonts w:ascii="IRNazanin" w:hAnsi="IRNazanin" w:eastAsia="IRNazanin"/>
          <w:color w:val="111111"/>
          <w:sz w:val="28"/>
          <w:sz w:val="28"/>
          <w:szCs w:val="28"/>
          <w:rtl w:val="true"/>
          <w:lang w:bidi="fa-IR"/>
        </w:rPr>
        <w:t>تبعاً لمن عرفت حیث صرّح فی الناسیة للوقت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زاد التمییز علی العادة یؤخذ به لعدم التعارض و إن نقص عنها یؤخذ بها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مجال للتأمّل فی أنّ مرادهم من تقدیم العادة علی</w:t>
      </w:r>
    </w:p>
    <w:p>
      <w:pPr>
        <w:pStyle w:val="BookText"/>
        <w:rPr/>
      </w:pPr>
      <w:r>
        <w:rPr>
          <w:rFonts w:ascii="IRNazanin" w:hAnsi="IRNazanin" w:eastAsia="IRNazanin"/>
          <w:color w:val="111111"/>
          <w:sz w:val="28"/>
          <w:sz w:val="28"/>
          <w:szCs w:val="28"/>
          <w:rtl w:val="true"/>
          <w:lang w:bidi="fa-IR"/>
        </w:rPr>
        <w:t>التمییز أو العکس أو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فی التحیّض علی أحدهما و إن أمکن جعل المجموع حیضاً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ما فی کلام بعض متأخّری المتأخّرین </w:t>
      </w:r>
      <w:r>
        <w:rPr>
          <w:rStyle w:val="FootnoteAnchor"/>
          <w:rtl w:val="true"/>
        </w:rPr>
        <w:footnoteReference w:id="1327"/>
      </w:r>
      <w:r>
        <w:rPr>
          <w:rFonts w:ascii="IRNazanin" w:hAnsi="IRNazanin" w:eastAsia="IRNazanin"/>
          <w:color w:val="111111"/>
          <w:sz w:val="28"/>
          <w:sz w:val="28"/>
          <w:szCs w:val="28"/>
          <w:rtl w:val="true"/>
          <w:lang w:bidi="fa-IR"/>
        </w:rPr>
        <w:t>من جعل محلّ الخلاف ما إذا لم یمکن جعل المجموع حیضاً واحداً تبعاً للشارح فی الروض حیث نسب إلی الأصحاب أنّهم ذکروا فی المعتادة وقتاً و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إمکان الجمع بینهما یجمع و یجعل ما زاد عن عادتها من أیّام التمییز حیضاً،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المصنّف فی النهایة استقرب فی هذا اختصاص العادة بالحیض </w:t>
      </w:r>
      <w:r>
        <w:rPr>
          <w:rStyle w:val="FootnoteAnchor"/>
          <w:rtl w:val="true"/>
        </w:rPr>
        <w:footnoteReference w:id="1328"/>
      </w:r>
      <w:r>
        <w:rPr>
          <w:rFonts w:ascii="IRNazanin" w:hAnsi="IRNazanin" w:eastAsia="IRNazanin"/>
          <w:color w:val="111111"/>
          <w:sz w:val="28"/>
          <w:sz w:val="28"/>
          <w:szCs w:val="28"/>
          <w:rtl w:val="true"/>
          <w:lang w:bidi="fa-IR"/>
        </w:rPr>
        <w:t xml:space="preserve">، و فیه منع </w:t>
      </w:r>
      <w:r>
        <w:rPr>
          <w:rStyle w:val="FootnoteAnchor"/>
          <w:rtl w:val="true"/>
        </w:rPr>
        <w:footnoteReference w:id="13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أحداً من الأصحاب لم یذکر الجمع بین العادة و التمییز مع الإمکان بجعل المجموع حیضاً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یستظهر ممّا تقدّم من النهایة اختصاص محلّ الخلاف بما إذا لم یمکن الجمع بینهما بتعدّد الحیض لتخلّل الضعیف مقدار أقلّ الطهر، و هو الظاهر من المسالک </w:t>
      </w:r>
      <w:r>
        <w:rPr>
          <w:rStyle w:val="FootnoteAnchor"/>
          <w:rtl w:val="true"/>
        </w:rPr>
        <w:footnoteReference w:id="133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غیر هذه الصورة فالأصحاب کما عرفت بین مقدّم للتمیّز و مقدّم للعادة و مخیِّر فیه، و کأنّه قدّس سرّه لم یظفر بأکثر العبارات المتقدّمة، کما اعترف به قبل ذلک فیما لو زادت أیّام التمیّز علی العدد فی ناسیة الوقت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أتحقّق لأحد من الأصحاب تصریحاً فیه بشی‌ء، غیر أنّ</w:t>
      </w:r>
    </w:p>
    <w:p>
      <w:pPr>
        <w:pStyle w:val="BookText"/>
        <w:rPr/>
      </w:pPr>
      <w:r>
        <w:rPr>
          <w:rFonts w:ascii="IRNazanin" w:hAnsi="IRNazanin" w:eastAsia="IRNazanin"/>
          <w:color w:val="111111"/>
          <w:sz w:val="28"/>
          <w:sz w:val="28"/>
          <w:szCs w:val="28"/>
          <w:rtl w:val="true"/>
          <w:lang w:bidi="fa-IR"/>
        </w:rPr>
        <w:t xml:space="preserve">إطلاق کلامهم یقتضی جعل أیّام التمییز کلّها حیضاً </w:t>
      </w:r>
      <w:r>
        <w:rPr>
          <w:rStyle w:val="FootnoteAnchor"/>
          <w:rtl w:val="true"/>
        </w:rPr>
        <w:footnoteReference w:id="13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زیادة التمییز علی العادة معنونة فی کلام کثیر منهم، و ذکروا الخلاف فی تقدیم التمییز أو العادة، و لیس لهم إطلاق یقتضی جعل أیّام التمییز کلّها حیضاً، و کأنّ الذی دعاه و من تبعه إلی تخصیص محلّ الخلاف بغیر صورة إمکان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المعتبر </w:t>
      </w:r>
      <w:r>
        <w:rPr>
          <w:rStyle w:val="FootnoteAnchor"/>
          <w:rtl w:val="true"/>
        </w:rPr>
        <w:footnoteReference w:id="1332"/>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33"/>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زمان التمییز و زمان العادة مثل أن تری فی أیّام العادة صفرة و کدرة و قبلها أو بعدها بصفة الحیض، فإن لم یتجاوز المجموع العشرة فالکلّ حیض، و إن تجاوز ففیه قولان و یظهر من المنتهی </w:t>
      </w:r>
      <w:r>
        <w:rPr>
          <w:rStyle w:val="FootnoteAnchor"/>
          <w:rtl w:val="true"/>
        </w:rPr>
        <w:footnoteReference w:id="1334"/>
      </w:r>
      <w:r>
        <w:rPr>
          <w:rFonts w:ascii="IRNazanin" w:hAnsi="IRNazanin" w:eastAsia="IRNazanin"/>
          <w:color w:val="111111"/>
          <w:sz w:val="28"/>
          <w:sz w:val="28"/>
          <w:szCs w:val="28"/>
          <w:rtl w:val="true"/>
          <w:lang w:bidi="fa-IR"/>
        </w:rPr>
        <w:t xml:space="preserve">کصریح التنقیح </w:t>
      </w:r>
      <w:r>
        <w:rPr>
          <w:rStyle w:val="FootnoteAnchor"/>
          <w:rtl w:val="true"/>
        </w:rPr>
        <w:footnoteReference w:id="1335"/>
      </w:r>
      <w:r>
        <w:rPr>
          <w:rFonts w:ascii="IRNazanin" w:hAnsi="IRNazanin" w:eastAsia="IRNazanin"/>
          <w:color w:val="111111"/>
          <w:sz w:val="28"/>
          <w:sz w:val="28"/>
          <w:szCs w:val="28"/>
          <w:rtl w:val="true"/>
          <w:lang w:bidi="fa-IR"/>
        </w:rPr>
        <w:t>عدم الخلاف فی الجمع مع عدم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أصرح من ذلک عبائر الشهید فی کتبه الثلاثة، حیث قیّد محلّ الخلاف بصورة التعارض و عدم إمکان الجمع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کأنهم حملوا عدم التجاوز فی عبائر الفاضلین علی عدم تجاوز مجموع التمییز و العادة العشرة مع تجاوز أصل الدم إیّاها، و لا یخفی منافاة کلامهم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کلماتهم، بل لا بدّ من حمل التجاوز و عدم التجاوز علی تجاوز أصل الدم و عدم 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التمییز فی صورة عدم التجاوز مع اختصاص مورده بصورة تجاوز الدم العشرة، یراد به مجرّد اختلاف لون الدم کما عبّر به بعضهم </w:t>
      </w:r>
      <w:r>
        <w:rPr>
          <w:rStyle w:val="FootnoteAnchor"/>
          <w:rtl w:val="true"/>
        </w:rPr>
        <w:footnoteReference w:id="1337"/>
      </w:r>
      <w:r>
        <w:rPr>
          <w:rFonts w:ascii="IRNazanin" w:hAnsi="IRNazanin" w:eastAsia="IRNazanin"/>
          <w:color w:val="111111"/>
          <w:sz w:val="28"/>
          <w:sz w:val="28"/>
          <w:szCs w:val="28"/>
          <w:rtl w:val="true"/>
          <w:lang w:bidi="fa-IR"/>
        </w:rPr>
        <w:t>کثیراً فی هذا المقام، لا التمییز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عدم تجاوز مجموع الدم المتّصف و الفاقد عن العشرة فی مسائل التمییز کثیراً للمتتبّع فی عبارتهم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نسب فی المعتبر </w:t>
      </w:r>
      <w:r>
        <w:rPr>
          <w:rStyle w:val="FootnoteAnchor"/>
          <w:rtl w:val="true"/>
        </w:rPr>
        <w:footnoteReference w:id="1338"/>
      </w:r>
      <w:r>
        <w:rPr>
          <w:rFonts w:ascii="IRNazanin" w:hAnsi="IRNazanin" w:eastAsia="IRNazanin"/>
          <w:color w:val="111111"/>
          <w:sz w:val="28"/>
          <w:sz w:val="28"/>
          <w:szCs w:val="28"/>
          <w:rtl w:val="true"/>
          <w:lang w:bidi="fa-IR"/>
        </w:rPr>
        <w:t xml:space="preserve">و المنتهی </w:t>
      </w:r>
      <w:r>
        <w:rPr>
          <w:rStyle w:val="FootnoteAnchor"/>
          <w:rtl w:val="true"/>
        </w:rPr>
        <w:footnoteReference w:id="1339"/>
      </w:r>
      <w:r>
        <w:rPr>
          <w:rFonts w:ascii="IRNazanin" w:hAnsi="IRNazanin" w:eastAsia="IRNazanin"/>
          <w:color w:val="111111"/>
          <w:sz w:val="28"/>
          <w:sz w:val="28"/>
          <w:szCs w:val="28"/>
          <w:rtl w:val="true"/>
          <w:lang w:bidi="fa-IR"/>
        </w:rPr>
        <w:t xml:space="preserve">، إلی الشیخ فی المبسوط الرجوع إلی العادة مع تجاوز العشرة، مع أنّ الشیخ لم یذکر فی المبسوط مثالًا واحداً لتجاوز العادة و التمییز العشرة، کما مرّ </w:t>
      </w:r>
      <w:r>
        <w:rPr>
          <w:rStyle w:val="FootnoteAnchor"/>
          <w:rtl w:val="true"/>
        </w:rPr>
        <w:footnoteReference w:id="1340"/>
      </w:r>
      <w:r>
        <w:rPr>
          <w:rFonts w:ascii="IRNazanin" w:hAnsi="IRNazanin" w:eastAsia="IRNazanin"/>
          <w:color w:val="111111"/>
          <w:sz w:val="28"/>
          <w:sz w:val="28"/>
          <w:szCs w:val="28"/>
          <w:rtl w:val="true"/>
          <w:lang w:bidi="fa-IR"/>
        </w:rPr>
        <w:t>فی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أنّ طرح الزائد علی العادة و لو مع وجود الوصف، هو الظاهر من الأخبار المتواترة الدالّة علی أنّ المستحاضة تأخذ أیّامها، و تدع ما سواها </w:t>
      </w:r>
      <w:r>
        <w:rPr>
          <w:rStyle w:val="FootnoteAnchor"/>
          <w:rtl w:val="true"/>
        </w:rPr>
        <w:footnoteReference w:id="1341"/>
      </w:r>
      <w:r>
        <w:rPr>
          <w:rFonts w:ascii="IRNazanin" w:hAnsi="IRNazanin" w:eastAsia="IRNazanin"/>
          <w:color w:val="111111"/>
          <w:sz w:val="28"/>
          <w:sz w:val="28"/>
          <w:szCs w:val="28"/>
          <w:rtl w:val="true"/>
          <w:lang w:bidi="fa-IR"/>
        </w:rPr>
        <w:t>، و أصرح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إسحاق بن حریز و المرسلة الطویلة المتقدّمتین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لا إشکال فی اختصاص العادة بالحیض و طرح التمییز، إلّا أن یقال بتخصیص عمومها بأدلّة التحیّض بما بصفة الحیض، و تخصیص عموم التطهّر فیما لم یکن بصفته بهذه العمومات، و لا ریب فی إباء غیر واحد من</w:t>
      </w:r>
    </w:p>
    <w:p>
      <w:pPr>
        <w:pStyle w:val="BookText"/>
        <w:rPr/>
      </w:pPr>
      <w:r>
        <w:rPr>
          <w:rFonts w:ascii="IRNazanin" w:hAnsi="IRNazanin" w:eastAsia="IRNazanin"/>
          <w:color w:val="111111"/>
          <w:sz w:val="28"/>
          <w:sz w:val="28"/>
          <w:szCs w:val="28"/>
          <w:rtl w:val="true"/>
          <w:lang w:bidi="fa-IR"/>
        </w:rPr>
        <w:t>تلک العمومات کصحیحة إسحاق و المرسلة عن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الشهید فی کتبه من تقیید محلّ الخلاف بصورة امتناع الجمع، فیحتمل أن یرید به صورة اتّفاقهما فی الزمان و العدد، کما قیّد المصنّف قدّس سرّه بذلک ممّا عرفت من عبارتی التذکرة </w:t>
      </w:r>
      <w:r>
        <w:rPr>
          <w:rStyle w:val="FootnoteAnchor"/>
          <w:rtl w:val="true"/>
        </w:rPr>
        <w:footnoteReference w:id="1343"/>
      </w:r>
      <w:r>
        <w:rPr>
          <w:rFonts w:ascii="IRNazanin" w:hAnsi="IRNazanin" w:eastAsia="IRNazanin"/>
          <w:color w:val="111111"/>
          <w:sz w:val="28"/>
          <w:sz w:val="28"/>
          <w:szCs w:val="28"/>
          <w:rtl w:val="true"/>
          <w:lang w:bidi="fa-IR"/>
        </w:rPr>
        <w:t xml:space="preserve">و النهایة </w:t>
      </w:r>
      <w:r>
        <w:rPr>
          <w:rStyle w:val="FootnoteAnchor"/>
          <w:rtl w:val="true"/>
        </w:rPr>
        <w:footnoteReference w:id="1344"/>
      </w:r>
      <w:r>
        <w:rPr>
          <w:rFonts w:ascii="IRNazanin" w:hAnsi="IRNazanin" w:eastAsia="IRNazanin"/>
          <w:color w:val="111111"/>
          <w:sz w:val="28"/>
          <w:sz w:val="28"/>
          <w:szCs w:val="28"/>
          <w:rtl w:val="true"/>
          <w:lang w:bidi="fa-IR"/>
        </w:rPr>
        <w:t>، فلا مخالفة فیه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یرید به الاحتراز عمّا ذکره الفاضلان </w:t>
      </w:r>
      <w:r>
        <w:rPr>
          <w:rStyle w:val="FootnoteAnchor"/>
          <w:rtl w:val="true"/>
        </w:rPr>
        <w:footnoteReference w:id="1345"/>
      </w:r>
      <w:r>
        <w:rPr>
          <w:rFonts w:ascii="IRNazanin" w:hAnsi="IRNazanin" w:eastAsia="IRNazanin"/>
          <w:color w:val="111111"/>
          <w:sz w:val="28"/>
          <w:sz w:val="28"/>
          <w:szCs w:val="28"/>
          <w:rtl w:val="true"/>
          <w:lang w:bidi="fa-IR"/>
        </w:rPr>
        <w:t>، من عدم تجاوز مجموع الدم العشرة، فلا مخالفة حینئذٍ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یرید به ما ذکره الشهید الثانی </w:t>
      </w:r>
      <w:r>
        <w:rPr>
          <w:rStyle w:val="FootnoteAnchor"/>
          <w:rtl w:val="true"/>
        </w:rPr>
        <w:footnoteReference w:id="1346"/>
      </w:r>
      <w:r>
        <w:rPr>
          <w:rFonts w:ascii="IRNazanin" w:hAnsi="IRNazanin" w:eastAsia="IRNazanin"/>
          <w:color w:val="111111"/>
          <w:sz w:val="28"/>
          <w:sz w:val="28"/>
          <w:szCs w:val="28"/>
          <w:rtl w:val="true"/>
          <w:lang w:bidi="fa-IR"/>
        </w:rPr>
        <w:t>من الاحتراز عمّا لو أمکن الجمع بینهما بجعل المجموع حیضاً واحداً أو بجعل کلّ منهما حیضاً مستقلا بأن تخلّل بینهما ضعیف یبلغ أقلّ الطهر، فیرد علیه ما تقدّم من مخالفته لظاهر کلام جماعة و صریح آخرین، فضلًا عن ظاهر الأخبار و معاقد الإجماع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قریباً أن یرید به خصوص الجمع علی أن یکون کلٌّ منهما حیضاً مستقلا، کما عرفت من تصریح المصنّف قدّس سرّه فی النهایة </w:t>
      </w:r>
      <w:r>
        <w:rPr>
          <w:rStyle w:val="FootnoteAnchor"/>
          <w:rtl w:val="true"/>
        </w:rPr>
        <w:footnoteReference w:id="1347"/>
      </w:r>
      <w:r>
        <w:rPr>
          <w:rFonts w:ascii="IRNazanin" w:hAnsi="IRNazanin" w:eastAsia="IRNazanin"/>
          <w:color w:val="111111"/>
          <w:sz w:val="28"/>
          <w:sz w:val="28"/>
          <w:szCs w:val="28"/>
          <w:rtl w:val="true"/>
          <w:lang w:bidi="fa-IR"/>
        </w:rPr>
        <w:t xml:space="preserve">و الشارح فی المسالک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bookmarkStart w:id="158" w:name="pg13039_115343"/>
    </w:p>
    <w:p>
      <w:pPr>
        <w:pStyle w:val="BookText"/>
        <w:rPr/>
      </w:pPr>
      <w:bookmarkEnd w:id="158"/>
      <w:r>
        <w:rPr>
          <w:rFonts w:ascii="IRNazanin" w:hAnsi="IRNazanin" w:eastAsia="IRNazanin"/>
          <w:color w:val="111111"/>
          <w:sz w:val="28"/>
          <w:sz w:val="28"/>
          <w:szCs w:val="28"/>
          <w:rtl w:val="true"/>
          <w:lang w:bidi="fa-IR"/>
        </w:rPr>
        <w:t xml:space="preserve">و هذا أیضاً لا یخلو عن منافاة لظاهر کلمات الأصحاب و الأخبار، إلّا أنّه یمکن حمل کلماتهم علی اجتماع عادة و تمییز فی حیض واحد، لکن ظهور الأخبار فی طرح ما سوی أیّام العادة، سیّما المرسلة الطویلة، ممّا لا ینکر، فالقول بظاهرها کما عن جماعة من متأخّری المتأخّرین کصاحبی الذخیرة </w:t>
      </w:r>
      <w:r>
        <w:rPr>
          <w:rStyle w:val="FootnoteAnchor"/>
          <w:rtl w:val="true"/>
        </w:rPr>
        <w:footnoteReference w:id="1349"/>
      </w:r>
      <w:r>
        <w:rPr>
          <w:rFonts w:ascii="IRNazanin" w:hAnsi="IRNazanin" w:eastAsia="IRNazanin"/>
          <w:color w:val="111111"/>
          <w:sz w:val="28"/>
          <w:sz w:val="28"/>
          <w:szCs w:val="28"/>
          <w:rtl w:val="true"/>
          <w:lang w:bidi="fa-IR"/>
        </w:rPr>
        <w:t xml:space="preserve">و الحدائق </w:t>
      </w:r>
      <w:r>
        <w:rPr>
          <w:rStyle w:val="FootnoteAnchor"/>
          <w:rtl w:val="true"/>
        </w:rPr>
        <w:footnoteReference w:id="1350"/>
      </w:r>
      <w:r>
        <w:rPr>
          <w:rFonts w:ascii="IRNazanin" w:hAnsi="IRNazanin" w:eastAsia="IRNazanin"/>
          <w:color w:val="111111"/>
          <w:sz w:val="28"/>
          <w:sz w:val="28"/>
          <w:szCs w:val="28"/>
          <w:rtl w:val="true"/>
          <w:lang w:bidi="fa-IR"/>
        </w:rPr>
        <w:t xml:space="preserve">و الوحید فی شرح المفاتیح </w:t>
      </w:r>
      <w:r>
        <w:rPr>
          <w:rStyle w:val="FootnoteAnchor"/>
          <w:rtl w:val="true"/>
        </w:rPr>
        <w:footnoteReference w:id="1351"/>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المعتادة</w:t>
      </w:r>
    </w:p>
    <w:p>
      <w:pPr>
        <w:pStyle w:val="Heading6"/>
        <w:numPr>
          <w:ilvl w:val="5"/>
          <w:numId w:val="1"/>
        </w:numPr>
        <w:rPr/>
      </w:pPr>
      <w:bookmarkStart w:id="159" w:name="__RefHeading___Toc6451978_3224264995"/>
      <w:bookmarkStart w:id="160" w:name="_Toc60"/>
      <w:bookmarkEnd w:id="159"/>
      <w:r>
        <w:rPr>
          <w:rtl w:val="true"/>
        </w:rPr>
        <w:t>[</w:t>
      </w:r>
      <w:r>
        <w:rPr>
          <w:rtl w:val="true"/>
        </w:rPr>
        <w:t>ذات التمییز</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غیر ذات العادة من الأقسام الثلاثة الباقیة، فمن کان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واجدة لما یمیّز به حیضها عن طهرها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تمییزه، و التمییز یحصل بصفات الحیض و الاستحاضة، فما کان من الدم الجامع لشروط الحیض علی صفته جعله حیضاً، و جعل ما عداه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غیر المعتادة فی الجملة إلی التمییز هو المعروف بین الأصحاب، بل الظاهر کونه مجمعاً علیه، کما هو صریح الخلاف و ظاهر المعتبر و المنتهی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إن کان لها طریق تمیّز بین دم الحیض و الاستحاضة رجعت إلیه، فإن لم یتمیّز لها رجعت إلی عادة نسائها، أو قعدت فی کلّ شهر ستّة أیّام أو سبعة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ذلک إجماع الفرقة، روی حفص بن البختری </w:t>
      </w:r>
      <w:r>
        <w:rPr>
          <w:rStyle w:val="FootnoteAnchor"/>
          <w:rtl w:val="true"/>
        </w:rPr>
        <w:footnoteReference w:id="1352"/>
      </w:r>
      <w:r>
        <w:rPr>
          <w:rFonts w:ascii="IRNazanin" w:hAnsi="IRNazanin" w:eastAsia="IRNazanin"/>
          <w:color w:val="111111"/>
          <w:sz w:val="28"/>
          <w:sz w:val="28"/>
          <w:szCs w:val="28"/>
          <w:rtl w:val="true"/>
          <w:lang w:bidi="fa-IR"/>
        </w:rPr>
        <w:t xml:space="preserve">، فذکر الحسنة الآتیة </w:t>
      </w:r>
      <w:r>
        <w:rPr>
          <w:rStyle w:val="FootnoteAnchor"/>
          <w:rtl w:val="true"/>
        </w:rPr>
        <w:footnoteReference w:id="13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معقد الإجماع و إن کان هی المبتدأة إلّا أنّه فی مقام آخر قیّد رجوع الناسیة إلی الروایات بصورة عدم التمییز، ثمّ استدلّ علیه بالمرسلة الطویلة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حکم السبع فی ظاهرها مختصّ بالمبتدئة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فاقدة العادة ذات التمییز کالمبتدأة و المضطربة و الناسیة یرجع إلیه و هو مذهب علمائنا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یعنی المبتدأة بالمعنی الأخصّ و المضطربة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التی لم یستقرّ لها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ترجعان إلی التمییز، فما شابه دم الحیض فهو حیض إذا جمع الشرائط، و ما شابه دم الاستحاضة لیس حیضاً، و هو مذهب فقهاء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حنیفة لا اعتبار بالتمییز </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أبی الصلاح </w:t>
      </w:r>
      <w:r>
        <w:rPr>
          <w:rStyle w:val="FootnoteAnchor"/>
          <w:rtl w:val="true"/>
        </w:rPr>
        <w:footnoteReference w:id="1357"/>
      </w:r>
      <w:r>
        <w:rPr>
          <w:rFonts w:ascii="IRNazanin" w:hAnsi="IRNazanin" w:eastAsia="IRNazanin"/>
          <w:color w:val="111111"/>
          <w:sz w:val="28"/>
          <w:sz w:val="28"/>
          <w:szCs w:val="28"/>
          <w:rtl w:val="true"/>
          <w:lang w:bidi="fa-IR"/>
        </w:rPr>
        <w:t>إرجاع المضطربة أوّلًا إلی عادة نسائها ثمّ إلی التمییز ثمّ إلی الروایات و إرجاع المبتدأة إلیٰ عادة نسائها، إلی أن تستقرّ لها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الصدوق و المفید </w:t>
      </w:r>
      <w:r>
        <w:rPr>
          <w:rStyle w:val="FootnoteAnchor"/>
          <w:rtl w:val="true"/>
        </w:rPr>
        <w:footnoteReference w:id="1358"/>
      </w:r>
      <w:r>
        <w:rPr>
          <w:rFonts w:ascii="IRNazanin" w:hAnsi="IRNazanin" w:eastAsia="IRNazanin"/>
          <w:color w:val="111111"/>
          <w:sz w:val="28"/>
          <w:sz w:val="28"/>
          <w:szCs w:val="28"/>
          <w:rtl w:val="true"/>
          <w:lang w:bidi="fa-IR"/>
        </w:rPr>
        <w:t>أنّهم لم یتعرّضوا للتمییز</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المبتدأة و المضطربة یرجعان إلی أکثر الحیض و أقلّ الطهر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المسألة خلافیة، إلّا أنّ الأقوی ما ذکرنا؛ للأخبار المتقدّمة</w:t>
      </w:r>
    </w:p>
    <w:p>
      <w:pPr>
        <w:pStyle w:val="BookText"/>
        <w:rPr/>
      </w:pPr>
      <w:r>
        <w:rPr>
          <w:rFonts w:ascii="IRNazanin" w:hAnsi="IRNazanin" w:eastAsia="IRNazanin"/>
          <w:color w:val="111111"/>
          <w:sz w:val="28"/>
          <w:sz w:val="28"/>
          <w:szCs w:val="28"/>
          <w:rtl w:val="true"/>
          <w:lang w:bidi="fa-IR"/>
        </w:rPr>
        <w:t>فی أوّل الحیض، المشتملة علی بیان صفات الحیض و الاستحاضة؛ فإنّ المتیقّن من مدلولها صورة اشتباه الحیض بالاستحاضة لاستمرار الدم، ففی حسنة حفص بن البختری،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امرأة فسألته عن المرأة تستمرّ بها الدم، فلا یدریٰ دم الحیض أو غیره؟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حارّ عبیط أسود، له دفع و حرارة، و دم الاستحاضة أصفر بارد، فإذا کان للدم حرارة و دفع و سواد فلتدع الصلاة، فخرجت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امرأة ما زاد علی هذا</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معاویة بن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الاستحاضة و الحیض لیس یخرجان من مکان واحد، إنّ دم الاستحاضة بارد، و إنّ دم الحیض حارّ</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إسحاق بن جریر،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امرأة فسألته عن المرأة تحیض فتجوز أیّام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حیضها دون العشرة أیّام استظهرت بیوم ثمّ 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الدم یستمرّ بها الشهر و الشهرین و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أیّام حیضها ثمّ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حیضها تختلف علیها، و کان یتقدّم الحیض الیوم و الیومین و یتأخّر مثل ذلک، فما علمها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لیس به خفاء هو دم حارّ له حرقة، و دم الاستحاضة دم فاسد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إلی مولاةٍ 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ترینه کان امرأة</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ذیلها و ذیل الحسنة المتقدّمة أنّ تمییز الحیض عن الاستحاضة بهذه الصفات ممّا هو مرکوز فی أذهان النساء، و من المسلّمات عندهنّ بالتجربة، و حینئذٍ فیجب التمییز بها لصدق الحیض عرفاً علی ذی الصفة، و سلبه عرفاً عن فاقدها، فقد تطابق العرف و الشرع علی أنّ الأصل فی غیر المعتادة الرجوع إلی هذه الصفات عند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ضعف ما اعترض به صاحب الحدائق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الرجوع إلی التمییز فی مرسلة یونس المتقدّمة </w:t>
      </w:r>
      <w:r>
        <w:rPr>
          <w:rStyle w:val="FootnoteAnchor"/>
          <w:rtl w:val="true"/>
        </w:rPr>
        <w:footnoteReference w:id="1363"/>
      </w:r>
      <w:r>
        <w:rPr>
          <w:rFonts w:ascii="IRNazanin" w:hAnsi="IRNazanin" w:eastAsia="IRNazanin"/>
          <w:color w:val="111111"/>
          <w:sz w:val="28"/>
          <w:sz w:val="28"/>
          <w:szCs w:val="28"/>
          <w:rtl w:val="true"/>
          <w:lang w:bidi="fa-IR"/>
        </w:rPr>
        <w:t xml:space="preserve">مختصّ بالمضطربة، و جعل فیها سنّة المبتدأة الرجوع إلی الروایات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مضافاً إلی ما عرفت من عدم الحاجة إلی المرسلة فی وجوب الرجوع إلی التمییز، بل هو أصل عرفی و شرعی عند الاشتباه، و قد اعترف بذلک فی بعض المحکیّ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الرجوع إلی التمییز فی المرسلة و إن کان مختصّاً فیها بالمتحیّرة الناسیة، إلّا أنّه لا یخفی علی المتأمّل فیها بتمامها أنّ المناط فی ذلک مجرّد فقدان العادة، لا خصوص سبقها و نسیانها، و إن أبیت إلّا عن اختصاصها بموردها فیکفی فی الحکم بالنسبة إلی المبتدأة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المتقدّمة السلیمة عن معارضة ما یقبل لتخصیصها، عدا ما ذکره من أنّ حکم المبتدأة فی المرسلة هو الرجوع إلی الروایات لا التمییز</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جملة من الأخبار تدلّ علی أنّ حکم المبتدأة هو الرجوع إلی الأیّام،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إذا رأت الدم فی</w:t>
      </w:r>
    </w:p>
    <w:p>
      <w:pPr>
        <w:pStyle w:val="BookText"/>
        <w:rPr/>
      </w:pPr>
      <w:r>
        <w:rPr>
          <w:rFonts w:ascii="Amiri" w:hAnsi="Amiri" w:eastAsia="Amiri" w:cs="Amiri"/>
          <w:color w:val="111111"/>
          <w:sz w:val="28"/>
          <w:sz w:val="28"/>
          <w:szCs w:val="28"/>
          <w:rtl w:val="true"/>
          <w:lang w:bidi="ar-SA"/>
        </w:rPr>
        <w:t xml:space="preserve">أوّل حیضها </w:t>
      </w:r>
      <w:r>
        <w:rPr>
          <w:rStyle w:val="FootnoteAnchor"/>
          <w:rtl w:val="true"/>
        </w:rPr>
        <w:footnoteReference w:id="1365"/>
      </w:r>
      <w:r>
        <w:rPr>
          <w:rFonts w:ascii="IRNazanin" w:hAnsi="IRNazanin" w:eastAsia="IRNazanin"/>
          <w:color w:val="111111"/>
          <w:sz w:val="28"/>
          <w:sz w:val="28"/>
          <w:szCs w:val="28"/>
          <w:rtl w:val="true"/>
          <w:lang w:bidi="fa-IR"/>
        </w:rPr>
        <w:t>فاستمرّ بها الدم ترکت الصلاة عشرة أیّام، ثمّ تصلّی عشرین یوماً، فإن استمرّ بها الدم بعد ذلک ترکت الصلاة ثلاثة أیّام و صلّت سبعة و عشرین یوماً</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موثّقته الأُخری المقطوعة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الجاریة أوّل ما تحیض یدفع </w:t>
      </w:r>
      <w:r>
        <w:rPr>
          <w:rStyle w:val="FootnoteAnchor"/>
          <w:rtl w:val="true"/>
        </w:rPr>
        <w:footnoteReference w:id="1367"/>
      </w:r>
      <w:r>
        <w:rPr>
          <w:rFonts w:ascii="IRNazanin" w:hAnsi="IRNazanin" w:eastAsia="IRNazanin"/>
          <w:color w:val="111111"/>
          <w:sz w:val="28"/>
          <w:sz w:val="28"/>
          <w:szCs w:val="28"/>
          <w:rtl w:val="true"/>
          <w:lang w:bidi="fa-IR"/>
        </w:rPr>
        <w:t>علیها الدم فتکون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تنظر بالصلاة، فلا تصلی حتّی یمضی أکثر ما یکون من الحیض، فإذا مضی ذلک و هو عشرة أیّام فعلت ما تفعله المستحاضة، ثمّ صلّت فمکثت تصلّی بقیّة شهرها، ثمّ تترک الصلاة فی المرّة الثانیة أقلّ ما تترک امرأة الصلاة، و تجلس أقلّ ما یکون من الطمث و هو ثلاثة أیّام </w:t>
      </w:r>
      <w:r>
        <w:rPr>
          <w:rStyle w:val="FootnoteAnchor"/>
          <w:rtl w:val="true"/>
        </w:rPr>
        <w:footnoteReference w:id="1368"/>
      </w:r>
      <w:r>
        <w:rPr>
          <w:rFonts w:ascii="IRNazanin" w:hAnsi="IRNazanin" w:eastAsia="IRNazanin"/>
          <w:color w:val="111111"/>
          <w:sz w:val="28"/>
          <w:sz w:val="28"/>
          <w:szCs w:val="28"/>
          <w:rtl w:val="true"/>
          <w:lang w:bidi="fa-IR"/>
        </w:rPr>
        <w:t>فإذا دام علیها الحیض صلّت فی وقت الصلاة التی صلّت، و جعلت وقت طهرها أکثر ما یکون من الطهر و ترکها الصلاة أقلّ ما یکون من الحیض</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جاریة حاضت أوّل حیضها فدام دمها ثلاثة أشهر، و هی لا تعرف أیّام أقرائها،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أقراؤها مثل أقراء نسائها، فإن کانت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نساؤها مختلفات فأکثر وقتها عشرة أیّام، و أقلّه ثلاثة أیّام</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عدم نهوض شی‌ء منها لرفع الید عمّا ذکرنا من المعیار العرفی و الشرعی، أمّا المرسلة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ظاهرها بالنسبة إلی المبتدأة و إن کان فی مواضع </w:t>
      </w:r>
      <w:r>
        <w:rPr>
          <w:rStyle w:val="FootnoteAnchor"/>
          <w:rtl w:val="true"/>
        </w:rPr>
        <w:footnoteReference w:id="1373"/>
      </w:r>
      <w:r>
        <w:rPr>
          <w:rFonts w:ascii="IRNazanin" w:hAnsi="IRNazanin" w:eastAsia="IRNazanin"/>
          <w:color w:val="111111"/>
          <w:sz w:val="28"/>
          <w:sz w:val="28"/>
          <w:szCs w:val="28"/>
          <w:rtl w:val="true"/>
          <w:lang w:bidi="fa-IR"/>
        </w:rPr>
        <w:t>لا یعتدّ فیها باختلاف الدم، إلّا أنّه یظهر من قوله علیه السلام فی آخر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قصتها قصّة حمنة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تحیّض المبتدأة بالأیام إنّما هو إذا کانت تری الدم علی لون واحد، فراجع الروایة، خصوصاً قوله علیه السلام فی آخر الروایة بعد ذکر تغیّر الدم بالإقبال و الإدبار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یکن الأمر کذلک و لکن أطبق الدم علیها فلم تزل الاستحاضة دارّة و کان الدم علی لون واحد و حالة واحدة، فسنّتها السبع و الثلاثة و العشرین لأنّ قصّتها قصّة حمنة بنت جحش حین قالت أثجّه ثجّاً، إلخ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الظاهر المتبادر من استمرار الدم استمراره علی لون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الجواب عن إطلاق الموثّقات، و لو أُغمض عن ذلک فعارضت مع أدلّة التمییز بالعموم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 المرجّحات، مثل موافقة المشهور، و مخالفة أبی حنیفة من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ذلک، فالمرجع إطلاقات الحیض الصادق عرفاً علی الواجد للصفات، و المسلوب عرفاً عن فاقدها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الإغماض عن ذلک، فالمرجع فی تشخیص الحیض فی المقام</w:t>
      </w:r>
    </w:p>
    <w:p>
      <w:pPr>
        <w:pStyle w:val="BookText"/>
        <w:rPr/>
      </w:pPr>
      <w:r>
        <w:rPr>
          <w:rFonts w:ascii="IRNazanin" w:hAnsi="IRNazanin" w:eastAsia="IRNazanin"/>
          <w:color w:val="111111"/>
          <w:sz w:val="28"/>
          <w:sz w:val="28"/>
          <w:szCs w:val="28"/>
          <w:rtl w:val="true"/>
          <w:lang w:bidi="fa-IR"/>
        </w:rPr>
        <w:t xml:space="preserve">و تمییزه عن الاستحاضة إلی العمل بالظنّ، و إن کان الشبهة فی الموضوع؛ لأنّ المفروض انسداد باب العلم و الأمارات الخاصّة، و عدم إمکان الرجوع إلی الأصل؛ لأنّ الخصم لا یقول به، بل لم یقل به أحد، عدا ما تقدّم عن الغنیة </w:t>
      </w:r>
      <w:r>
        <w:rPr>
          <w:rStyle w:val="FootnoteAnchor"/>
          <w:rtl w:val="true"/>
        </w:rPr>
        <w:footnoteReference w:id="1375"/>
      </w:r>
      <w:r>
        <w:rPr>
          <w:rFonts w:ascii="IRNazanin" w:hAnsi="IRNazanin" w:eastAsia="IRNazanin"/>
          <w:color w:val="111111"/>
          <w:sz w:val="28"/>
          <w:sz w:val="28"/>
          <w:szCs w:val="28"/>
          <w:rtl w:val="true"/>
          <w:lang w:bidi="fa-IR"/>
        </w:rPr>
        <w:t>من الرجوع إلی أکثر الحیض و أقلّ الطهر،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ذکروا للتمییز شروطاً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کالمستغنی عنه،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الدم العشرة، و اختلاف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یخلو إطلاق اعتباره عن إشکال، 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ینقص القویّ عن الثلاثة و لا یزید علی العشرة، و لا إشکال فیها إن أُرید قصر الحیض علی الناقص فی الأوّل و التحیّض بمجموع القوی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الطعن فی الشرط الأوّل مستنداً إلی إطلاق الأخبار، بل تصریح المرسلة بلزوم التحیض بالقوی قلیلًا کان أو کثیراً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ضعیف فی الغایة؛ لأنّ أخبار التمییز فی مقام تمییز دم الحیض عن الاستحاضة بعد إحراز قابلیّة الدم لکونه حیضاً باستجماع شرائطه، و المراد بالقلیل و الکثیر فی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و الکثیر ممّا یقبل الحیضیَّة شرعاً، لا ما یعمّ الساعة و الشهر مثلًا، و لو فرض دلالة المرسلة علی ذلک لزم تقییدها بالأدلّة القطعیّة الدالّة علی تحدید طرفی الحیض</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التحدید لا توجب طرح التمییز فی المقام</w:t>
      </w:r>
    </w:p>
    <w:p>
      <w:pPr>
        <w:pStyle w:val="BookText"/>
        <w:rPr/>
      </w:pPr>
      <w:r>
        <w:rPr>
          <w:rFonts w:ascii="IRNazanin" w:hAnsi="IRNazanin" w:eastAsia="IRNazanin"/>
          <w:color w:val="111111"/>
          <w:sz w:val="28"/>
          <w:sz w:val="28"/>
          <w:szCs w:val="28"/>
          <w:rtl w:val="true"/>
          <w:lang w:bidi="fa-IR"/>
        </w:rPr>
        <w:t xml:space="preserve">رأساً؛ إذ یجوز الأخذ بمقدار العشرة من الزائد فی الفرض الثانی، کما سیأتی عن المبسوط؛ عملًا بعموم ما دلّ علی التحیّض بالقوی إلّا ما امتنع التحیض به شرعاً، أو الأخذ منه بمقدار عادة الأهل أو الروایات کما احتمله بعض آخر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المبتدأة ما هو بصفة دم الاستحاضة خمسة أیّام، ثمّ رأت ما هو بصفة الحیض باقی الشهر، یحکم فی أوّل یوم تری ما هو بصفة دم الحیض إلی تمام العشرة بأنّه حیض، و ما بعد ذلک استحاضة، و إن استمرّ علی هیئته جعلت بین الحیضة الأُولی و الحیضة الثانیة عشرة أیّام طهراً و ما بعد ذلک من الحیضة الثانیة، ثمّ علی هذا التقدیر </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إکمال القوی الناقص فی الفرض الأوّل من طرفیه أو أحدهما بما یبلغ أقلّ الحیض؛ لأنّه المتیقّن فی مخالفة الأصل، أو بعادة النساء أو الروایات؛ بناءً علی أنّ الظاهر من أدلّة الرجوع إلیهما عدم الفرق بین ما إذا اختلط تمام الحیض بالاستحاضة و لم یمکن التمییز، أو اختلط بعضه بها کما فی المقام، حیث احتجنا فی إکمال الناقص إلی التتمیم، فیکون الفرق بین هذا و بین الرجوع إلی الروایات أو عادة النساء من أوّل الأمر تعیّن محلّ الأخذ بالروایات أو عادة الأهل علی الأوّل دون الثانی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تبع الشیخ فیما حکیناه عنه کاشف اللثام </w:t>
      </w:r>
      <w:r>
        <w:rPr>
          <w:rStyle w:val="FootnoteAnchor"/>
          <w:rtl w:val="true"/>
        </w:rPr>
        <w:footnoteReference w:id="1379"/>
      </w:r>
      <w:r>
        <w:rPr>
          <w:rFonts w:ascii="IRNazanin" w:hAnsi="IRNazanin" w:eastAsia="IRNazanin"/>
          <w:color w:val="111111"/>
          <w:sz w:val="28"/>
          <w:sz w:val="28"/>
          <w:szCs w:val="28"/>
          <w:rtl w:val="true"/>
          <w:lang w:bidi="fa-IR"/>
        </w:rPr>
        <w:t xml:space="preserve">و سیّد الریاض </w:t>
      </w:r>
      <w:r>
        <w:rPr>
          <w:rStyle w:val="FootnoteAnchor"/>
          <w:rtl w:val="true"/>
        </w:rPr>
        <w:footnoteReference w:id="13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أضافا إلیه تکمیل الناقص بما فی الأخبار أو بعادة النساء، لکن الشیخ قدّس سرّه صرّح فی المبسوط بعدم جواز الإکمال، فقال بعد العبارة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رأت أقلّ من ثلاثة أیّام دم الحیض ثمّ رأت دم الاستحاضة إلی آخر الشهر فهذه لا تمییز لها، فلترجع إلی عادة نسائها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ظاهر أدلّة التمییز هو التحیّض بالقویّ و جعل الضعیف استحاضة، من دون زیادة علی أحدهما من الآخر، فالزائد و الناقص خارجان عن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مراعاة أدلّة التمییز فی طرف القویّ بجعل الناقص حیضاً، ثمّ تکملته من الضعیف لیس بأولی من مراعاتها فی طرف الضعیف فی الفرض الأوّل بجعل مجموعة استحاضة، فیخرج الناقص عن 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مراعاة عموم الحکم علی الضعیف بالاستحاضة فی أدلّة التمییز یوجب خروج هذا المورد عن أدلّة التمییز؛ إذ المفروض اختلاط الحیض بالاستحاضة، فکیف یجعل تمییزهما بجعل الجمیع استحاضة، فیلزم من الرجوع إلی أدلّة التمییز طرحها و الرجوع إلی غیرها من الأخبار و عادة النساء، بخلاف ما لو حکمنا علی الناقص بالحیضیَّة و علی الضعیف بالاستحاضة، إلّا ما یحتاج إلیه فی تکمیل الناقص؛ فإنّه قد حصل التمییز من دون تقیید زائد علی ما هو المعلوم فی کلّ من الضعیف و القویّ من تقییده بصورة القابلیّة شرعاً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ما تقدّم عن الشیخ و من تبعه بالإجماع علی اعتبار الشرطین المتقدّمین؛ إذ لا یخفی أنّ القدر المجمع علیه الذی دلّ علیه</w:t>
      </w:r>
    </w:p>
    <w:p>
      <w:pPr>
        <w:pStyle w:val="BookText"/>
        <w:rPr/>
      </w:pPr>
      <w:r>
        <w:rPr>
          <w:rFonts w:ascii="IRNazanin" w:hAnsi="IRNazanin" w:eastAsia="IRNazanin"/>
          <w:color w:val="111111"/>
          <w:sz w:val="28"/>
          <w:sz w:val="28"/>
          <w:szCs w:val="28"/>
          <w:rtl w:val="true"/>
          <w:lang w:bidi="fa-IR"/>
        </w:rPr>
        <w:t>أدلّة تحدید طرفی الحیض هو عدم جواز العمل بمقتضی التمییز بجعل القوی حیضاً و الضعیف استحاضة من دون إدخال شی‌ء من أحدهما فی الآخر؛ فإنّ هذا هو المخالف لأدلّة تحدید الحیض قلّة و کثرة، و لا دلیل علی هذا الشرط غیرها؛ إذ التمییز علی ما ذکروه من الإکمال و النقص لا إجماع علیه،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الشیخ قد صرّح هو بهذا الشرط،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تراه المرأة بصفة الحیض إنّما یکون له حکم إذا جمع شرطین،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تراه بتلک الصفة ثلاثة أیّام؛ لأنّ ما نقص عنها لا یکون حیضاً،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یزید علی العشرة؛ لأنّ ما زاد علی العشرة لا یکون حیضاً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مراده امتناع جعل تمام ما زاد علی العشرة حیضاً، و مع ذلک فقد عرفت ما تقدّم عنه، فالأولی التمسّک بظهور أدلّة التمییز فی غیر الإکمال و التنقیص، إلّا أنّ خروج هاتین الصورتین عن مورد النصّ لا یقصر عن خروج باقی صور التمییز الغیر المنصوصة التی فهمنا من الروایات ضابطاً کلّیاً یشملها؛ فإنّ کون أحد الدمین القابلین أکدر و الآخر أصفر لا یزید فی مقام الترجیح علی صورة کون بعض أحدهما جامعاً لجمیع صفات الحیض مع خلوّ البعض الآخر عنها أو عن بعضها و تمام الآخر خالیاً عن الکلّ، فتأمّل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أنّ التنقیص عن القویّ المتجاوز للجمیع لعموم أدلّة التمییز إلّا ما امتنع شرعاً لا یوجب إلّا جعل الحیض مقدار العشرة من الدم المتجاوز من غیر فرق بین المتقدّم منه و المتأخّر، فتخصیص الشیخ قدّس سرّه الحیض بالعشرة الاولی لعلّه لمراعاة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الدم المتّصف بصفة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مذهبه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إذا اختلف لونه حکم علی ما فقد صفة الحیض بالاستحاضة؛ لامتناع کونه حیضاً بدلالة أخبار التمییز، و أمّا المتّصف بصفة الحیض فیحکم بحیضیّته مهما أمکن، و منه یعلم مخالفة مذهب الشیخ لمن تبعه، إلّا أنّه یشکل قول الشیخ قدّس سرّه بأنّ قاعدة الإمکان معارضة بالمثل بالنسبة إلی العشرة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الفرض المذکور خارج عن مورد روایات التمییز و روایات الأخذ بالثلاثة و السبعة، إلّا أنّ المستفاد من الروایات الأُولی إناطة الحکم باللون مع اختلاف اللون، و من الروایات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إناطة حکمها بالحیض المختلط بالاستحاضة مع اتّحاد اللون، فیحکم بالاستحاضة علی الأصفر، و بقی الأحمر حیضاً مختلطاً بالاستحاضة من دون تمییز، فیرجع فیه إلی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قصور الدم الضعیف وحده أو مع ما یضاف إلیه من أیّام النقاء عن 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اعتبار هذا الشرط بعد ما تقدّم من أنّ الطهر لا ینقص عن العشرة؛ إذ کما یعتبر فی الحکم علی القوی بالحیضیَّة استجماع شرائط الحیض کذلک یشترط فی الحکم علی الضعیف بالطهریّة استجماعه لشرائط الطهر، و هذا واضح لا ینبغی الخلاف فیه، بل لا خلاف فیه کما عن کشف اللثام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طعن فیه صاحب الحدائق </w:t>
      </w:r>
      <w:r>
        <w:rPr>
          <w:rStyle w:val="FootnoteAnchor"/>
          <w:rtl w:val="true"/>
        </w:rPr>
        <w:footnoteReference w:id="1384"/>
      </w:r>
      <w:r>
        <w:rPr>
          <w:rFonts w:ascii="IRNazanin" w:hAnsi="IRNazanin" w:eastAsia="IRNazanin"/>
          <w:color w:val="111111"/>
          <w:sz w:val="28"/>
          <w:sz w:val="28"/>
          <w:szCs w:val="28"/>
          <w:rtl w:val="true"/>
          <w:lang w:bidi="fa-IR"/>
        </w:rPr>
        <w:t>زاعماً أنّه لا دلیل هنا، بل ظاهر</w:t>
      </w:r>
    </w:p>
    <w:p>
      <w:pPr>
        <w:pStyle w:val="BookText"/>
        <w:rPr/>
      </w:pPr>
      <w:r>
        <w:rPr>
          <w:rFonts w:ascii="IRNazanin" w:hAnsi="IRNazanin" w:eastAsia="IRNazanin"/>
          <w:color w:val="111111"/>
          <w:sz w:val="28"/>
          <w:sz w:val="28"/>
          <w:szCs w:val="28"/>
          <w:rtl w:val="true"/>
          <w:lang w:bidi="fa-IR"/>
        </w:rPr>
        <w:t>الأخبار یردّه، مثل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تری الدم خمسة أیّام و الطهر خمسة، و تری الدم أربعة أیّام و الطهر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لم تصلِّ، و إذا رأت الطهر صلّت ما بینها و بین ثلاثین یوماً، فإذا تمّت ثلاثون یوماً و رأت دماً صبیباً اغتسلت و استثفرت و احتشت بالکرسف فی کلّ صلاة، فإذا رأت صفرة توضّأت</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تری الدم ثلاثة أیّام أو أربعة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الطهر ثلاثة أیّام أو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تصنع ما بینها و بین شهر، فإن انقطع الدم عنها و إلّا فهی بمنزلة المستحاضة</w:t>
      </w:r>
      <w:r>
        <w:rPr>
          <w:rFonts w:eastAsia="IRNazanin" w:cs="IRNazanin"/>
          <w:color w:val="111111"/>
          <w:sz w:val="28"/>
          <w:szCs w:val="28"/>
          <w:rtl w:val="true"/>
          <w:lang w:bidi="fa-IR"/>
        </w:rPr>
        <w:t xml:space="preserve">» </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القول بمضمونها عن الصدوق فی الفقیه </w:t>
      </w:r>
      <w:r>
        <w:rPr>
          <w:rStyle w:val="FootnoteAnchor"/>
          <w:rtl w:val="true"/>
        </w:rPr>
        <w:footnoteReference w:id="1387"/>
      </w:r>
      <w:r>
        <w:rPr>
          <w:rFonts w:ascii="IRNazanin" w:hAnsi="IRNazanin" w:eastAsia="IRNazanin"/>
          <w:color w:val="111111"/>
          <w:sz w:val="28"/>
          <w:sz w:val="28"/>
          <w:szCs w:val="28"/>
          <w:rtl w:val="true"/>
          <w:lang w:bidi="fa-IR"/>
        </w:rPr>
        <w:t xml:space="preserve">و المقنع </w:t>
      </w:r>
      <w:r>
        <w:rPr>
          <w:rStyle w:val="FootnoteAnchor"/>
          <w:rtl w:val="true"/>
        </w:rPr>
        <w:footnoteReference w:id="1388"/>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1389"/>
      </w:r>
      <w:r>
        <w:rPr>
          <w:rFonts w:ascii="IRNazanin" w:hAnsi="IRNazanin" w:eastAsia="IRNazanin"/>
          <w:color w:val="111111"/>
          <w:sz w:val="28"/>
          <w:sz w:val="28"/>
          <w:szCs w:val="28"/>
          <w:rtl w:val="true"/>
          <w:lang w:bidi="fa-IR"/>
        </w:rPr>
        <w:t xml:space="preserve">و المبسوط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حمَلَهما فی الاستبصار علی مضطربة اختلطت عادتها فی الحیض و تغیّرت عن عادتها </w:t>
      </w:r>
      <w:r>
        <w:rPr>
          <w:rStyle w:val="FootnoteAnchor"/>
          <w:rtl w:val="true"/>
        </w:rPr>
        <w:footnoteReference w:id="1391"/>
      </w:r>
      <w:r>
        <w:rPr>
          <w:rFonts w:ascii="IRNazanin" w:hAnsi="IRNazanin" w:eastAsia="IRNazanin"/>
          <w:color w:val="111111"/>
          <w:sz w:val="28"/>
          <w:sz w:val="28"/>
          <w:szCs w:val="28"/>
          <w:rtl w:val="true"/>
          <w:lang w:bidi="fa-IR"/>
        </w:rPr>
        <w:t>، و کذا أیّام أقرائها و اشتبه علیها صفة الدم و لا یتمیّز لها دم الحیض عن غیره، فإذا کانت کذلک ففرضها إذا رأت الدم أن تترک</w:t>
      </w:r>
    </w:p>
    <w:p>
      <w:pPr>
        <w:pStyle w:val="BookText"/>
        <w:rPr/>
      </w:pPr>
      <w:r>
        <w:rPr>
          <w:rFonts w:ascii="Amiri" w:hAnsi="Amiri" w:eastAsia="Amiri" w:cs="Amiri"/>
          <w:color w:val="111111"/>
          <w:sz w:val="28"/>
          <w:sz w:val="28"/>
          <w:szCs w:val="28"/>
          <w:rtl w:val="true"/>
          <w:lang w:bidi="ar-SA"/>
        </w:rPr>
        <w:t xml:space="preserve">الصلاة، و إذا رأت الطهر صلّت </w:t>
      </w:r>
      <w:r>
        <w:rPr>
          <w:rStyle w:val="FootnoteAnchor"/>
          <w:rtl w:val="true"/>
        </w:rPr>
        <w:footnoteReference w:id="1392"/>
      </w:r>
      <w:r>
        <w:rPr>
          <w:rFonts w:ascii="IRNazanin" w:hAnsi="IRNazanin" w:eastAsia="IRNazanin"/>
          <w:color w:val="111111"/>
          <w:sz w:val="28"/>
          <w:sz w:val="28"/>
          <w:szCs w:val="28"/>
          <w:rtl w:val="true"/>
          <w:lang w:bidi="fa-IR"/>
        </w:rPr>
        <w:t>إلی أن تعرف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هذا حکم امرأة مستحاضة اختلطت علیها أیّام حیضها و تغیّرت عادتها، و استمرّ بها الدم فتری ما یشبه دم الحیض ثلاثة أیّام و ما یشبه دم الاستحاضة ثلاثة أیّام، ففرضها أن تترک الصلاة کلّما رأت ما یشبه دم الحیض و تصلّی کلّما رأت دم الاستحاضة إلی شهر، و تعمل بعد ذلک ما تعمله المستحاضة، و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عمّا یشبه دم الاستحاضة، لأنّ الاستحاضة بحکم الطهر </w:t>
      </w:r>
      <w:r>
        <w:rPr>
          <w:rStyle w:val="FootnoteAnchor"/>
          <w:rtl w:val="true"/>
        </w:rPr>
        <w:footnoteReference w:id="1393"/>
      </w:r>
      <w:r>
        <w:rPr>
          <w:rFonts w:ascii="IRNazanin" w:hAnsi="IRNazanin" w:eastAsia="IRNazanin"/>
          <w:color w:val="111111"/>
          <w:sz w:val="28"/>
          <w:sz w:val="28"/>
          <w:szCs w:val="28"/>
          <w:rtl w:val="true"/>
          <w:lang w:bidi="fa-IR"/>
        </w:rPr>
        <w:t>، انتهی کلام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لیس فی ظاهر الخبرین و لا فی فتوی الصدوق و الشیخ بمضمونهما و لا فی أوّل الحملین اللذین ذکرهما فی الاستبصار منافاة لمذهب المشهور هنا من اعتبار بلوغ أقلّ الطهر فی الضعیف؛ لأنّ معنی ذلک أنّ الدم الضعیف بمنزلة النقاء الحقیقی، و الخبران یدلّان علی أنّه لا یشترط فی الطهر الحقیقی کونه عشرة، فهما فی الحقیقة منافیان لإطلاق ما دلّ علی اعتبار کون الطهر عشرة فما زاد، و حینئذٍ فلو فرض العمل بظاهرهما کما عن الصدوق و الشیخ فلا بدّ أن یخصّص بهما أدلّة أقلّ الطهر، و أن یخصّصا بأدلّة التمییز، فیصیر مورد التمییز خارجاً عنهما، فأین دلالتهما علی عدم اعتبار أقلّ الطهر فی الدم الضعیف من ذات التمییز؟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ما عرفت سابقاً فی مسألة أقلّ الطهر من أنّهما لا یدلّان إلّا علی وجوب التحیّض کلّما رأت الدم، و التعبّد کلّما رأت الطهر، و هذا ممّا نقول به، و لعلّه أیضاً مراد الصدوق و الشیخ من فتواهما کما اعترف به المحقّق</w:t>
      </w:r>
    </w:p>
    <w:p>
      <w:pPr>
        <w:pStyle w:val="BookText"/>
        <w:rPr/>
      </w:pPr>
      <w:r>
        <w:rPr>
          <w:rFonts w:ascii="IRNazanin" w:hAnsi="IRNazanin" w:eastAsia="IRNazanin"/>
          <w:color w:val="111111"/>
          <w:sz w:val="28"/>
          <w:sz w:val="28"/>
          <w:szCs w:val="28"/>
          <w:rtl w:val="true"/>
          <w:lang w:bidi="fa-IR"/>
        </w:rPr>
        <w:t xml:space="preserve">فی توجیه کلام الشیخ و قد تقدّم فی مسألة أقلّ الطهر </w:t>
      </w:r>
      <w:r>
        <w:rPr>
          <w:rStyle w:val="FootnoteAnchor"/>
          <w:rtl w:val="true"/>
        </w:rPr>
        <w:footnoteReference w:id="1394"/>
      </w:r>
      <w:r>
        <w:rPr>
          <w:rFonts w:ascii="IRNazanin" w:hAnsi="IRNazanin" w:eastAsia="IRNazanin"/>
          <w:color w:val="111111"/>
          <w:sz w:val="28"/>
          <w:sz w:val="28"/>
          <w:szCs w:val="28"/>
          <w:rtl w:val="true"/>
          <w:lang w:bidi="fa-IR"/>
        </w:rPr>
        <w:t>، و لا دلالة فیهما علی کون کلّ دم حیضاً واقعیّاً، و کلّ طهر طهراً واقعیاً کذلک، و إلّا لزم إمّا کون الحیض الواحد أکثر من عشرة لو جعل جمیع ما تراه فی ثلاثین یوماً من الدم حیضاً واحداً، و إمّا عدم تخلّل العشرة بین الحیضتین المستقلّتین، و کلاهما ضروری البطلان عند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الحمل الأخیر الذی ذکره فی الاستبصار، فهو و إن کان صریحاً فی عدم اعتبار بلوغ الضعیف أقلّ الطهر، کما اعترف به فی الذکری </w:t>
      </w:r>
      <w:r>
        <w:rPr>
          <w:rStyle w:val="FootnoteAnchor"/>
          <w:rtl w:val="true"/>
        </w:rPr>
        <w:footnoteReference w:id="1395"/>
      </w:r>
      <w:r>
        <w:rPr>
          <w:rFonts w:ascii="IRNazanin" w:hAnsi="IRNazanin" w:eastAsia="IRNazanin"/>
          <w:color w:val="111111"/>
          <w:sz w:val="28"/>
          <w:sz w:val="28"/>
          <w:szCs w:val="28"/>
          <w:rtl w:val="true"/>
          <w:lang w:bidi="fa-IR"/>
        </w:rPr>
        <w:t>، إلّا أنّه لا ریب فی مخالفته لظاهر الخبرین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الظاهر أنّ الشیخ إنّما ذکره احتمالًا لا علی وجه یفتی به، و لذا صرّح فی مواضع من المبسوط باعتبار هذا الشرط فی الدم الضعیف،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محکیّ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إن رأت دم الحیض خمسة أیّام مثلًا، ثمّ رأت دم الاستحاضة و جاز العشرة إلی خمسة عشر یوماً، ثمّ رأت دم الحیض، کان ذلک من الحیضة الثانیة؛ لأنّها استوفت أقلّ الطهر، و کذلک إن رأت دم الحیض أقلّ من خمسة أیّام، ثمّ دم الاستحاضة و جاز العشرة، ثمّ رأت دم الحیض یستوفی من وقت ما رأت دم الاستحاضة عشرة أیّام، ثمّ یحکم بما تراه بعد ذلک أنّه من الحیضة </w:t>
      </w:r>
      <w:r>
        <w:rPr>
          <w:rStyle w:val="FootnoteAnchor"/>
          <w:rtl w:val="true"/>
        </w:rPr>
        <w:footnoteReference w:id="1396"/>
      </w:r>
      <w:r>
        <w:rPr>
          <w:rFonts w:ascii="Amiri" w:hAnsi="Amiri" w:eastAsia="Amiri" w:cs="Amiri"/>
          <w:color w:val="111111"/>
          <w:sz w:val="28"/>
          <w:sz w:val="28"/>
          <w:szCs w:val="28"/>
          <w:rtl w:val="true"/>
          <w:lang w:bidi="ar-SA"/>
        </w:rPr>
        <w:t>المستقبلة، فإن رأت</w:t>
      </w:r>
    </w:p>
    <w:p>
      <w:pPr>
        <w:pStyle w:val="BookText"/>
        <w:rPr/>
      </w:pPr>
      <w:r>
        <w:rPr>
          <w:rFonts w:ascii="IRNazanin" w:hAnsi="IRNazanin" w:eastAsia="IRNazanin"/>
          <w:color w:val="111111"/>
          <w:sz w:val="28"/>
          <w:sz w:val="28"/>
          <w:szCs w:val="28"/>
          <w:rtl w:val="true"/>
          <w:lang w:bidi="fa-IR"/>
        </w:rPr>
        <w:t xml:space="preserve">أوّلًا دم الحیض سبعة أیّام، ثمّ رأت بعد ذلک دم الاستحاضة و جاز العشرة تستوفی أقلّ الطهر عشرة أیّام، سواء انقطع الدم قبل ذلک، أو تغیّر و رجع إلی لون الحیض أو لم یرجع؛ لأنّ الطهر لا یکون أقلّ من عشرة أیّام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اشتراط بلوغ الضعیف أقلّ الطهر بنفسه أو بانضمام النقاء إذا اتّفق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المتیقّن من ذلک الذی یدلّ علیه أدلّة أقلّ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الضعیف متی کان دون أقلّ الطهر لم یجز الحکم بحیضیَّة مجموع طرفیه، و لا کلّ واحد منهما بالاستقلال، مع الحکم علی الضعیف بکونه طهراً، فإذا رأت دماً أسود ثمّ أصفر ثمّ أسود، فلا یجوز الحکم علی کلٍّ من الأسودین بالحیضیَّة و علی الأصفر بالطهر، إنّما الإشکال فی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یکون هذا الفرض خارجاً عن مورد التمییز کما عن المعتبر </w:t>
      </w:r>
      <w:r>
        <w:rPr>
          <w:rStyle w:val="FootnoteAnchor"/>
          <w:rtl w:val="true"/>
        </w:rPr>
        <w:footnoteReference w:id="1398"/>
      </w:r>
      <w:r>
        <w:rPr>
          <w:rFonts w:ascii="IRNazanin" w:hAnsi="IRNazanin" w:eastAsia="IRNazanin"/>
          <w:color w:val="111111"/>
          <w:sz w:val="28"/>
          <w:sz w:val="28"/>
          <w:szCs w:val="28"/>
          <w:rtl w:val="true"/>
          <w:lang w:bidi="fa-IR"/>
        </w:rPr>
        <w:t xml:space="preserve">و التذکرة </w:t>
      </w:r>
      <w:r>
        <w:rPr>
          <w:rStyle w:val="FootnoteAnchor"/>
          <w:rtl w:val="true"/>
        </w:rPr>
        <w:footnoteReference w:id="1399"/>
      </w:r>
      <w:r>
        <w:rPr>
          <w:rFonts w:ascii="IRNazanin" w:hAnsi="IRNazanin" w:eastAsia="IRNazanin"/>
          <w:color w:val="111111"/>
          <w:sz w:val="28"/>
          <w:sz w:val="28"/>
          <w:szCs w:val="28"/>
          <w:rtl w:val="true"/>
          <w:lang w:bidi="fa-IR"/>
        </w:rPr>
        <w:t>نظراً إلی عدم إمکان العمل بمقتضی أدلّة التمییز هنا؛ لوجوب رفع الید عنها بالنسبة إلی حیضیَّة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 الوسط استحاضة، و لا مرجّح، ففی الحقیقة لا یحصل التمییز بالرجوع إلی أدلّته فی هذا الفرض</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یکون داخلًا تحتها؛ لاقتضائها بعمومها وجوب الحکم علی القویّ بالحیضیَّة ما لم تمتنع شرعاً و علی الضعیف بالاستحاضة کذلک؟ و علیه فهل</w:t>
      </w:r>
    </w:p>
    <w:p>
      <w:pPr>
        <w:pStyle w:val="BookText"/>
        <w:rPr/>
      </w:pPr>
      <w:r>
        <w:rPr>
          <w:rFonts w:ascii="IRNazanin" w:hAnsi="IRNazanin" w:eastAsia="IRNazanin"/>
          <w:color w:val="111111"/>
          <w:sz w:val="28"/>
          <w:sz w:val="28"/>
          <w:szCs w:val="28"/>
          <w:rtl w:val="true"/>
          <w:lang w:bidi="fa-IR"/>
        </w:rPr>
        <w:t>یجعل المجموع من القویّ و الضعیف حیضاً مع فرض الإمکان؛ نظراً إلی حیضیَّة کلّ من الأسودین بمقتضی العموم، فیتبعها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الحکم بطهریّة الأصفر فیتبعه أحد الأسودین؛ لأنّ الحکم بطهریّة الضعیف من باب عدم صلاحیّة الحیض و أصالة الطهر، فإذا تحقّق علامة الحیض فی الطرفین فهی العلامة لحیضیَّة الوسط، و لا یکفی إمکان الاستحاضة فی کون الأصفر إیّاها، فضلًا عن تبعیّة الأسود له، أو یحکم علی أحد الأسودین بالحیضیَّة و علی الآخر مع الأصفر بالاستحاضة؛ لمنع ما ذکر من کون طهریّة الضعیف من جهة عدم علامة الحیض، بل الظاهر أنّه من جهة وجود علامة الاستحاضة، فالأصفر واجب الطهریّة بمقتضی أدلّة التمییز، کما أنّ الأسود واجب 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فساد قیاس الدم الضعیف علی النقاء المتخلّل بین دمین ممکنی الحیضیَّة مع عدم تجاوز المجموع العشرة، بل جعله أولی بالحکم علیه بالحیضیَّة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تخصیص الحیضیَّة بأحد الأسودین، فهل المختصّ هو المتأخّر کما عن المبسوط </w:t>
      </w:r>
      <w:r>
        <w:rPr>
          <w:rStyle w:val="FootnoteAnchor"/>
          <w:rtl w:val="true"/>
        </w:rPr>
        <w:footnoteReference w:id="1400"/>
      </w:r>
      <w:r>
        <w:rPr>
          <w:rFonts w:ascii="IRNazanin" w:hAnsi="IRNazanin" w:eastAsia="IRNazanin"/>
          <w:color w:val="111111"/>
          <w:sz w:val="28"/>
          <w:sz w:val="28"/>
          <w:szCs w:val="28"/>
          <w:rtl w:val="true"/>
          <w:lang w:bidi="fa-IR"/>
        </w:rPr>
        <w:t xml:space="preserve">، أو المتقدّم کما عن الذکری </w:t>
      </w:r>
      <w:r>
        <w:rPr>
          <w:rStyle w:val="FootnoteAnchor"/>
          <w:rtl w:val="true"/>
        </w:rPr>
        <w:footnoteReference w:id="1401"/>
      </w:r>
      <w:r>
        <w:rPr>
          <w:rFonts w:ascii="IRNazanin" w:hAnsi="IRNazanin" w:eastAsia="IRNazanin"/>
          <w:color w:val="111111"/>
          <w:sz w:val="28"/>
          <w:sz w:val="28"/>
          <w:szCs w:val="28"/>
          <w:rtl w:val="true"/>
          <w:lang w:bidi="fa-IR"/>
        </w:rPr>
        <w:t xml:space="preserve">و المدارک </w:t>
      </w:r>
      <w:r>
        <w:rPr>
          <w:rStyle w:val="FootnoteAnchor"/>
          <w:rtl w:val="true"/>
        </w:rPr>
        <w:footnoteReference w:id="1402"/>
      </w:r>
      <w:r>
        <w:rPr>
          <w:rFonts w:ascii="IRNazanin" w:hAnsi="IRNazanin" w:eastAsia="IRNazanin"/>
          <w:color w:val="111111"/>
          <w:sz w:val="28"/>
          <w:sz w:val="28"/>
          <w:szCs w:val="28"/>
          <w:rtl w:val="true"/>
          <w:lang w:bidi="fa-IR"/>
        </w:rPr>
        <w:t xml:space="preserve">، و یظهر عن المنتهی </w:t>
      </w:r>
      <w:r>
        <w:rPr>
          <w:rStyle w:val="FootnoteAnchor"/>
          <w:rtl w:val="true"/>
        </w:rPr>
        <w:footnoteReference w:id="1403"/>
      </w:r>
      <w:r>
        <w:rPr>
          <w:rFonts w:ascii="IRNazanin" w:hAnsi="IRNazanin" w:eastAsia="IRNazanin"/>
          <w:color w:val="111111"/>
          <w:sz w:val="28"/>
          <w:sz w:val="28"/>
          <w:szCs w:val="28"/>
          <w:rtl w:val="true"/>
          <w:lang w:bidi="fa-IR"/>
        </w:rPr>
        <w:t>أیضاً؟ لم أقف بشی‌ء منهما علی دلیل یعتدّ 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جعل المجموع حیضاً مع الإمکان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فائدة هذا الشرط منحصرة فیما إذا تخلّل الضعیف بین قویّین لم یثبت حیضیَّة أحدهما، و إلّا فلو فرض عدم مسبوقیّة الضعیف لقویّ أو عدم ملحوقیّته به کان بلوغ الضعیف وحده أو مع النقاء أقلّ الطهر حاصلًا لا محالة، و کذا لو کان متخلّلًا بین قویّین لکن ثبت حیضیَّة أحد الطرفین بعادة أو نحوها، إذ حینئذٍ یحصل القطع بعدم حیضیَّة الضعیف و کونه فی حکم العدم، و حینئذٍ فیخرج القویّ عن مورد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ذلک أنّ مقصودهم من الاشتراط هو بیان حکم صورة تخلّل الضعیف بین قویّین أمکن حیضیَّة کلّ منهما، و أنّ ما ذکره کاشف اللثام </w:t>
      </w:r>
      <w:r>
        <w:rPr>
          <w:rStyle w:val="FootnoteAnchor"/>
          <w:rtl w:val="true"/>
        </w:rPr>
        <w:footnoteReference w:id="1404"/>
      </w:r>
      <w:r>
        <w:rPr>
          <w:rFonts w:ascii="IRNazanin" w:hAnsi="IRNazanin" w:eastAsia="IRNazanin"/>
          <w:color w:val="111111"/>
          <w:sz w:val="28"/>
          <w:sz w:val="28"/>
          <w:szCs w:val="28"/>
          <w:rtl w:val="true"/>
          <w:lang w:bidi="fa-IR"/>
        </w:rPr>
        <w:t xml:space="preserve">من أنّه لا خلاف فی هذا الشرط، إنّما الخلاف فیما إذا تخلّل الضعیف أقلّ من عشرة القویّین مع صلاحیّة الدم للحیضیَّة فی کلّ من الطرفین، لیس فی محلّه؛ لما عرفت من أنّ هذا هو محلّ الاشتراط لا غیر، و سیأتی عن النهایة ما یوضح ما ذکرنا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فالأجود جعل أصل اشتراط هذا الشرط محلّ الخلاف کما صنع فی الذکری </w:t>
      </w:r>
      <w:r>
        <w:rPr>
          <w:rStyle w:val="FootnoteAnchor"/>
          <w:rtl w:val="true"/>
        </w:rPr>
        <w:footnoteReference w:id="1406"/>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407"/>
      </w:r>
      <w:r>
        <w:rPr>
          <w:rFonts w:ascii="IRNazanin" w:hAnsi="IRNazanin" w:eastAsia="IRNazanin"/>
          <w:color w:val="111111"/>
          <w:sz w:val="28"/>
          <w:sz w:val="28"/>
          <w:szCs w:val="28"/>
          <w:rtl w:val="true"/>
          <w:lang w:bidi="fa-IR"/>
        </w:rPr>
        <w:t xml:space="preserve">و الروض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کلّ من تعرّض لهذا الشرط یکون القویّان الحافّان للضعیف البالغ أقلّ الطهر عنده حیضین مستقلّین، فیمکن لذات</w:t>
      </w:r>
    </w:p>
    <w:p>
      <w:pPr>
        <w:pStyle w:val="BookText"/>
        <w:rPr/>
      </w:pPr>
      <w:r>
        <w:rPr>
          <w:rFonts w:ascii="IRNazanin" w:hAnsi="IRNazanin" w:eastAsia="IRNazanin"/>
          <w:color w:val="111111"/>
          <w:sz w:val="28"/>
          <w:sz w:val="28"/>
          <w:szCs w:val="28"/>
          <w:rtl w:val="true"/>
          <w:lang w:bidi="fa-IR"/>
        </w:rPr>
        <w:t xml:space="preserve">التمییز حصول حیضات فی شهر واحد، و قد صرّح به فی غیر موضع من المنتهی </w:t>
      </w:r>
      <w:r>
        <w:rPr>
          <w:rStyle w:val="FootnoteAnchor"/>
          <w:rtl w:val="true"/>
        </w:rPr>
        <w:footnoteReference w:id="1409"/>
      </w:r>
      <w:r>
        <w:rPr>
          <w:rFonts w:ascii="IRNazanin" w:hAnsi="IRNazanin" w:eastAsia="IRNazanin"/>
          <w:color w:val="111111"/>
          <w:sz w:val="28"/>
          <w:sz w:val="28"/>
          <w:szCs w:val="28"/>
          <w:rtl w:val="true"/>
          <w:lang w:bidi="fa-IR"/>
        </w:rPr>
        <w:t xml:space="preserve">و المبسوط </w:t>
      </w:r>
      <w:r>
        <w:rPr>
          <w:rStyle w:val="FootnoteAnchor"/>
          <w:rtl w:val="true"/>
        </w:rPr>
        <w:footnoteReference w:id="1410"/>
      </w:r>
      <w:r>
        <w:rPr>
          <w:rFonts w:ascii="IRNazanin" w:hAnsi="IRNazanin" w:eastAsia="IRNazanin"/>
          <w:color w:val="111111"/>
          <w:sz w:val="28"/>
          <w:sz w:val="28"/>
          <w:szCs w:val="28"/>
          <w:rtl w:val="true"/>
          <w:lang w:bidi="fa-IR"/>
        </w:rPr>
        <w:t xml:space="preserve">و البیان </w:t>
      </w:r>
      <w:r>
        <w:rPr>
          <w:rStyle w:val="FootnoteAnchor"/>
          <w:rtl w:val="true"/>
        </w:rPr>
        <w:footnoteReference w:id="1411"/>
      </w:r>
      <w:r>
        <w:rPr>
          <w:rFonts w:ascii="IRNazanin" w:hAnsi="IRNazanin" w:eastAsia="IRNazanin"/>
          <w:color w:val="111111"/>
          <w:sz w:val="28"/>
          <w:sz w:val="28"/>
          <w:szCs w:val="28"/>
          <w:rtl w:val="true"/>
          <w:lang w:bidi="fa-IR"/>
        </w:rPr>
        <w:t xml:space="preserve">، بل ربما نسب </w:t>
      </w:r>
      <w:r>
        <w:rPr>
          <w:rStyle w:val="FootnoteAnchor"/>
          <w:rtl w:val="true"/>
        </w:rPr>
        <w:footnoteReference w:id="1412"/>
      </w:r>
      <w:r>
        <w:rPr>
          <w:rFonts w:ascii="IRNazanin" w:hAnsi="IRNazanin" w:eastAsia="IRNazanin"/>
          <w:color w:val="111111"/>
          <w:sz w:val="28"/>
          <w:sz w:val="28"/>
          <w:szCs w:val="28"/>
          <w:rtl w:val="true"/>
          <w:lang w:bidi="fa-IR"/>
        </w:rPr>
        <w:t>إلی ظاهر کلمات الأصحاب، بل الظاهر من المصنّف قدّس سرّه فی النهایة أنّ المقصود من هذا الاشتراط الحکم بتعدّد الحیض؛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لا ینقص الضعیف أو هو مع النقاء عن عشرة؛ لأنّا نرید أن نجعله طهراً، و القویّ بعده حیضة أُخری </w:t>
      </w:r>
      <w:r>
        <w:rPr>
          <w:rStyle w:val="FootnoteAnchor"/>
          <w:rtl w:val="true"/>
        </w:rPr>
        <w:footnoteReference w:id="141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کلّه لعموم أدلّة التمییز إلّا أنّه یشکل هذا فی الناسیة، فإنّ ظاهر روایة یونس أنّها تعرف أیّامها بصفة الدم، و فیها مواضع أُخر من الدلالة علی عدم تحیّض المستحاضة أکثر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حصول التمییز بصفات الحیض و الاستحاضة المنصوصة فی النصوص المعتبرة کالسواد و الحرارة و الدفع و أضدادها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غیرها کالغلظة و النتن، فالتمییز بها لا یخلو عن إشکال، و إن کان یظهر من الشیخ </w:t>
      </w:r>
      <w:r>
        <w:rPr>
          <w:rStyle w:val="FootnoteAnchor"/>
          <w:rtl w:val="true"/>
        </w:rPr>
        <w:footnoteReference w:id="1414"/>
      </w:r>
      <w:r>
        <w:rPr>
          <w:rFonts w:ascii="IRNazanin" w:hAnsi="IRNazanin" w:eastAsia="IRNazanin"/>
          <w:color w:val="111111"/>
          <w:sz w:val="28"/>
          <w:sz w:val="28"/>
          <w:szCs w:val="28"/>
          <w:rtl w:val="true"/>
          <w:lang w:bidi="fa-IR"/>
        </w:rPr>
        <w:t xml:space="preserve">و المحقّق؛ حیث أطلق الأوّل التمییز بصفات الحیض و الاستحاضة، و عبّر الثانی بجعل ما شابه دم الحیض حیضاً و ما شابه الاستحاضة استحاضة </w:t>
      </w:r>
      <w:r>
        <w:rPr>
          <w:rStyle w:val="FootnoteAnchor"/>
          <w:rtl w:val="true"/>
        </w:rPr>
        <w:footnoteReference w:id="1415"/>
      </w:r>
      <w:r>
        <w:rPr>
          <w:rFonts w:ascii="IRNazanin" w:hAnsi="IRNazanin" w:eastAsia="IRNazanin"/>
          <w:color w:val="111111"/>
          <w:sz w:val="28"/>
          <w:sz w:val="28"/>
          <w:szCs w:val="28"/>
          <w:rtl w:val="true"/>
          <w:lang w:bidi="fa-IR"/>
        </w:rPr>
        <w:t xml:space="preserve">، بل عرفت فی أوّل المسألة </w:t>
      </w:r>
      <w:r>
        <w:rPr>
          <w:rStyle w:val="FootnoteAnchor"/>
          <w:rtl w:val="true"/>
        </w:rPr>
        <w:footnoteReference w:id="1416"/>
      </w:r>
      <w:r>
        <w:rPr>
          <w:rFonts w:ascii="IRNazanin" w:hAnsi="IRNazanin" w:eastAsia="IRNazanin"/>
          <w:color w:val="111111"/>
          <w:sz w:val="28"/>
          <w:sz w:val="28"/>
          <w:szCs w:val="28"/>
          <w:rtl w:val="true"/>
          <w:lang w:bidi="fa-IR"/>
        </w:rPr>
        <w:t>دعواه إجماع فقهاء</w:t>
      </w:r>
    </w:p>
    <w:p>
      <w:pPr>
        <w:pStyle w:val="BookText"/>
        <w:rPr/>
      </w:pPr>
      <w:r>
        <w:rPr>
          <w:rFonts w:ascii="IRNazanin" w:hAnsi="IRNazanin" w:eastAsia="IRNazanin"/>
          <w:color w:val="111111"/>
          <w:sz w:val="28"/>
          <w:sz w:val="28"/>
          <w:szCs w:val="28"/>
          <w:rtl w:val="true"/>
          <w:lang w:bidi="fa-IR"/>
        </w:rPr>
        <w:t xml:space="preserve">أهل البیت علیهم السلام بذلک، و قد صرّح بذلک المصنّف قدّس سرّه </w:t>
      </w:r>
      <w:r>
        <w:rPr>
          <w:rStyle w:val="FootnoteAnchor"/>
          <w:rtl w:val="true"/>
        </w:rPr>
        <w:footnoteReference w:id="1417"/>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418"/>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419"/>
      </w:r>
      <w:r>
        <w:rPr>
          <w:rFonts w:ascii="IRNazanin" w:hAnsi="IRNazanin" w:eastAsia="IRNazanin"/>
          <w:color w:val="111111"/>
          <w:sz w:val="28"/>
          <w:sz w:val="28"/>
          <w:szCs w:val="28"/>
          <w:rtl w:val="true"/>
          <w:lang w:bidi="fa-IR"/>
        </w:rPr>
        <w:t xml:space="preserve">و غیرهم </w:t>
      </w:r>
      <w:r>
        <w:rPr>
          <w:rStyle w:val="FootnoteAnchor"/>
          <w:rtl w:val="true"/>
        </w:rPr>
        <w:footnoteReference w:id="1420"/>
      </w:r>
      <w:r>
        <w:rPr>
          <w:rFonts w:ascii="IRNazanin" w:hAnsi="IRNazanin" w:eastAsia="IRNazanin"/>
          <w:color w:val="111111"/>
          <w:sz w:val="28"/>
          <w:sz w:val="28"/>
          <w:szCs w:val="28"/>
          <w:rtl w:val="true"/>
          <w:lang w:bidi="fa-IR"/>
        </w:rPr>
        <w:t>حیث ذکروا إنّ القوّة و الضعف یحصل بصفات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فالأسود قویّ الأحمر، و هو قویّ الأشقر، و هو قویّ الأصفر و الأکدر، کما فی النهایة </w:t>
      </w:r>
      <w:r>
        <w:rPr>
          <w:rStyle w:val="FootnoteAnchor"/>
          <w:rtl w:val="true"/>
        </w:rPr>
        <w:footnoteReference w:id="1421"/>
      </w:r>
      <w:r>
        <w:rPr>
          <w:rFonts w:ascii="IRNazanin" w:hAnsi="IRNazanin" w:eastAsia="IRNazanin"/>
          <w:color w:val="111111"/>
          <w:sz w:val="28"/>
          <w:sz w:val="28"/>
          <w:szCs w:val="28"/>
          <w:rtl w:val="true"/>
          <w:lang w:bidi="fa-IR"/>
        </w:rPr>
        <w:t>، و زاد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الأصفر قویّ الأکدر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الرائحة، فذو الرائحة الکریهة قویّ قلیلها، و هو قویّ عدیمها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الثخانة، فالثخین قویّ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یلزمهم ملاحظة مراتب الصفات، فالأشدّ سواداً أو حرارةً أو ثخانة قویّ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 ذا الوصفین قویّ ذی الواحد إذا لم یکن أقوی منهما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کلّه لما یستفاد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العبرة بقوّة الدم و ضعفه عند اشتباه الحیض بالاستحاضة، کما یشعر به بل یدلّ علیه التعبیر عن ذلک فی المرسلة بالإقبال و الإدبار </w:t>
      </w:r>
      <w:r>
        <w:rPr>
          <w:rStyle w:val="FootnoteAnchor"/>
          <w:rtl w:val="true"/>
        </w:rPr>
        <w:footnoteReference w:id="1423"/>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أسود</w:t>
      </w:r>
    </w:p>
    <w:p>
      <w:pPr>
        <w:pStyle w:val="BookText"/>
        <w:rPr/>
      </w:pP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لیس به خفاء</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فإنّ الظاهر من وکوله إلی الوضوح مع أنّه لا یتّضح عند العرف و لا یمتاز عن الاستحاضة إلّا بالقوّة و الضعف مطلقاً، لا خصوص ما نصّ به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فی التمییز بمطلق الأمارات المختصّة بالحیض غالباً الکاشفة عند العرف عن الحیض کشفاً ظنیّاً، لا أنّ العبرة بمطلق الظنّ حتّی یلزمه اعتبار الظنّ و لو من غیر الصفات، و 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وجد فی أحد الدمین صفة، و فی الآخر اخری مع تساویهما فی القوّة و لم یمکن التحیّض بمجموعهما، فعن ظاهر التذکرة أو محتملة </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التحیّض بالمقدّم، و حکاه فیها عن الشافعی، و لم یعلم وجه الترجیح؛ و لذا تردّد فی النهایة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انحصر الدم فی القویّ و الأقوی و تعارضا، فلا إشکال فی تقدیم الأقوی بناءً علی التقدّم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اجتمع معهما </w:t>
      </w:r>
      <w:r>
        <w:rPr>
          <w:rStyle w:val="FootnoteAnchor"/>
          <w:rtl w:val="true"/>
        </w:rPr>
        <w:footnoteReference w:id="1428"/>
      </w:r>
      <w:r>
        <w:rPr>
          <w:rFonts w:ascii="IRNazanin" w:hAnsi="IRNazanin" w:eastAsia="IRNazanin"/>
          <w:color w:val="111111"/>
          <w:sz w:val="28"/>
          <w:sz w:val="28"/>
          <w:szCs w:val="28"/>
          <w:rtl w:val="true"/>
          <w:lang w:bidi="fa-IR"/>
        </w:rPr>
        <w:t xml:space="preserve">ضعیف کما لو رأت السواد ثلاثاً و الحمرة ثلاثاً ثمّ رأت الصفرة و تجاوزت، فهل الحیض السواد خاصّة کما عن المعتبر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و المنتهی </w:t>
      </w:r>
      <w:r>
        <w:rPr>
          <w:rStyle w:val="FootnoteAnchor"/>
          <w:rtl w:val="true"/>
        </w:rPr>
        <w:footnoteReference w:id="1430"/>
      </w:r>
      <w:r>
        <w:rPr>
          <w:rFonts w:ascii="IRNazanin" w:hAnsi="IRNazanin" w:eastAsia="IRNazanin"/>
          <w:color w:val="111111"/>
          <w:sz w:val="28"/>
          <w:sz w:val="28"/>
          <w:szCs w:val="28"/>
          <w:rtl w:val="true"/>
          <w:lang w:bidi="fa-IR"/>
        </w:rPr>
        <w:t xml:space="preserve">و موضع </w:t>
      </w:r>
      <w:r>
        <w:rPr>
          <w:rStyle w:val="FootnoteAnchor"/>
          <w:rtl w:val="true"/>
        </w:rPr>
        <w:footnoteReference w:id="1431"/>
      </w:r>
      <w:r>
        <w:rPr>
          <w:rFonts w:ascii="IRNazanin" w:hAnsi="IRNazanin" w:eastAsia="IRNazanin"/>
          <w:color w:val="111111"/>
          <w:sz w:val="28"/>
          <w:sz w:val="28"/>
          <w:szCs w:val="28"/>
          <w:rtl w:val="true"/>
          <w:lang w:bidi="fa-IR"/>
        </w:rPr>
        <w:t xml:space="preserve">من التذکرة؛ مستنداً إلی أنّ الحمرة مع السواد طهرٌ عند التجاوز مع الانفراد عن الصفرة فکذا مع الانضمام أم هو مع الحمرة کما عن نهایة الإحکام </w:t>
      </w:r>
      <w:r>
        <w:rPr>
          <w:rStyle w:val="FootnoteAnchor"/>
          <w:rtl w:val="true"/>
        </w:rPr>
        <w:footnoteReference w:id="1432"/>
      </w:r>
      <w:r>
        <w:rPr>
          <w:rFonts w:ascii="IRNazanin" w:hAnsi="IRNazanin" w:eastAsia="IRNazanin"/>
          <w:color w:val="111111"/>
          <w:sz w:val="28"/>
          <w:sz w:val="28"/>
          <w:szCs w:val="28"/>
          <w:rtl w:val="true"/>
          <w:lang w:bidi="fa-IR"/>
        </w:rPr>
        <w:t xml:space="preserve">و موضع آخر من التذکرة </w:t>
      </w:r>
      <w:r>
        <w:rPr>
          <w:rStyle w:val="FootnoteAnchor"/>
          <w:rtl w:val="true"/>
        </w:rPr>
        <w:footnoteReference w:id="1433"/>
      </w:r>
      <w:r>
        <w:rPr>
          <w:rFonts w:ascii="IRNazanin" w:hAnsi="IRNazanin" w:eastAsia="IRNazanin"/>
          <w:color w:val="111111"/>
          <w:sz w:val="28"/>
          <w:sz w:val="28"/>
          <w:szCs w:val="28"/>
          <w:rtl w:val="true"/>
          <w:lang w:bidi="fa-IR"/>
        </w:rPr>
        <w:t>لعموم أدلّة التحیّض بما هو بصفات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ترجیح الأقوی علی القویّ إنّما هو فی مقام عدم المناص عن جعل أحدهما استحاضة، فلا یجری مع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عرفت من الإشکال فی ترجیح الأقوی علی القویّ لعدم مساعدة أدلّة التمییز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المستفاد من إطلاق المصنّف قدّس سرّه الحکم برجوع ذات التمییز مطلقاً إلی تمییزها، فی مقابل رجوع المعتادة إلی عادتها مع ما عرفت من ظهور کلامه قدّس سرّه فی تقدیم العادة علی التمییز عند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المضطربة إذا کانت لها عادة فی أحد من الوقت و العدد ترجع فی الآخر إلی التمییز؛ لا أنّها ترجع إلی التمییز مطلقاً، حتّی فیما اعتاد به من الوقت أو العدد، فالناسیة للوقت الذاکرة للعدد ترجع فی تعیین الوقت إلی التمییز، ثمّ تأخذ بما تقتضیه عادتها من العدد سواء زاد علی ما یقتضیه التمییز أم نقص عنه؛ وفاقاً لجامع المقاصد </w:t>
      </w:r>
      <w:r>
        <w:rPr>
          <w:rStyle w:val="FootnoteAnchor"/>
          <w:rtl w:val="true"/>
        </w:rPr>
        <w:footnoteReference w:id="1434"/>
      </w:r>
      <w:r>
        <w:rPr>
          <w:rFonts w:ascii="IRNazanin" w:hAnsi="IRNazanin" w:eastAsia="IRNazanin"/>
          <w:color w:val="111111"/>
          <w:sz w:val="28"/>
          <w:sz w:val="28"/>
          <w:szCs w:val="28"/>
          <w:rtl w:val="true"/>
          <w:lang w:bidi="fa-IR"/>
        </w:rPr>
        <w:t xml:space="preserve">و شارح المفاتیح </w:t>
      </w:r>
      <w:r>
        <w:rPr>
          <w:rStyle w:val="FootnoteAnchor"/>
          <w:rtl w:val="true"/>
        </w:rPr>
        <w:footnoteReference w:id="1435"/>
      </w:r>
      <w:r>
        <w:rPr>
          <w:rFonts w:ascii="Amiri" w:hAnsi="Amiri" w:eastAsia="Amiri" w:cs="Amiri"/>
          <w:color w:val="111111"/>
          <w:sz w:val="28"/>
          <w:sz w:val="28"/>
          <w:szCs w:val="28"/>
          <w:rtl w:val="true"/>
          <w:lang w:bidi="ar-SA"/>
        </w:rPr>
        <w:t>و صاحب الحدائق إلّا أنّه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 xml:space="preserve">إطلاق کلام الأصحاب هو الرجوع إلی التمییز؛ حیث إنّهم أطلقوا رجوع المضطربة بجمیع أقسامها إلی التمییز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تبع فی ذلک جامع المقاصد حیث اعترض </w:t>
      </w:r>
      <w:r>
        <w:rPr>
          <w:rStyle w:val="FootnoteAnchor"/>
          <w:rtl w:val="true"/>
        </w:rPr>
        <w:footnoteReference w:id="1437"/>
      </w:r>
      <w:r>
        <w:rPr>
          <w:rFonts w:ascii="IRNazanin" w:hAnsi="IRNazanin" w:eastAsia="IRNazanin"/>
          <w:color w:val="111111"/>
          <w:sz w:val="28"/>
          <w:sz w:val="28"/>
          <w:szCs w:val="28"/>
          <w:rtl w:val="true"/>
          <w:lang w:bidi="fa-IR"/>
        </w:rPr>
        <w:t>بهذا علی کلام المصنّف فی القواعد و إطلاقه رجوع المضطربة إلی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بضعف هذا الاعتراض بعد ما عرفت أنّ مرادهم رجوعها إلیه فیما لم یکن له فیه عادة من الوقت أو العدد أو کلیهما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یتلوه فی الضعف ما فی الروض؛ حیث فرّق بین زیادة التمییز علی العدد المحفوظ و نقصانه عنه، فحکم فی الثانی برجوعه إلی العادة، و 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کلامهم بتقدیم العمل بالتمییز یقتضی جعل أیّام التمییز کلّها حیضاً، و وجه الفرق بین الصورتین بأنّ العادة إنّما تقدّم علی التمییز عند التعارض، و مع زیادة أیّام التمییز علی العدد و انقطاعه علی العاشر فما دون إذ هو الفرض؛ لأنّه من شروط التمییز لا تعارض، بل یمکن الجمع بینهما بجعل الجمیع حیضاً،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هذا آتٍ فی ذاکرة الوقت و العدد مع عبور الدم العشرة، فإنّهم ذکروا هناک أنّ مع إمکان الجمع یجمع و یجعل ما زاد من أیّام التمییز عن عادتها حیضاً، و قد أشرنا إلیه فیما سلف، لکن المصنّف قدّس سرّه فی النهایة استقرب فی ذاکرتهما مع زیادة التمییز علی العشرة و مجاوزة العشرة اختصاص الحیض بالعادة، و علی هذا یمکن اختصاص العدد، و فی المبنی علیه منع </w:t>
      </w:r>
      <w:r>
        <w:rPr>
          <w:rStyle w:val="FootnoteAnchor"/>
          <w:rtl w:val="true"/>
        </w:rPr>
        <w:footnoteReference w:id="14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أنّ کلّ من یقدّم العادة علی التمییز یجعل مقدار العادة حیضاً و الزائد استحاضة و إن کان بصفة الحیض، کما عرفت </w:t>
      </w:r>
      <w:r>
        <w:rPr>
          <w:rStyle w:val="FootnoteAnchor"/>
          <w:rtl w:val="true"/>
        </w:rPr>
        <w:footnoteReference w:id="1439"/>
      </w:r>
      <w:r>
        <w:rPr>
          <w:rFonts w:ascii="IRNazanin" w:hAnsi="IRNazanin" w:eastAsia="IRNazanin"/>
          <w:color w:val="111111"/>
          <w:sz w:val="28"/>
          <w:sz w:val="28"/>
          <w:szCs w:val="28"/>
          <w:rtl w:val="true"/>
          <w:lang w:bidi="fa-IR"/>
        </w:rPr>
        <w:t>من تصریح الشیخ فی المبسوط و المصنّف قدّس سرّه فی التذکرة و النهایة، و أنّ ما نسبه إلیهم فی معتادة الوقت و العدد من جعل ما زاد من أیّام التمییز عن عادتها حیضاً، خلاف ما 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ما ذکرنا مضافاً إلی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المستحاضة فی الحائض و النفساء تقعد عدد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المرسلة الطویلة </w:t>
      </w:r>
      <w:r>
        <w:rPr>
          <w:rStyle w:val="FootnoteAnchor"/>
          <w:rtl w:val="true"/>
        </w:rPr>
        <w:footnoteReference w:id="1440"/>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کانت عادتها أقلّ من سبع لم یأمرها بترک الصلاة و هی مستحاضة غیر حائض، و أنّها لو کانت أزید لم یأمرها بالصلاة و هی 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معتادة العدد مضطربة الوقت </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ناسیة العدد ذاکرة الوقت، فترجع إلی التمییز فإن اتّحد أوّل زمان التمییز و الوقت فتجعله أوّل حیضها و آخر حیضها آخر التمییز عملًا بعموم ما دلّ علی اعتبار الأوصاف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علمت إجمالًا بنقصان عددها المنسیّ عن مقدار التمییز أو زیادته عنه أمکن تکمیل الناقص فی الثانی و تنقیص الزائد فی الأوّل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قویّاً الرجوع إلی التمییز؛ لإطلاق أدلّة الرجوع إلی التمییز مع</w:t>
      </w:r>
    </w:p>
    <w:p>
      <w:pPr>
        <w:pStyle w:val="BookText"/>
        <w:rPr/>
      </w:pPr>
      <w:r>
        <w:rPr>
          <w:rFonts w:ascii="IRNazanin" w:hAnsi="IRNazanin" w:eastAsia="IRNazanin"/>
          <w:color w:val="111111"/>
          <w:sz w:val="28"/>
          <w:sz w:val="28"/>
          <w:szCs w:val="28"/>
          <w:rtl w:val="true"/>
          <w:lang w:bidi="fa-IR"/>
        </w:rPr>
        <w:t>إغفال العادة فی مرسلة یونس، مع أنّ الغالب عدم نسیانها رأساً بحیث لا تعلمها إجمالًا بین 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إطلاق سائر أدلّة التمییز، خرج منها ما لو علمت العادة تفصیلًا، لکن المستفاد من الفقرة المتقدّمة فی المرسلة امتناع أمر المستحاضة بما یعلم مخالفته للعادة، مضافاً إلی صدق معرفة أیّام الأقراء المغنیة عن النظر إلی لون الدم فیما کان من العدد فی الوقت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یتّحد أوّل زمان التمییز و الوقت و تخالفا، فإن کان بینهما أقلّ الطهر، فالمحکیّ فی شرح المفاتیح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تحیض لکلٍّ منهما، فتتحیّض فی أوّل الوقت؛ 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الدم فی أیّام حیضها</w:t>
      </w:r>
      <w:r>
        <w:rPr>
          <w:rFonts w:eastAsia="IRNazanin" w:cs="IRNazanin"/>
          <w:color w:val="111111"/>
          <w:sz w:val="28"/>
          <w:szCs w:val="28"/>
          <w:rtl w:val="true"/>
          <w:lang w:bidi="fa-IR"/>
        </w:rPr>
        <w:t xml:space="preserve">» </w:t>
      </w:r>
      <w:r>
        <w:rPr>
          <w:rStyle w:val="FootnoteAnchor"/>
          <w:rtl w:val="true"/>
        </w:rPr>
        <w:footnoteReference w:id="1443"/>
      </w:r>
      <w:r>
        <w:rPr>
          <w:rFonts w:ascii="Amiri" w:hAnsi="Amiri" w:eastAsia="Amiri" w:cs="Amiri"/>
          <w:color w:val="111111"/>
          <w:sz w:val="28"/>
          <w:sz w:val="28"/>
          <w:szCs w:val="28"/>
          <w:rtl w:val="true"/>
          <w:lang w:bidi="ar-SA"/>
        </w:rPr>
        <w:t>، و تحیّضت بها أیضاً لأدلّته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العمل بالتمییز؛ لعموم أدلّته ما لم یعلم العادة العددیّة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الاقتصار علی الوقت، و تعمل ما تعمله مضطربة العدد، و هو أضعف الاحتمالات، و اختار فی شرح المفاتیح الوسط،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ظهور عموم فی طرف الوقت </w:t>
      </w:r>
      <w:r>
        <w:rPr>
          <w:rStyle w:val="FootnoteAnchor"/>
          <w:rtl w:val="true"/>
        </w:rPr>
        <w:footnoteReference w:id="14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فیه عموم مثل قوله علیه السلام فی مرسلة یونس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الدم فی أیّام حیضها ترکت الصلاة</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إلّا أنّ الرجوع فی تعیین آخر الحیض هنا إلی الروایات بعید؛ لاختصاصها بعادة التمییز فلا بدّ إمّا من الرجوع إلی الظنّ و إمّا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bookmarkStart w:id="161" w:name="pg13039_115367"/>
    </w:p>
    <w:p>
      <w:pPr>
        <w:pStyle w:val="BookText"/>
        <w:rPr/>
      </w:pPr>
      <w:bookmarkEnd w:id="161"/>
      <w:r>
        <w:rPr>
          <w:rFonts w:ascii="IRNazanin" w:hAnsi="IRNazanin" w:eastAsia="IRNazanin"/>
          <w:color w:val="111111"/>
          <w:sz w:val="28"/>
          <w:sz w:val="28"/>
          <w:szCs w:val="28"/>
          <w:rtl w:val="true"/>
          <w:lang w:bidi="fa-IR"/>
        </w:rPr>
        <w:t xml:space="preserve">و لو لم یکن بینهما أقلّ الطهر، ففی ترجیح العادة کما عن الحدائق </w:t>
      </w:r>
      <w:r>
        <w:rPr>
          <w:rStyle w:val="FootnoteAnchor"/>
          <w:rtl w:val="true"/>
        </w:rPr>
        <w:footnoteReference w:id="1446"/>
      </w:r>
      <w:r>
        <w:rPr>
          <w:rFonts w:ascii="IRNazanin" w:hAnsi="IRNazanin" w:eastAsia="IRNazanin"/>
          <w:color w:val="111111"/>
          <w:sz w:val="28"/>
          <w:sz w:val="28"/>
          <w:szCs w:val="28"/>
          <w:rtl w:val="true"/>
          <w:lang w:bidi="fa-IR"/>
        </w:rPr>
        <w:t xml:space="preserve">لقوّة دلالته، و عموم الأخبار الدالّة علی أنّ الصفرة و الکدرة فی وقت الحیض حیض </w:t>
      </w:r>
      <w:r>
        <w:rPr>
          <w:rStyle w:val="FootnoteAnchor"/>
          <w:rtl w:val="true"/>
        </w:rPr>
        <w:footnoteReference w:id="1447"/>
      </w:r>
      <w:r>
        <w:rPr>
          <w:rFonts w:ascii="IRNazanin" w:hAnsi="IRNazanin" w:eastAsia="IRNazanin"/>
          <w:color w:val="111111"/>
          <w:sz w:val="28"/>
          <w:sz w:val="28"/>
          <w:szCs w:val="28"/>
          <w:rtl w:val="true"/>
          <w:lang w:bidi="fa-IR"/>
        </w:rPr>
        <w:t xml:space="preserve">، أو التمییز کما عن شرح المفاتیح </w:t>
      </w:r>
      <w:r>
        <w:rPr>
          <w:rStyle w:val="FootnoteAnchor"/>
          <w:rtl w:val="true"/>
        </w:rPr>
        <w:footnoteReference w:id="1448"/>
      </w:r>
      <w:r>
        <w:rPr>
          <w:rFonts w:ascii="IRNazanin" w:hAnsi="IRNazanin" w:eastAsia="IRNazanin"/>
          <w:color w:val="111111"/>
          <w:sz w:val="28"/>
          <w:sz w:val="28"/>
          <w:szCs w:val="28"/>
          <w:rtl w:val="true"/>
          <w:lang w:bidi="fa-IR"/>
        </w:rPr>
        <w:t>لما ذکر من عدم عموم فی طرف أدلّة الوقت، وجهان، لا یخلو أوّلهما عن قوّة لما ذکرنا؛ فإنّ المستفاد من الأخبار سیّما المرسلة أنّ التمییز إنّما یعتبر إذا لم یعلم مخالفته للعادة سواء علمت العادة مفصّلًا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احتمل دخول بعض أیّام التمییز فی العادة لم یبعد جعله حیضاً؛ لعموم أدلّة التمییز، إلّا ما لم یصلح للحیضیَّة و لو من حیث مخالفته للعادة</w:t>
      </w:r>
      <w:r>
        <w:rPr>
          <w:rFonts w:eastAsia="IRNazanin" w:cs="IRNazanin"/>
          <w:color w:val="111111"/>
          <w:sz w:val="28"/>
          <w:szCs w:val="28"/>
          <w:rtl w:val="true"/>
          <w:lang w:bidi="fa-IR"/>
        </w:rPr>
        <w:t>.</w:t>
      </w:r>
    </w:p>
    <w:p>
      <w:pPr>
        <w:pStyle w:val="Heading6"/>
        <w:numPr>
          <w:ilvl w:val="5"/>
          <w:numId w:val="1"/>
        </w:numPr>
        <w:rPr/>
      </w:pPr>
      <w:bookmarkStart w:id="162" w:name="__RefHeading___Toc6451980_3224264995"/>
      <w:bookmarkStart w:id="163" w:name="_Toc61"/>
      <w:bookmarkEnd w:id="162"/>
      <w:r>
        <w:rPr>
          <w:rtl w:val="true"/>
        </w:rPr>
        <w:t>[</w:t>
      </w:r>
      <w:r>
        <w:rPr>
          <w:rtl w:val="true"/>
        </w:rPr>
        <w:t>رجوع المبتدأة إلی عادة أهلها فإن اختلفن أو فقدن إلی عادة أقرانها</w:t>
      </w:r>
      <w:r>
        <w:rPr>
          <w:rtl w:val="true"/>
        </w:rPr>
        <w:t>]</w:t>
      </w:r>
      <w:bookmarkEnd w:id="16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العادة و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أو فتحه و هی من ابتدأت بالحیض أو ابتدأ بها، بأن رأت الدم مرّة أو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 عن المعتبر نسبته إلی الخمسة و أتباعهم تارةً، و إلی اتّفاق الأعیان من فضلائنا اخری </w:t>
      </w:r>
      <w:r>
        <w:rPr>
          <w:rStyle w:val="FootnoteAnchor"/>
          <w:rtl w:val="true"/>
        </w:rPr>
        <w:footnoteReference w:id="1449"/>
      </w:r>
      <w:r>
        <w:rPr>
          <w:rFonts w:ascii="IRNazanin" w:hAnsi="IRNazanin" w:eastAsia="IRNazanin"/>
          <w:color w:val="111111"/>
          <w:sz w:val="28"/>
          <w:sz w:val="28"/>
          <w:szCs w:val="28"/>
          <w:rtl w:val="true"/>
          <w:lang w:bidi="fa-IR"/>
        </w:rPr>
        <w:t xml:space="preserve">، بل عن التذکرة نسبته إلی علمائنا </w:t>
      </w:r>
      <w:r>
        <w:rPr>
          <w:rStyle w:val="FootnoteAnchor"/>
          <w:rtl w:val="true"/>
        </w:rPr>
        <w:footnoteReference w:id="1450"/>
      </w:r>
      <w:r>
        <w:rPr>
          <w:rFonts w:ascii="IRNazanin" w:hAnsi="IRNazanin" w:eastAsia="IRNazanin"/>
          <w:color w:val="111111"/>
          <w:sz w:val="28"/>
          <w:sz w:val="28"/>
          <w:szCs w:val="28"/>
          <w:rtl w:val="true"/>
          <w:lang w:bidi="fa-IR"/>
        </w:rPr>
        <w:t xml:space="preserve">، و ظاهر المحکی عن السرائر </w:t>
      </w:r>
      <w:r>
        <w:rPr>
          <w:rStyle w:val="FootnoteAnchor"/>
          <w:rtl w:val="true"/>
        </w:rPr>
        <w:footnoteReference w:id="1451"/>
      </w:r>
      <w:r>
        <w:rPr>
          <w:rFonts w:ascii="IRNazanin" w:hAnsi="IRNazanin" w:eastAsia="IRNazanin"/>
          <w:color w:val="111111"/>
          <w:sz w:val="28"/>
          <w:sz w:val="28"/>
          <w:szCs w:val="28"/>
          <w:rtl w:val="true"/>
          <w:lang w:bidi="fa-IR"/>
        </w:rPr>
        <w:t xml:space="preserve">کصریح المحکی عن التنقیح </w:t>
      </w:r>
      <w:r>
        <w:rPr>
          <w:rStyle w:val="FootnoteAnchor"/>
          <w:rtl w:val="true"/>
        </w:rPr>
        <w:footnoteReference w:id="1452"/>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 xml:space="preserve">الخلاف فیه، و کأنهم لم یعتدوا بما تقدّم عن الغنیة </w:t>
      </w:r>
      <w:r>
        <w:rPr>
          <w:rStyle w:val="FootnoteAnchor"/>
          <w:rtl w:val="true"/>
        </w:rPr>
        <w:footnoteReference w:id="1453"/>
      </w:r>
      <w:r>
        <w:rPr>
          <w:rFonts w:ascii="IRNazanin" w:hAnsi="IRNazanin" w:eastAsia="IRNazanin"/>
          <w:color w:val="111111"/>
          <w:sz w:val="28"/>
          <w:sz w:val="28"/>
          <w:szCs w:val="28"/>
          <w:rtl w:val="true"/>
          <w:lang w:bidi="fa-IR"/>
        </w:rPr>
        <w:t>فی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عدم الاعتماد بما عن نهایة المصنّف قدّس سرّه </w:t>
      </w:r>
      <w:r>
        <w:rPr>
          <w:rStyle w:val="FootnoteAnchor"/>
          <w:rtl w:val="true"/>
        </w:rPr>
        <w:footnoteReference w:id="1454"/>
      </w:r>
      <w:r>
        <w:rPr>
          <w:rFonts w:ascii="IRNazanin" w:hAnsi="IRNazanin" w:eastAsia="IRNazanin"/>
          <w:color w:val="111111"/>
          <w:sz w:val="28"/>
          <w:sz w:val="28"/>
          <w:szCs w:val="28"/>
          <w:rtl w:val="true"/>
          <w:lang w:bidi="fa-IR"/>
        </w:rPr>
        <w:t xml:space="preserve">من التردّد فی هذا الحکم، و احتمال إرجاعها إلی أقلّ الحیض للأصل، و العشرة للإمکان؛ لأنّه کما قیل اجتهاد فی مقابل النصّ المجمع علیه </w:t>
      </w:r>
      <w:r>
        <w:rPr>
          <w:rStyle w:val="FootnoteAnchor"/>
          <w:rtl w:val="true"/>
        </w:rPr>
        <w:footnoteReference w:id="1455"/>
      </w:r>
      <w:r>
        <w:rPr>
          <w:rFonts w:ascii="IRNazanin" w:hAnsi="IRNazanin" w:eastAsia="IRNazanin"/>
          <w:color w:val="111111"/>
          <w:sz w:val="28"/>
          <w:sz w:val="28"/>
          <w:szCs w:val="28"/>
          <w:rtl w:val="true"/>
          <w:lang w:bidi="fa-IR"/>
        </w:rPr>
        <w:t xml:space="preserve">کما عن الخلاف </w:t>
      </w:r>
      <w:r>
        <w:rPr>
          <w:rStyle w:val="FootnoteAnchor"/>
          <w:rtl w:val="true"/>
        </w:rPr>
        <w:footnoteReference w:id="1456"/>
      </w:r>
      <w:r>
        <w:rPr>
          <w:rFonts w:ascii="IRNazanin" w:hAnsi="IRNazanin" w:eastAsia="IRNazanin"/>
          <w:color w:val="111111"/>
          <w:sz w:val="28"/>
          <w:sz w:val="28"/>
          <w:szCs w:val="28"/>
          <w:rtl w:val="true"/>
          <w:lang w:bidi="fa-IR"/>
        </w:rPr>
        <w:t>، و هی 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جاریة حاضت أوّل حیضها فدام دمها ثلاثة أشهر، و هی لا تعرف أیّام أقرائها،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أقراؤها مثل أقراء نسائها فإن کانت </w:t>
      </w:r>
      <w:r>
        <w:rPr>
          <w:rStyle w:val="FootnoteAnchor"/>
          <w:rtl w:val="true"/>
        </w:rPr>
        <w:footnoteReference w:id="1457"/>
      </w:r>
      <w:r>
        <w:rPr>
          <w:rFonts w:ascii="IRNazanin" w:hAnsi="IRNazanin" w:eastAsia="IRNazanin"/>
          <w:color w:val="111111"/>
          <w:sz w:val="28"/>
          <w:sz w:val="28"/>
          <w:szCs w:val="28"/>
          <w:rtl w:val="true"/>
          <w:lang w:bidi="fa-IR"/>
        </w:rPr>
        <w:t>نساؤها مختلفات فأکثر جلوسها عشرة، و أقلّه ثلاثة</w:t>
      </w:r>
      <w:r>
        <w:rPr>
          <w:rFonts w:eastAsia="IRNazanin" w:cs="IRNazanin"/>
          <w:color w:val="111111"/>
          <w:sz w:val="28"/>
          <w:szCs w:val="28"/>
          <w:rtl w:val="true"/>
          <w:lang w:bidi="fa-IR"/>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و 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للمستحاضة أن تنظر بعض نسائها فتقتدی بأقرائها ثمّ تستظهر علی ذلک بیوم</w:t>
      </w:r>
      <w:r>
        <w:rPr>
          <w:rFonts w:eastAsia="IRNazanin" w:cs="IRNazanin"/>
          <w:color w:val="111111"/>
          <w:sz w:val="28"/>
          <w:szCs w:val="28"/>
          <w:rtl w:val="true"/>
          <w:lang w:bidi="fa-IR"/>
        </w:rPr>
        <w:t xml:space="preserve">» </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العلم العادی باتّفاق الکلّ من عادة البعض أو من إخباره بعادة الکلّ، أو محمول علی صورة تعذّر الرجوع إلی غیرها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أیضاً أن یؤیّد بروایة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إذا کانت لا تعرف أیّام نفاسها فابتلیت، جلست مثل أیّام أُمّها أو</w:t>
      </w:r>
    </w:p>
    <w:p>
      <w:pPr>
        <w:pStyle w:val="BookText"/>
        <w:rPr/>
      </w:pPr>
      <w:r>
        <w:rPr>
          <w:rFonts w:ascii="IRNazanin" w:hAnsi="IRNazanin" w:eastAsia="IRNazanin"/>
          <w:color w:val="111111"/>
          <w:sz w:val="28"/>
          <w:sz w:val="28"/>
          <w:szCs w:val="28"/>
          <w:rtl w:val="true"/>
          <w:lang w:bidi="fa-IR"/>
        </w:rPr>
        <w:t>أُختها أو خالتها، و استظهرت بثلثی ذلک</w:t>
      </w:r>
      <w:r>
        <w:rPr>
          <w:rFonts w:eastAsia="IRNazanin" w:cs="IRNazanin"/>
          <w:color w:val="111111"/>
          <w:sz w:val="28"/>
          <w:szCs w:val="28"/>
          <w:rtl w:val="true"/>
          <w:lang w:bidi="fa-IR"/>
        </w:rPr>
        <w:t xml:space="preserve">»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تعارض هذه الروایات بما تقدّم فی مرسلة یونس من تحیّض المبتدأة مطلقاً أو بعد فقد التمییز بستّة أو سبعة فی کلّ شهر، و لکن لا مناص من تقییدها بمن تعذّر علیها الرجوع إلی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الظاهر من جماعة کالشیخ و الحلّی و ابن حمزة و المحقّق فی غیر المعتبر و المصنّف قدّس سرّه فی غیر المنتهی و الشهیدین و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للمبتدأة بالمعنی الأعمّ و هی من لم تستقرّ لها عادة و إن تکرّر الدم منها مراراً، و 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جماعة منهم الفاضلان فی المعتبر و المنتهی اختصاص الحکم بالمبتدئة بالمعنی الأخصّ؛ لاختصاص روایة سماعة، و معاقد الإجماعات الجابرة لغیرها بها بهذا المعنی؛ فإنّ الشیخ لم یدّعِ الإجماع إلّا علی روایة سماعة، مع أنّه عنون الکلام بمن ابتدأت فی الحیض، و ظاهرها المبتدأة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المحقّق فی المعتبر فهو و إن أطلق المبتدأة فی معقد اتّفاق أعیان الفضلاء و فتوی الخمسة و أتباعهم، إلّا أنّ مراده بالمبتدئة المعنی الأخصّ کما تقدّم، بل هو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کلّ من أطلق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یظهر من کثیر من العبائر کعبارة ظاهر الوسیلة و السرائر و نحوها شمول المبتدأة لمن لم تستقرّ لها عادة من جهة حصرهم المستحاضة فی ذات العادة و المبتدأة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أنّ الحجّة علی العموم منحصرة فی إطلاق روایة</w:t>
      </w:r>
    </w:p>
    <w:p>
      <w:pPr>
        <w:pStyle w:val="BookText"/>
        <w:rPr/>
      </w:pPr>
      <w:r>
        <w:rPr>
          <w:rFonts w:ascii="IRNazanin" w:hAnsi="IRNazanin" w:eastAsia="IRNazanin"/>
          <w:color w:val="111111"/>
          <w:sz w:val="28"/>
          <w:sz w:val="28"/>
          <w:szCs w:val="28"/>
          <w:rtl w:val="true"/>
          <w:lang w:bidi="fa-IR"/>
        </w:rPr>
        <w:t xml:space="preserve">زرارة و ابن مسلم بعد انجبار دلالتها بالشهرة، بل ظهور الاتّفاق من التذکرة </w:t>
      </w:r>
      <w:r>
        <w:rPr>
          <w:rStyle w:val="FootnoteAnchor"/>
          <w:rtl w:val="true"/>
        </w:rPr>
        <w:footnoteReference w:id="1461"/>
      </w:r>
      <w:r>
        <w:rPr>
          <w:rFonts w:ascii="IRNazanin" w:hAnsi="IRNazanin" w:eastAsia="IRNazanin"/>
          <w:color w:val="111111"/>
          <w:sz w:val="28"/>
          <w:sz w:val="28"/>
          <w:szCs w:val="28"/>
          <w:rtl w:val="true"/>
          <w:lang w:bidi="fa-IR"/>
        </w:rPr>
        <w:t xml:space="preserve">و اعتضادها </w:t>
      </w:r>
      <w:r>
        <w:rPr>
          <w:rStyle w:val="FootnoteAnchor"/>
          <w:rtl w:val="true"/>
        </w:rPr>
        <w:footnoteReference w:id="1462"/>
      </w:r>
      <w:r>
        <w:rPr>
          <w:rFonts w:ascii="IRNazanin" w:hAnsi="IRNazanin" w:eastAsia="IRNazanin"/>
          <w:color w:val="111111"/>
          <w:sz w:val="28"/>
          <w:sz w:val="28"/>
          <w:szCs w:val="28"/>
          <w:rtl w:val="true"/>
          <w:lang w:bidi="fa-IR"/>
        </w:rPr>
        <w:t>بروایة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 السائل وقوع السؤال عن الجاریة المفروضة من حیث کونها لا تعرف أیّام أقرائها، لا لخصوص کونها مبتدأة، فالجواب المرجوع إلی عادة النساء أیضاً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أقاربها من الطرفین أو من أحدهما کالأُمّ و الأُخت و العمّة و الخالة، کما صرّح به فی المعتبر </w:t>
      </w:r>
      <w:r>
        <w:rPr>
          <w:rStyle w:val="FootnoteAnchor"/>
          <w:rtl w:val="true"/>
        </w:rPr>
        <w:footnoteReference w:id="1463"/>
      </w:r>
      <w:r>
        <w:rPr>
          <w:rFonts w:ascii="IRNazanin" w:hAnsi="IRNazanin" w:eastAsia="IRNazanin"/>
          <w:color w:val="111111"/>
          <w:sz w:val="28"/>
          <w:sz w:val="28"/>
          <w:szCs w:val="28"/>
          <w:rtl w:val="true"/>
          <w:lang w:bidi="fa-IR"/>
        </w:rPr>
        <w:t xml:space="preserve">و المنتهی </w:t>
      </w:r>
      <w:r>
        <w:rPr>
          <w:rStyle w:val="FootnoteAnchor"/>
          <w:rtl w:val="true"/>
        </w:rPr>
        <w:footnoteReference w:id="1464"/>
      </w:r>
      <w:r>
        <w:rPr>
          <w:rFonts w:ascii="IRNazanin" w:hAnsi="IRNazanin" w:eastAsia="IRNazanin"/>
          <w:color w:val="111111"/>
          <w:sz w:val="28"/>
          <w:sz w:val="28"/>
          <w:szCs w:val="28"/>
          <w:rtl w:val="true"/>
          <w:lang w:bidi="fa-IR"/>
        </w:rPr>
        <w:t xml:space="preserve">و المسالک </w:t>
      </w:r>
      <w:r>
        <w:rPr>
          <w:rStyle w:val="FootnoteAnchor"/>
          <w:rtl w:val="true"/>
        </w:rPr>
        <w:footnoteReference w:id="1465"/>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لا خلاف فیه </w:t>
      </w:r>
      <w:r>
        <w:rPr>
          <w:rStyle w:val="FootnoteAnchor"/>
          <w:rtl w:val="true"/>
        </w:rPr>
        <w:footnoteReference w:id="1466"/>
      </w:r>
      <w:r>
        <w:rPr>
          <w:rFonts w:ascii="IRNazanin" w:hAnsi="IRNazanin" w:eastAsia="IRNazanin"/>
          <w:color w:val="111111"/>
          <w:sz w:val="28"/>
          <w:sz w:val="28"/>
          <w:szCs w:val="28"/>
          <w:rtl w:val="true"/>
          <w:lang w:bidi="fa-IR"/>
        </w:rPr>
        <w:t xml:space="preserve">لصدق نسائها علی من ذکر کلّهنّ؛ لأنّ الطبیعة جاذبة من الطرفین کما فی الذکری </w:t>
      </w:r>
      <w:r>
        <w:rPr>
          <w:rStyle w:val="FootnoteAnchor"/>
          <w:rtl w:val="true"/>
        </w:rPr>
        <w:footnoteReference w:id="146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فرق بین الأحیاء و الأموات، و لا بین المتساویات لها فی السنّ و البلد و المتخالفات کما صرّح به فی المسالک </w:t>
      </w:r>
      <w:r>
        <w:rPr>
          <w:rStyle w:val="FootnoteAnchor"/>
          <w:rtl w:val="true"/>
        </w:rPr>
        <w:footnoteReference w:id="1469"/>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کتب الشهید اعتبار اتّحاد البلد </w:t>
      </w:r>
      <w:r>
        <w:rPr>
          <w:rStyle w:val="FootnoteAnchor"/>
          <w:rtl w:val="true"/>
        </w:rPr>
        <w:footnoteReference w:id="1470"/>
      </w:r>
      <w:r>
        <w:rPr>
          <w:rFonts w:ascii="Amiri" w:hAnsi="Amiri" w:eastAsia="Amiri" w:cs="Amiri"/>
          <w:color w:val="111111"/>
          <w:sz w:val="28"/>
          <w:sz w:val="28"/>
          <w:szCs w:val="28"/>
          <w:rtl w:val="true"/>
          <w:lang w:bidi="ar-SA"/>
        </w:rPr>
        <w:t>و لعلّه للانصراف، فإنّ</w:t>
      </w:r>
    </w:p>
    <w:p>
      <w:pPr>
        <w:pStyle w:val="BookText"/>
        <w:rPr/>
      </w:pPr>
      <w:r>
        <w:rPr>
          <w:rFonts w:ascii="IRNazanin" w:hAnsi="IRNazanin" w:eastAsia="IRNazanin"/>
          <w:color w:val="111111"/>
          <w:sz w:val="28"/>
          <w:sz w:val="28"/>
          <w:szCs w:val="28"/>
          <w:rtl w:val="true"/>
          <w:lang w:bidi="fa-IR"/>
        </w:rPr>
        <w:t xml:space="preserve">للبلدان أثراً ظاهراً فی تخالف الأمزجة، کما فی الذکری </w:t>
      </w:r>
      <w:r>
        <w:rPr>
          <w:rStyle w:val="FootnoteAnchor"/>
          <w:rtl w:val="true"/>
        </w:rPr>
        <w:footnoteReference w:id="1471"/>
      </w:r>
      <w:r>
        <w:rPr>
          <w:rFonts w:ascii="IRNazanin" w:hAnsi="IRNazanin" w:eastAsia="IRNazanin"/>
          <w:color w:val="111111"/>
          <w:sz w:val="28"/>
          <w:sz w:val="28"/>
          <w:szCs w:val="28"/>
          <w:rtl w:val="true"/>
          <w:lang w:bidi="fa-IR"/>
        </w:rPr>
        <w:t xml:space="preserve">، و فیه نظر، و کذا فی المحکیّ عن بعض معاصری الشهید الثانی من اعتبار البلد، فإن فقدن </w:t>
      </w:r>
      <w:r>
        <w:rPr>
          <w:rStyle w:val="FootnoteAnchor"/>
          <w:rtl w:val="true"/>
        </w:rPr>
        <w:footnoteReference w:id="1472"/>
      </w:r>
      <w:r>
        <w:rPr>
          <w:rFonts w:ascii="IRNazanin" w:hAnsi="IRNazanin" w:eastAsia="IRNazanin"/>
          <w:color w:val="111111"/>
          <w:sz w:val="28"/>
          <w:sz w:val="28"/>
          <w:szCs w:val="28"/>
          <w:rtl w:val="true"/>
          <w:lang w:bidi="fa-IR"/>
        </w:rPr>
        <w:t xml:space="preserve">فأقرب البلدان </w:t>
      </w:r>
      <w:r>
        <w:rPr>
          <w:rStyle w:val="FootnoteAnchor"/>
          <w:rtl w:val="true"/>
        </w:rPr>
        <w:footnoteReference w:id="1473"/>
      </w:r>
      <w:r>
        <w:rPr>
          <w:rFonts w:ascii="IRNazanin" w:hAnsi="IRNazanin" w:eastAsia="IRNazanin"/>
          <w:color w:val="111111"/>
          <w:sz w:val="28"/>
          <w:sz w:val="28"/>
          <w:szCs w:val="28"/>
          <w:rtl w:val="true"/>
          <w:lang w:bidi="fa-IR"/>
        </w:rPr>
        <w:t>، و کأنّه یعنی فی الهواء لا المسافة؛ و لعلّ الوجه فیه حینئذٍ حصول الظنّ، لکن لا یخفی عدم نهوض ذلک لتخصیص النصّ و الفتوی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المحکیّ عن المعتبر </w:t>
      </w:r>
      <w:r>
        <w:rPr>
          <w:rStyle w:val="FootnoteAnchor"/>
          <w:rtl w:val="true"/>
        </w:rPr>
        <w:footnoteReference w:id="1474"/>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1475"/>
      </w:r>
      <w:r>
        <w:rPr>
          <w:rFonts w:ascii="IRNazanin" w:hAnsi="IRNazanin" w:eastAsia="IRNazanin"/>
          <w:color w:val="111111"/>
          <w:sz w:val="28"/>
          <w:sz w:val="28"/>
          <w:szCs w:val="28"/>
          <w:rtl w:val="true"/>
          <w:lang w:bidi="fa-IR"/>
        </w:rPr>
        <w:t xml:space="preserve">و جماعة من متأخّری المتأخّرین </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اتّفاق النساء، حتّی صرّح فی محکیّ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أنّهنّ لو کنّ عشراً فاتّفقت تسع رجعت إلی الأقران، و هو الظاهر من المبسوط </w:t>
      </w:r>
      <w:r>
        <w:rPr>
          <w:rStyle w:val="FootnoteAnchor"/>
          <w:rtl w:val="true"/>
        </w:rPr>
        <w:footnoteReference w:id="1477"/>
      </w:r>
      <w:r>
        <w:rPr>
          <w:rFonts w:ascii="IRNazanin" w:hAnsi="IRNazanin" w:eastAsia="IRNazanin"/>
          <w:color w:val="111111"/>
          <w:sz w:val="28"/>
          <w:sz w:val="28"/>
          <w:szCs w:val="28"/>
          <w:rtl w:val="true"/>
          <w:lang w:bidi="fa-IR"/>
        </w:rPr>
        <w:t xml:space="preserve">حیث أرجعها مع اختلاف نسائها إلی أقرانها، و هو الظاهر من روایة سماعة المتقدّمة </w:t>
      </w:r>
      <w:r>
        <w:rPr>
          <w:rStyle w:val="FootnoteAnchor"/>
          <w:rtl w:val="true"/>
        </w:rPr>
        <w:footnoteReference w:id="1478"/>
      </w:r>
      <w:r>
        <w:rPr>
          <w:rFonts w:ascii="IRNazanin" w:hAnsi="IRNazanin" w:eastAsia="IRNazanin"/>
          <w:color w:val="111111"/>
          <w:sz w:val="28"/>
          <w:sz w:val="28"/>
          <w:szCs w:val="28"/>
          <w:rtl w:val="true"/>
          <w:lang w:bidi="fa-IR"/>
        </w:rPr>
        <w:t>، بل ظاهرها اعتبار العلم بالاتّفاق؛ لأنّه جعل المرجع أقراء نسائها، و هو أمر وجودیّ لا بدّ من إحرازه لتحقّق المماثلة،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النقیض للفقرة الأُولی دون الضدّ، و إن کان ظاهره ذلک، إلّا أنّه قد تقرّر فی العرف تبادر النقیض من الفقرة الثانیة من الفقرتین المتقابلتین فی مثل المقام، و لو أُغمض عن ذلک فکلّ منهما مشتمل علی مناط</w:t>
      </w:r>
    </w:p>
    <w:p>
      <w:pPr>
        <w:pStyle w:val="BookText"/>
        <w:rPr/>
      </w:pPr>
      <w:r>
        <w:rPr>
          <w:rFonts w:ascii="IRNazanin" w:hAnsi="IRNazanin" w:eastAsia="IRNazanin"/>
          <w:color w:val="111111"/>
          <w:sz w:val="28"/>
          <w:sz w:val="28"/>
          <w:szCs w:val="28"/>
          <w:rtl w:val="true"/>
          <w:lang w:bidi="fa-IR"/>
        </w:rPr>
        <w:t>وجودی لا بدّ من إحرازه فی إثبات الحکم المذکور فیه،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اشتراط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المنساق من ذلک عرفاً هو اتّفاق الأغلب من دون العلم بمخالفة الباقین أو مع العلم بمخالفة الشاذّ، مع أنّ تعسّر تتبّع الأحیاء و الأموات من الأقارب الحاضرة فی البلد و الغائبة عنه سیّما إذا کنّ غیر محصورات عرفاً، لعلّه یصیر قرینةً علی إرادة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مخالفة الباقین فلا اعتداد ظاهراً بالغلبة؛ لأنّه داخل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مختلفات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یشذّ الخلاف، بحیث لا یضرّ بصدق عنوان العموم العرفی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أقراء نسائها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للمحکیّ </w:t>
      </w:r>
      <w:r>
        <w:rPr>
          <w:rStyle w:val="FootnoteAnchor"/>
          <w:rtl w:val="true"/>
        </w:rPr>
        <w:footnoteReference w:id="1479"/>
      </w:r>
      <w:r>
        <w:rPr>
          <w:rFonts w:ascii="IRNazanin" w:hAnsi="IRNazanin" w:eastAsia="IRNazanin"/>
          <w:color w:val="111111"/>
          <w:sz w:val="28"/>
          <w:sz w:val="28"/>
          <w:szCs w:val="28"/>
          <w:rtl w:val="true"/>
          <w:lang w:bidi="fa-IR"/>
        </w:rPr>
        <w:t xml:space="preserve">عن الشهیدین </w:t>
      </w:r>
      <w:r>
        <w:rPr>
          <w:rStyle w:val="FootnoteAnchor"/>
          <w:rtl w:val="true"/>
        </w:rPr>
        <w:footnoteReference w:id="148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481"/>
      </w:r>
      <w:r>
        <w:rPr>
          <w:rFonts w:ascii="IRNazanin" w:hAnsi="IRNazanin" w:eastAsia="IRNazanin"/>
          <w:color w:val="111111"/>
          <w:sz w:val="28"/>
          <w:sz w:val="28"/>
          <w:szCs w:val="28"/>
          <w:rtl w:val="true"/>
          <w:lang w:bidi="fa-IR"/>
        </w:rPr>
        <w:t xml:space="preserve">و غیرهم </w:t>
      </w:r>
      <w:r>
        <w:rPr>
          <w:rStyle w:val="FootnoteAnchor"/>
          <w:rtl w:val="true"/>
        </w:rPr>
        <w:footnoteReference w:id="1482"/>
      </w:r>
      <w:r>
        <w:rPr>
          <w:rFonts w:ascii="IRNazanin" w:hAnsi="IRNazanin" w:eastAsia="IRNazanin"/>
          <w:color w:val="111111"/>
          <w:sz w:val="28"/>
          <w:sz w:val="28"/>
          <w:szCs w:val="28"/>
          <w:rtl w:val="true"/>
          <w:lang w:bidi="fa-IR"/>
        </w:rPr>
        <w:t>فاعتبروا الأغلب مع الاختلاف، و أجاب عنهم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مدرک الحکم إن کان روایة سماعة، فهی بمنطوقها صریحة فی وجوب العدول عن عادة الأهل عند الاختلاف، و إن کان موثّقة زرارة فلا وجه لاعتبار الغلبة </w:t>
      </w:r>
      <w:r>
        <w:rPr>
          <w:rStyle w:val="FootnoteAnchor"/>
          <w:rtl w:val="true"/>
        </w:rPr>
        <w:footnoteReference w:id="14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إلّا أن یقول بإطلاق الموثّقة إلّا ما خرج، کما نبّه علیه فی الروض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اختلفن أو فقدن رجعت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من قارنها فی السنّ وقت الرجوع، و یحتمل کفایة إخبار من هی أکبر حین کونها بسنّها علی المشهور، بل عن شرح الجعفریّة </w:t>
      </w:r>
      <w:r>
        <w:rPr>
          <w:rStyle w:val="FootnoteAnchor"/>
          <w:rtl w:val="true"/>
        </w:rPr>
        <w:footnoteReference w:id="1485"/>
      </w:r>
      <w:r>
        <w:rPr>
          <w:rFonts w:ascii="IRNazanin" w:hAnsi="IRNazanin" w:eastAsia="IRNazanin"/>
          <w:color w:val="111111"/>
          <w:sz w:val="28"/>
          <w:sz w:val="28"/>
          <w:szCs w:val="28"/>
          <w:rtl w:val="true"/>
          <w:lang w:bidi="fa-IR"/>
        </w:rPr>
        <w:t xml:space="preserve">نسبته إلی الأصحاب المتأخّرین، و إن اختلفوا بین من قیّد الأقران بأهل البلد کالمبسوط </w:t>
      </w:r>
      <w:r>
        <w:rPr>
          <w:rStyle w:val="FootnoteAnchor"/>
          <w:rtl w:val="true"/>
        </w:rPr>
        <w:footnoteReference w:id="1486"/>
      </w:r>
      <w:r>
        <w:rPr>
          <w:rFonts w:ascii="IRNazanin" w:hAnsi="IRNazanin" w:eastAsia="IRNazanin"/>
          <w:color w:val="111111"/>
          <w:sz w:val="28"/>
          <w:sz w:val="28"/>
          <w:szCs w:val="28"/>
          <w:rtl w:val="true"/>
          <w:lang w:bidi="fa-IR"/>
        </w:rPr>
        <w:t xml:space="preserve">و الوسیلة </w:t>
      </w:r>
      <w:r>
        <w:rPr>
          <w:rStyle w:val="FootnoteAnchor"/>
          <w:rtl w:val="true"/>
        </w:rPr>
        <w:footnoteReference w:id="1487"/>
      </w:r>
      <w:r>
        <w:rPr>
          <w:rFonts w:ascii="IRNazanin" w:hAnsi="IRNazanin" w:eastAsia="IRNazanin"/>
          <w:color w:val="111111"/>
          <w:sz w:val="28"/>
          <w:sz w:val="28"/>
          <w:szCs w:val="28"/>
          <w:rtl w:val="true"/>
          <w:lang w:bidi="fa-IR"/>
        </w:rPr>
        <w:t xml:space="preserve">، و بین من أطلق کالمهذّب </w:t>
      </w:r>
      <w:r>
        <w:rPr>
          <w:rStyle w:val="FootnoteAnchor"/>
          <w:rtl w:val="true"/>
        </w:rPr>
        <w:footnoteReference w:id="1488"/>
      </w:r>
      <w:r>
        <w:rPr>
          <w:rFonts w:ascii="IRNazanin" w:hAnsi="IRNazanin" w:eastAsia="IRNazanin"/>
          <w:color w:val="111111"/>
          <w:sz w:val="28"/>
          <w:sz w:val="28"/>
          <w:szCs w:val="28"/>
          <w:rtl w:val="true"/>
          <w:lang w:bidi="fa-IR"/>
        </w:rPr>
        <w:t xml:space="preserve">و السرائر </w:t>
      </w:r>
      <w:r>
        <w:rPr>
          <w:rStyle w:val="FootnoteAnchor"/>
          <w:rtl w:val="true"/>
        </w:rPr>
        <w:footnoteReference w:id="1489"/>
      </w:r>
      <w:r>
        <w:rPr>
          <w:rFonts w:ascii="IRNazanin" w:hAnsi="IRNazanin" w:eastAsia="IRNazanin"/>
          <w:color w:val="111111"/>
          <w:sz w:val="28"/>
          <w:sz w:val="28"/>
          <w:szCs w:val="28"/>
          <w:rtl w:val="true"/>
          <w:lang w:bidi="fa-IR"/>
        </w:rPr>
        <w:t xml:space="preserve">، بل ظاهر الروض </w:t>
      </w:r>
      <w:r>
        <w:rPr>
          <w:rStyle w:val="FootnoteAnchor"/>
          <w:rtl w:val="true"/>
        </w:rPr>
        <w:footnoteReference w:id="1490"/>
      </w:r>
      <w:r>
        <w:rPr>
          <w:rFonts w:ascii="IRNazanin" w:hAnsi="IRNazanin" w:eastAsia="IRNazanin"/>
          <w:color w:val="111111"/>
          <w:sz w:val="28"/>
          <w:sz w:val="28"/>
          <w:szCs w:val="28"/>
          <w:rtl w:val="true"/>
          <w:lang w:bidi="fa-IR"/>
        </w:rPr>
        <w:t>نسبته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 من أصله إشکال بل منع؛ لعدم ما یدلّ علیه بحیث ینهض لإطلاق الرجوع إلی الروایات، عدا وجوه اعتباریّة مثل غلبة لحوق المرأة فی الطبع بأقرانها، کما یشهد به مرسلة یونس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کلّما کبر سنّها قلّ حیضها إلی أن یرتفع</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 أو دعوی عموم نسائها فی مضمرة سماعة </w:t>
      </w:r>
      <w:r>
        <w:rPr>
          <w:rStyle w:val="FootnoteAnchor"/>
          <w:rtl w:val="true"/>
        </w:rPr>
        <w:footnoteReference w:id="1492"/>
      </w:r>
      <w:r>
        <w:rPr>
          <w:rFonts w:ascii="IRNazanin" w:hAnsi="IRNazanin" w:eastAsia="IRNazanin"/>
          <w:color w:val="111111"/>
          <w:sz w:val="28"/>
          <w:sz w:val="28"/>
          <w:szCs w:val="28"/>
          <w:rtl w:val="true"/>
          <w:lang w:bidi="fa-IR"/>
        </w:rPr>
        <w:t xml:space="preserve">لأقرانها، أو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زرارة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أقرانها 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ضعف الکلّ واضح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أهمل ذکر هذه المرتبة جماعة کالصدوق و السیّد و الشیخ فی الخلاف و النهایة و الحلبی و ابن سعید، و أنکرها آخرون کالمحقّق فی</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1494"/>
      </w:r>
      <w:r>
        <w:rPr>
          <w:rFonts w:ascii="IRNazanin" w:hAnsi="IRNazanin" w:eastAsia="IRNazanin"/>
          <w:color w:val="111111"/>
          <w:sz w:val="28"/>
          <w:sz w:val="28"/>
          <w:szCs w:val="28"/>
          <w:rtl w:val="true"/>
          <w:lang w:bidi="fa-IR"/>
        </w:rPr>
        <w:t xml:space="preserve">، و المصنّف فی المنتهی </w:t>
      </w:r>
      <w:r>
        <w:rPr>
          <w:rStyle w:val="FootnoteAnchor"/>
          <w:rtl w:val="true"/>
        </w:rPr>
        <w:footnoteReference w:id="1495"/>
      </w:r>
      <w:r>
        <w:rPr>
          <w:rFonts w:ascii="IRNazanin" w:hAnsi="IRNazanin" w:eastAsia="IRNazanin"/>
          <w:color w:val="111111"/>
          <w:sz w:val="28"/>
          <w:sz w:val="28"/>
          <w:szCs w:val="28"/>
          <w:rtl w:val="true"/>
          <w:lang w:bidi="fa-IR"/>
        </w:rPr>
        <w:t xml:space="preserve">، و الفاضل المقداد </w:t>
      </w:r>
      <w:r>
        <w:rPr>
          <w:rStyle w:val="FootnoteAnchor"/>
          <w:rtl w:val="true"/>
        </w:rPr>
        <w:footnoteReference w:id="1496"/>
      </w:r>
      <w:r>
        <w:rPr>
          <w:rFonts w:ascii="IRNazanin" w:hAnsi="IRNazanin" w:eastAsia="IRNazanin"/>
          <w:color w:val="111111"/>
          <w:sz w:val="28"/>
          <w:sz w:val="28"/>
          <w:szCs w:val="28"/>
          <w:rtl w:val="true"/>
          <w:lang w:bidi="fa-IR"/>
        </w:rPr>
        <w:t xml:space="preserve">و المحقّق الثانی فی جامع المقاصد </w:t>
      </w:r>
      <w:r>
        <w:rPr>
          <w:rStyle w:val="FootnoteAnchor"/>
          <w:rtl w:val="true"/>
        </w:rPr>
        <w:footnoteReference w:id="1497"/>
      </w:r>
      <w:r>
        <w:rPr>
          <w:rFonts w:ascii="IRNazanin" w:hAnsi="IRNazanin" w:eastAsia="IRNazanin"/>
          <w:color w:val="111111"/>
          <w:sz w:val="28"/>
          <w:sz w:val="28"/>
          <w:szCs w:val="28"/>
          <w:rtl w:val="true"/>
          <w:lang w:bidi="fa-IR"/>
        </w:rPr>
        <w:t xml:space="preserve">، و صاحب المدارک </w:t>
      </w:r>
      <w:r>
        <w:rPr>
          <w:rStyle w:val="FootnoteAnchor"/>
          <w:rtl w:val="true"/>
        </w:rPr>
        <w:footnoteReference w:id="1498"/>
      </w:r>
      <w:r>
        <w:rPr>
          <w:rFonts w:ascii="IRNazanin" w:hAnsi="IRNazanin" w:eastAsia="IRNazanin"/>
          <w:color w:val="111111"/>
          <w:sz w:val="28"/>
          <w:sz w:val="28"/>
          <w:szCs w:val="28"/>
          <w:rtl w:val="true"/>
          <w:lang w:bidi="fa-IR"/>
        </w:rPr>
        <w:t xml:space="preserve">و غیرهم </w:t>
      </w:r>
      <w:r>
        <w:rPr>
          <w:rStyle w:val="FootnoteAnchor"/>
          <w:rtl w:val="true"/>
        </w:rPr>
        <w:footnoteReference w:id="1499"/>
      </w:r>
      <w:r>
        <w:rPr>
          <w:rFonts w:ascii="IRNazanin" w:hAnsi="IRNazanin" w:eastAsia="IRNazanin"/>
          <w:color w:val="111111"/>
          <w:sz w:val="28"/>
          <w:sz w:val="28"/>
          <w:szCs w:val="28"/>
          <w:rtl w:val="true"/>
          <w:lang w:bidi="fa-IR"/>
        </w:rPr>
        <w:t>، و هو الأقوی، و إن کان الجمع بینها و بین الروایات مع الإمکان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لیس فی کلام الأصحاب تعیین للأقران، کما اعترف به فی الروض </w:t>
      </w:r>
      <w:r>
        <w:rPr>
          <w:rStyle w:val="FootnoteAnchor"/>
          <w:rtl w:val="true"/>
        </w:rPr>
        <w:footnoteReference w:id="1500"/>
      </w:r>
      <w:r>
        <w:rPr>
          <w:rFonts w:ascii="IRNazanin" w:hAnsi="IRNazanin" w:eastAsia="IRNazanin"/>
          <w:color w:val="111111"/>
          <w:sz w:val="28"/>
          <w:sz w:val="28"/>
          <w:szCs w:val="28"/>
          <w:rtl w:val="true"/>
          <w:lang w:bidi="fa-IR"/>
        </w:rPr>
        <w:t>، فالواجب الرجوع فیه إلی اللغة و العرف، فعن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فی السنّ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تحقّق المقارنة عرفاً بتولّدهما فی سنة واحدة، و فیما زاد عنها إشکال، و ظاهر کلمات المعتبرین لهذه المرتبة اعتبار اتّفاق الأقران، و لعلّ المراد من ذلک ما اخترناه فی عادة نسائها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جماعة منهم الماتن فی محکیّ التذکرة </w:t>
      </w:r>
      <w:r>
        <w:rPr>
          <w:rStyle w:val="FootnoteAnchor"/>
          <w:rtl w:val="true"/>
        </w:rPr>
        <w:footnoteReference w:id="1502"/>
      </w:r>
      <w:r>
        <w:rPr>
          <w:rFonts w:ascii="IRNazanin" w:hAnsi="IRNazanin" w:eastAsia="IRNazanin"/>
          <w:color w:val="111111"/>
          <w:sz w:val="28"/>
          <w:sz w:val="28"/>
          <w:szCs w:val="28"/>
          <w:rtl w:val="true"/>
          <w:lang w:bidi="fa-IR"/>
        </w:rPr>
        <w:t xml:space="preserve">و الشارح فی الروض </w:t>
      </w:r>
      <w:r>
        <w:rPr>
          <w:rStyle w:val="FootnoteAnchor"/>
          <w:rtl w:val="true"/>
        </w:rPr>
        <w:footnoteReference w:id="1503"/>
      </w:r>
      <w:r>
        <w:rPr>
          <w:rFonts w:ascii="IRNazanin" w:hAnsi="IRNazanin" w:eastAsia="IRNazanin"/>
          <w:color w:val="111111"/>
          <w:sz w:val="28"/>
          <w:sz w:val="28"/>
          <w:szCs w:val="28"/>
          <w:rtl w:val="true"/>
          <w:lang w:bidi="fa-IR"/>
        </w:rPr>
        <w:t xml:space="preserve">و المسالک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عادة الأهل و الأقران إنّما هو فی</w:t>
      </w:r>
    </w:p>
    <w:p>
      <w:pPr>
        <w:pStyle w:val="BookText"/>
        <w:rPr/>
      </w:pPr>
      <w:r>
        <w:rPr>
          <w:rFonts w:ascii="IRNazanin" w:hAnsi="IRNazanin" w:eastAsia="IRNazanin"/>
          <w:color w:val="111111"/>
          <w:sz w:val="28"/>
          <w:sz w:val="28"/>
          <w:szCs w:val="28"/>
          <w:rtl w:val="true"/>
          <w:lang w:bidi="fa-IR"/>
        </w:rPr>
        <w:t>العدد؛ حیث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وضع الأیّام حیث شاءت؛ و لعلّه لأنّ ظاهر الروایات لا یفید أزید من الرجوع إلیهنّ من حیث العدد کما لا یخفی علی المتأمّل، مع أنّ اتّفاقهنّ فی الوقت بعید جدّاً، بل قد لا یصادف أیّام دمها دمهنّ کما لو لم یستمرّ إلی شهر کامل، و المسألة لا تخلو من شوب الإشکال، إلّا أنّ الظاهر من النصّ و الفتوی ما ذکره الجماعة، فتدبّر و 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الاتّفاق الذی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یوجدن علی وجه یمکن الرجوع إلیهنّ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تحیّضت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مطلقاً، کما عن الاقتصاد </w:t>
      </w:r>
      <w:r>
        <w:rPr>
          <w:rStyle w:val="FootnoteAnchor"/>
          <w:rtl w:val="true"/>
        </w:rPr>
        <w:footnoteReference w:id="1505"/>
      </w:r>
      <w:r>
        <w:rPr>
          <w:rFonts w:ascii="IRNazanin" w:hAnsi="IRNazanin" w:eastAsia="IRNazanin"/>
          <w:color w:val="111111"/>
          <w:sz w:val="28"/>
          <w:sz w:val="28"/>
          <w:szCs w:val="28"/>
          <w:rtl w:val="true"/>
          <w:lang w:bidi="fa-IR"/>
        </w:rPr>
        <w:t xml:space="preserve">و التلخیص </w:t>
      </w:r>
      <w:r>
        <w:rPr>
          <w:rStyle w:val="FootnoteAnchor"/>
          <w:rtl w:val="true"/>
        </w:rPr>
        <w:footnoteReference w:id="1506"/>
      </w:r>
      <w:r>
        <w:rPr>
          <w:rFonts w:ascii="IRNazanin" w:hAnsi="IRNazanin" w:eastAsia="IRNazanin"/>
          <w:color w:val="111111"/>
          <w:sz w:val="28"/>
          <w:sz w:val="28"/>
          <w:szCs w:val="28"/>
          <w:rtl w:val="true"/>
          <w:lang w:bidi="fa-IR"/>
        </w:rPr>
        <w:t xml:space="preserve">، و اختاره الوحید فی شرح المفاتیح </w:t>
      </w:r>
      <w:r>
        <w:rPr>
          <w:rStyle w:val="FootnoteAnchor"/>
          <w:rtl w:val="true"/>
        </w:rPr>
        <w:footnoteReference w:id="1507"/>
      </w:r>
      <w:r>
        <w:rPr>
          <w:rFonts w:ascii="IRNazanin" w:hAnsi="IRNazanin" w:eastAsia="IRNazanin"/>
          <w:color w:val="111111"/>
          <w:sz w:val="28"/>
          <w:sz w:val="28"/>
          <w:szCs w:val="28"/>
          <w:rtl w:val="true"/>
          <w:lang w:bidi="fa-IR"/>
        </w:rPr>
        <w:t xml:space="preserve">، و صهره سیّد الریاض </w:t>
      </w:r>
      <w:r>
        <w:rPr>
          <w:rStyle w:val="FootnoteAnchor"/>
          <w:rtl w:val="true"/>
        </w:rPr>
        <w:footnoteReference w:id="1508"/>
      </w:r>
      <w:r>
        <w:rPr>
          <w:rFonts w:ascii="IRNazanin" w:hAnsi="IRNazanin" w:eastAsia="IRNazanin"/>
          <w:color w:val="111111"/>
          <w:sz w:val="28"/>
          <w:sz w:val="28"/>
          <w:szCs w:val="28"/>
          <w:rtl w:val="true"/>
          <w:lang w:bidi="fa-IR"/>
        </w:rPr>
        <w:t xml:space="preserve">، و بعض مشایخنا المعاصرین </w:t>
      </w:r>
      <w:r>
        <w:rPr>
          <w:rStyle w:val="FootnoteAnchor"/>
          <w:rtl w:val="true"/>
        </w:rPr>
        <w:footnoteReference w:id="1509"/>
      </w:r>
      <w:r>
        <w:rPr>
          <w:rFonts w:ascii="IRNazanin" w:hAnsi="IRNazanin" w:eastAsia="IRNazanin"/>
          <w:color w:val="111111"/>
          <w:sz w:val="28"/>
          <w:sz w:val="28"/>
          <w:szCs w:val="28"/>
          <w:rtl w:val="true"/>
          <w:lang w:bidi="fa-IR"/>
        </w:rPr>
        <w:t xml:space="preserve">، و عن المبسوط </w:t>
      </w:r>
      <w:r>
        <w:rPr>
          <w:rStyle w:val="FootnoteAnchor"/>
          <w:rtl w:val="true"/>
        </w:rPr>
        <w:footnoteReference w:id="1510"/>
      </w:r>
      <w:r>
        <w:rPr>
          <w:rFonts w:ascii="IRNazanin" w:hAnsi="IRNazanin" w:eastAsia="IRNazanin"/>
          <w:color w:val="111111"/>
          <w:sz w:val="28"/>
          <w:sz w:val="28"/>
          <w:szCs w:val="28"/>
          <w:rtl w:val="true"/>
          <w:lang w:bidi="fa-IR"/>
        </w:rPr>
        <w:t xml:space="preserve">و الوسیلة </w:t>
      </w:r>
      <w:r>
        <w:rPr>
          <w:rStyle w:val="FootnoteAnchor"/>
          <w:rtl w:val="true"/>
        </w:rPr>
        <w:footnoteReference w:id="1511"/>
      </w:r>
      <w:r>
        <w:rPr>
          <w:rFonts w:ascii="IRNazanin" w:hAnsi="IRNazanin" w:eastAsia="IRNazanin"/>
          <w:color w:val="111111"/>
          <w:sz w:val="28"/>
          <w:sz w:val="28"/>
          <w:szCs w:val="28"/>
          <w:rtl w:val="true"/>
          <w:lang w:bidi="fa-IR"/>
        </w:rPr>
        <w:t>نسبته إلی روایة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 أوّل الشهر کما نسبه فی محکیّ السرائر </w:t>
      </w:r>
      <w:r>
        <w:rPr>
          <w:rStyle w:val="FootnoteAnchor"/>
          <w:rtl w:val="true"/>
        </w:rPr>
        <w:footnoteReference w:id="1512"/>
      </w:r>
      <w:r>
        <w:rPr>
          <w:rFonts w:ascii="IRNazanin" w:hAnsi="IRNazanin" w:eastAsia="IRNazanin"/>
          <w:color w:val="111111"/>
          <w:sz w:val="28"/>
          <w:sz w:val="28"/>
          <w:szCs w:val="28"/>
          <w:rtl w:val="true"/>
          <w:lang w:bidi="fa-IR"/>
        </w:rPr>
        <w:t xml:space="preserve">إلی بعض أصحابنا؛ لقول الصادق علیه السلام فی مرسلة یونس المتقدّمة </w:t>
      </w:r>
      <w:r>
        <w:rPr>
          <w:rStyle w:val="FootnoteAnchor"/>
          <w:rtl w:val="true"/>
        </w:rPr>
        <w:footnoteReference w:id="1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سنّته التی استمرّ بها الدم أوّل ما تراه، أقصی دمها سبع، و أقصی طهرها ثلاث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لها أیّام قبل ذلک و استحاضت أوّل ما رأت فوقتها سبع و طهرها ثلاثة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کذلک بل أطبق علیها الدم علی لون فسنّتها السبع و الثلاث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اختصاص موردها بالمبتدئة بالمعنی الأخصّ أو بها و بالمتحیّرة؛ لأنّ المستفاد منها إناطة الحکم بفقد العادة و التمییز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الإجماع المرکّب و عدم القول بالفصل بین المبتدأة بالمعنی الأخصّ و المتحیّرة و بین غیرهما، و لا یعارضها قوله علیه السلام حکایةً لقول النبیّ صلّی اللّٰه علیه و آله لحمنة بنت جحش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تحیّضی فی کلّ شهر فی علم اللّٰه ستّاً أو سبعاً و اغتسلی، و صومی ثلاثة و عشرین أو أربعة و عشرین</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 لاحتمال کون التردید من الراوی، و علی فرض کونه تخییراً فالجمع بینه و بین الفقرات المتقدّمة بعید جدّاً، فلا بدّ من الاحتیاط؛ لدوران الأمر بین التخییر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یعارضه موثّقتا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أُولاهما فی المرأة إذا رأت الدم فی أوّل حیضها فاستمرّ بها الدم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الصلاة عشرة أیّام، ثمّ تصلّی عشرین یوماً، فإن استمرّ بها الدم بعد ذلک ترکت الصلاة عشرة أیّام ثمّ تصلّی عشرین یوماً، فإن استمرّ بها الدم بعد ذلک ترکت الصلاة ثلاثة أیّام و صلّت سبعة و عشرین یوماً</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الأُخری فی الجاریة أوّل ما تحیض یدفع علیها الدم فتکون 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تنتظر بالصلاة، فلا تصلّی حتّی تمضی أکثر ما یکون من الحیض، فإذا مضی ذلک و هو عشرة أیّام فعلت ما تعمل المستحاضة، ثمّ</w:t>
      </w:r>
    </w:p>
    <w:p>
      <w:pPr>
        <w:pStyle w:val="BookText"/>
        <w:rPr/>
      </w:pPr>
      <w:r>
        <w:rPr>
          <w:rFonts w:ascii="IRNazanin" w:hAnsi="IRNazanin" w:eastAsia="IRNazanin"/>
          <w:color w:val="111111"/>
          <w:sz w:val="28"/>
          <w:sz w:val="28"/>
          <w:szCs w:val="28"/>
          <w:rtl w:val="true"/>
          <w:lang w:bidi="fa-IR"/>
        </w:rPr>
        <w:t>صلّت، فمکثت تصلی بقیّة شهرها، ثمّ تترک الصلاة فی المرّة الثانیة أقلّ ما تترک امرأة الصلاة، و تجلس أقلّ ما یکون من الطمث و هو ثلاثة أیّام، فإن دام علیها الحیض صلّت فی وقت الصلاة التی صلّت، و جعلت وقت طهرها أکثر ما یکون من الطهر، و ترکها الصلاة أقلّ ما یکون من الحیض</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نحوهما فی المعارضة مقطوعة سماعة المتقدّمة فی عادة الأهل </w:t>
      </w:r>
      <w:r>
        <w:rPr>
          <w:rStyle w:val="FootnoteAnchor"/>
          <w:rtl w:val="true"/>
        </w:rPr>
        <w:footnoteReference w:id="1517"/>
      </w:r>
      <w:r>
        <w:rPr>
          <w:rFonts w:ascii="IRNazanin" w:hAnsi="IRNazanin" w:eastAsia="IRNazanin"/>
          <w:color w:val="111111"/>
          <w:sz w:val="28"/>
          <w:sz w:val="28"/>
          <w:szCs w:val="28"/>
          <w:rtl w:val="true"/>
          <w:lang w:bidi="fa-IR"/>
        </w:rPr>
        <w:t>و لذا جمع المشهور بالتخییر بین المرسلة و بینها بناءً علی أنّ ظاهرها تحیّضها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بثلاثة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و عشرة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من قسّم العدد فی المرسلة علی النساء بحسب أمزجتهنّ کما فی المنتهی </w:t>
      </w:r>
      <w:r>
        <w:rPr>
          <w:rStyle w:val="FootnoteAnchor"/>
          <w:rtl w:val="true"/>
        </w:rPr>
        <w:footnoteReference w:id="1519"/>
      </w:r>
      <w:r>
        <w:rPr>
          <w:rFonts w:ascii="IRNazanin" w:hAnsi="IRNazanin" w:eastAsia="IRNazanin"/>
          <w:color w:val="111111"/>
          <w:sz w:val="28"/>
          <w:sz w:val="28"/>
          <w:szCs w:val="28"/>
          <w:rtl w:val="true"/>
          <w:lang w:bidi="fa-IR"/>
        </w:rPr>
        <w:t xml:space="preserve">و عن النهایة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من خیّرهنّ مطلقاً بین عددی المرسلة و الموثّقات، إمّا معیّناً لتقدیم الثلاثة علی العشرة دائماً، کما عن الخلاف مدّعیاً علیه الوفاق </w:t>
      </w:r>
      <w:r>
        <w:rPr>
          <w:rStyle w:val="FootnoteAnchor"/>
          <w:rtl w:val="true"/>
        </w:rPr>
        <w:footnoteReference w:id="1521"/>
      </w:r>
      <w:r>
        <w:rPr>
          <w:rFonts w:ascii="Amiri" w:hAnsi="Amiri" w:eastAsia="Amiri" w:cs="Amiri"/>
          <w:color w:val="111111"/>
          <w:sz w:val="28"/>
          <w:sz w:val="28"/>
          <w:szCs w:val="28"/>
          <w:rtl w:val="true"/>
          <w:lang w:bidi="ar-SA"/>
        </w:rPr>
        <w:t xml:space="preserve">، و إمّا مخیّراً فی ذلک، کما عن النافع </w:t>
      </w:r>
      <w:r>
        <w:rPr>
          <w:rStyle w:val="FootnoteAnchor"/>
          <w:rtl w:val="true"/>
        </w:rPr>
        <w:footnoteReference w:id="1522"/>
      </w:r>
      <w:r>
        <w:rPr>
          <w:rFonts w:ascii="IRNazanin" w:hAnsi="IRNazanin" w:eastAsia="IRNazanin"/>
          <w:color w:val="111111"/>
          <w:sz w:val="28"/>
          <w:sz w:val="28"/>
          <w:szCs w:val="28"/>
          <w:rtl w:val="true"/>
          <w:lang w:bidi="fa-IR"/>
        </w:rPr>
        <w:t xml:space="preserve">و ظاهر کشف الرموز </w:t>
      </w:r>
      <w:r>
        <w:rPr>
          <w:rStyle w:val="FootnoteAnchor"/>
          <w:rtl w:val="true"/>
        </w:rPr>
        <w:footnoteReference w:id="1523"/>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و البیان </w:t>
      </w:r>
      <w:r>
        <w:rPr>
          <w:rStyle w:val="FootnoteAnchor"/>
          <w:rtl w:val="true"/>
        </w:rPr>
        <w:footnoteReference w:id="1525"/>
      </w:r>
      <w:r>
        <w:rPr>
          <w:rFonts w:ascii="IRNazanin" w:hAnsi="IRNazanin" w:eastAsia="IRNazanin"/>
          <w:color w:val="111111"/>
          <w:sz w:val="28"/>
          <w:sz w:val="28"/>
          <w:szCs w:val="28"/>
          <w:rtl w:val="true"/>
          <w:lang w:bidi="fa-IR"/>
        </w:rPr>
        <w:t xml:space="preserve">و الدروس </w:t>
      </w:r>
      <w:r>
        <w:rPr>
          <w:rStyle w:val="FootnoteAnchor"/>
          <w:rtl w:val="true"/>
        </w:rPr>
        <w:footnoteReference w:id="1526"/>
      </w:r>
      <w:r>
        <w:rPr>
          <w:rFonts w:ascii="IRNazanin" w:hAnsi="IRNazanin" w:eastAsia="IRNazanin"/>
          <w:color w:val="111111"/>
          <w:sz w:val="28"/>
          <w:sz w:val="28"/>
          <w:szCs w:val="28"/>
          <w:rtl w:val="true"/>
          <w:lang w:bidi="fa-IR"/>
        </w:rPr>
        <w:t xml:space="preserve">ناسباً له إلی أشهر الروایات و کتب الشهید و المحقّق الثانیین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من اقتصر علی السبعة مخیّراً فی العددین الأخیرین، کما اختاره المصنّف هنا و فی القواعد </w:t>
      </w:r>
      <w:r>
        <w:rPr>
          <w:rStyle w:val="FootnoteAnchor"/>
          <w:rtl w:val="true"/>
        </w:rPr>
        <w:footnoteReference w:id="1528"/>
      </w:r>
      <w:r>
        <w:rPr>
          <w:rFonts w:ascii="Amiri" w:hAnsi="Amiri" w:eastAsia="Amiri" w:cs="Amiri"/>
          <w:color w:val="111111"/>
          <w:sz w:val="28"/>
          <w:sz w:val="28"/>
          <w:szCs w:val="28"/>
          <w:rtl w:val="true"/>
          <w:lang w:bidi="ar-SA"/>
        </w:rPr>
        <w:t xml:space="preserve">و التبصرة </w:t>
      </w:r>
      <w:r>
        <w:rPr>
          <w:rStyle w:val="FootnoteAnchor"/>
          <w:rtl w:val="true"/>
        </w:rPr>
        <w:footnoteReference w:id="1529"/>
      </w:r>
      <w:r>
        <w:rPr>
          <w:rFonts w:ascii="IRNazanin" w:hAnsi="IRNazanin" w:eastAsia="IRNazanin"/>
          <w:color w:val="111111"/>
          <w:sz w:val="28"/>
          <w:sz w:val="28"/>
          <w:szCs w:val="28"/>
          <w:rtl w:val="true"/>
          <w:lang w:bidi="fa-IR"/>
        </w:rPr>
        <w:t xml:space="preserve">تبعاً لموضع من المبسوط </w:t>
      </w:r>
      <w:r>
        <w:rPr>
          <w:rStyle w:val="FootnoteAnchor"/>
          <w:rtl w:val="true"/>
        </w:rPr>
        <w:footnoteReference w:id="1530"/>
      </w:r>
      <w:r>
        <w:rPr>
          <w:rFonts w:ascii="IRNazanin" w:hAnsi="IRNazanin" w:eastAsia="IRNazanin"/>
          <w:color w:val="111111"/>
          <w:sz w:val="28"/>
          <w:sz w:val="28"/>
          <w:szCs w:val="28"/>
          <w:rtl w:val="true"/>
          <w:lang w:bidi="fa-IR"/>
        </w:rPr>
        <w:t xml:space="preserve">و الوسیلة </w:t>
      </w:r>
      <w:r>
        <w:rPr>
          <w:rStyle w:val="FootnoteAnchor"/>
          <w:rtl w:val="true"/>
        </w:rPr>
        <w:footnoteReference w:id="1531"/>
      </w:r>
      <w:r>
        <w:rPr>
          <w:rFonts w:ascii="IRNazanin" w:hAnsi="IRNazanin" w:eastAsia="IRNazanin"/>
          <w:color w:val="111111"/>
          <w:sz w:val="28"/>
          <w:sz w:val="28"/>
          <w:szCs w:val="28"/>
          <w:rtl w:val="true"/>
          <w:lang w:bidi="fa-IR"/>
        </w:rPr>
        <w:t xml:space="preserve">، بل عن المفاتیح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أو معیّناً لتقدیم العشرة، کما عن النهایة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عرفت أنّ هذه الأقوال طرّاً مبنیّة علی ظهور الموثّقات فی الثلاثة من کلّ شهر و العشرة من آخر، و هو ممنوع؛ إذ لا یخفی أنّ مقطوعة سماعة ظاهرة کما اعترف به محشّی الروضة </w:t>
      </w:r>
      <w:r>
        <w:rPr>
          <w:rStyle w:val="FootnoteAnchor"/>
          <w:rtl w:val="true"/>
        </w:rPr>
        <w:footnoteReference w:id="1534"/>
      </w:r>
      <w:r>
        <w:rPr>
          <w:rFonts w:ascii="IRNazanin" w:hAnsi="IRNazanin" w:eastAsia="IRNazanin"/>
          <w:color w:val="111111"/>
          <w:sz w:val="28"/>
          <w:sz w:val="28"/>
          <w:szCs w:val="28"/>
          <w:rtl w:val="true"/>
          <w:lang w:bidi="fa-IR"/>
        </w:rPr>
        <w:t xml:space="preserve">و شارحها </w:t>
      </w:r>
      <w:r>
        <w:rPr>
          <w:rStyle w:val="FootnoteAnchor"/>
          <w:rtl w:val="true"/>
        </w:rPr>
        <w:footnoteReference w:id="1535"/>
      </w:r>
      <w:r>
        <w:rPr>
          <w:rFonts w:ascii="IRNazanin" w:hAnsi="IRNazanin" w:eastAsia="IRNazanin"/>
          <w:color w:val="111111"/>
          <w:sz w:val="28"/>
          <w:sz w:val="28"/>
          <w:szCs w:val="28"/>
          <w:rtl w:val="true"/>
          <w:lang w:bidi="fa-IR"/>
        </w:rPr>
        <w:t>فی التخییر بین</w:t>
      </w:r>
    </w:p>
    <w:p>
      <w:pPr>
        <w:pStyle w:val="BookText"/>
        <w:rPr/>
      </w:pPr>
      <w:r>
        <w:rPr>
          <w:rFonts w:ascii="IRNazanin" w:hAnsi="IRNazanin" w:eastAsia="IRNazanin"/>
          <w:color w:val="111111"/>
          <w:sz w:val="28"/>
          <w:sz w:val="28"/>
          <w:szCs w:val="28"/>
          <w:rtl w:val="true"/>
          <w:lang w:bidi="fa-IR"/>
        </w:rPr>
        <w:t xml:space="preserve">الثلاثة و العشرة، و ما بینهما، کما عن الصدوق </w:t>
      </w:r>
      <w:r>
        <w:rPr>
          <w:rStyle w:val="FootnoteAnchor"/>
          <w:rtl w:val="true"/>
        </w:rPr>
        <w:footnoteReference w:id="1536"/>
      </w:r>
      <w:r>
        <w:rPr>
          <w:rFonts w:ascii="Amiri" w:hAnsi="Amiri" w:eastAsia="Amiri" w:cs="Amiri"/>
          <w:color w:val="111111"/>
          <w:sz w:val="28"/>
          <w:sz w:val="28"/>
          <w:szCs w:val="28"/>
          <w:rtl w:val="true"/>
          <w:lang w:bidi="ar-SA"/>
        </w:rPr>
        <w:t xml:space="preserve">و السیّد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الخزّاز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المستحاضة کیف تصنع إذا رأت الدم و إذا رأت الصفرة، و کم تدع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ثلاثة و أکثره عشرة و تجمع بین الصلاتین</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بناءً علی أنّ المراد به لیس لها التحیّض بأقلّ من الثلاثة و لا أکثر من العشرة، و لو لا منع ظهورهما فی ذلک فلا أقلّ من احتمالهما له و للتخییر بین خصوص الثلاثة و العشرة، إمّا دائماً کما یظهر اختیاره من شارح الروضة </w:t>
      </w:r>
      <w:r>
        <w:rPr>
          <w:rStyle w:val="FootnoteAnchor"/>
          <w:rtl w:val="true"/>
        </w:rPr>
        <w:footnoteReference w:id="1539"/>
      </w:r>
      <w:r>
        <w:rPr>
          <w:rFonts w:ascii="IRNazanin" w:hAnsi="IRNazanin" w:eastAsia="IRNazanin"/>
          <w:color w:val="111111"/>
          <w:sz w:val="28"/>
          <w:sz w:val="28"/>
          <w:szCs w:val="28"/>
          <w:rtl w:val="true"/>
          <w:lang w:bidi="fa-IR"/>
        </w:rPr>
        <w:t>، مضیفاً إلیهما التحیّض بالسبعة، و إمّا بجعل الثلاثة فی شهر و العشرة فی آخر کما فهمه المشهور علی اختلاف أقوالهم المتقدّمة، و هذا أضعف الاحتمالات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موثّقتا ابن بکیر </w:t>
      </w:r>
      <w:r>
        <w:rPr>
          <w:rStyle w:val="FootnoteAnchor"/>
          <w:rtl w:val="true"/>
        </w:rPr>
        <w:footnoteReference w:id="1540"/>
      </w:r>
      <w:r>
        <w:rPr>
          <w:rFonts w:ascii="IRNazanin" w:hAnsi="IRNazanin" w:eastAsia="IRNazanin"/>
          <w:color w:val="111111"/>
          <w:sz w:val="28"/>
          <w:sz w:val="28"/>
          <w:szCs w:val="28"/>
          <w:rtl w:val="true"/>
          <w:lang w:bidi="fa-IR"/>
        </w:rPr>
        <w:t xml:space="preserve">، فظاهرهما تعیّن العشرة فی الشهر الأوّل و الثلاثة فی باقی الشهور کما عن الإسکافی </w:t>
      </w:r>
      <w:r>
        <w:rPr>
          <w:rStyle w:val="FootnoteAnchor"/>
          <w:rtl w:val="true"/>
        </w:rPr>
        <w:footnoteReference w:id="1541"/>
      </w:r>
      <w:r>
        <w:rPr>
          <w:rFonts w:ascii="IRNazanin" w:hAnsi="IRNazanin" w:eastAsia="IRNazanin"/>
          <w:color w:val="111111"/>
          <w:sz w:val="28"/>
          <w:sz w:val="28"/>
          <w:szCs w:val="28"/>
          <w:rtl w:val="true"/>
          <w:lang w:bidi="fa-IR"/>
        </w:rPr>
        <w:t xml:space="preserve">و لو کان المراد بالعشرة فیهما عشرة التحیّض لأنّ المفروض وجوب التحیّض فی ابتداء الدم إلی العشرة کانت الوظیفة التحیّض بالثلاثة فی کلّ شهر، کما استوجهه المحقّق فی محکیّ المعتبر </w:t>
      </w:r>
      <w:r>
        <w:rPr>
          <w:rStyle w:val="FootnoteAnchor"/>
          <w:rtl w:val="true"/>
        </w:rPr>
        <w:footnoteReference w:id="1542"/>
      </w:r>
      <w:r>
        <w:rPr>
          <w:rFonts w:ascii="IRNazanin" w:hAnsi="IRNazanin" w:eastAsia="IRNazanin"/>
          <w:color w:val="111111"/>
          <w:sz w:val="28"/>
          <w:sz w:val="28"/>
          <w:szCs w:val="28"/>
          <w:rtl w:val="true"/>
          <w:lang w:bidi="fa-IR"/>
        </w:rPr>
        <w:t>، لکن لا یبعد إرادة الإسکافی بالعشرة الاولی عشرة التحیّض ابتداء</w:t>
      </w:r>
    </w:p>
    <w:p>
      <w:pPr>
        <w:pStyle w:val="BookText"/>
        <w:rPr/>
      </w:pPr>
      <w:r>
        <w:rPr>
          <w:rFonts w:ascii="IRNazanin" w:hAnsi="IRNazanin" w:eastAsia="IRNazanin"/>
          <w:color w:val="111111"/>
          <w:sz w:val="28"/>
          <w:sz w:val="28"/>
          <w:szCs w:val="28"/>
          <w:rtl w:val="true"/>
          <w:lang w:bidi="fa-IR"/>
        </w:rPr>
        <w:t>الدم، فیتحدّ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فالروایات و إن ادّعی فی محکیّ الخلاف کونها مجمعاً علیها </w:t>
      </w:r>
      <w:r>
        <w:rPr>
          <w:rStyle w:val="FootnoteAnchor"/>
          <w:rtl w:val="true"/>
        </w:rPr>
        <w:footnoteReference w:id="1543"/>
      </w:r>
      <w:r>
        <w:rPr>
          <w:rFonts w:ascii="IRNazanin" w:hAnsi="IRNazanin" w:eastAsia="IRNazanin"/>
          <w:color w:val="111111"/>
          <w:sz w:val="28"/>
          <w:sz w:val="28"/>
          <w:szCs w:val="28"/>
          <w:rtl w:val="true"/>
          <w:lang w:bidi="fa-IR"/>
        </w:rPr>
        <w:t xml:space="preserve">إلّا أنّه لا دلالة فیها علی التحیّض فی شهر بالعشرة و فی آخر بالثلاثة، فضلًا عن أن تدلّ علی التخییر بین ذلک و بین مضمون المرسلة أعنی السبعة معیّناً أو مخیّراً فیهما </w:t>
      </w:r>
      <w:r>
        <w:rPr>
          <w:rStyle w:val="FootnoteAnchor"/>
          <w:rtl w:val="true"/>
        </w:rPr>
        <w:footnoteReference w:id="1544"/>
      </w:r>
      <w:r>
        <w:rPr>
          <w:rFonts w:ascii="IRNazanin" w:hAnsi="IRNazanin" w:eastAsia="IRNazanin"/>
          <w:color w:val="111111"/>
          <w:sz w:val="28"/>
          <w:sz w:val="28"/>
          <w:szCs w:val="28"/>
          <w:rtl w:val="true"/>
          <w:lang w:bidi="fa-IR"/>
        </w:rPr>
        <w:t xml:space="preserve">و بین الستّة؛ فإنّ الجمع بینها و بین المرسلة خروج عن ظاهر الطرفین بل صریح المرسلة من غیر شاهد، عدا ما یتخیّل من مقطوعة سماعة </w:t>
      </w:r>
      <w:r>
        <w:rPr>
          <w:rStyle w:val="FootnoteAnchor"/>
          <w:rtl w:val="true"/>
        </w:rPr>
        <w:footnoteReference w:id="1545"/>
      </w:r>
      <w:r>
        <w:rPr>
          <w:rFonts w:ascii="IRNazanin" w:hAnsi="IRNazanin" w:eastAsia="IRNazanin"/>
          <w:color w:val="111111"/>
          <w:sz w:val="28"/>
          <w:sz w:val="28"/>
          <w:szCs w:val="28"/>
          <w:rtl w:val="true"/>
          <w:lang w:bidi="fa-IR"/>
        </w:rPr>
        <w:t>، الممنوع دلالتها کما عرفت، مع أنّ مورد الکلّ مختصّة بالمبتدئة بالمعنی الأخصّ، فالتعمیم للمضطربة بقسمیها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بعد تسلیم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المرجّحات، و هی مع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منع من وجود المرجّح تخیّر الفقیه فی إفتاء المرأة، لا المرأة فی تحیّضها، إلّا أن نقول فی تکافؤ الخبرین بالفتوی بالتخییر کما لا یبعد دون التخییر فی الإفتاء، فیستقیم ما ذکره الجماعة من تخیّر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یعضده مقطوعة سماعة علی أحد الاحتمالین، بل علی کلیهما؛ حیث إنّ المتیقّن من مدلولها بعد التردّد بین الاحتمالین التخییر بین الثلاثة و العشرة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أنّه لو فرض عدم دلالة الموثّقتین علی التخییر المذکور کفت المقطوعة المجمع علیها، کما عن الخلاف فی معارضة المرسلة، و لا یقدح فی</w:t>
      </w:r>
    </w:p>
    <w:p>
      <w:pPr>
        <w:pStyle w:val="BookText"/>
        <w:rPr/>
      </w:pPr>
      <w:r>
        <w:rPr>
          <w:rFonts w:ascii="IRNazanin" w:hAnsi="IRNazanin" w:eastAsia="IRNazanin"/>
          <w:color w:val="111111"/>
          <w:sz w:val="28"/>
          <w:sz w:val="28"/>
          <w:szCs w:val="28"/>
          <w:rtl w:val="true"/>
          <w:lang w:bidi="fa-IR"/>
        </w:rPr>
        <w:t>ذلک إجمالها؛ لأنّها معارضة علی کلّ حال، لکن یعارضها الموثّقتان؛ بناءً علی ظهورهما فی مذهب المحقّق و الإسکافی، و حینئذٍ فالمتعیّن بعد فرض عدم الترجیح الرجوع إلی مضمون الموثّقتین؛ لموافقتهما لأصالة عدم زیادة الحیض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 قوّة قول المحقّق بعد ما اخترناه، بل کونه أقوی منه؛ بناءً علی عدم ثبوت الترجیح للمرسلة علی وجه تطمئنّ به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علی هذا الفرض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الموثّقتین علی ما هو ظاهر هنا من مذهب المحقّق و الإسکافی یوجب مرجوحیّتهما؛ لشذوذهما، فلا بدّ من طرحهما أو إرجاعهما إلی مضمون المقطوعة، کما فهمه المشهور، فینحصر التعارض بین المرسلة و المقطوعة، فیقوی القول بالتخییر بین المرسلة و الموثّقات علی أحد الأقوال المتقدّمة فی التخییر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تطرح المقطوعة لسندها أو إجمال دلالتها، و إن ادّعی فی المنتهی أنّ الأصحاب تلقّوها بالقبول </w:t>
      </w:r>
      <w:r>
        <w:rPr>
          <w:rStyle w:val="FootnoteAnchor"/>
          <w:rtl w:val="true"/>
        </w:rPr>
        <w:footnoteReference w:id="1546"/>
      </w:r>
      <w:r>
        <w:rPr>
          <w:rFonts w:ascii="IRNazanin" w:hAnsi="IRNazanin" w:eastAsia="IRNazanin"/>
          <w:color w:val="111111"/>
          <w:sz w:val="28"/>
          <w:sz w:val="28"/>
          <w:szCs w:val="28"/>
          <w:rtl w:val="true"/>
          <w:lang w:bidi="fa-IR"/>
        </w:rPr>
        <w:t>، لکنّ الظاهر کون ذلک من حیث تضمّنها للعادة النسائیّة، و یتخیّر بین المرسلة و الموثّقتین، فیتعیّن ما عن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التخییر بین السبعة و الثلاثة </w:t>
      </w:r>
      <w:r>
        <w:rPr>
          <w:rStyle w:val="FootnoteAnchor"/>
          <w:rtl w:val="true"/>
        </w:rPr>
        <w:footnoteReference w:id="1547"/>
      </w:r>
      <w:r>
        <w:rPr>
          <w:rFonts w:ascii="IRNazanin" w:hAnsi="IRNazanin" w:eastAsia="IRNazanin"/>
          <w:color w:val="111111"/>
          <w:sz w:val="28"/>
          <w:sz w:val="28"/>
          <w:szCs w:val="28"/>
          <w:rtl w:val="true"/>
          <w:lang w:bidi="fa-IR"/>
        </w:rPr>
        <w:t xml:space="preserve">، کما أنّه قد تطرح المرسلة لضعف سندها أو دلالتها، و یقتصر علی الموثّقتین و المقطوعة بدعوی ظهورهما فی لزوم التحیّض فی الشهر الأوّل بالعشرة و فی الثانی بالثلاثة، أو علی روایة الخزّاز المتقدّمة </w:t>
      </w:r>
      <w:r>
        <w:rPr>
          <w:rStyle w:val="FootnoteAnchor"/>
          <w:rtl w:val="true"/>
        </w:rPr>
        <w:footnoteReference w:id="1548"/>
      </w:r>
      <w:r>
        <w:rPr>
          <w:rFonts w:ascii="IRNazanin" w:hAnsi="IRNazanin" w:eastAsia="IRNazanin"/>
          <w:color w:val="111111"/>
          <w:sz w:val="28"/>
          <w:sz w:val="28"/>
          <w:szCs w:val="28"/>
          <w:rtl w:val="true"/>
          <w:lang w:bidi="fa-IR"/>
        </w:rPr>
        <w:t xml:space="preserve">بدعوی ظهورها فی لزوم الثلاثة الأُول </w:t>
      </w:r>
      <w:r>
        <w:rPr>
          <w:rStyle w:val="FootnoteAnchor"/>
          <w:rtl w:val="true"/>
        </w:rPr>
        <w:footnoteReference w:id="1549"/>
      </w:r>
      <w:r>
        <w:rPr>
          <w:rFonts w:ascii="IRNazanin" w:hAnsi="IRNazanin" w:eastAsia="IRNazanin"/>
          <w:color w:val="111111"/>
          <w:sz w:val="28"/>
          <w:sz w:val="28"/>
          <w:szCs w:val="28"/>
          <w:rtl w:val="true"/>
          <w:lang w:bidi="fa-IR"/>
        </w:rPr>
        <w:t>و العشرة فی الشهر</w:t>
      </w:r>
    </w:p>
    <w:p>
      <w:pPr>
        <w:pStyle w:val="BookText"/>
        <w:rPr/>
      </w:pPr>
      <w:r>
        <w:rPr>
          <w:rFonts w:ascii="IRNazanin" w:hAnsi="IRNazanin" w:eastAsia="IRNazanin"/>
          <w:color w:val="111111"/>
          <w:sz w:val="28"/>
          <w:sz w:val="28"/>
          <w:szCs w:val="28"/>
          <w:rtl w:val="true"/>
          <w:lang w:bidi="fa-IR"/>
        </w:rPr>
        <w:t xml:space="preserve">الثانی، نظیر ما تقدّم من دعوی ظهور الموثّقات فی عکس ذلک، نسب القولین فی محکیّ السرائر </w:t>
      </w:r>
      <w:r>
        <w:rPr>
          <w:rStyle w:val="FootnoteAnchor"/>
          <w:rtl w:val="true"/>
        </w:rPr>
        <w:footnoteReference w:id="1550"/>
      </w:r>
      <w:r>
        <w:rPr>
          <w:rFonts w:ascii="IRNazanin" w:hAnsi="IRNazanin" w:eastAsia="IRNazanin"/>
          <w:color w:val="111111"/>
          <w:sz w:val="28"/>
          <w:sz w:val="28"/>
          <w:szCs w:val="28"/>
          <w:rtl w:val="true"/>
          <w:lang w:bidi="fa-IR"/>
        </w:rPr>
        <w:t>إلی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یعکس فتؤخذ بالمرسلة وحدها؛ لرجحانها علی ما عداها، و حینئذٍ فإمّا أن یحکم بالتخییر بین الستّة و السبعة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w:t>
      </w:r>
      <w:r>
        <w:rPr>
          <w:rStyle w:val="FootnoteAnchor"/>
          <w:rtl w:val="true"/>
        </w:rPr>
        <w:footnoteReference w:id="1551"/>
      </w:r>
      <w:r>
        <w:rPr>
          <w:rFonts w:ascii="IRNazanin" w:hAnsi="IRNazanin" w:eastAsia="IRNazanin"/>
          <w:color w:val="111111"/>
          <w:sz w:val="28"/>
          <w:sz w:val="28"/>
          <w:szCs w:val="28"/>
          <w:rtl w:val="true"/>
          <w:lang w:bidi="fa-IR"/>
        </w:rPr>
        <w:t xml:space="preserve">، و إمّا أن یعیّن الستّة لاحتمال کون التردید من الراوی، فیقتصر علی الأقلّ لأنّه المتیقّن، حکاه فی السرائر </w:t>
      </w:r>
      <w:r>
        <w:rPr>
          <w:rStyle w:val="FootnoteAnchor"/>
          <w:rtl w:val="true"/>
        </w:rPr>
        <w:footnoteReference w:id="1552"/>
      </w:r>
      <w:r>
        <w:rPr>
          <w:rFonts w:ascii="IRNazanin" w:hAnsi="IRNazanin" w:eastAsia="IRNazanin"/>
          <w:color w:val="111111"/>
          <w:sz w:val="28"/>
          <w:sz w:val="28"/>
          <w:szCs w:val="28"/>
          <w:rtl w:val="true"/>
          <w:lang w:bidi="fa-IR"/>
        </w:rPr>
        <w:t>عن بعض آخر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تطرح الروایات جمیعاً؛ لضعفها، و حینئذٍ فإمّا أن یؤخذ بعمومات وجوب الأخذ بالیقین لأنّ الروایات المخصّصة لها معارضة بالموثّقتین؛ بناءً علی دلالتها علی التحیّض بالثلاثة فی کلّ شهر أو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علی أصالة عدم زیادة الحیض، مضافاً إلی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تراه قبل العشرة فهو من الحیضة الأُولی</w:t>
      </w:r>
      <w:r>
        <w:rPr>
          <w:rFonts w:eastAsia="IRNazanin" w:cs="IRNazanin"/>
          <w:color w:val="111111"/>
          <w:sz w:val="28"/>
          <w:szCs w:val="28"/>
          <w:rtl w:val="true"/>
          <w:lang w:bidi="fa-IR"/>
        </w:rPr>
        <w:t xml:space="preserve">» </w:t>
      </w:r>
      <w:r>
        <w:rPr>
          <w:rStyle w:val="FootnoteAnchor"/>
          <w:rtl w:val="true"/>
        </w:rPr>
        <w:footnoteReference w:id="1553"/>
      </w:r>
      <w:r>
        <w:rPr>
          <w:rFonts w:ascii="IRNazanin" w:hAnsi="IRNazanin" w:eastAsia="IRNazanin"/>
          <w:color w:val="111111"/>
          <w:sz w:val="28"/>
          <w:sz w:val="28"/>
          <w:szCs w:val="28"/>
          <w:rtl w:val="true"/>
          <w:lang w:bidi="fa-IR"/>
        </w:rPr>
        <w:t xml:space="preserve">الممکن تطبیقه علی المقام مع مراعاة ما دلّ علی أنّ الحیض فی کلّ شهر مرّة </w:t>
      </w:r>
      <w:r>
        <w:rPr>
          <w:rStyle w:val="FootnoteAnchor"/>
          <w:rtl w:val="true"/>
        </w:rPr>
        <w:footnoteReference w:id="1554"/>
      </w:r>
      <w:r>
        <w:rPr>
          <w:rFonts w:ascii="IRNazanin" w:hAnsi="IRNazanin" w:eastAsia="IRNazanin"/>
          <w:color w:val="111111"/>
          <w:sz w:val="28"/>
          <w:sz w:val="28"/>
          <w:szCs w:val="28"/>
          <w:rtl w:val="true"/>
          <w:lang w:bidi="fa-IR"/>
        </w:rPr>
        <w:t xml:space="preserve">، و خصوص قوله علیه السلام فی ذیل مرسلة یونس القصیرة </w:t>
      </w:r>
      <w:r>
        <w:rPr>
          <w:rStyle w:val="FootnoteAnchor"/>
          <w:rtl w:val="true"/>
        </w:rPr>
        <w:footnoteReference w:id="1555"/>
      </w:r>
      <w:r>
        <w:rPr>
          <w:rFonts w:ascii="IRNazanin" w:hAnsi="IRNazanin" w:eastAsia="IRNazanin"/>
          <w:color w:val="111111"/>
          <w:sz w:val="28"/>
          <w:sz w:val="28"/>
          <w:szCs w:val="28"/>
          <w:rtl w:val="true"/>
          <w:lang w:bidi="fa-IR"/>
        </w:rPr>
        <w:t xml:space="preserve">المتقدّمة فی أقلّ الحیض؛ بناءً علی عدم اختصاصها بالمعتادة، فیحکم فی کلّ شهر بعشرة، کما نسبه فی المنتهی </w:t>
      </w:r>
      <w:r>
        <w:rPr>
          <w:rStyle w:val="FootnoteAnchor"/>
          <w:rtl w:val="true"/>
        </w:rPr>
        <w:footnoteReference w:id="1556"/>
      </w:r>
      <w:r>
        <w:rPr>
          <w:rFonts w:ascii="IRNazanin" w:hAnsi="IRNazanin" w:eastAsia="IRNazanin"/>
          <w:color w:val="111111"/>
          <w:sz w:val="28"/>
          <w:sz w:val="28"/>
          <w:szCs w:val="28"/>
          <w:rtl w:val="true"/>
          <w:lang w:bidi="fa-IR"/>
        </w:rPr>
        <w:t>إلی بعض</w:t>
      </w:r>
    </w:p>
    <w:p>
      <w:pPr>
        <w:pStyle w:val="BookText"/>
        <w:rPr/>
      </w:pPr>
      <w:r>
        <w:rPr>
          <w:rFonts w:ascii="IRNazanin" w:hAnsi="IRNazanin" w:eastAsia="IRNazanin"/>
          <w:color w:val="111111"/>
          <w:sz w:val="28"/>
          <w:sz w:val="28"/>
          <w:szCs w:val="28"/>
          <w:rtl w:val="true"/>
          <w:lang w:bidi="fa-IR"/>
        </w:rPr>
        <w:t xml:space="preserve">أصحابنا، و إمّا مع إلغاء ذلک، فیحکم بعشرة بعد کلّ عشرة لأقلّ الطهر کما نسبه </w:t>
      </w:r>
      <w:r>
        <w:rPr>
          <w:rStyle w:val="FootnoteAnchor"/>
          <w:rtl w:val="true"/>
        </w:rPr>
        <w:footnoteReference w:id="1557"/>
      </w:r>
      <w:r>
        <w:rPr>
          <w:rFonts w:ascii="IRNazanin" w:hAnsi="IRNazanin" w:eastAsia="IRNazanin"/>
          <w:color w:val="111111"/>
          <w:sz w:val="28"/>
          <w:sz w:val="28"/>
          <w:szCs w:val="28"/>
          <w:rtl w:val="true"/>
          <w:lang w:bidi="fa-IR"/>
        </w:rPr>
        <w:t xml:space="preserve">إلی بعضٍ آخر، و قد تقدّم عن الغنیة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إمّا أن یرجع إلی روایتی أبی بصیر و یونس بن یعقوب المتقدّمتین </w:t>
      </w:r>
      <w:r>
        <w:rPr>
          <w:rStyle w:val="FootnoteAnchor"/>
          <w:rtl w:val="true"/>
        </w:rPr>
        <w:footnoteReference w:id="1559"/>
      </w:r>
      <w:r>
        <w:rPr>
          <w:rFonts w:ascii="IRNazanin" w:hAnsi="IRNazanin" w:eastAsia="IRNazanin"/>
          <w:color w:val="111111"/>
          <w:sz w:val="28"/>
          <w:sz w:val="28"/>
          <w:szCs w:val="28"/>
          <w:rtl w:val="true"/>
          <w:lang w:bidi="fa-IR"/>
        </w:rPr>
        <w:t xml:space="preserve">الدالّتین علی أنّها تدع الصلاة و الصوم کلّما رأت الدم و تصلّی و تصوم کلّما رأت الطهر إلی أن تستقرّ لها عادة کما حکی عن موضع من المبسوط </w:t>
      </w:r>
      <w:r>
        <w:rPr>
          <w:rStyle w:val="FootnoteAnchor"/>
          <w:rtl w:val="true"/>
        </w:rPr>
        <w:footnoteReference w:id="1560"/>
      </w:r>
      <w:r>
        <w:rPr>
          <w:rFonts w:ascii="IRNazanin" w:hAnsi="IRNazanin" w:eastAsia="IRNazanin"/>
          <w:color w:val="111111"/>
          <w:sz w:val="28"/>
          <w:sz w:val="28"/>
          <w:szCs w:val="28"/>
          <w:rtl w:val="true"/>
          <w:lang w:bidi="fa-IR"/>
        </w:rPr>
        <w:t>، لکن هذا لیس قولًا تامّاً فی المسألة؛ إذ قد لا یتخلّل الطهر بین أیّام الدم، فلا بدّ من الرجوع حینئذٍ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عشرون قولًا فی المبتدأة بناءً علی مغایرة قول الإسکافی لقول المحقّق کلّها ناشئة من الأخذ بمجموع الأخبار أو ببعضها، أو من طرحها؛ لضعفها سنداً أو دلالة و الاقتصار علی الأصل، أو قاعدة الإمکان مطلقاً، أو فی کلّ شهر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الأقوی و الأحوط هو الأخذ بالسبعة، و یتلوه فی القوّة ما یظهر من شارح الروضة </w:t>
      </w:r>
      <w:r>
        <w:rPr>
          <w:rStyle w:val="FootnoteAnchor"/>
          <w:rtl w:val="true"/>
        </w:rPr>
        <w:footnoteReference w:id="1561"/>
      </w:r>
      <w:r>
        <w:rPr>
          <w:rFonts w:ascii="IRNazanin" w:hAnsi="IRNazanin" w:eastAsia="IRNazanin"/>
          <w:color w:val="111111"/>
          <w:sz w:val="28"/>
          <w:sz w:val="28"/>
          <w:szCs w:val="28"/>
          <w:rtl w:val="true"/>
          <w:lang w:bidi="fa-IR"/>
        </w:rPr>
        <w:t>من التخییر بین السبعة و الثلاثة و العشرة، و أحوط من ذلک التحیّض بالثلاثة ثمّ الجمع إلی العشرة بین وظیفتی الحائض و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تتخیّر فی العدد بین وضعه فیما شاءت من الشهر، کما عن جماعة، منهم المحقّق </w:t>
      </w:r>
      <w:r>
        <w:rPr>
          <w:rStyle w:val="FootnoteAnchor"/>
          <w:rtl w:val="true"/>
        </w:rPr>
        <w:footnoteReference w:id="1562"/>
      </w:r>
      <w:r>
        <w:rPr>
          <w:rFonts w:ascii="IRNazanin" w:hAnsi="IRNazanin" w:eastAsia="IRNazanin"/>
          <w:color w:val="111111"/>
          <w:sz w:val="28"/>
          <w:sz w:val="28"/>
          <w:szCs w:val="28"/>
          <w:rtl w:val="true"/>
          <w:lang w:bidi="fa-IR"/>
        </w:rPr>
        <w:t xml:space="preserve">و المصنّف فی غیر التذکرة </w:t>
      </w:r>
      <w:r>
        <w:rPr>
          <w:rStyle w:val="FootnoteAnchor"/>
          <w:rtl w:val="true"/>
        </w:rPr>
        <w:footnoteReference w:id="1563"/>
      </w:r>
      <w:r>
        <w:rPr>
          <w:rFonts w:ascii="Amiri" w:hAnsi="Amiri" w:eastAsia="Amiri" w:cs="Amiri"/>
          <w:color w:val="111111"/>
          <w:sz w:val="28"/>
          <w:sz w:val="28"/>
          <w:szCs w:val="28"/>
          <w:rtl w:val="true"/>
          <w:lang w:bidi="ar-SA"/>
        </w:rPr>
        <w:t xml:space="preserve">و المحقّق </w:t>
      </w:r>
      <w:r>
        <w:rPr>
          <w:rStyle w:val="FootnoteAnchor"/>
          <w:rtl w:val="true"/>
        </w:rPr>
        <w:footnoteReference w:id="1564"/>
      </w:r>
      <w:r>
        <w:rPr>
          <w:rFonts w:ascii="IRNazanin" w:hAnsi="IRNazanin" w:eastAsia="IRNazanin"/>
          <w:color w:val="111111"/>
          <w:sz w:val="28"/>
          <w:sz w:val="28"/>
          <w:szCs w:val="28"/>
          <w:rtl w:val="true"/>
          <w:lang w:bidi="fa-IR"/>
        </w:rPr>
        <w:t xml:space="preserve">و الشهید </w:t>
      </w:r>
      <w:r>
        <w:rPr>
          <w:rStyle w:val="FootnoteAnchor"/>
          <w:rtl w:val="true"/>
        </w:rPr>
        <w:footnoteReference w:id="1565"/>
      </w:r>
      <w:r>
        <w:rPr>
          <w:rFonts w:ascii="IRNazanin" w:hAnsi="IRNazanin" w:eastAsia="IRNazanin"/>
          <w:color w:val="111111"/>
          <w:sz w:val="28"/>
          <w:sz w:val="28"/>
          <w:szCs w:val="28"/>
          <w:rtl w:val="true"/>
          <w:lang w:bidi="fa-IR"/>
        </w:rPr>
        <w:t xml:space="preserve">الثانیان، بل عن الحدائق </w:t>
      </w:r>
      <w:r>
        <w:rPr>
          <w:rStyle w:val="FootnoteAnchor"/>
          <w:rtl w:val="true"/>
        </w:rPr>
        <w:footnoteReference w:id="1566"/>
      </w:r>
      <w:r>
        <w:rPr>
          <w:rFonts w:ascii="IRNazanin" w:hAnsi="IRNazanin" w:eastAsia="IRNazanin"/>
          <w:color w:val="111111"/>
          <w:sz w:val="28"/>
          <w:sz w:val="28"/>
          <w:szCs w:val="28"/>
          <w:rtl w:val="true"/>
          <w:lang w:bidi="fa-IR"/>
        </w:rPr>
        <w:t xml:space="preserve">نسبته إلی الأصحاب، أم یتعیّن علیها وضعه فی أوّل الشهر، کما عن التذکرة </w:t>
      </w:r>
      <w:r>
        <w:rPr>
          <w:rStyle w:val="FootnoteAnchor"/>
          <w:rtl w:val="true"/>
        </w:rPr>
        <w:footnoteReference w:id="1567"/>
      </w:r>
      <w:r>
        <w:rPr>
          <w:rFonts w:ascii="IRNazanin" w:hAnsi="IRNazanin" w:eastAsia="IRNazanin"/>
          <w:color w:val="111111"/>
          <w:sz w:val="28"/>
          <w:sz w:val="28"/>
          <w:szCs w:val="28"/>
          <w:rtl w:val="true"/>
          <w:lang w:bidi="fa-IR"/>
        </w:rPr>
        <w:t xml:space="preserve">، و اختاره کاشف اللثام </w:t>
      </w:r>
      <w:r>
        <w:rPr>
          <w:rStyle w:val="FootnoteAnchor"/>
          <w:rtl w:val="true"/>
        </w:rPr>
        <w:footnoteReference w:id="1568"/>
      </w:r>
      <w:r>
        <w:rPr>
          <w:rFonts w:ascii="IRNazanin" w:hAnsi="IRNazanin" w:eastAsia="IRNazanin"/>
          <w:color w:val="111111"/>
          <w:sz w:val="28"/>
          <w:sz w:val="28"/>
          <w:szCs w:val="28"/>
          <w:rtl w:val="true"/>
          <w:lang w:bidi="fa-IR"/>
        </w:rPr>
        <w:t xml:space="preserve">و بعض آخر </w:t>
      </w:r>
      <w:r>
        <w:rPr>
          <w:rStyle w:val="FootnoteAnchor"/>
          <w:rtl w:val="true"/>
        </w:rPr>
        <w:footnoteReference w:id="1569"/>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إطلاق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دعوی ظهورها، سیّما المرسلة فی تقدیم التحیّض</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قوله علیه السلام فی ذیل مرسلة یونس القصیرة المتقدّمة فی مسألة التوالی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عدّت من أوّل ما رأت الدم الأوّل و الثانی عشرة أیّام ثمّ هی 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بناءً علی عدم ظهورها فی المعتادة، و حمل</w:t>
      </w:r>
    </w:p>
    <w:p>
      <w:pPr>
        <w:pStyle w:val="BookText"/>
        <w:rPr/>
      </w:pPr>
      <w:r>
        <w:rPr>
          <w:rFonts w:ascii="IRNazanin" w:hAnsi="IRNazanin" w:eastAsia="IRNazanin"/>
          <w:color w:val="111111"/>
          <w:sz w:val="28"/>
          <w:sz w:val="28"/>
          <w:szCs w:val="28"/>
          <w:rtl w:val="true"/>
          <w:lang w:bidi="fa-IR"/>
        </w:rPr>
        <w:t xml:space="preserve">قوله علیه السلام </w:t>
      </w:r>
      <w:r>
        <w:rPr>
          <w:rStyle w:val="FootnoteAnchor"/>
          <w:rtl w:val="true"/>
        </w:rPr>
        <w:footnoteReference w:id="15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حاضت المرأة و کان حیضها 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اتّفق کون حیضها خمسة فطهرت، لا أنّ عادتها کانت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علیها أن تتحیّض فی أوّل رؤیة الدم إلی أن یتجاوز العشرة، فلا وجه لرجوعها عن ذلک و ترکها العبادة فیما بعد ذلک و قضائها ما ترکته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لا تتحیّض فی أوّل الرؤیة عمداً أو جهلًا، مع أنّ عدم الوجه فی رجوعها عن ذلک لا یوجب إلزامها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ذیل المرسلة القصیرة، فهو بظاهرها مخالف للمشهور، موافق لما اختاره فی الحدائق </w:t>
      </w:r>
      <w:r>
        <w:rPr>
          <w:rStyle w:val="FootnoteAnchor"/>
          <w:rtl w:val="true"/>
        </w:rPr>
        <w:footnoteReference w:id="1572"/>
      </w:r>
      <w:r>
        <w:rPr>
          <w:rFonts w:ascii="IRNazanin" w:hAnsi="IRNazanin" w:eastAsia="IRNazanin"/>
          <w:color w:val="111111"/>
          <w:sz w:val="28"/>
          <w:sz w:val="28"/>
          <w:szCs w:val="28"/>
          <w:rtl w:val="true"/>
          <w:lang w:bidi="fa-IR"/>
        </w:rPr>
        <w:t>من عدم لزوم تخلّل أقلّ الطهر بین أجزاء الحیضة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یتّجه الاستدلال بها بناءً علی التوجیه الذی ذکرنا فیها فی مسألة أقلّ الطهر،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المرسلة الطویلة و غیرها من روایات المسألة، ففی ظهورها فی لزوم التقدیم إشکال بل منع؛ لأنّ تأخیر التطهّر عن التحیّض أو عطفه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وجوب تقدیم الحیض إذا ثبت وجوب تقدیمه فی الدور الأوّل، و لیس فی المرسلة إلّا وجوب التحیّض فی کلّ شهر سبعة أو ستّة، و یصدق ذلک بتحیّضها فی الدور الأوّل بسبعة من آخر الشهر ثمّ اغتسالها و تعبّدها ثلاثة و عشرین یوماً ثمّ تحیّضها سبعة أیضاً، و هکذا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 إنّما وقع فی المرسلة ظرفاً للتحیّض فقط لا له و للتطهّر، اللهمّ إلّا أن یدّعی تبادر ذلک عرفاً، أو یقال بعد أنّ الروایة فی مقام بیان الحکم علی مجموع الأیّام بجعلها سبعة حیضاً و ثلاثاً و عشرین</w:t>
      </w:r>
    </w:p>
    <w:p>
      <w:pPr>
        <w:pStyle w:val="BookText"/>
        <w:rPr/>
      </w:pP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الروایة بل صریحها لزوم التوالی فی أیّام الطهر فی کلّ شهر و هو لا یحصل إلّا بجعل السبع أوّل الشهر أو آخره، و حیث لا قائل بتعیّن الآخر و لا بالتخییر بین خصوص الأوّل و الآخر تعیّن الأوّل، فافهم فإنّه دقیق، فالقول بالتقدیم لا یخلو عن قوّة مع کونه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بوجوب تقدیم العدد المأخوذ فلا إشکال، حیث إنّها بمجرّد تجاوز الدم العشرة و فقد التمییز و عادة الأهل تبنی علی الروایات، فإن اتّفق بعد ذلک تمییز أو تمکّنت من الرجوع إلی الأهل عدلت منها إلیه؛ لکشف ذلک عن کونها محکومة بغیر الروایات، و یظهر من بعض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یجمع بین التحیّض بالروایات و التحیّض بالتمییز الحاصل بعده بشرط الفصل بینه و بین الحیض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بعض فروع الأخذ بالروایات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رأت المبتدأة ما هو بصفة دم الاستحاضة ثلاثة عشر یوماً ثمّ رأت ما هو بصفة دم الحیض بعد ذلک و استمرّ، کان ثلاثة أیّام من أوّل الدم حیضاً، و العشرة طهراً، و ما رأته بعد ذلک من الحیضة الثانیة </w:t>
      </w:r>
      <w:r>
        <w:rPr>
          <w:rStyle w:val="FootnoteAnchor"/>
          <w:rtl w:val="true"/>
        </w:rPr>
        <w:footnoteReference w:id="15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 علیه فی المعتبر </w:t>
      </w:r>
      <w:r>
        <w:rPr>
          <w:rStyle w:val="FootnoteAnchor"/>
          <w:rtl w:val="true"/>
        </w:rPr>
        <w:footnoteReference w:id="1574"/>
      </w:r>
      <w:r>
        <w:rPr>
          <w:rFonts w:ascii="IRNazanin" w:hAnsi="IRNazanin" w:eastAsia="IRNazanin"/>
          <w:color w:val="111111"/>
          <w:sz w:val="28"/>
          <w:sz w:val="28"/>
          <w:szCs w:val="28"/>
          <w:rtl w:val="true"/>
          <w:lang w:bidi="fa-IR"/>
        </w:rPr>
        <w:t xml:space="preserve">و المنتهی </w:t>
      </w:r>
      <w:r>
        <w:rPr>
          <w:rStyle w:val="FootnoteAnchor"/>
          <w:rtl w:val="true"/>
        </w:rPr>
        <w:footnoteReference w:id="1575"/>
      </w:r>
      <w:r>
        <w:rPr>
          <w:rFonts w:ascii="IRNazanin" w:hAnsi="IRNazanin" w:eastAsia="IRNazanin"/>
          <w:color w:val="111111"/>
          <w:sz w:val="28"/>
          <w:sz w:val="28"/>
          <w:szCs w:val="28"/>
          <w:rtl w:val="true"/>
          <w:lang w:bidi="fa-IR"/>
        </w:rPr>
        <w:t>ذلک، لکن من حیث حکمه بالتمییز مع استمرار الوصف إلی ما بعد العشرة لا من حیث أصل التمییز</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بالتخییر فلها أن تجعل الحیض من العدد الذی مضی من</w:t>
      </w:r>
    </w:p>
    <w:p>
      <w:pPr>
        <w:pStyle w:val="BookText"/>
        <w:rPr/>
      </w:pPr>
      <w:r>
        <w:rPr>
          <w:rFonts w:ascii="IRNazanin" w:hAnsi="IRNazanin" w:eastAsia="IRNazanin"/>
          <w:color w:val="111111"/>
          <w:sz w:val="28"/>
          <w:sz w:val="28"/>
          <w:szCs w:val="28"/>
          <w:rtl w:val="true"/>
          <w:lang w:bidi="fa-IR"/>
        </w:rPr>
        <w:t>دمها، و یجب الاختبار بمجرّد تجاوز الدم مع حضور وقت العبادة الواجبة، و الظاهر أنّه یکفی اختیار التطهّر أو التحیّض فی الیوم الذی فیه و هو الحادی عشر مثلًا فإذا اختارت الطهر فیه فلا یجب علیها جعل الحیض فی أیّام معلومة من الأیّام الماضیة بل یکفی جعلها فیها فی الجملة، و کذا لو عیّنته فی بعض ذلک الزمان فلها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علمت باستمرار دمها إلی الزمان المستقبل جاز لها وضع العدد أو بعضه فی المدّة المستقبلة، و حینئذٍ فهل للزوج الاعتراض علیها فی اختیارها أم لا؟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ذلک بالنظر إلی الحکم التکلیفی، بمعنی أنّه یحرم علیها التحیّض مع منع الزوج، لا الوضعی، فلو تحیّضت علی وجه النسیان أو غیره فلیس للزوج مواقعتها، کما لو استعجلت الحیض بالعلاج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إلزامها بالرجوع وجه، مبنیّ علی استدامة التخییر حتّی مع الشروع فیما اختارت و عدمها، من استصحاب التخییر الحاکم علی استصحاب الحکم المختار بل لإطلاق أدلّة التخییر، و من أنّ الشروع فی التحیّض یوجب کون الدم محکوماً علیه بالحیضیَّة فی حقّها شرعاً، و یتعیّن علیها الأحکام إلی أن ینقطع الدم أو تنتهی المدّة المضروبة للتحیّض، فالشروع فی التحیّض بمنزلة الدخول فی أمرٍ لازم بالاختیار فلا مجال للاستصحاب، و الإطلاقات مسوقة لبیان علاج المرأة فی ابتداء أمرها، فلا عموم فیها من حیث البقاء علی ما اختارت و العدول عنها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اختیارها للحیض فی زمان و الشروع فیه، و لو اختارت التطهّر فی زمانٍ فلها العدول منه إلی التحیّض؛ بناءً علی ما تقدّم من أنّ الواجب هو اختیار أحد الأمرین من الطهر أو الحیض فی الزمان الحاضر، و أنّها لو اختارت الطهر فیه لم یجب علیها تعیین الحیض من بین ما عدا ذلک</w:t>
      </w:r>
    </w:p>
    <w:p>
      <w:pPr>
        <w:pStyle w:val="BookText"/>
        <w:rPr/>
      </w:pPr>
      <w:r>
        <w:rPr>
          <w:rFonts w:ascii="IRNazanin" w:hAnsi="IRNazanin" w:eastAsia="IRNazanin"/>
          <w:color w:val="111111"/>
          <w:sz w:val="28"/>
          <w:sz w:val="28"/>
          <w:szCs w:val="28"/>
          <w:rtl w:val="true"/>
          <w:lang w:bidi="fa-IR"/>
        </w:rPr>
        <w:t>الزمان، فهی باقیة علی تخییرها فی التحیّض، و کذا لو عیّنته فی بعض ذلک الزمان، فلها العدول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حال هذه المرأة من أوّل رؤیتها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تتحیّض برؤیة الدم مطلقاً أو بعد مضیّ الثلاثة إلی العشرة علی الخلاف المتقدّم، فإذا تجاوز الدم العشرة وجب علیها فی الیوم الحادی عشر عند دخول وقت العبادة المشروطة بالطهارة اختیار کون ذلک الیوم طهراً أو حیضاً؛ بناءً علی التخییر فی وضع الأیّام حیث شاءت و عدم اعتبار التوالی فی أیّام الطهر مطلقاً، أو فی الدور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فیتعیّن علیها تکمیله من سابقه، أو من لاحقه، أو منهما مع القطع بالاستمرار، أو مردّدة فی التکمیل مع احتمال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اختارت کون ذلک الیوم حیضاً و بنت علی تکمیله من سابقه اغتسلت بعد انقضاء الیوم؛ لأنّه آخر أیّام حیضها و تعبّدت قائمة بوظائف المستحاضة إن استمرّ الدم، و لها بعد البناء علی تکمیلها السابق العدول عنه، و البناء علی التکمیل من اللاحق أو من الملفّق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بنت علی التکملة من اللاحق فإن استمرّ الدم بمقدار الإکمال فهو، و إن انقطع قبله تعیّن الإکمال من السابق و یحتمل کشف ذلک عن بطلان اختیارها من أوّل الأمر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اختارت الطهر فی الیوم الحادی عشر اغتسلت و لا یجب علیها تعیین أیّام الحیض من جملة الماضی من الأیّام أو الباقی منها، و لو عیّنت لم یتعیّن بمجرّد القصد، فإذا کان الیوم الثانی عشر وجب علیها أیضاً اختیار أحد الأمرین من الطهر أو الحیض علی الوجه المقرّر فی سابقه، و هکذا الیوم الآخر، فلو اختارت الطهر فی جمیع الأیّام الباقیة من الشهر تعیّن الحیض فی</w:t>
      </w:r>
    </w:p>
    <w:p>
      <w:pPr>
        <w:pStyle w:val="BookText"/>
        <w:rPr/>
      </w:pPr>
      <w:r>
        <w:rPr>
          <w:rFonts w:ascii="IRNazanin" w:hAnsi="IRNazanin" w:eastAsia="IRNazanin"/>
          <w:color w:val="111111"/>
          <w:sz w:val="28"/>
          <w:sz w:val="28"/>
          <w:szCs w:val="28"/>
          <w:rtl w:val="true"/>
          <w:lang w:bidi="fa-IR"/>
        </w:rPr>
        <w:t xml:space="preserve">جملة العشرة الاولی، فیجب علیها تعیین الحیض من بینها لتعمل علی طبقه فی الشهر الثانی، بناءً علی وجوب موافقة الشهر الثانی للشهر </w:t>
      </w:r>
      <w:r>
        <w:rPr>
          <w:rStyle w:val="FootnoteAnchor"/>
          <w:rtl w:val="true"/>
        </w:rPr>
        <w:footnoteReference w:id="1576"/>
      </w:r>
      <w:r>
        <w:rPr>
          <w:rFonts w:ascii="IRNazanin" w:hAnsi="IRNazanin" w:eastAsia="IRNazanin"/>
          <w:color w:val="111111"/>
          <w:sz w:val="28"/>
          <w:sz w:val="28"/>
          <w:szCs w:val="28"/>
          <w:rtl w:val="true"/>
          <w:lang w:bidi="fa-IR"/>
        </w:rPr>
        <w:t xml:space="preserve">الأوّل فی الوقت، کما صرّح به جماعة منهم الشارح فی الروض </w:t>
      </w:r>
      <w:r>
        <w:rPr>
          <w:rStyle w:val="FootnoteAnchor"/>
          <w:rtl w:val="true"/>
        </w:rPr>
        <w:footnoteReference w:id="1577"/>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1578"/>
      </w:r>
      <w:r>
        <w:rPr>
          <w:rFonts w:ascii="IRNazanin" w:hAnsi="IRNazanin" w:eastAsia="IRNazanin"/>
          <w:color w:val="111111"/>
          <w:sz w:val="28"/>
          <w:sz w:val="28"/>
          <w:szCs w:val="28"/>
          <w:rtl w:val="true"/>
          <w:lang w:bidi="fa-IR"/>
        </w:rPr>
        <w:t xml:space="preserve">، و إن قلنا بعدم وجوب ذلک کما احتمله فی الروض </w:t>
      </w:r>
      <w:r>
        <w:rPr>
          <w:rStyle w:val="FootnoteAnchor"/>
          <w:rtl w:val="true"/>
        </w:rPr>
        <w:footnoteReference w:id="1579"/>
      </w:r>
      <w:r>
        <w:rPr>
          <w:rFonts w:ascii="IRNazanin" w:hAnsi="IRNazanin" w:eastAsia="IRNazanin"/>
          <w:color w:val="111111"/>
          <w:sz w:val="28"/>
          <w:sz w:val="28"/>
          <w:szCs w:val="28"/>
          <w:rtl w:val="true"/>
          <w:lang w:bidi="fa-IR"/>
        </w:rPr>
        <w:t xml:space="preserve">و حاشیة الروضة </w:t>
      </w:r>
      <w:r>
        <w:rPr>
          <w:rStyle w:val="FootnoteAnchor"/>
          <w:rtl w:val="true"/>
        </w:rPr>
        <w:footnoteReference w:id="1580"/>
      </w:r>
      <w:r>
        <w:rPr>
          <w:rFonts w:ascii="IRNazanin" w:hAnsi="IRNazanin" w:eastAsia="IRNazanin"/>
          <w:color w:val="111111"/>
          <w:sz w:val="28"/>
          <w:sz w:val="28"/>
          <w:szCs w:val="28"/>
          <w:rtl w:val="true"/>
          <w:lang w:bidi="fa-IR"/>
        </w:rPr>
        <w:t xml:space="preserve">، و رجّحه فی الریاض </w:t>
      </w:r>
      <w:r>
        <w:rPr>
          <w:rStyle w:val="FootnoteAnchor"/>
          <w:rtl w:val="true"/>
        </w:rPr>
        <w:footnoteReference w:id="1581"/>
      </w:r>
      <w:r>
        <w:rPr>
          <w:rFonts w:ascii="IRNazanin" w:hAnsi="IRNazanin" w:eastAsia="IRNazanin"/>
          <w:color w:val="111111"/>
          <w:sz w:val="28"/>
          <w:sz w:val="28"/>
          <w:szCs w:val="28"/>
          <w:rtl w:val="true"/>
          <w:lang w:bidi="fa-IR"/>
        </w:rPr>
        <w:t>لعموم وجوب التحیّض فی کلّ شهر سبعة و التعبّد ثلاثاً و عشرین، الصادق من دون الموافقة فی الوقت جاز لها اختیار الطهر فی الشهر الثانی إلی أن یبقی من الشهر أقلّ مقدار یجب تحیّضه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إطلاق الأصحاب و إن لم أقف علی مصرّح بشی‌ء من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یختصّ التخییر فی الأعداد علی القول به بالدورة الأُولی؟ الأقوی العدم، إذا جعلنا التخییر واقعیاً، بأن صرفنا الأخبار عن العینیّة إلی التخییر؛ جمعاً بشهادة المقطوعة المتقدّمة، و أمّا لو حکمنا بالتخییر من باب التعارض بین الأخبار و فقد المرجّح، فالأقوی الاختصاص؛ لأنّ التخییر حینئذٍ بین الخبرین، و لا ریب أنّ مدلول کلّ واحد هو الاستمرار علی العدد الذی 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هذا التخییر علی القول به لا یلزم منه التخییر بین الفعل و ترکه، کما زعمه المصنّف قدّس سرّه فی المنتهی </w:t>
      </w:r>
      <w:r>
        <w:rPr>
          <w:rStyle w:val="FootnoteAnchor"/>
          <w:rtl w:val="true"/>
        </w:rPr>
        <w:footnoteReference w:id="1582"/>
      </w:r>
      <w:r>
        <w:rPr>
          <w:rFonts w:ascii="IRNazanin" w:hAnsi="IRNazanin" w:eastAsia="IRNazanin"/>
          <w:color w:val="111111"/>
          <w:sz w:val="28"/>
          <w:sz w:val="28"/>
          <w:szCs w:val="28"/>
          <w:rtl w:val="true"/>
          <w:lang w:bidi="fa-IR"/>
        </w:rPr>
        <w:t>و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اختلاف العدد فی الروایات مبنیّ علی ردّ المرأة إلی اجتهادها ورائها فیما یغلب علی ظنّها أنّه أقرب إلی عادتها أو عادة نسائها، أومأ یکون أشبه بلونه، و إلّا لزم التخییر فی الیوم السابع بین وجوب الصلاة و عدمها، و لا تخییر فی الواجب </w:t>
      </w:r>
      <w:r>
        <w:rPr>
          <w:rStyle w:val="FootnoteAnchor"/>
          <w:rtl w:val="true"/>
        </w:rPr>
        <w:footnoteReference w:id="15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سبقه إلی هذا غیره علی ما یظهر من محکی المعتبر </w:t>
      </w:r>
      <w:r>
        <w:rPr>
          <w:rStyle w:val="FootnoteAnchor"/>
          <w:rtl w:val="true"/>
        </w:rPr>
        <w:footnoteReference w:id="1584"/>
      </w:r>
      <w:r>
        <w:rPr>
          <w:rFonts w:ascii="IRNazanin" w:hAnsi="IRNazanin" w:eastAsia="IRNazanin"/>
          <w:color w:val="111111"/>
          <w:sz w:val="28"/>
          <w:sz w:val="28"/>
          <w:szCs w:val="28"/>
          <w:rtl w:val="true"/>
          <w:lang w:bidi="fa-IR"/>
        </w:rPr>
        <w:t xml:space="preserve">، و ضعفه واضح، لا لما ذکره فی المعتبر و الذکری </w:t>
      </w:r>
      <w:r>
        <w:rPr>
          <w:rStyle w:val="FootnoteAnchor"/>
          <w:rtl w:val="true"/>
        </w:rPr>
        <w:footnoteReference w:id="1585"/>
      </w:r>
      <w:r>
        <w:rPr>
          <w:rFonts w:ascii="IRNazanin" w:hAnsi="IRNazanin" w:eastAsia="IRNazanin"/>
          <w:color w:val="111111"/>
          <w:sz w:val="28"/>
          <w:sz w:val="28"/>
          <w:szCs w:val="28"/>
          <w:rtl w:val="true"/>
          <w:lang w:bidi="fa-IR"/>
        </w:rPr>
        <w:t>من وجود نظیره فی تخییر المسافر بین القصر و الإتمام، و کأنهما قصدا دفع الإشکال من جهة التخییر بین الأقلّ و الأکثر، و هو خلاف صریح کلام المصنّف قدّس سرّه فی بیان الإشکال، بل لانتقاضه بأیّام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فعل الواجب و ترکه بمعنی التخییر فی إیجاد سبب وجوب الشی‌ء و عدمه ممکن واقع، نظیر تخییر الحاضر فی شهر رمضان بین الإقامة و السفر، و المسافر بین الإقامة و عدمها، و تحصیل الاستطاعة، و إبقاء النصاب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اختیار التحیّض فیما نحن فیه لا یصلح أن یکون من هذا القبیل؛ إذ لیس المراد من التحیّض إلّا تکلّف وظیفة الحائض شرعاً، و لیس</w:t>
      </w:r>
    </w:p>
    <w:p>
      <w:pPr>
        <w:pStyle w:val="BookText"/>
        <w:rPr/>
      </w:pPr>
      <w:r>
        <w:rPr>
          <w:rFonts w:ascii="IRNazanin" w:hAnsi="IRNazanin" w:eastAsia="IRNazanin"/>
          <w:color w:val="111111"/>
          <w:sz w:val="28"/>
          <w:sz w:val="28"/>
          <w:szCs w:val="28"/>
          <w:rtl w:val="true"/>
          <w:lang w:bidi="fa-IR"/>
        </w:rPr>
        <w:t>هنا موضوع خارجیّ اختیاری یکون وجوده سبباً لحکم شرعیّ، فلا محصّل لتخییرها بین التحیّض و العدم إلّا تخییرها بین فعل العبادة و ترکها، و ورود نظیر ذلک فی الاستظهار لا یجوّزه؛ و لذا جعل هذا من شواهد وجوب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ممتنع فی التخییر الواقعی بین إیجاب الشی‌ء علی نفسه و تحریمه، علی أن یکون حیضیَّة الیوم السابع و طهریّته فی الواقع منوطاً باختیار المکلّف، و لیس کذلک بل لا یعقل ذلک؛ فإنّ ذلک الیوم فی الواقع إمّا حیض و إمّا طهر، و لمّا جهلت المرأة بذلک تخیّرت فی البناء علی أیّهما شاءت، نظیر تخییر المجتهد بین الوجوب و التحریم عند دوران الأمر بینهما، و تخییر المقلّد فی الرجوع إلی المجتهد القائل بوجوب فعلٍ، و إلی القائل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الحال فی أیّام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أنّ الأولی تنظیر ما نحن فیه بأیّام الاستظهار کما فی جامع المقاصد </w:t>
      </w:r>
      <w:r>
        <w:rPr>
          <w:rStyle w:val="FootnoteAnchor"/>
          <w:rtl w:val="true"/>
        </w:rPr>
        <w:footnoteReference w:id="1586"/>
      </w:r>
      <w:r>
        <w:rPr>
          <w:rFonts w:ascii="IRNazanin" w:hAnsi="IRNazanin" w:eastAsia="IRNazanin"/>
          <w:color w:val="111111"/>
          <w:sz w:val="28"/>
          <w:sz w:val="28"/>
          <w:szCs w:val="28"/>
          <w:rtl w:val="true"/>
          <w:lang w:bidi="fa-IR"/>
        </w:rPr>
        <w:t xml:space="preserve">دون ما ذکرنا من الأمثلة تبعاً لکاشف اللثام </w:t>
      </w:r>
      <w:r>
        <w:rPr>
          <w:rStyle w:val="FootnoteAnchor"/>
          <w:rtl w:val="true"/>
        </w:rPr>
        <w:footnoteReference w:id="1587"/>
      </w:r>
      <w:r>
        <w:rPr>
          <w:rFonts w:ascii="IRNazanin" w:hAnsi="IRNazanin" w:eastAsia="IRNazanin"/>
          <w:color w:val="111111"/>
          <w:sz w:val="28"/>
          <w:sz w:val="28"/>
          <w:szCs w:val="28"/>
          <w:rtl w:val="true"/>
          <w:lang w:bidi="fa-IR"/>
        </w:rPr>
        <w:t>لأنّ التخییر فیما نحن فیه بین البناء علی وجوب الصوم و البناء علی تحریمه، لا بین إیجاد موضوع خارجی یترتّب علیه وجوب الصوم و عدم إیجاده، فافهم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النصوص و الفتاوی کون الأخذ بما تقدّم من الروایات وظیفة من استمرّ بها الدم إلی ما بعد العشرة، فلو رأت بیاضاً لا یبلغ أقلّ الطهر بین دماء یبلغ أقلّ الحیض، کما لو رأت ثلاثة أو أربعة دماً، و ثلاثة أو أربعة بیاضاً و هکذا کما هو مورد روایتی یونس بن یعقوب و أبی بصیر المتقدّمتین </w:t>
      </w:r>
      <w:r>
        <w:rPr>
          <w:rStyle w:val="FootnoteAnchor"/>
          <w:rtl w:val="true"/>
        </w:rPr>
        <w:footnoteReference w:id="1588"/>
      </w:r>
      <w:r>
        <w:rPr>
          <w:rFonts w:ascii="IRNazanin" w:hAnsi="IRNazanin" w:eastAsia="IRNazanin"/>
          <w:color w:val="111111"/>
          <w:sz w:val="28"/>
          <w:sz w:val="28"/>
          <w:szCs w:val="28"/>
          <w:rtl w:val="true"/>
          <w:lang w:bidi="fa-IR"/>
        </w:rPr>
        <w:t>فالظاهر خروج هذا الفرض عن مورد الروایات المتقدّمة،</w:t>
      </w:r>
      <w:bookmarkStart w:id="164" w:name="pg13039_115392"/>
    </w:p>
    <w:p>
      <w:pPr>
        <w:pStyle w:val="BookText"/>
        <w:rPr/>
      </w:pPr>
      <w:bookmarkEnd w:id="164"/>
      <w:r>
        <w:rPr>
          <w:rFonts w:ascii="IRNazanin" w:hAnsi="IRNazanin" w:eastAsia="IRNazanin"/>
          <w:color w:val="111111"/>
          <w:sz w:val="28"/>
          <w:sz w:val="28"/>
          <w:szCs w:val="28"/>
          <w:rtl w:val="true"/>
          <w:lang w:bidi="fa-IR"/>
        </w:rPr>
        <w:t>فالحکم علیها بمقتضی الروایات بأن تتحیّض ببعض الدماء و تکمله لو نقص عن العدد المأمور بأخذه بالبیاض المتقدّم علیه أو المتأخّر عنه أو کلیهما،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منه تخییرها فی التحیّض بأیّ الدماء شاءت، فیحتمل الرجوع إلی أقلّ الحیض مخیّرةً فی جعله أیّ دم شاءت لعدم المرجّح، و الرجوع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تکمل ما نقص عن العشرة من بیاض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إلی روایتی أبی بصیر و یونس فلا ینفع؛ لأنّهما دلّتا علی أنّ حکم هذه المرأة بعد ثلاثین یوماً حکم المستحاضة، و لم یبیّن فیهما ما یتحیّض به بعد صیرورتها بحکم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فلم أجد مصرِّحاً بشی‌ء فی هذه المسألة إلّا أنّ ظاهر کشف اللثام </w:t>
      </w:r>
      <w:r>
        <w:rPr>
          <w:rStyle w:val="FootnoteAnchor"/>
          <w:rtl w:val="true"/>
        </w:rPr>
        <w:footnoteReference w:id="1589"/>
      </w:r>
      <w:r>
        <w:rPr>
          <w:rFonts w:ascii="IRNazanin" w:hAnsi="IRNazanin" w:eastAsia="IRNazanin"/>
          <w:color w:val="111111"/>
          <w:sz w:val="28"/>
          <w:sz w:val="28"/>
          <w:szCs w:val="28"/>
          <w:rtl w:val="true"/>
          <w:lang w:bidi="fa-IR"/>
        </w:rPr>
        <w:t>حیث عدّ فی جملة الأقوال رجوع المبتدأة و المضطربة إلی الروایات قول الشیخ فی النهایة، 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المتحیّرة تصلّی کلّما رأت الطهر و تدع الصلاة کلّما رأت الدم أنّ محلّ الکلام فی المبتدأة و المضطربة أعمّ من أن یستمرّ بها الدم أو ینقطع و یعود لدون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استمرار الدم بحیث لا یتخلّل نقاء یوم أو أقلّ أو أکثر نادر جدّاً، فلا یحمل علیه إطلاق الموثّقات المتقدّمة </w:t>
      </w:r>
      <w:r>
        <w:rPr>
          <w:rStyle w:val="FootnoteAnchor"/>
          <w:rtl w:val="true"/>
        </w:rPr>
        <w:footnoteReference w:id="1590"/>
      </w:r>
      <w:r>
        <w:rPr>
          <w:rFonts w:ascii="IRNazanin" w:hAnsi="IRNazanin" w:eastAsia="IRNazanin"/>
          <w:color w:val="111111"/>
          <w:sz w:val="28"/>
          <w:sz w:val="28"/>
          <w:szCs w:val="28"/>
          <w:rtl w:val="true"/>
          <w:lang w:bidi="fa-IR"/>
        </w:rPr>
        <w:t>الواردة فیمن استمرّ بها الدم، و حینئذٍ فالرجوع إلی الروایات فی حقّها لا یخلو عن قوّة</w:t>
      </w:r>
      <w:r>
        <w:rPr>
          <w:rFonts w:eastAsia="IRNazanin" w:cs="IRNazanin"/>
          <w:color w:val="111111"/>
          <w:sz w:val="28"/>
          <w:szCs w:val="28"/>
          <w:rtl w:val="true"/>
          <w:lang w:bidi="fa-IR"/>
        </w:rPr>
        <w:t>.</w:t>
      </w:r>
    </w:p>
    <w:p>
      <w:pPr>
        <w:pStyle w:val="Heading6"/>
        <w:numPr>
          <w:ilvl w:val="5"/>
          <w:numId w:val="1"/>
        </w:numPr>
        <w:rPr/>
      </w:pPr>
      <w:bookmarkStart w:id="165" w:name="__RefHeading___Toc6451982_3224264995"/>
      <w:bookmarkStart w:id="166" w:name="_Toc62"/>
      <w:bookmarkEnd w:id="165"/>
      <w:r>
        <w:rPr>
          <w:rtl w:val="true"/>
        </w:rPr>
        <w:t>[</w:t>
      </w:r>
      <w:r>
        <w:rPr>
          <w:rtl w:val="true"/>
        </w:rPr>
        <w:t>إمّا المضطربة</w:t>
      </w:r>
      <w:r>
        <w:rPr>
          <w:rtl w:val="true"/>
        </w:rPr>
        <w:t>]</w:t>
      </w:r>
      <w:bookmarkEnd w:id="166"/>
    </w:p>
    <w:p>
      <w:pPr>
        <w:pStyle w:val="Heading6"/>
        <w:numPr>
          <w:ilvl w:val="5"/>
          <w:numId w:val="1"/>
        </w:numPr>
        <w:rPr/>
      </w:pPr>
      <w:bookmarkStart w:id="167" w:name="__RefHeading___Toc6451984_3224264995"/>
      <w:bookmarkStart w:id="168" w:name="_Toc63"/>
      <w:bookmarkEnd w:id="167"/>
      <w:r>
        <w:rPr>
          <w:rtl w:val="true"/>
        </w:rPr>
        <w:t>اشارة</w:t>
      </w:r>
      <w:bookmarkEnd w:id="16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الأخصّ و هی الناسیة لعادتها فلا تخلو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ناسیة لوقتها و عددها و هی المعبّر عنها بالمتحیّرة أو المحیّرة؛ لأنّها تحیّرت بنفسها أو حیّرت الفقیه فی أمرها، و الأولی أولی و إمّا</w:t>
      </w:r>
    </w:p>
    <w:p>
      <w:pPr>
        <w:pStyle w:val="BookText"/>
        <w:rPr/>
      </w:pPr>
      <w:r>
        <w:rPr>
          <w:rFonts w:ascii="IRNazanin" w:hAnsi="IRNazanin" w:eastAsia="IRNazanin"/>
          <w:color w:val="111111"/>
          <w:sz w:val="28"/>
          <w:sz w:val="28"/>
          <w:szCs w:val="28"/>
          <w:rtl w:val="true"/>
          <w:lang w:bidi="fa-IR"/>
        </w:rPr>
        <w:t>أن تکون ناسیة للعدد دون الوقت، و إمّا أن تکون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فالأقوی أنّ حکمها حکم المبتدأة فی وجوب أخذها بمرسلة یونس، بل هذا هو المتیقّن من موردها، و قد عرفت أنّ الأحوط بل الأقوی اقتصارها من تلک الروایة علی السبع، فتعیّنها هو الأقوی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وفاقاً للمحکیّ عن الخلاف </w:t>
      </w:r>
      <w:r>
        <w:rPr>
          <w:rStyle w:val="FootnoteAnchor"/>
          <w:rtl w:val="true"/>
        </w:rPr>
        <w:footnoteReference w:id="1591"/>
      </w:r>
      <w:r>
        <w:rPr>
          <w:rFonts w:ascii="IRNazanin" w:hAnsi="IRNazanin" w:eastAsia="IRNazanin"/>
          <w:color w:val="111111"/>
          <w:sz w:val="28"/>
          <w:sz w:val="28"/>
          <w:szCs w:val="28"/>
          <w:rtl w:val="true"/>
          <w:lang w:bidi="fa-IR"/>
        </w:rPr>
        <w:t xml:space="preserve">و الجمل و العقود </w:t>
      </w:r>
      <w:r>
        <w:rPr>
          <w:rStyle w:val="FootnoteAnchor"/>
          <w:rtl w:val="true"/>
        </w:rPr>
        <w:footnoteReference w:id="1592"/>
      </w:r>
      <w:r>
        <w:rPr>
          <w:rFonts w:ascii="IRNazanin" w:hAnsi="IRNazanin" w:eastAsia="IRNazanin"/>
          <w:color w:val="111111"/>
          <w:sz w:val="28"/>
          <w:sz w:val="28"/>
          <w:szCs w:val="28"/>
          <w:rtl w:val="true"/>
          <w:lang w:bidi="fa-IR"/>
        </w:rPr>
        <w:t xml:space="preserve">و الإصباح </w:t>
      </w:r>
      <w:r>
        <w:rPr>
          <w:rStyle w:val="FootnoteAnchor"/>
          <w:rtl w:val="true"/>
        </w:rPr>
        <w:footnoteReference w:id="1593"/>
      </w:r>
      <w:r>
        <w:rPr>
          <w:rFonts w:ascii="Amiri" w:hAnsi="Amiri" w:eastAsia="Amiri" w:cs="Amiri"/>
          <w:color w:val="111111"/>
          <w:sz w:val="28"/>
          <w:sz w:val="28"/>
          <w:szCs w:val="28"/>
          <w:rtl w:val="true"/>
          <w:lang w:bidi="ar-SA"/>
        </w:rPr>
        <w:t xml:space="preserve">و المهذّب </w:t>
      </w:r>
      <w:r>
        <w:rPr>
          <w:rStyle w:val="FootnoteAnchor"/>
          <w:rtl w:val="true"/>
        </w:rPr>
        <w:footnoteReference w:id="1594"/>
      </w:r>
      <w:r>
        <w:rPr>
          <w:rFonts w:ascii="IRNazanin" w:hAnsi="IRNazanin" w:eastAsia="IRNazanin"/>
          <w:color w:val="111111"/>
          <w:sz w:val="28"/>
          <w:sz w:val="28"/>
          <w:szCs w:val="28"/>
          <w:rtl w:val="true"/>
          <w:lang w:bidi="fa-IR"/>
        </w:rPr>
        <w:t xml:space="preserve">و الکافی </w:t>
      </w:r>
      <w:r>
        <w:rPr>
          <w:rStyle w:val="FootnoteAnchor"/>
          <w:rtl w:val="true"/>
        </w:rPr>
        <w:footnoteReference w:id="1595"/>
      </w:r>
      <w:r>
        <w:rPr>
          <w:rFonts w:ascii="IRNazanin" w:hAnsi="IRNazanin" w:eastAsia="IRNazanin"/>
          <w:color w:val="111111"/>
          <w:sz w:val="28"/>
          <w:sz w:val="28"/>
          <w:szCs w:val="28"/>
          <w:rtl w:val="true"/>
          <w:lang w:bidi="fa-IR"/>
        </w:rPr>
        <w:t xml:space="preserve">و التحریر </w:t>
      </w:r>
      <w:r>
        <w:rPr>
          <w:rStyle w:val="FootnoteAnchor"/>
          <w:rtl w:val="true"/>
        </w:rPr>
        <w:footnoteReference w:id="1596"/>
      </w:r>
      <w:r>
        <w:rPr>
          <w:rFonts w:ascii="IRNazanin" w:hAnsi="IRNazanin" w:eastAsia="IRNazanin"/>
          <w:color w:val="111111"/>
          <w:sz w:val="28"/>
          <w:sz w:val="28"/>
          <w:szCs w:val="28"/>
          <w:rtl w:val="true"/>
          <w:lang w:bidi="fa-IR"/>
        </w:rPr>
        <w:t xml:space="preserve">و التلخیص </w:t>
      </w:r>
      <w:r>
        <w:rPr>
          <w:rStyle w:val="FootnoteAnchor"/>
          <w:rtl w:val="true"/>
        </w:rPr>
        <w:footnoteReference w:id="1597"/>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598"/>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1599"/>
      </w:r>
      <w:r>
        <w:rPr>
          <w:rFonts w:ascii="IRNazanin" w:hAnsi="IRNazanin" w:eastAsia="IRNazanin"/>
          <w:color w:val="111111"/>
          <w:sz w:val="28"/>
          <w:sz w:val="28"/>
          <w:szCs w:val="28"/>
          <w:rtl w:val="true"/>
          <w:lang w:bidi="fa-IR"/>
        </w:rPr>
        <w:t xml:space="preserve">و الریاض </w:t>
      </w:r>
      <w:r>
        <w:rPr>
          <w:rStyle w:val="FootnoteAnchor"/>
          <w:rtl w:val="true"/>
        </w:rPr>
        <w:footnoteReference w:id="1600"/>
      </w:r>
      <w:r>
        <w:rPr>
          <w:rFonts w:ascii="IRNazanin" w:hAnsi="IRNazanin" w:eastAsia="IRNazanin"/>
          <w:color w:val="111111"/>
          <w:sz w:val="28"/>
          <w:sz w:val="28"/>
          <w:szCs w:val="28"/>
          <w:rtl w:val="true"/>
          <w:lang w:bidi="fa-IR"/>
        </w:rPr>
        <w:t xml:space="preserve">، و عن الخلاف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إلّا أنّ المحکیّ عن بعض نسخ تلخیص الخلاف </w:t>
      </w:r>
      <w:r>
        <w:rPr>
          <w:rStyle w:val="FootnoteAnchor"/>
          <w:rtl w:val="true"/>
        </w:rPr>
        <w:footnoteReference w:id="1602"/>
      </w:r>
      <w:r>
        <w:rPr>
          <w:rFonts w:ascii="IRNazanin" w:hAnsi="IRNazanin" w:eastAsia="IRNazanin"/>
          <w:color w:val="111111"/>
          <w:sz w:val="28"/>
          <w:sz w:val="28"/>
          <w:szCs w:val="28"/>
          <w:rtl w:val="true"/>
          <w:lang w:bidi="fa-IR"/>
        </w:rPr>
        <w:t>أنّ ذلک فی الناسیة لأیّامها أو لوقتها فلا یشمل المتحیّرة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للمصنّف هنا و فی القواعد </w:t>
      </w:r>
      <w:r>
        <w:rPr>
          <w:rStyle w:val="FootnoteAnchor"/>
          <w:rtl w:val="true"/>
        </w:rPr>
        <w:footnoteReference w:id="1603"/>
      </w:r>
      <w:r>
        <w:rPr>
          <w:rFonts w:ascii="Amiri" w:hAnsi="Amiri" w:eastAsia="Amiri" w:cs="Amiri"/>
          <w:color w:val="111111"/>
          <w:sz w:val="28"/>
          <w:sz w:val="28"/>
          <w:szCs w:val="28"/>
          <w:rtl w:val="true"/>
          <w:lang w:bidi="ar-SA"/>
        </w:rPr>
        <w:t xml:space="preserve">و التبصرة </w:t>
      </w:r>
      <w:r>
        <w:rPr>
          <w:rStyle w:val="FootnoteAnchor"/>
          <w:rtl w:val="true"/>
        </w:rPr>
        <w:footnoteReference w:id="1604"/>
      </w:r>
      <w:r>
        <w:rPr>
          <w:rFonts w:ascii="IRNazanin" w:hAnsi="IRNazanin" w:eastAsia="IRNazanin"/>
          <w:color w:val="111111"/>
          <w:sz w:val="28"/>
          <w:sz w:val="28"/>
          <w:szCs w:val="28"/>
          <w:rtl w:val="true"/>
          <w:lang w:bidi="fa-IR"/>
        </w:rPr>
        <w:t xml:space="preserve">بل الأکثر کما فی کشف اللثام </w:t>
      </w:r>
      <w:r>
        <w:rPr>
          <w:rStyle w:val="FootnoteAnchor"/>
          <w:rtl w:val="true"/>
        </w:rPr>
        <w:footnoteReference w:id="1605"/>
      </w:r>
      <w:r>
        <w:rPr>
          <w:rFonts w:ascii="IRNazanin" w:hAnsi="IRNazanin" w:eastAsia="IRNazanin"/>
          <w:color w:val="111111"/>
          <w:sz w:val="28"/>
          <w:sz w:val="28"/>
          <w:szCs w:val="28"/>
          <w:rtl w:val="true"/>
          <w:lang w:bidi="fa-IR"/>
        </w:rPr>
        <w:t xml:space="preserve">، بل المشهور کما عن شرح المفاتیح </w:t>
      </w:r>
      <w:r>
        <w:rPr>
          <w:rStyle w:val="FootnoteAnchor"/>
          <w:rtl w:val="true"/>
        </w:rPr>
        <w:footnoteReference w:id="1606"/>
      </w:r>
      <w:r>
        <w:rPr>
          <w:rFonts w:ascii="IRNazanin" w:hAnsi="IRNazanin" w:eastAsia="IRNazanin"/>
          <w:color w:val="111111"/>
          <w:sz w:val="28"/>
          <w:sz w:val="28"/>
          <w:szCs w:val="28"/>
          <w:rtl w:val="true"/>
          <w:lang w:bidi="fa-IR"/>
        </w:rPr>
        <w:t xml:space="preserve">فحیضها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بالسبعة أو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 جمعاً بین مرسلة یونس علی ما اخترناه من عدم دلالتها علی الستّة علی وجه تطمئنّ به النفس و بین ما تقدّم فی المبتدأة من موثّقتی ابن بکیر </w:t>
      </w:r>
      <w:r>
        <w:rPr>
          <w:rStyle w:val="FootnoteAnchor"/>
          <w:rtl w:val="true"/>
        </w:rPr>
        <w:footnoteReference w:id="1607"/>
      </w:r>
      <w:r>
        <w:rPr>
          <w:rFonts w:ascii="IRNazanin" w:hAnsi="IRNazanin" w:eastAsia="IRNazanin"/>
          <w:color w:val="111111"/>
          <w:sz w:val="28"/>
          <w:sz w:val="28"/>
          <w:szCs w:val="28"/>
          <w:rtl w:val="true"/>
          <w:lang w:bidi="fa-IR"/>
        </w:rPr>
        <w:t>، و قد عرفت عدم دلالتها فی موردها علی الثلاثة من کلّ شهر و العشرة من آخر، فضلًا عن التخییر بین ذلک و بین مضمون المرسلة، فکیف یتعدّی من موردها إلی المتحیّرة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بعد ما یستفاد من مرسلة یونس اتّحاد حکم المبتدأة و الناسیة فی الرجوع إلی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حمل السبع فیها علی التخییر بینها و بین الثلاثة و العشرة ثبت ذلک فی الناسیة؛ لأنّ السبع لا یمکن أن یکون علی التعیین بالنسبة إلی الناسیة و علی التخییر بالنسبة إلی المبتدأة، فالإشکال منحصر فیما تقدّم فی المبتدأة من عدم دلالة الموثّقتین، ثمّ عدم مکافئتهما لمرسلة یونس، خصوصاً بعد اعتضادها بالاحتیاط اللازم عند دوران الأمر بین التخییر و التعیین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أقوال أُخر تبلغ خمسة عشر، کلّها ناشئة عن الاجتهاد فی فهم الروایات، أو طرحها و الرجوع إلی الأصل أو القاعدة أو الأخبار الأُخر، کما تقدّم نظیره فی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المتقدّم بزیادة لزوم تقدیم الثلاثة فی الشهر الأوّل و العشرة فی الثانی، کما عن الاقتصاد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القول مع ضمّ الستّة إلی السبعة فی التخییر بینهما و بین موثّقتی ابن بکیر، کما عن النافع </w:t>
      </w:r>
      <w:r>
        <w:rPr>
          <w:rStyle w:val="FootnoteAnchor"/>
          <w:rtl w:val="true"/>
        </w:rPr>
        <w:footnoteReference w:id="1609"/>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1610"/>
      </w:r>
      <w:r>
        <w:rPr>
          <w:rFonts w:ascii="IRNazanin" w:hAnsi="IRNazanin" w:eastAsia="IRNazanin"/>
          <w:color w:val="111111"/>
          <w:sz w:val="28"/>
          <w:sz w:val="28"/>
          <w:szCs w:val="28"/>
          <w:rtl w:val="true"/>
          <w:lang w:bidi="fa-IR"/>
        </w:rPr>
        <w:t xml:space="preserve">و کشف الرموز </w:t>
      </w:r>
      <w:r>
        <w:rPr>
          <w:rStyle w:val="FootnoteAnchor"/>
          <w:rtl w:val="true"/>
        </w:rPr>
        <w:footnoteReference w:id="1611"/>
      </w:r>
      <w:r>
        <w:rPr>
          <w:rFonts w:ascii="IRNazanin" w:hAnsi="IRNazanin" w:eastAsia="IRNazanin"/>
          <w:color w:val="111111"/>
          <w:sz w:val="28"/>
          <w:sz w:val="28"/>
          <w:szCs w:val="28"/>
          <w:rtl w:val="true"/>
          <w:lang w:bidi="fa-IR"/>
        </w:rPr>
        <w:t xml:space="preserve">و کتب الشهیدین </w:t>
      </w:r>
      <w:r>
        <w:rPr>
          <w:rStyle w:val="FootnoteAnchor"/>
          <w:rtl w:val="true"/>
        </w:rPr>
        <w:footnoteReference w:id="1612"/>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613"/>
      </w:r>
      <w:r>
        <w:rPr>
          <w:rFonts w:ascii="IRNazanin" w:hAnsi="IRNazanin" w:eastAsia="IRNazanin"/>
          <w:color w:val="111111"/>
          <w:sz w:val="28"/>
          <w:sz w:val="28"/>
          <w:szCs w:val="28"/>
          <w:rtl w:val="true"/>
          <w:lang w:bidi="fa-IR"/>
        </w:rPr>
        <w:t xml:space="preserve">، و نسبه فی الدروس إلی أشهر الروایات </w:t>
      </w:r>
      <w:r>
        <w:rPr>
          <w:rStyle w:val="FootnoteAnchor"/>
          <w:rtl w:val="true"/>
        </w:rPr>
        <w:footnoteReference w:id="1614"/>
      </w:r>
      <w:r>
        <w:rPr>
          <w:rFonts w:ascii="IRNazanin" w:hAnsi="IRNazanin" w:eastAsia="IRNazanin"/>
          <w:color w:val="111111"/>
          <w:sz w:val="28"/>
          <w:sz w:val="28"/>
          <w:szCs w:val="28"/>
          <w:rtl w:val="true"/>
          <w:lang w:bidi="fa-IR"/>
        </w:rPr>
        <w:t xml:space="preserve">، و عن المسالک </w:t>
      </w:r>
      <w:r>
        <w:rPr>
          <w:rStyle w:val="FootnoteAnchor"/>
          <w:rtl w:val="true"/>
        </w:rPr>
        <w:footnoteReference w:id="1615"/>
      </w:r>
      <w:r>
        <w:rPr>
          <w:rFonts w:ascii="IRNazanin" w:hAnsi="IRNazanin" w:eastAsia="IRNazanin"/>
          <w:color w:val="111111"/>
          <w:sz w:val="28"/>
          <w:sz w:val="28"/>
          <w:szCs w:val="28"/>
          <w:rtl w:val="true"/>
          <w:lang w:bidi="fa-IR"/>
        </w:rPr>
        <w:t xml:space="preserve">و المدارک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المعروف من المذهب؛ و لعلّه للتصریح بالستّ فی مرسلة یونس و أصالة عدم کون التردید من الراوی، و یضعّفه ما تقدّم فی المبتدأة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أحد الأعداد علیها بحسب ما یوافق مزاجها، کما عن المنتهی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الأشبه ردّها إلی اجتهادها ورائها فیما یغلب علی ظنّها أنّه أقرب إلی عادتها أو عادة نسائها أو ما یکون أشبه بلون الحیض </w:t>
      </w:r>
      <w:r>
        <w:rPr>
          <w:rStyle w:val="FootnoteAnchor"/>
          <w:rtl w:val="true"/>
        </w:rPr>
        <w:footnoteReference w:id="16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عن النهایة </w:t>
      </w:r>
      <w:r>
        <w:rPr>
          <w:rStyle w:val="FootnoteAnchor"/>
          <w:rtl w:val="true"/>
        </w:rPr>
        <w:footnoteReference w:id="1618"/>
      </w:r>
      <w:r>
        <w:rPr>
          <w:rFonts w:ascii="IRNazanin" w:hAnsi="IRNazanin" w:eastAsia="IRNazanin"/>
          <w:color w:val="111111"/>
          <w:sz w:val="28"/>
          <w:sz w:val="28"/>
          <w:szCs w:val="28"/>
          <w:rtl w:val="true"/>
          <w:lang w:bidi="fa-IR"/>
        </w:rPr>
        <w:t>، و قد تقدّم فی المبتدأة أنّ وجهه إمّا استظهار ذلک من الروایات و إمّا الفرار عن محذور لزوم التخییر بین فعل الواجب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تخییرها بین الستّة و السبعة، لمنع دلالة الموثّقتین أو سرایة حکمهما إلی المضطربة أو ترجیحاً للمرسلة علیهما، عزاه فی المنتهی </w:t>
      </w:r>
      <w:r>
        <w:rPr>
          <w:rStyle w:val="FootnoteAnchor"/>
          <w:rtl w:val="true"/>
        </w:rPr>
        <w:footnoteReference w:id="1619"/>
      </w:r>
      <w:r>
        <w:rPr>
          <w:rFonts w:ascii="IRNazanin" w:hAnsi="IRNazanin" w:eastAsia="IRNazanin"/>
          <w:color w:val="111111"/>
          <w:sz w:val="28"/>
          <w:sz w:val="28"/>
          <w:szCs w:val="28"/>
          <w:rtl w:val="true"/>
          <w:lang w:bidi="fa-IR"/>
        </w:rPr>
        <w:t xml:space="preserve">کما عن السرائر </w:t>
      </w:r>
      <w:r>
        <w:rPr>
          <w:rStyle w:val="FootnoteAnchor"/>
          <w:rtl w:val="true"/>
        </w:rPr>
        <w:footnoteReference w:id="1620"/>
      </w:r>
      <w:r>
        <w:rPr>
          <w:rFonts w:ascii="IRNazanin" w:hAnsi="IRNazanin" w:eastAsia="IRNazanin"/>
          <w:color w:val="111111"/>
          <w:sz w:val="28"/>
          <w:sz w:val="28"/>
          <w:szCs w:val="28"/>
          <w:rtl w:val="true"/>
          <w:lang w:bidi="fa-IR"/>
        </w:rPr>
        <w:t>إلی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تحیّضها بثلاثة أو سبعة تخییراً بین المرسلة بعد تعیین السبع فیها و بین الموثّقتین؛ بناءً علی ما تقدّم من ظهورهما فی ذلک، و تسریة لحکم المبتدأة إلی المضطربة بشهادة اتّحاد حکمهما فی السبعة کما یستفاد من المرسلة علی ما عرفت، و حکی </w:t>
      </w:r>
      <w:r>
        <w:rPr>
          <w:rStyle w:val="FootnoteAnchor"/>
          <w:rtl w:val="true"/>
        </w:rPr>
        <w:footnoteReference w:id="1621"/>
      </w:r>
      <w:r>
        <w:rPr>
          <w:rFonts w:ascii="IRNazanin" w:hAnsi="IRNazanin" w:eastAsia="IRNazanin"/>
          <w:color w:val="111111"/>
          <w:sz w:val="28"/>
          <w:sz w:val="28"/>
          <w:szCs w:val="28"/>
          <w:rtl w:val="true"/>
          <w:lang w:bidi="fa-IR"/>
        </w:rPr>
        <w:t>هذا عن المعتبر معلّلًا له بالعمل بالروایة و الیقین، و لا یخفی ضعف العلّة و عدم ثبوت صدق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تحیّضها بالستّة؛ لطرح الموثّقتین و العمل بالمرسلة علی الوجه المتقدّم فی المبتدأة، حکاه فی المنتهی </w:t>
      </w:r>
      <w:r>
        <w:rPr>
          <w:rStyle w:val="FootnoteAnchor"/>
          <w:rtl w:val="true"/>
        </w:rPr>
        <w:footnoteReference w:id="1622"/>
      </w:r>
      <w:r>
        <w:rPr>
          <w:rFonts w:ascii="IRNazanin" w:hAnsi="IRNazanin" w:eastAsia="IRNazanin"/>
          <w:color w:val="111111"/>
          <w:sz w:val="28"/>
          <w:sz w:val="28"/>
          <w:szCs w:val="28"/>
          <w:rtl w:val="true"/>
          <w:lang w:bidi="fa-IR"/>
        </w:rPr>
        <w:t xml:space="preserve">کما عن السرائر </w:t>
      </w:r>
      <w:r>
        <w:rPr>
          <w:rStyle w:val="FootnoteAnchor"/>
          <w:rtl w:val="true"/>
        </w:rPr>
        <w:footnoteReference w:id="1623"/>
      </w:r>
      <w:r>
        <w:rPr>
          <w:rFonts w:ascii="IRNazanin" w:hAnsi="IRNazanin" w:eastAsia="IRNazanin"/>
          <w:color w:val="111111"/>
          <w:sz w:val="28"/>
          <w:sz w:val="28"/>
          <w:szCs w:val="28"/>
          <w:rtl w:val="true"/>
          <w:lang w:bidi="fa-IR"/>
        </w:rPr>
        <w:t xml:space="preserve">عن بعض أصحابنا، و حکی عن الموجز </w:t>
      </w:r>
      <w:r>
        <w:rPr>
          <w:rStyle w:val="FootnoteAnchor"/>
          <w:rtl w:val="true"/>
        </w:rPr>
        <w:footnoteReference w:id="1624"/>
      </w:r>
      <w:r>
        <w:rPr>
          <w:rFonts w:ascii="IRNazanin" w:hAnsi="IRNazanin" w:eastAsia="IRNazanin"/>
          <w:color w:val="111111"/>
          <w:sz w:val="28"/>
          <w:sz w:val="28"/>
          <w:szCs w:val="28"/>
          <w:rtl w:val="true"/>
          <w:lang w:bidi="fa-IR"/>
        </w:rPr>
        <w:t>ثبوت ذلک فیما عدا الشهر الأوّل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تحیّضها بثلاثة فی الأوّل و عشرة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ذلک، حکاهما فی المنتهی </w:t>
      </w:r>
      <w:r>
        <w:rPr>
          <w:rStyle w:val="FootnoteAnchor"/>
          <w:rtl w:val="true"/>
        </w:rPr>
        <w:footnoteReference w:id="1625"/>
      </w:r>
      <w:r>
        <w:rPr>
          <w:rFonts w:ascii="IRNazanin" w:hAnsi="IRNazanin" w:eastAsia="IRNazanin"/>
          <w:color w:val="111111"/>
          <w:sz w:val="28"/>
          <w:sz w:val="28"/>
          <w:szCs w:val="28"/>
          <w:rtl w:val="true"/>
          <w:lang w:bidi="fa-IR"/>
        </w:rPr>
        <w:t xml:space="preserve">کما عن السرائر </w:t>
      </w:r>
      <w:r>
        <w:rPr>
          <w:rStyle w:val="FootnoteAnchor"/>
          <w:rtl w:val="true"/>
        </w:rPr>
        <w:footnoteReference w:id="1626"/>
      </w:r>
      <w:r>
        <w:rPr>
          <w:rFonts w:ascii="IRNazanin" w:hAnsi="IRNazanin" w:eastAsia="IRNazanin"/>
          <w:color w:val="111111"/>
          <w:sz w:val="28"/>
          <w:sz w:val="28"/>
          <w:szCs w:val="28"/>
          <w:rtl w:val="true"/>
          <w:lang w:bidi="fa-IR"/>
        </w:rPr>
        <w:t>، لکن الموجود فی محکیّ السرائر ذکر هذه الأقوال الثلاثة فی المبتدأة بالمعنی الأخصّ، و فی المنتهی ذکرها فیها و فیمن لم تستقرّ لها عادة، فلا حاجة إلی تجشّم الاستدلال لها فیما نحن فیه، و العجب من کاشف اللثام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المنتهی و السرائر ذکر فی کلّ من المبتدأة و المضطربة ستّة أقوال </w:t>
      </w:r>
      <w:r>
        <w:rPr>
          <w:rStyle w:val="FootnoteAnchor"/>
          <w:rtl w:val="true"/>
        </w:rPr>
        <w:footnoteReference w:id="1627"/>
      </w:r>
      <w:r>
        <w:rPr>
          <w:rFonts w:ascii="IRNazanin" w:hAnsi="IRNazanin" w:eastAsia="IRNazanin"/>
          <w:color w:val="111111"/>
          <w:sz w:val="28"/>
          <w:sz w:val="28"/>
          <w:szCs w:val="28"/>
          <w:rtl w:val="true"/>
          <w:lang w:bidi="fa-IR"/>
        </w:rPr>
        <w:t>، مع أنّ فی المنتهی لم یذکر الستّة إلّا فی المبتدأة بالمعنی الأعمّ، و المحکیّ عن السرائر ذکرها فی المبتدأة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الأوّل بعد اشتراکه مع الثانی فی طرح المرسلة ظهور الموثّقتین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الثانی تقدیم العشرة فی موثّقة سماعة </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تحیّضها بالثلاثة طرحاً للروایات و الرجوع إلی المتیقّن، کما عن المعتبر </w:t>
      </w:r>
      <w:r>
        <w:rPr>
          <w:rStyle w:val="FootnoteAnchor"/>
          <w:rtl w:val="true"/>
        </w:rPr>
        <w:footnoteReference w:id="1629"/>
      </w:r>
      <w:r>
        <w:rPr>
          <w:rFonts w:ascii="IRNazanin" w:hAnsi="IRNazanin" w:eastAsia="IRNazanin"/>
          <w:color w:val="111111"/>
          <w:sz w:val="28"/>
          <w:sz w:val="28"/>
          <w:szCs w:val="28"/>
          <w:rtl w:val="true"/>
          <w:lang w:bidi="fa-IR"/>
        </w:rPr>
        <w:t xml:space="preserve">، و استوجهه فی محکیّ المدارک </w:t>
      </w:r>
      <w:r>
        <w:rPr>
          <w:rStyle w:val="FootnoteAnchor"/>
          <w:rtl w:val="true"/>
        </w:rPr>
        <w:footnoteReference w:id="1630"/>
      </w:r>
      <w:r>
        <w:rPr>
          <w:rFonts w:ascii="IRNazanin" w:hAnsi="IRNazanin" w:eastAsia="IRNazanin"/>
          <w:color w:val="111111"/>
          <w:sz w:val="28"/>
          <w:sz w:val="28"/>
          <w:szCs w:val="28"/>
          <w:rtl w:val="true"/>
          <w:lang w:bidi="fa-IR"/>
        </w:rPr>
        <w:t>، أو أخذاً بالموثّقتین؛ بناءً علی ما عرفت من ظهورهما فی ذلک و تسریة حکم المبتدأة إلی المضطربة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بالعشرة، ذکره فی المنتهی </w:t>
      </w:r>
      <w:r>
        <w:rPr>
          <w:rStyle w:val="FootnoteAnchor"/>
          <w:rtl w:val="true"/>
        </w:rPr>
        <w:footnoteReference w:id="1631"/>
      </w:r>
      <w:r>
        <w:rPr>
          <w:rFonts w:ascii="IRNazanin" w:hAnsi="IRNazanin" w:eastAsia="IRNazanin"/>
          <w:color w:val="111111"/>
          <w:sz w:val="28"/>
          <w:sz w:val="28"/>
          <w:szCs w:val="28"/>
          <w:rtl w:val="true"/>
          <w:lang w:bidi="fa-IR"/>
        </w:rPr>
        <w:t xml:space="preserve">لقاعدة الإمکان بعد عدم الالتفات إلی الروایات، و مراعاة ما دلّ من الأخبار </w:t>
      </w:r>
      <w:r>
        <w:rPr>
          <w:rStyle w:val="FootnoteAnchor"/>
          <w:rtl w:val="true"/>
        </w:rPr>
        <w:footnoteReference w:id="1632"/>
      </w:r>
      <w:r>
        <w:rPr>
          <w:rFonts w:ascii="IRNazanin" w:hAnsi="IRNazanin" w:eastAsia="IRNazanin"/>
          <w:color w:val="111111"/>
          <w:sz w:val="28"/>
          <w:sz w:val="28"/>
          <w:szCs w:val="28"/>
          <w:rtl w:val="true"/>
          <w:lang w:bidi="fa-IR"/>
        </w:rPr>
        <w:t>المعتضدة بالغلبة علی أنّ الحیض فی کلّ شهر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الروایات و عدم الالتفات إلی الغلبة المتقدّمة و إجراء قاعدة الإمکان بقدر الإمکان، و هو ظاهر الغنیة و المحکی عن موضع من المبسوط </w:t>
      </w:r>
      <w:r>
        <w:rPr>
          <w:rStyle w:val="FootnoteAnchor"/>
          <w:rtl w:val="true"/>
        </w:rPr>
        <w:footnoteReference w:id="1633"/>
      </w:r>
      <w:r>
        <w:rPr>
          <w:rFonts w:ascii="IRNazanin" w:hAnsi="IRNazanin" w:eastAsia="IRNazanin"/>
          <w:color w:val="111111"/>
          <w:sz w:val="28"/>
          <w:sz w:val="28"/>
          <w:szCs w:val="28"/>
          <w:rtl w:val="true"/>
          <w:lang w:bidi="fa-IR"/>
        </w:rPr>
        <w:t xml:space="preserve">، و عن کشف الرموز </w:t>
      </w:r>
      <w:r>
        <w:rPr>
          <w:rStyle w:val="FootnoteAnchor"/>
          <w:rtl w:val="true"/>
        </w:rPr>
        <w:footnoteReference w:id="1634"/>
      </w:r>
      <w:r>
        <w:rPr>
          <w:rFonts w:ascii="IRNazanin" w:hAnsi="IRNazanin" w:eastAsia="IRNazanin"/>
          <w:color w:val="111111"/>
          <w:sz w:val="28"/>
          <w:sz w:val="28"/>
          <w:szCs w:val="28"/>
          <w:rtl w:val="true"/>
          <w:lang w:bidi="fa-IR"/>
        </w:rPr>
        <w:t>استبعاد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تحیّضها کلّما رأت الدم و تعبّدها کلّما رأت الطهر إلی أن تستقرّ لها عادة، کما عن النهایة </w:t>
      </w:r>
      <w:r>
        <w:rPr>
          <w:rStyle w:val="FootnoteAnchor"/>
          <w:rtl w:val="true"/>
        </w:rPr>
        <w:footnoteReference w:id="1635"/>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636"/>
      </w:r>
      <w:r>
        <w:rPr>
          <w:rFonts w:ascii="IRNazanin" w:hAnsi="IRNazanin" w:eastAsia="IRNazanin"/>
          <w:color w:val="111111"/>
          <w:sz w:val="28"/>
          <w:sz w:val="28"/>
          <w:szCs w:val="28"/>
          <w:rtl w:val="true"/>
          <w:lang w:bidi="fa-IR"/>
        </w:rPr>
        <w:t xml:space="preserve">و موضع من المبسوط </w:t>
      </w:r>
      <w:r>
        <w:rPr>
          <w:rStyle w:val="FootnoteAnchor"/>
          <w:rtl w:val="true"/>
        </w:rPr>
        <w:footnoteReference w:id="1637"/>
      </w:r>
      <w:r>
        <w:rPr>
          <w:rFonts w:ascii="IRNazanin" w:hAnsi="IRNazanin" w:eastAsia="IRNazanin"/>
          <w:color w:val="111111"/>
          <w:sz w:val="28"/>
          <w:sz w:val="28"/>
          <w:szCs w:val="28"/>
          <w:rtl w:val="true"/>
          <w:lang w:bidi="fa-IR"/>
        </w:rPr>
        <w:t xml:space="preserve">، و لیس فی هذا القول تعرّض لصورة استمرار الدم، و کأنّ وجهه إمکان حیضیَّة کلّ دم بأصالة عدم عوده بعد الانقطاع و إلّا فروایتا أبی بصیر و یونس </w:t>
      </w:r>
      <w:r>
        <w:rPr>
          <w:rStyle w:val="FootnoteAnchor"/>
          <w:rtl w:val="true"/>
        </w:rPr>
        <w:footnoteReference w:id="1638"/>
      </w:r>
      <w:r>
        <w:rPr>
          <w:rFonts w:ascii="IRNazanin" w:hAnsi="IRNazanin" w:eastAsia="IRNazanin"/>
          <w:color w:val="111111"/>
          <w:sz w:val="28"/>
          <w:sz w:val="28"/>
          <w:szCs w:val="28"/>
          <w:rtl w:val="true"/>
          <w:lang w:bidi="fa-IR"/>
        </w:rPr>
        <w:t xml:space="preserve">مقیّدتان لهذا الحکم بما بینها و بین شهر، کما عن الفقیه </w:t>
      </w:r>
      <w:r>
        <w:rPr>
          <w:rStyle w:val="FootnoteAnchor"/>
          <w:rtl w:val="true"/>
        </w:rPr>
        <w:footnoteReference w:id="1639"/>
      </w:r>
      <w:r>
        <w:rPr>
          <w:rFonts w:ascii="IRNazanin" w:hAnsi="IRNazanin" w:eastAsia="IRNazanin"/>
          <w:color w:val="111111"/>
          <w:sz w:val="28"/>
          <w:sz w:val="28"/>
          <w:szCs w:val="28"/>
          <w:rtl w:val="true"/>
          <w:lang w:bidi="fa-IR"/>
        </w:rPr>
        <w:t xml:space="preserve">و المقنع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عملها بالاحتیاط و جمعها بین وظیفتی الحائض و المستحاضة، و یعبّر عنه کما عن القواعد </w:t>
      </w:r>
      <w:r>
        <w:rPr>
          <w:rStyle w:val="FootnoteAnchor"/>
          <w:rtl w:val="true"/>
        </w:rPr>
        <w:footnoteReference w:id="1641"/>
      </w:r>
      <w:r>
        <w:rPr>
          <w:rFonts w:ascii="IRNazanin" w:hAnsi="IRNazanin" w:eastAsia="IRNazanin"/>
          <w:color w:val="111111"/>
          <w:sz w:val="28"/>
          <w:sz w:val="28"/>
          <w:szCs w:val="28"/>
          <w:rtl w:val="true"/>
          <w:lang w:bidi="fa-IR"/>
        </w:rPr>
        <w:t xml:space="preserve">بالردّ إلی أسوإ الاحتمالات، کما عن المبسوط </w:t>
      </w:r>
      <w:r>
        <w:rPr>
          <w:rStyle w:val="FootnoteAnchor"/>
          <w:rtl w:val="true"/>
        </w:rPr>
        <w:footnoteReference w:id="1642"/>
      </w:r>
      <w:r>
        <w:rPr>
          <w:rFonts w:ascii="IRNazanin" w:hAnsi="IRNazanin" w:eastAsia="IRNazanin"/>
          <w:color w:val="111111"/>
          <w:sz w:val="28"/>
          <w:sz w:val="28"/>
          <w:szCs w:val="28"/>
          <w:rtl w:val="true"/>
          <w:lang w:bidi="fa-IR"/>
        </w:rPr>
        <w:t xml:space="preserve">و أحد وجهی الوسیلة </w:t>
      </w:r>
      <w:r>
        <w:rPr>
          <w:rStyle w:val="FootnoteAnchor"/>
          <w:rtl w:val="true"/>
        </w:rPr>
        <w:footnoteReference w:id="1643"/>
      </w:r>
      <w:r>
        <w:rPr>
          <w:rFonts w:ascii="IRNazanin" w:hAnsi="IRNazanin" w:eastAsia="IRNazanin"/>
          <w:color w:val="111111"/>
          <w:sz w:val="28"/>
          <w:sz w:val="28"/>
          <w:szCs w:val="28"/>
          <w:rtl w:val="true"/>
          <w:lang w:bidi="fa-IR"/>
        </w:rPr>
        <w:t>، و المراد به فرضها کونها حائضاً</w:t>
      </w:r>
    </w:p>
    <w:p>
      <w:pPr>
        <w:pStyle w:val="BookText"/>
        <w:rPr/>
      </w:pPr>
      <w:r>
        <w:rPr>
          <w:rFonts w:ascii="IRNazanin" w:hAnsi="IRNazanin" w:eastAsia="IRNazanin"/>
          <w:color w:val="111111"/>
          <w:sz w:val="28"/>
          <w:sz w:val="28"/>
          <w:szCs w:val="28"/>
          <w:rtl w:val="true"/>
          <w:lang w:bidi="fa-IR"/>
        </w:rPr>
        <w:t>بالنسبة إلی ما یحرم علی الحائض، و فرض کونها مستحاضة بالنسبة إلی ما یجب علی المستحاضة من الوضوء و الغسل و العبادة الواجبة، و أمّا المندوبة فهی من محرّمات الحائض إن جعلنا حرمة العبادة ذاتیّة، و إن جعلناها تشریعیّة فیخرج عن محرّمات الحائض و واجبات المستحاضة، و حینئذٍ فیمکن القول بجواز فعلها احتیاطاً فی المندوبات، و لا یصدق التشریع مع قصد الاحتیاط، و الأحوط ترکها فراراً عن احتمال الحرمة الذاتیّة و إن کان ضعیفاً کما سنشیر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القول و إن کان بحسب العمل أصوب الأقوال إلّا أنّه بحسب الدلیل أضعفها؛ لعدم الدلیل علی وجوب الاحتیاط فیما نحن فیه، عدا ما یتخیّل من ثبوت العلم الإجمالی بالحیض فی زمان و الطهر فی زمان و عدم العلم بتعیّنهما، فیجب من باب المقدّمة فی کلّ زمان الإتیان بواجبات المستحاضة؛ لاحتمال کونها فی ذلک الزمان مستحاضة، و ترک محرّمات الحائض، لاحتمال کونها حائضاً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تسلیم جریان باب المقدّمة فی الأُمور التدریجیة و الوقائع الحادثة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الوجه إنّما یقتضی وجوب جعل الحیض فی کلّ شهر ثلاثة أیّام، فلا یقضی بعد انقضاء شهر رمضان أزید منها، مع أنّ القائل بهذا القول یلزمها بقضاء عشرة بل أحد عشر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فهذا الوجه لا یقتضی منع الزوج فی جمیع الزمان؛ إذ کما أنّ المنع فی زمان الحیض حرام فالتمکین فی زمان الطهر واجب،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علی الزوج الامتناع من الوطء مطلقاً من باب المقدّمة، و أنت إذا تأمّلت ما سیجی‌ء ممّا ذکروه فی هذا الضابط من الفروع تعلم أنّ منشأه لیس ما ذکر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أنّ فیه مضافاً إلی العسر و الحرج، و منافاته کما قیل </w:t>
      </w:r>
      <w:r>
        <w:rPr>
          <w:rStyle w:val="FootnoteAnchor"/>
          <w:rtl w:val="true"/>
        </w:rPr>
        <w:footnoteReference w:id="1644"/>
      </w:r>
      <w:r>
        <w:rPr>
          <w:rFonts w:ascii="IRNazanin" w:hAnsi="IRNazanin" w:eastAsia="IRNazanin"/>
          <w:color w:val="111111"/>
          <w:sz w:val="28"/>
          <w:sz w:val="28"/>
          <w:szCs w:val="28"/>
          <w:rtl w:val="true"/>
          <w:lang w:bidi="fa-IR"/>
        </w:rPr>
        <w:t>لما تقتضیه حکمة الباری مع ندرة القائل به، بل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قولًا لنا </w:t>
      </w:r>
      <w:r>
        <w:rPr>
          <w:rStyle w:val="FootnoteAnchor"/>
          <w:rtl w:val="true"/>
        </w:rPr>
        <w:footnoteReference w:id="1645"/>
      </w:r>
      <w:r>
        <w:rPr>
          <w:rFonts w:ascii="IRNazanin" w:hAnsi="IRNazanin" w:eastAsia="IRNazanin"/>
          <w:color w:val="111111"/>
          <w:sz w:val="28"/>
          <w:sz w:val="28"/>
          <w:szCs w:val="28"/>
          <w:rtl w:val="true"/>
          <w:lang w:bidi="fa-IR"/>
        </w:rPr>
        <w:t xml:space="preserve">، و هو الظاهر من المنتهی </w:t>
      </w:r>
      <w:r>
        <w:rPr>
          <w:rStyle w:val="FootnoteAnchor"/>
          <w:rtl w:val="true"/>
        </w:rPr>
        <w:footnoteReference w:id="1646"/>
      </w:r>
      <w:r>
        <w:rPr>
          <w:rFonts w:ascii="IRNazanin" w:hAnsi="IRNazanin" w:eastAsia="IRNazanin"/>
          <w:color w:val="111111"/>
          <w:sz w:val="28"/>
          <w:sz w:val="28"/>
          <w:szCs w:val="28"/>
          <w:rtl w:val="true"/>
          <w:lang w:bidi="fa-IR"/>
        </w:rPr>
        <w:t xml:space="preserve">حیث نسبه إلی الشافعی طرحاً للمرسلة المعمول بها بین الأصحاب کما قیل </w:t>
      </w:r>
      <w:r>
        <w:rPr>
          <w:rStyle w:val="FootnoteAnchor"/>
          <w:rtl w:val="true"/>
        </w:rPr>
        <w:footnoteReference w:id="1647"/>
      </w:r>
      <w:r>
        <w:rPr>
          <w:rFonts w:ascii="IRNazanin" w:hAnsi="IRNazanin" w:eastAsia="IRNazanin"/>
          <w:color w:val="111111"/>
          <w:sz w:val="28"/>
          <w:sz w:val="28"/>
          <w:szCs w:val="28"/>
          <w:rtl w:val="true"/>
          <w:lang w:bidi="fa-IR"/>
        </w:rPr>
        <w:t>، المتضمّنة لشواهد کثیرة علی صحّتها و صدق 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ذکر جماعة </w:t>
      </w:r>
      <w:r>
        <w:rPr>
          <w:rStyle w:val="FootnoteAnchor"/>
          <w:rtl w:val="true"/>
        </w:rPr>
        <w:footnoteReference w:id="1648"/>
      </w:r>
      <w:r>
        <w:rPr>
          <w:rFonts w:ascii="Amiri" w:hAnsi="Amiri" w:eastAsia="Amiri" w:cs="Amiri"/>
          <w:color w:val="111111"/>
          <w:sz w:val="28"/>
          <w:sz w:val="28"/>
          <w:szCs w:val="28"/>
          <w:rtl w:val="true"/>
          <w:lang w:bidi="ar-SA"/>
        </w:rPr>
        <w:t xml:space="preserve">تبعاً للمصنّف فی کثیرٍ من کتبه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بالنسبة إلی المتحیّرة یحصل بأُمور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الزوج و المالک من الوطء و امتناعهما عنه من باب المقدّمة علی ما ذکرنا، و لو لم یجب علیهما الامتناع لم یجب علیها المنع؛ لأنّ منعها یدور بین الوجوب و الحرمة؛ لأنّه مع الحیض واجب و مع الطهر حرام مع مطالبة الزوج أو السیّد، فلو وطئ فلا کفّارة کما عن النهایة </w:t>
      </w:r>
      <w:r>
        <w:rPr>
          <w:rStyle w:val="FootnoteAnchor"/>
          <w:rtl w:val="true"/>
        </w:rPr>
        <w:footnoteReference w:id="1650"/>
      </w:r>
      <w:r>
        <w:rPr>
          <w:rFonts w:ascii="IRNazanin" w:hAnsi="IRNazanin" w:eastAsia="IRNazanin"/>
          <w:color w:val="111111"/>
          <w:sz w:val="28"/>
          <w:sz w:val="28"/>
          <w:szCs w:val="28"/>
          <w:rtl w:val="true"/>
          <w:lang w:bidi="fa-IR"/>
        </w:rPr>
        <w:t xml:space="preserve">و فی کشف الالتباس </w:t>
      </w:r>
      <w:r>
        <w:rPr>
          <w:rStyle w:val="FootnoteAnchor"/>
          <w:rtl w:val="true"/>
        </w:rPr>
        <w:footnoteReference w:id="1651"/>
      </w:r>
      <w:r>
        <w:rPr>
          <w:rFonts w:ascii="IRNazanin" w:hAnsi="IRNazanin" w:eastAsia="IRNazanin"/>
          <w:color w:val="111111"/>
          <w:sz w:val="28"/>
          <w:sz w:val="28"/>
          <w:szCs w:val="28"/>
          <w:rtl w:val="true"/>
          <w:lang w:bidi="fa-IR"/>
        </w:rPr>
        <w:t>لأصالة البراءة؛ لأنّ الاحتیاط إنّما یقتضی وجوب الامتناع من</w:t>
      </w:r>
    </w:p>
    <w:p>
      <w:pPr>
        <w:pStyle w:val="BookText"/>
        <w:rPr/>
      </w:pPr>
      <w:r>
        <w:rPr>
          <w:rFonts w:ascii="IRNazanin" w:hAnsi="IRNazanin" w:eastAsia="IRNazanin"/>
          <w:color w:val="111111"/>
          <w:sz w:val="28"/>
          <w:sz w:val="28"/>
          <w:szCs w:val="28"/>
          <w:rtl w:val="true"/>
          <w:lang w:bidi="fa-IR"/>
        </w:rPr>
        <w:t>الفعل من باب المقدّمة لا ترتّب جمیع أحکام الحرام علیه، کما لو ارتکب أحد الإناءَین المشتبهین بالخمر، فإنّه و إن ارتکب حراماً إلّا أنّه لا یترتّب علیه شی‌ء من أحکام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وطأها فی تمام الشهر کلّ یوم مرّة وجب علیه کفّارات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الحیض و وسطه و آخره، و علی القول بجعل النقاء المتخلّل مطلقاً أو خصوص المتخلّل بین الثلاثة الأُولی بناءً علی عدم اعتبار التوالی فیها طهراً و جواز تلفیق الساعات، فلا کفّارة؛ لاحتمال وقوع الوطء کلّه فی زمان الطهر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طلاقها مطلقاً کما عن المبسوط </w:t>
      </w:r>
      <w:r>
        <w:rPr>
          <w:rStyle w:val="FootnoteAnchor"/>
          <w:rtl w:val="true"/>
        </w:rPr>
        <w:footnoteReference w:id="1652"/>
      </w:r>
      <w:r>
        <w:rPr>
          <w:rFonts w:ascii="IRNazanin" w:hAnsi="IRNazanin" w:eastAsia="IRNazanin"/>
          <w:color w:val="111111"/>
          <w:sz w:val="28"/>
          <w:sz w:val="28"/>
          <w:szCs w:val="28"/>
          <w:rtl w:val="true"/>
          <w:lang w:bidi="fa-IR"/>
        </w:rPr>
        <w:t>، و لکن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الطلاق یحصل فی أوّل یوم و الحادی عشر أمکن </w:t>
      </w:r>
      <w:r>
        <w:rPr>
          <w:rStyle w:val="FootnoteAnchor"/>
          <w:rtl w:val="true"/>
        </w:rPr>
        <w:footnoteReference w:id="1653"/>
      </w:r>
      <w:r>
        <w:rPr>
          <w:rFonts w:ascii="IRNazanin" w:hAnsi="IRNazanin" w:eastAsia="IRNazanin"/>
          <w:color w:val="111111"/>
          <w:sz w:val="28"/>
          <w:sz w:val="28"/>
          <w:szCs w:val="28"/>
          <w:rtl w:val="true"/>
          <w:lang w:bidi="fa-IR"/>
        </w:rPr>
        <w:t>، و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إیقاعه فی یوم بعد الثانی إلی العاشر و فی الحادی عشر بعد مضیّ زمان إیقاعه فی الأوّل </w:t>
      </w:r>
      <w:r>
        <w:rPr>
          <w:rStyle w:val="FootnoteAnchor"/>
          <w:rtl w:val="true"/>
        </w:rPr>
        <w:footnoteReference w:id="1654"/>
      </w:r>
      <w:r>
        <w:rPr>
          <w:rFonts w:ascii="IRNazanin" w:hAnsi="IRNazanin" w:eastAsia="IRNazanin"/>
          <w:color w:val="111111"/>
          <w:sz w:val="28"/>
          <w:sz w:val="28"/>
          <w:szCs w:val="28"/>
          <w:rtl w:val="true"/>
          <w:lang w:bidi="fa-IR"/>
        </w:rPr>
        <w:t xml:space="preserve">، و فی المنتهی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إیقاعه فی أیّام أربعة الأوّل و الثانی و الحادی عشر و الثانی عشر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حصول الاحتیاط بإیقاعه فی جزءٍ من یوم ثمّ فی الجزء التالی له من الیوم الحادی عشر؛ لأنّ الجزء الأوّل إن کان طهراً فهو، و إن کان حیضاً امتنع ثبوت الحیض فی تالیه من الیوم الحادی عشر، و لعلّه مراد التذکرة؛ فیکون المراد بالحادی عشر فی عبارتها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جزءٍ بعد انقضاء عشرة أیّام، لا مطلق الیوم الحادی عشر؛ لأنّه إن طلّقها فیه قبل أن تنقضی</w:t>
      </w:r>
    </w:p>
    <w:p>
      <w:pPr>
        <w:pStyle w:val="BookText"/>
        <w:rPr/>
      </w:pPr>
      <w:r>
        <w:rPr>
          <w:rFonts w:ascii="IRNazanin" w:hAnsi="IRNazanin" w:eastAsia="IRNazanin"/>
          <w:color w:val="111111"/>
          <w:sz w:val="28"/>
          <w:sz w:val="28"/>
          <w:szCs w:val="28"/>
          <w:rtl w:val="true"/>
          <w:lang w:bidi="fa-IR"/>
        </w:rPr>
        <w:t>العشرة أو بعد أن تنقضی بأزید من لحظة، أمکن وقوع الطلاقین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ضعف ما فی جامع المقاصد </w:t>
      </w:r>
      <w:r>
        <w:rPr>
          <w:rStyle w:val="FootnoteAnchor"/>
          <w:rtl w:val="true"/>
        </w:rPr>
        <w:footnoteReference w:id="1656"/>
      </w:r>
      <w:r>
        <w:rPr>
          <w:rFonts w:ascii="IRNazanin" w:hAnsi="IRNazanin" w:eastAsia="IRNazanin"/>
          <w:color w:val="111111"/>
          <w:sz w:val="28"/>
          <w:sz w:val="28"/>
          <w:szCs w:val="28"/>
          <w:rtl w:val="true"/>
          <w:lang w:bidi="fa-IR"/>
        </w:rPr>
        <w:t>من صحّة طلاقها فی أوّل یوم و آخر الحادی عشر، إلّا أن یکون کلامه و کلام التذکرة مبنیّاً علی وحدة الحیض فی کلّ شهر، فیستقیم ما ذکر، و ما تقدّم عن المنتهی و النهایة مبنی علی مراعاة احتمال تعدّد الحیض، إلّا أنّ ضبط لحظة الطلاق الأوّل متعسّر بل متعذّر، مع أنّ زیادة اللحظة و اللحظتین علی عشرة الحیض لم یثبت امتناعها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المصنّف </w:t>
      </w:r>
      <w:r>
        <w:rPr>
          <w:rStyle w:val="FootnoteAnchor"/>
          <w:rtl w:val="true"/>
        </w:rPr>
        <w:footnoteReference w:id="1657"/>
      </w:r>
      <w:r>
        <w:rPr>
          <w:rFonts w:ascii="IRNazanin" w:hAnsi="IRNazanin" w:eastAsia="IRNazanin"/>
          <w:color w:val="111111"/>
          <w:sz w:val="28"/>
          <w:sz w:val="28"/>
          <w:szCs w:val="28"/>
          <w:rtl w:val="true"/>
          <w:lang w:bidi="fa-IR"/>
        </w:rPr>
        <w:t xml:space="preserve">و غیره </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تعتدّ من الطلاق بالأشهر و لا تکلّف من جهة احتمال تباعد الحیض بالصبر إلی الیأس أو استقامة الحیض؛ للحرج، قیل </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للنصّ علی اعتبار السابق الأشهر و الأقراء، و عن المصنّف فی النهایة احتمال إلحاقها بالمسترابة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یراجعها إلّا قبل ستّة و عشرین، کما فی کشف الغطاء </w:t>
      </w:r>
      <w:r>
        <w:rPr>
          <w:rStyle w:val="FootnoteAnchor"/>
          <w:rtl w:val="true"/>
        </w:rPr>
        <w:footnoteReference w:id="1661"/>
      </w:r>
      <w:r>
        <w:rPr>
          <w:rFonts w:ascii="IRNazanin" w:hAnsi="IRNazanin" w:eastAsia="IRNazanin"/>
          <w:color w:val="111111"/>
          <w:sz w:val="28"/>
          <w:sz w:val="28"/>
          <w:szCs w:val="28"/>
          <w:rtl w:val="true"/>
          <w:lang w:bidi="fa-IR"/>
        </w:rPr>
        <w:t xml:space="preserve">، لکن فی کشف اللثام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یراجعها إلّا قبل تسعة و ثلاثین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 طلاقها فی أیّام تحیّرها فعدّتها بالنسبة إلی رجوع الزوج من</w:t>
      </w:r>
    </w:p>
    <w:p>
      <w:pPr>
        <w:pStyle w:val="BookText"/>
        <w:rPr/>
      </w:pPr>
      <w:r>
        <w:rPr>
          <w:rFonts w:ascii="IRNazanin" w:hAnsi="IRNazanin" w:eastAsia="IRNazanin"/>
          <w:color w:val="111111"/>
          <w:sz w:val="28"/>
          <w:sz w:val="28"/>
          <w:szCs w:val="28"/>
          <w:rtl w:val="true"/>
          <w:lang w:bidi="fa-IR"/>
        </w:rPr>
        <w:t xml:space="preserve">الطلاق الأوّل، و بالنسبة إلی التزویج من الطلاق الأخیر کما فی کشف اللثام </w:t>
      </w:r>
      <w:r>
        <w:rPr>
          <w:rStyle w:val="FootnoteAnchor"/>
          <w:rtl w:val="true"/>
        </w:rPr>
        <w:footnoteReference w:id="1663"/>
      </w:r>
      <w:r>
        <w:rPr>
          <w:rFonts w:ascii="IRNazanin" w:hAnsi="IRNazanin" w:eastAsia="IRNazanin"/>
          <w:color w:val="111111"/>
          <w:sz w:val="28"/>
          <w:sz w:val="28"/>
          <w:szCs w:val="28"/>
          <w:rtl w:val="true"/>
          <w:lang w:bidi="fa-IR"/>
        </w:rPr>
        <w:t xml:space="preserve">، و عن النهایة </w:t>
      </w:r>
      <w:r>
        <w:rPr>
          <w:rStyle w:val="FootnoteAnchor"/>
          <w:rtl w:val="true"/>
        </w:rPr>
        <w:footnoteReference w:id="1664"/>
      </w:r>
      <w:r>
        <w:rPr>
          <w:rFonts w:ascii="IRNazanin" w:hAnsi="IRNazanin" w:eastAsia="IRNazanin"/>
          <w:color w:val="111111"/>
          <w:sz w:val="28"/>
          <w:sz w:val="28"/>
          <w:szCs w:val="28"/>
          <w:rtl w:val="true"/>
          <w:lang w:bidi="fa-IR"/>
        </w:rPr>
        <w:t xml:space="preserve">، و فی النفقة إشکال کما عن نهایة الإحکام </w:t>
      </w:r>
      <w:r>
        <w:rPr>
          <w:rStyle w:val="FootnoteAnchor"/>
          <w:rtl w:val="true"/>
        </w:rPr>
        <w:footnoteReference w:id="1665"/>
      </w:r>
      <w:r>
        <w:rPr>
          <w:rFonts w:ascii="IRNazanin" w:hAnsi="IRNazanin" w:eastAsia="IRNazanin"/>
          <w:color w:val="111111"/>
          <w:sz w:val="28"/>
          <w:sz w:val="28"/>
          <w:szCs w:val="28"/>
          <w:rtl w:val="true"/>
          <w:lang w:bidi="fa-IR"/>
        </w:rPr>
        <w:t xml:space="preserve">، من الاستصحاب، و من ارتفاع علقة الزوجیّة شرعاً و أصل البراءة لتجدّد وجوبها کلّ یوم، و الأوّل أقوی، خلافاً لکاشف اللثام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لقراءة العزائم و اللبث فیما عدا المسجدین، و عن النهایة تجویز الطواف </w:t>
      </w:r>
      <w:r>
        <w:rPr>
          <w:rStyle w:val="FootnoteAnchor"/>
          <w:rtl w:val="true"/>
        </w:rPr>
        <w:footnoteReference w:id="1667"/>
      </w:r>
      <w:r>
        <w:rPr>
          <w:rFonts w:ascii="IRNazanin" w:hAnsi="IRNazanin" w:eastAsia="IRNazanin"/>
          <w:color w:val="111111"/>
          <w:sz w:val="28"/>
          <w:sz w:val="28"/>
          <w:szCs w:val="28"/>
          <w:rtl w:val="true"/>
          <w:lang w:bidi="fa-IR"/>
        </w:rPr>
        <w:t xml:space="preserve">، و صرّح فی المنتهی </w:t>
      </w:r>
      <w:r>
        <w:rPr>
          <w:rStyle w:val="FootnoteAnchor"/>
          <w:rtl w:val="true"/>
        </w:rPr>
        <w:footnoteReference w:id="1668"/>
      </w:r>
      <w:r>
        <w:rPr>
          <w:rFonts w:ascii="IRNazanin" w:hAnsi="IRNazanin" w:eastAsia="IRNazanin"/>
          <w:color w:val="111111"/>
          <w:sz w:val="28"/>
          <w:sz w:val="28"/>
          <w:szCs w:val="28"/>
          <w:rtl w:val="true"/>
          <w:lang w:bidi="fa-IR"/>
        </w:rPr>
        <w:t>بالمنع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بالصلوات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النوافل، فعن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الأقرب أنّ لها التنفّل کالمتیمّم یتنفّل مع بقاء حدثه؛ لأنّ النوافل من مهمّات الدین فلا تُمنع عنها، سواء الرواتب و غیرها، و کذا الصوم المندوب و الطواف </w:t>
      </w:r>
      <w:r>
        <w:rPr>
          <w:rStyle w:val="FootnoteAnchor"/>
          <w:rtl w:val="true"/>
        </w:rPr>
        <w:footnoteReference w:id="16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الطواف فقد عرفت المنع عنه، و أمّا النوافل فالأقوی الجواز؛ إذ لا یعدّ ترکها احتیاطاً؛ لما سیجی‌ء من عدم کون حرمة العبادة علی الحائض ذاتیّة، بل من حیث التشریع، فینتفی حیث قصد الاحتیاط لا التشریع، و لذا لم یخالف أحد فی کون فعل الفریضة احتیاطاً فی حقّها، و لو کانت حرمة الصلاة فی حقّها ذاتیّة لم یحصل الاحتیاط بفعلها، بل ربما کان</w:t>
      </w:r>
    </w:p>
    <w:p>
      <w:pPr>
        <w:pStyle w:val="BookText"/>
        <w:rPr/>
      </w:pPr>
      <w:r>
        <w:rPr>
          <w:rFonts w:ascii="IRNazanin" w:hAnsi="IRNazanin" w:eastAsia="IRNazanin"/>
          <w:color w:val="111111"/>
          <w:sz w:val="28"/>
          <w:sz w:val="28"/>
          <w:szCs w:val="28"/>
          <w:rtl w:val="true"/>
          <w:lang w:bidi="fa-IR"/>
        </w:rPr>
        <w:t>الأولی ترکها لتغلیب الحرمة علی الوجوب، و ممّا ذکر یظهر الکلام فی الصوم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یجب علیها بعد أداء الفرائض قضاؤها أیضاً؟ حکم فی التذکرة بعدم الوجوب؛ لأنّها إن کانت طاهرة صحّ الأداء و إلّا سقط القضاء، و لأنّ فیه حرجاً عظیماً،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الوجوب؛ لاحتمال انقطاع الحیض خلال الصلاة أو فی آخر الوقت، و ربما انقطع قبل غروب الشمس، فیلزمها الظهر و العصر أو قبل نصف اللیل فیلزمها المغرب و العشاء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المصنّف فی النهایة </w:t>
      </w:r>
      <w:r>
        <w:rPr>
          <w:rStyle w:val="FootnoteAnchor"/>
          <w:rtl w:val="true"/>
        </w:rPr>
        <w:footnoteReference w:id="1671"/>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جامع المقاصد فی کیفیّة القضاء و مقدار المقضیّ کلاماً جامعاً کفانا مئونة الخوض فی المسألة، فإنّه بعد حکایة وجوب القضاء عن المصنّف قدّس سرّه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حینئذٍ فإمّا أن تصلّی أوّل الوقت دائماً، أو آخره دائماً، أو قد تصلّی أوّله و قد تصلّی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الأوّل تقضی بعد کلّ أحد عشر یوماً صلاتین مشتبهتین؛ لإمکان أن ینقطع الحیض فی أثناء العصر أو العشاء فتفسد الصلاتان و یجب قضاؤهما، و کذا یمکن انقطاعه فی أثناء الصبح، فیجب قضاؤها خاصّة، فیقین البراءة یتوقّف علی قضاء صلاتین مشتبهتین، و کیفیّة قضائهما کقضاء الصوم سواء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تصلی آخر الوقت دائماً، قضت بعد کلّ عشرٍ ثلاث</w:t>
      </w:r>
    </w:p>
    <w:p>
      <w:pPr>
        <w:pStyle w:val="BookText"/>
        <w:rPr/>
      </w:pPr>
      <w:r>
        <w:rPr>
          <w:rFonts w:ascii="IRNazanin" w:hAnsi="IRNazanin" w:eastAsia="IRNazanin"/>
          <w:color w:val="111111"/>
          <w:sz w:val="28"/>
          <w:sz w:val="28"/>
          <w:szCs w:val="28"/>
          <w:rtl w:val="true"/>
          <w:lang w:bidi="fa-IR"/>
        </w:rPr>
        <w:t>صلوات؛ لإمکان أن یطرأ الحیض فی أوّل الظهرین أو العشاءین، فتفسد الصلاتان و ینقطع فی أثناء غسل الاولی منهما أو الثانیة، فیجب قضاؤها لفساد طهارتها، و کیف قدّر زمان صلاتها آخر الوقت، فلا بدّ من إدراک الطهارة و خمس رکعات، فإذا قدّر صحّة الفرض الثانی لمصادفة غسل الظهر، فالأوّل فاسد، و إلّا فالثانی، فتقضی سبع صلوات، صبحاً و مغرباً و رباعیّة مردّدة بین الثلاث، ثمّ صبحاً و رباعیّتین بینهما المغرب، لأنّ الفائت من یومین اثنتان و واحدة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تصلّی أوّل الوقت دائماً وجب قضاء مشتبهین، لاحتمال الانقطاع بعد فعلهما دون ما زاد، إذ لو فرض ابتداء الحیض فی أثناء الصلاة لما وجب؛ لأنّها لم تدرک من الوقت ما یسعها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تصلّی أوّل الوقت تارة و آخره أُخری أو وسطه دائماً وجب قضاء أربع صلوات مشتبهات لإمکان الابتداء فی أوّلها فتفسدان، و یجب التدارک لإمکانه، و کذا یمکن الانقطاع فی الثانیة فتفسدان أیضاً، و التدارک ممکن فیجب، و جاز التماثل فلا بدّ من ثمان صلوات </w:t>
      </w:r>
      <w:r>
        <w:rPr>
          <w:rStyle w:val="FootnoteAnchor"/>
          <w:rtl w:val="true"/>
        </w:rPr>
        <w:footnoteReference w:id="16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حواشی الکتاب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تصلی کلّ صلاة مرّتین أوّل الوقت و آخره؛ لأنّه إن کان أحدهما حیضاً صحّ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ینقطع الحیض فی أثناء غسل الثانیة فیفسد، و یجب قضاؤها لإدراک قدر الطهارة و رکعة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وقوع الثانیة حیث ینتهی الضیق فلا تجب الاولی،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فی الصبح، أمّا الظهرین فلا؛ فإنّ نهایة الضیق أن تغتسل</w:t>
      </w:r>
    </w:p>
    <w:p>
      <w:pPr>
        <w:pStyle w:val="BookText"/>
        <w:rPr/>
      </w:pPr>
      <w:r>
        <w:rPr>
          <w:rFonts w:ascii="IRNazanin" w:hAnsi="IRNazanin" w:eastAsia="IRNazanin"/>
          <w:color w:val="111111"/>
          <w:sz w:val="28"/>
          <w:sz w:val="28"/>
          <w:szCs w:val="28"/>
          <w:rtl w:val="true"/>
          <w:lang w:bidi="fa-IR"/>
        </w:rPr>
        <w:t>لکلّ من الصلاتین مع کثرة الدم و قد بقی من الوقت قدر الطهارة مرّتین و خمس رکعات، فیمکن الانقطاع فی أثناء الغسل فیفسد، و یجب قضاء الفریضة المؤدّاة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صلّت دائماً أوّل الوقت أو آخره قضت بعد کلّ أحد عشر صلاة مشتبهة، و إن کانت تصلّی أوّله تارةً و آخره اخری قضت بعد أحد عشر صلاتین مشتبهتین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وجوب صلاتین فی الفرض الأوّل لإمکان الانقطاع فی أثناء الثانیة فتفسد الصلاتان و یجب تدارکهما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 فی الفرض الثانی وجوب ثلاث، لإمکان طریانه فی الفریضة الأُولی، و انقطاعه فی الغسل لتطهیرها </w:t>
      </w:r>
      <w:r>
        <w:rPr>
          <w:rStyle w:val="FootnoteAnchor"/>
          <w:rtl w:val="true"/>
        </w:rPr>
        <w:footnoteReference w:id="1673"/>
      </w:r>
      <w:r>
        <w:rPr>
          <w:rFonts w:ascii="IRNazanin" w:hAnsi="IRNazanin" w:eastAsia="IRNazanin"/>
          <w:color w:val="111111"/>
          <w:sz w:val="28"/>
          <w:sz w:val="28"/>
          <w:szCs w:val="28"/>
          <w:rtl w:val="true"/>
          <w:lang w:bidi="fa-IR"/>
        </w:rPr>
        <w:t>، فلا یستقیم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الفرض الثالث وجوب أربع، لإمکان طریانه فی الفریضة الأُولی فیفسد الفرضان و یجب قضاؤهما لإدراک قدر الطهارة و فعلهما من أوّل الوقت، و إمکان انقطاعه فی أثناء الثانیة، فیجب فعلهما لإدراک قدر الطهارة و خمس رکعات و هذا الذی ذکره یناسب مذهب العامّة من اختصاص کلّ صلاة بوقت لا تشارکها فیه الأُخری </w:t>
      </w:r>
      <w:r>
        <w:rPr>
          <w:rStyle w:val="FootnoteAnchor"/>
          <w:rtl w:val="true"/>
        </w:rPr>
        <w:footnoteReference w:id="1674"/>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لکلّ صلاة بعد الثلاثة؛ لاحتمال انقطاع الحیض فی کلّ وقت، و لا تجمع بین صلاتین بغسل؛ لاحتمال انقطاعه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کانت کثیرة الدم اغتسلت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تداخل الغسلین وجهان مبنیّان علی التداخل، إلّا أنّ الشهید فی البیان جزم بعدم التداخل و لو علی القول</w:t>
      </w:r>
    </w:p>
    <w:p>
      <w:pPr>
        <w:pStyle w:val="BookText"/>
        <w:rPr/>
      </w:pPr>
      <w:r>
        <w:rPr>
          <w:rFonts w:ascii="IRNazanin" w:hAnsi="IRNazanin" w:eastAsia="IRNazanin"/>
          <w:color w:val="111111"/>
          <w:sz w:val="28"/>
          <w:sz w:val="28"/>
          <w:szCs w:val="28"/>
          <w:rtl w:val="true"/>
          <w:lang w:bidi="fa-IR"/>
        </w:rPr>
        <w:t xml:space="preserve">بالتداخل </w:t>
      </w:r>
      <w:r>
        <w:rPr>
          <w:rStyle w:val="FootnoteAnchor"/>
          <w:rtl w:val="true"/>
        </w:rPr>
        <w:footnoteReference w:id="1675"/>
      </w:r>
      <w:r>
        <w:rPr>
          <w:rFonts w:ascii="IRNazanin" w:hAnsi="IRNazanin" w:eastAsia="IRNazanin"/>
          <w:color w:val="111111"/>
          <w:sz w:val="28"/>
          <w:sz w:val="28"/>
          <w:szCs w:val="28"/>
          <w:rtl w:val="true"/>
          <w:lang w:bidi="fa-IR"/>
        </w:rPr>
        <w:t xml:space="preserve">لأنّ استمرار الحدث یمنع عن التداخل، و مال إلیه فی جامع المقاصد </w:t>
      </w:r>
      <w:r>
        <w:rPr>
          <w:rStyle w:val="FootnoteAnchor"/>
          <w:rtl w:val="true"/>
        </w:rPr>
        <w:footnoteReference w:id="1676"/>
      </w:r>
      <w:r>
        <w:rPr>
          <w:rFonts w:ascii="IRNazanin" w:hAnsi="IRNazanin" w:eastAsia="IRNazanin"/>
          <w:color w:val="111111"/>
          <w:sz w:val="28"/>
          <w:sz w:val="28"/>
          <w:szCs w:val="28"/>
          <w:rtl w:val="true"/>
          <w:lang w:bidi="fa-IR"/>
        </w:rPr>
        <w:t xml:space="preserve">، و الأقوی خلافه وفاقاً للروض </w:t>
      </w:r>
      <w:r>
        <w:rPr>
          <w:rStyle w:val="FootnoteAnchor"/>
          <w:rtl w:val="true"/>
        </w:rPr>
        <w:footnoteReference w:id="1677"/>
      </w:r>
      <w:r>
        <w:rPr>
          <w:rFonts w:ascii="IRNazanin" w:hAnsi="IRNazanin" w:eastAsia="IRNazanin"/>
          <w:color w:val="111111"/>
          <w:sz w:val="28"/>
          <w:sz w:val="28"/>
          <w:szCs w:val="28"/>
          <w:rtl w:val="true"/>
          <w:lang w:bidi="fa-IR"/>
        </w:rPr>
        <w:t>، و حینئذٍ فیجب علیها فی الیوم و اللیلة ثمانیة أغسال و علی التداخل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جزم کاشف اللثام بوجوب تأخیر غسل الاستحاضة من غسل الحیض </w:t>
      </w:r>
      <w:r>
        <w:rPr>
          <w:rStyle w:val="FootnoteAnchor"/>
          <w:rtl w:val="true"/>
        </w:rPr>
        <w:footnoteReference w:id="1678"/>
      </w:r>
      <w:r>
        <w:rPr>
          <w:rFonts w:ascii="IRNazanin" w:hAnsi="IRNazanin" w:eastAsia="IRNazanin"/>
          <w:color w:val="111111"/>
          <w:sz w:val="28"/>
          <w:sz w:val="28"/>
          <w:szCs w:val="28"/>
          <w:rtl w:val="true"/>
          <w:lang w:bidi="fa-IR"/>
        </w:rPr>
        <w:t>لوجوب المبادرة إلی الصلاة بعده تحرّزاً عن مفاجاة الحدث، بخلاف غسل الحیض فإنّ احتمال انقطاعه لا یتکرّر و احتمال تأخّره لا یندفع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کلّه؛ لأنّ کلّ یوم یحتمل الطهر مع الغسل کلّ لیلة لاحتمال الانقطاع، مضافاً إلی غسل الاستحاضة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صوم أکثر أیّام الحیض، و هل یحصل بقضاء عشرة أیّام کما عن الشیخ؟ </w:t>
      </w:r>
      <w:r>
        <w:rPr>
          <w:rStyle w:val="FootnoteAnchor"/>
          <w:rtl w:val="true"/>
        </w:rPr>
        <w:footnoteReference w:id="1679"/>
      </w:r>
      <w:r>
        <w:rPr>
          <w:rFonts w:ascii="IRNazanin" w:hAnsi="IRNazanin" w:eastAsia="IRNazanin"/>
          <w:color w:val="111111"/>
          <w:sz w:val="28"/>
          <w:sz w:val="28"/>
          <w:szCs w:val="28"/>
          <w:rtl w:val="true"/>
          <w:lang w:bidi="fa-IR"/>
        </w:rPr>
        <w:t xml:space="preserve">لا لأصالة عدم التشطیر؛ لأنّ الکلام بعد فرض عدم الالتفات إلی الأُصول فی مقابل الاحتیاط، بل لظهور الأیّام فی تحدید الحیض فی غیر الملفّقة أم بقضاء أحد عشر؟ لاحتمال حصول الحیض فی أثناء الأوّل و انقطاعه فی أثناء الحادی عشر، و لا دلیل علی احتساب بعض الیوم فی أحد الطرفین یوماً مع ظهور الأیّام فی أقلّ الحیض و أکثره فی الکاملة، و قد سمعت دعوی الإجماع من الجامع </w:t>
      </w:r>
      <w:r>
        <w:rPr>
          <w:rStyle w:val="FootnoteAnchor"/>
          <w:rtl w:val="true"/>
        </w:rPr>
        <w:footnoteReference w:id="1680"/>
      </w:r>
      <w:r>
        <w:rPr>
          <w:rFonts w:ascii="IRNazanin" w:hAnsi="IRNazanin" w:eastAsia="IRNazanin"/>
          <w:color w:val="111111"/>
          <w:sz w:val="28"/>
          <w:sz w:val="28"/>
          <w:szCs w:val="28"/>
          <w:rtl w:val="true"/>
          <w:lang w:bidi="fa-IR"/>
        </w:rPr>
        <w:t>علی أنّها لو رأت یومین</w:t>
      </w:r>
    </w:p>
    <w:p>
      <w:pPr>
        <w:pStyle w:val="BookText"/>
        <w:rPr/>
      </w:pPr>
      <w:r>
        <w:rPr>
          <w:rFonts w:ascii="Amiri" w:hAnsi="Amiri" w:eastAsia="Amiri" w:cs="Amiri"/>
          <w:color w:val="111111"/>
          <w:sz w:val="28"/>
          <w:sz w:val="28"/>
          <w:szCs w:val="28"/>
          <w:rtl w:val="true"/>
          <w:lang w:bidi="ar-SA"/>
        </w:rPr>
        <w:t>و نصفاً لم یکن حیضاً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مع ما عرفت من إمکان منع امتناع تجاوز الحیض عن العشرة بقلیل، بل صرّح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الممتنع التجاوز بیوم کامل </w:t>
      </w:r>
      <w:r>
        <w:rPr>
          <w:rStyle w:val="FootnoteAnchor"/>
          <w:rtl w:val="true"/>
        </w:rPr>
        <w:footnoteReference w:id="1681"/>
      </w:r>
      <w:r>
        <w:rPr>
          <w:rFonts w:ascii="Amiri" w:hAnsi="Amiri" w:eastAsia="Amiri" w:cs="Amiri"/>
          <w:color w:val="111111"/>
          <w:sz w:val="28"/>
          <w:sz w:val="28"/>
          <w:szCs w:val="28"/>
          <w:rtl w:val="true"/>
          <w:lang w:bidi="ar-SA"/>
        </w:rPr>
        <w:t>، لکنّه محلّ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 کان، فالأقوی سیّما فی مقام الاحتیاط قضاء أحد عشر، کما اختاره المصنّف قدّس سرّه </w:t>
      </w:r>
      <w:r>
        <w:rPr>
          <w:rStyle w:val="FootnoteAnchor"/>
          <w:rtl w:val="true"/>
        </w:rPr>
        <w:footnoteReference w:id="1682"/>
      </w:r>
      <w:r>
        <w:rPr>
          <w:rFonts w:ascii="IRNazanin" w:hAnsi="IRNazanin" w:eastAsia="IRNazanin"/>
          <w:color w:val="111111"/>
          <w:sz w:val="28"/>
          <w:sz w:val="28"/>
          <w:szCs w:val="28"/>
          <w:rtl w:val="true"/>
          <w:lang w:bidi="fa-IR"/>
        </w:rPr>
        <w:t xml:space="preserve">تبعاً للمفید الثانی الشیخ أبی علی ولد الشیخ قدّس سرّهما </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علمت المرأة أنّها لا تحیض فی الشهر إلّا مرّة واحدة، و إلّا فاللازم علیها قضاء عشرین أو أحد و عشرین علی القولین فی التشطیر و عدمه، فهذه هی الأُمور التی تجب علی المتحیّرة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جواز أنّ لها أن تقضی فی هذه الأیّام ما فاتها من العبادة فیها أو فی غیرها من الأیّام؛ لما عرفت من عدم حرمة العبادة علیها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تکرّر الفائت علی وجه یحصل العلم لها بوقوعه فی وقت الطهر، و الکلام إمّا فی الصوم و إمّا فی الصلاة و إمّا فی الطواف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الصوم، فإن علمت بأنّ حیضها فی الشهر مرّة فیحصل قضاء کلّ یوم بصوم یومین بینهما أزید من ثمانیة أو تسعة، علی القول بالتشطیر کالأوّل و الثانی عشر إلی آخر الشهر، و إن لم یعلم ذلک و احتملت تعدّد الحیض فی الشهر، فعلی قول الشیخ تصوم أوّل یوم و حادی عشرة، إذ لا یمکن</w:t>
      </w:r>
    </w:p>
    <w:p>
      <w:pPr>
        <w:pStyle w:val="BookText"/>
        <w:rPr/>
      </w:pPr>
      <w:r>
        <w:rPr>
          <w:rFonts w:ascii="IRNazanin" w:hAnsi="IRNazanin" w:eastAsia="IRNazanin"/>
          <w:color w:val="111111"/>
          <w:sz w:val="28"/>
          <w:sz w:val="28"/>
          <w:szCs w:val="28"/>
          <w:rtl w:val="true"/>
          <w:lang w:bidi="fa-IR"/>
        </w:rPr>
        <w:t>اجتماعهما، و علی التشطیر فلا تکتفی بذلک لاحتمال ابتداء الحیض فی أثناء الأوّل و انقطاعه فی أثناء الحادی عشر، و لا تکتفی بزیادة الثانی عشر؛ إذ لا یرتفع الاحتمال بها، بل لا بد من إضافة الثانی إلیه أیضاً، فتصوم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و الحادی عشر و الثانی عشر؛ لأنّ الحیض إن ابتدأ فی الأوّل انتهی فی الحادی عشر، فیصحّ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بالثانی، صحّ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انتهی فی الأوّل، صحّ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الثانی، صحّ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684"/>
      </w:r>
      <w:r>
        <w:rPr>
          <w:rFonts w:ascii="IRNazanin" w:hAnsi="IRNazanin" w:eastAsia="IRNazanin"/>
          <w:color w:val="111111"/>
          <w:sz w:val="28"/>
          <w:sz w:val="28"/>
          <w:szCs w:val="28"/>
          <w:rtl w:val="true"/>
          <w:lang w:bidi="fa-IR"/>
        </w:rPr>
        <w:t xml:space="preserve">و القواعد </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تصوم الأوّل و الثانی عشر و یوم آخر بعد الثانی و قبل الحادی عشر، و إجزاء هذا المقدار واضح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الطریق الثانی و إن کان أقلّ کلفة من الأوّل إلّا أنّ الأوّل أعمّ نفعاً؛ إذ یمکن مراعاته قضاء أزید من یوم إلی تسعة أیّام بخلاف الطریق الثانی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الضابط فیه علی ما فی جامع المقاصد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أرادت قضاء یومین أو أکثر إلی التسعة، کُرِّر المقضیُّ مرّتین، مع کون أوّل المرّة الثانیة الثانی عشر من المرّة الأُولی، و صام </w:t>
      </w:r>
      <w:r>
        <w:rPr>
          <w:rStyle w:val="FootnoteAnchor"/>
          <w:rtl w:val="true"/>
        </w:rPr>
        <w:footnoteReference w:id="1687"/>
      </w:r>
      <w:r>
        <w:rPr>
          <w:rFonts w:ascii="IRNazanin" w:hAnsi="IRNazanin" w:eastAsia="IRNazanin"/>
          <w:color w:val="111111"/>
          <w:sz w:val="28"/>
          <w:sz w:val="28"/>
          <w:szCs w:val="28"/>
          <w:rtl w:val="true"/>
          <w:lang w:bidi="fa-IR"/>
        </w:rPr>
        <w:t>بین المرّتین یومین متوالیین أو متفرّقین متّصلین بالمرّتین أو منفصلین أو متّصلًا بإحداهما، فإذا أرادت قضاء یومین صامت ستّة أیّام الأوّل و الثانی ثمّ یومین قبل الثانی عشر و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أرادت قضاء ثلاثة أیّام زادت علی الأوّلین الثالث و علی الأخیرین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أرادت قضاء أربعة زادت علی الثلاثة الأُول رابعاً و علی الثلاثة الأخیرة</w:t>
      </w:r>
      <w:bookmarkStart w:id="169" w:name="pg13039_115410"/>
    </w:p>
    <w:p>
      <w:pPr>
        <w:pStyle w:val="BookText"/>
        <w:rPr/>
      </w:pPr>
      <w:bookmarkEnd w:id="169"/>
      <w:r>
        <w:rPr>
          <w:rFonts w:ascii="IRNazanin" w:hAnsi="IRNazanin" w:eastAsia="IRNazanin"/>
          <w:color w:val="111111"/>
          <w:sz w:val="28"/>
          <w:sz w:val="28"/>
          <w:szCs w:val="28"/>
          <w:rtl w:val="true"/>
          <w:lang w:bidi="fa-IR"/>
        </w:rPr>
        <w:t>الخامس عشر، و هکذا لو أرادت تسعة صامت تسعة ثمّ یومین ثمّ تسعة اخری أوّلها من ثانی عشر الأوّل إلی العشرین، فکلّما فسد یوم من أیّام المرّة الأُولی صحّ بدله من الثانیة، و إنّما احتیج إلی الیومین المتوسّطین؛ لاحتمال انقطاع الحیض فی أثناء الیوم الآخر من المرّة الأُولی کالخامس و تعود فی نظیره من الثانیة و هی الخامس عشر فیفسد جمیع المرّتین إلّا الثلاثة الاولی من المرّة الثانیة، ثمّ إذا أرادت قضاء الصلوات و الطواف نفعها ما ذکر من الضابطة، فتدبّر</w:t>
      </w:r>
      <w:r>
        <w:rPr>
          <w:rFonts w:eastAsia="IRNazanin" w:cs="IRNazanin"/>
          <w:color w:val="111111"/>
          <w:sz w:val="28"/>
          <w:szCs w:val="28"/>
          <w:rtl w:val="true"/>
          <w:lang w:bidi="fa-IR"/>
        </w:rPr>
        <w:t>.</w:t>
      </w:r>
    </w:p>
    <w:p>
      <w:pPr>
        <w:pStyle w:val="Heading6"/>
        <w:numPr>
          <w:ilvl w:val="5"/>
          <w:numId w:val="1"/>
        </w:numPr>
        <w:rPr/>
      </w:pPr>
      <w:bookmarkStart w:id="170" w:name="__RefHeading___Toc6451986_3224264995"/>
      <w:bookmarkStart w:id="171" w:name="_Toc64"/>
      <w:bookmarkEnd w:id="170"/>
      <w:r>
        <w:rPr>
          <w:rtl w:val="true"/>
        </w:rPr>
        <w:t>[</w:t>
      </w:r>
      <w:r>
        <w:rPr>
          <w:rtl w:val="true"/>
        </w:rPr>
        <w:t>لو ذکرت الوقت</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المضطربة الوقت فی الجملة دون العدد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تذکر أوّله أو آخره أو وسطه الحقیقی أو غیر الحقیقی أو شیئاً منه فی الجملة، فإن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w:t>
      </w:r>
      <w:r>
        <w:rPr>
          <w:rStyle w:val="FootnoteAnchor"/>
          <w:rtl w:val="true"/>
        </w:rPr>
        <w:footnoteReference w:id="1688"/>
      </w:r>
      <w:r>
        <w:rPr>
          <w:rFonts w:ascii="IRNazanin" w:hAnsi="IRNazanin" w:eastAsia="IRNazanin"/>
          <w:color w:val="111111"/>
          <w:sz w:val="28"/>
          <w:sz w:val="28"/>
          <w:szCs w:val="28"/>
          <w:rtl w:val="true"/>
          <w:lang w:bidi="fa-IR"/>
        </w:rPr>
        <w:t>أکملته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الثلاثة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لتیقّنه، و یبقی سبعة مشکوکة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وجوب الاحتیاط فیها بالجمع بین وظیفتی الحائض و المستحاضة و الغسل فی کلّ وقت یحتمل الانقطاع، کما عن المبسوط </w:t>
      </w:r>
      <w:r>
        <w:rPr>
          <w:rStyle w:val="FootnoteAnchor"/>
          <w:rtl w:val="true"/>
        </w:rPr>
        <w:footnoteReference w:id="1690"/>
      </w:r>
      <w:r>
        <w:rPr>
          <w:rFonts w:ascii="IRNazanin" w:hAnsi="IRNazanin" w:eastAsia="IRNazanin"/>
          <w:color w:val="111111"/>
          <w:sz w:val="28"/>
          <w:sz w:val="28"/>
          <w:szCs w:val="28"/>
          <w:rtl w:val="true"/>
          <w:lang w:bidi="fa-IR"/>
        </w:rPr>
        <w:t xml:space="preserve">و الجامع </w:t>
      </w:r>
      <w:r>
        <w:rPr>
          <w:rStyle w:val="FootnoteAnchor"/>
          <w:rtl w:val="true"/>
        </w:rPr>
        <w:footnoteReference w:id="1691"/>
      </w:r>
      <w:r>
        <w:rPr>
          <w:rFonts w:ascii="IRNazanin" w:hAnsi="IRNazanin" w:eastAsia="IRNazanin"/>
          <w:color w:val="111111"/>
          <w:sz w:val="28"/>
          <w:sz w:val="28"/>
          <w:szCs w:val="28"/>
          <w:rtl w:val="true"/>
          <w:lang w:bidi="fa-IR"/>
        </w:rPr>
        <w:t xml:space="preserve">و الشرائع </w:t>
      </w:r>
      <w:r>
        <w:rPr>
          <w:rStyle w:val="FootnoteAnchor"/>
          <w:rtl w:val="true"/>
        </w:rPr>
        <w:footnoteReference w:id="1692"/>
      </w:r>
      <w:r>
        <w:rPr>
          <w:rFonts w:ascii="IRNazanin" w:hAnsi="IRNazanin" w:eastAsia="IRNazanin"/>
          <w:color w:val="111111"/>
          <w:sz w:val="28"/>
          <w:sz w:val="28"/>
          <w:szCs w:val="28"/>
          <w:rtl w:val="true"/>
          <w:lang w:bidi="fa-IR"/>
        </w:rPr>
        <w:t xml:space="preserve">و المصنّف قدّس سرّه فی هذا الکتاب و غیره </w:t>
      </w:r>
      <w:r>
        <w:rPr>
          <w:rStyle w:val="FootnoteAnchor"/>
          <w:rtl w:val="true"/>
        </w:rPr>
        <w:footnoteReference w:id="1693"/>
      </w:r>
      <w:r>
        <w:rPr>
          <w:rFonts w:ascii="IRNazanin" w:hAnsi="IRNazanin" w:eastAsia="IRNazanin"/>
          <w:color w:val="111111"/>
          <w:sz w:val="28"/>
          <w:sz w:val="28"/>
          <w:szCs w:val="28"/>
          <w:rtl w:val="true"/>
          <w:lang w:bidi="fa-IR"/>
        </w:rPr>
        <w:t xml:space="preserve">، و احتمله الشهید فی الذکری و الدروس </w:t>
      </w:r>
      <w:r>
        <w:rPr>
          <w:rStyle w:val="FootnoteAnchor"/>
          <w:rtl w:val="true"/>
        </w:rPr>
        <w:footnoteReference w:id="1694"/>
      </w:r>
      <w:r>
        <w:rPr>
          <w:rFonts w:ascii="IRNazanin" w:hAnsi="IRNazanin" w:eastAsia="IRNazanin"/>
          <w:color w:val="111111"/>
          <w:sz w:val="28"/>
          <w:sz w:val="28"/>
          <w:szCs w:val="28"/>
          <w:rtl w:val="true"/>
          <w:lang w:bidi="fa-IR"/>
        </w:rPr>
        <w:t>، أو وجوب إجراء أحکام الطهر علیها، کما عن موضع</w:t>
      </w:r>
    </w:p>
    <w:p>
      <w:pPr>
        <w:pStyle w:val="BookText"/>
        <w:rPr/>
      </w:pPr>
      <w:r>
        <w:rPr>
          <w:rFonts w:ascii="IRNazanin" w:hAnsi="IRNazanin" w:eastAsia="IRNazanin"/>
          <w:color w:val="111111"/>
          <w:sz w:val="28"/>
          <w:sz w:val="28"/>
          <w:szCs w:val="28"/>
          <w:rtl w:val="true"/>
          <w:lang w:bidi="fa-IR"/>
        </w:rPr>
        <w:t xml:space="preserve">من المبسوط </w:t>
      </w:r>
      <w:r>
        <w:rPr>
          <w:rStyle w:val="FootnoteAnchor"/>
          <w:rtl w:val="true"/>
        </w:rPr>
        <w:footnoteReference w:id="1695"/>
      </w:r>
      <w:r>
        <w:rPr>
          <w:rFonts w:ascii="IRNazanin" w:hAnsi="IRNazanin" w:eastAsia="IRNazanin"/>
          <w:color w:val="111111"/>
          <w:sz w:val="28"/>
          <w:sz w:val="28"/>
          <w:szCs w:val="28"/>
          <w:rtl w:val="true"/>
          <w:lang w:bidi="fa-IR"/>
        </w:rPr>
        <w:t xml:space="preserve">و الوسیلة </w:t>
      </w:r>
      <w:r>
        <w:rPr>
          <w:rStyle w:val="FootnoteAnchor"/>
          <w:rtl w:val="true"/>
        </w:rPr>
        <w:footnoteReference w:id="1696"/>
      </w:r>
      <w:r>
        <w:rPr>
          <w:rFonts w:ascii="IRNazanin" w:hAnsi="IRNazanin" w:eastAsia="IRNazanin"/>
          <w:color w:val="111111"/>
          <w:sz w:val="28"/>
          <w:sz w:val="28"/>
          <w:szCs w:val="28"/>
          <w:rtl w:val="true"/>
          <w:lang w:bidi="fa-IR"/>
        </w:rPr>
        <w:t xml:space="preserve">و المعتبر </w:t>
      </w:r>
      <w:r>
        <w:rPr>
          <w:rStyle w:val="FootnoteAnchor"/>
          <w:rtl w:val="true"/>
        </w:rPr>
        <w:footnoteReference w:id="1697"/>
      </w:r>
      <w:r>
        <w:rPr>
          <w:rFonts w:ascii="IRNazanin" w:hAnsi="IRNazanin" w:eastAsia="IRNazanin"/>
          <w:color w:val="111111"/>
          <w:sz w:val="28"/>
          <w:sz w:val="28"/>
          <w:szCs w:val="28"/>
          <w:rtl w:val="true"/>
          <w:lang w:bidi="fa-IR"/>
        </w:rPr>
        <w:t xml:space="preserve">و البیان </w:t>
      </w:r>
      <w:r>
        <w:rPr>
          <w:rStyle w:val="FootnoteAnchor"/>
          <w:rtl w:val="true"/>
        </w:rPr>
        <w:footnoteReference w:id="1698"/>
      </w:r>
      <w:r>
        <w:rPr>
          <w:rFonts w:ascii="IRNazanin" w:hAnsi="IRNazanin" w:eastAsia="IRNazanin"/>
          <w:color w:val="111111"/>
          <w:sz w:val="28"/>
          <w:sz w:val="28"/>
          <w:szCs w:val="28"/>
          <w:rtl w:val="true"/>
          <w:lang w:bidi="fa-IR"/>
        </w:rPr>
        <w:t xml:space="preserve">و محتمل الذکری </w:t>
      </w:r>
      <w:r>
        <w:rPr>
          <w:rStyle w:val="FootnoteAnchor"/>
          <w:rtl w:val="true"/>
        </w:rPr>
        <w:footnoteReference w:id="1699"/>
      </w:r>
      <w:r>
        <w:rPr>
          <w:rFonts w:ascii="IRNazanin" w:hAnsi="IRNazanin" w:eastAsia="IRNazanin"/>
          <w:color w:val="111111"/>
          <w:sz w:val="28"/>
          <w:sz w:val="28"/>
          <w:szCs w:val="28"/>
          <w:rtl w:val="true"/>
          <w:lang w:bidi="fa-IR"/>
        </w:rPr>
        <w:t xml:space="preserve">و مستحسن المدارک </w:t>
      </w:r>
      <w:r>
        <w:rPr>
          <w:rStyle w:val="FootnoteAnchor"/>
          <w:rtl w:val="true"/>
        </w:rPr>
        <w:footnoteReference w:id="1700"/>
      </w:r>
      <w:r>
        <w:rPr>
          <w:rFonts w:ascii="IRNazanin" w:hAnsi="IRNazanin" w:eastAsia="IRNazanin"/>
          <w:color w:val="111111"/>
          <w:sz w:val="28"/>
          <w:sz w:val="28"/>
          <w:szCs w:val="28"/>
          <w:rtl w:val="true"/>
          <w:lang w:bidi="fa-IR"/>
        </w:rPr>
        <w:t xml:space="preserve">، أو إرجاعها إلی الروایات إمّا بأخذ خصوص السبعة، کما عن الخلاف </w:t>
      </w:r>
      <w:r>
        <w:rPr>
          <w:rStyle w:val="FootnoteAnchor"/>
          <w:rtl w:val="true"/>
        </w:rPr>
        <w:footnoteReference w:id="1701"/>
      </w:r>
      <w:r>
        <w:rPr>
          <w:rFonts w:ascii="IRNazanin" w:hAnsi="IRNazanin" w:eastAsia="IRNazanin"/>
          <w:color w:val="111111"/>
          <w:sz w:val="28"/>
          <w:sz w:val="28"/>
          <w:szCs w:val="28"/>
          <w:rtl w:val="true"/>
          <w:lang w:bidi="fa-IR"/>
        </w:rPr>
        <w:t xml:space="preserve">مدّعیاً علیه الوفاق، و إمّا علی التخییر بینها و بین الستّة و الثلاثة من شهر و العشر من شهر، کما عن الشهیدین </w:t>
      </w:r>
      <w:r>
        <w:rPr>
          <w:rStyle w:val="FootnoteAnchor"/>
          <w:rtl w:val="true"/>
        </w:rPr>
        <w:footnoteReference w:id="1702"/>
      </w:r>
      <w:r>
        <w:rPr>
          <w:rFonts w:ascii="IRNazanin" w:hAnsi="IRNazanin" w:eastAsia="IRNazanin"/>
          <w:color w:val="111111"/>
          <w:sz w:val="28"/>
          <w:sz w:val="28"/>
          <w:szCs w:val="28"/>
          <w:rtl w:val="true"/>
          <w:lang w:bidi="fa-IR"/>
        </w:rPr>
        <w:t xml:space="preserve">تبعاً للمصنّف فی المنتهی </w:t>
      </w:r>
      <w:r>
        <w:rPr>
          <w:rStyle w:val="FootnoteAnchor"/>
          <w:rtl w:val="true"/>
        </w:rPr>
        <w:footnoteReference w:id="1703"/>
      </w:r>
      <w:r>
        <w:rPr>
          <w:rFonts w:ascii="IRNazanin" w:hAnsi="IRNazanin" w:eastAsia="IRNazanin"/>
          <w:color w:val="111111"/>
          <w:sz w:val="28"/>
          <w:sz w:val="28"/>
          <w:szCs w:val="28"/>
          <w:rtl w:val="true"/>
          <w:lang w:bidi="fa-IR"/>
        </w:rPr>
        <w:t xml:space="preserve">، و اختاره الوحید فی شرح المفاتیح </w:t>
      </w:r>
      <w:r>
        <w:rPr>
          <w:rStyle w:val="FootnoteAnchor"/>
          <w:rtl w:val="true"/>
        </w:rPr>
        <w:footnoteReference w:id="1704"/>
      </w:r>
      <w:r>
        <w:rPr>
          <w:rFonts w:ascii="IRNazanin" w:hAnsi="IRNazanin" w:eastAsia="IRNazanin"/>
          <w:color w:val="111111"/>
          <w:sz w:val="28"/>
          <w:sz w:val="28"/>
          <w:szCs w:val="28"/>
          <w:rtl w:val="true"/>
          <w:lang w:bidi="fa-IR"/>
        </w:rPr>
        <w:t xml:space="preserve">و السیّد فی الریاض </w:t>
      </w:r>
      <w:r>
        <w:rPr>
          <w:rStyle w:val="FootnoteAnchor"/>
          <w:rtl w:val="true"/>
        </w:rPr>
        <w:footnoteReference w:id="1705"/>
      </w:r>
      <w:r>
        <w:rPr>
          <w:rFonts w:ascii="IRNazanin" w:hAnsi="IRNazanin" w:eastAsia="IRNazanin"/>
          <w:color w:val="111111"/>
          <w:sz w:val="28"/>
          <w:sz w:val="28"/>
          <w:szCs w:val="28"/>
          <w:rtl w:val="true"/>
          <w:lang w:bidi="fa-IR"/>
        </w:rPr>
        <w:t>، أقوال، أقواها الثانی؛ لعدم الدلیل علی الاحتیاط مع أصالة عدم زیادة الحیض علی المتیقّن، و لا یجری أصالة بقائه؛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الاستصحاب فی مثلها، و لذا لم یقل أحد بما یقتضیه هنا من وجوب التحیّض إلی العشرة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فهی مختصّة بناسیة الوقت و العدد، إلّا أن یقال بتنقیح المناط و أنّ ما فی الروایات عدد غالب فی النساء جعله الشارع مرجعاً للمرأة الجاهلة بعددها الواقعی، بل یمکن أن یدّعی شمول نفس المرسلة</w:t>
      </w:r>
    </w:p>
    <w:p>
      <w:pPr>
        <w:pStyle w:val="BookText"/>
        <w:rPr/>
      </w:pPr>
      <w:r>
        <w:rPr>
          <w:rFonts w:ascii="IRNazanin" w:hAnsi="IRNazanin" w:eastAsia="IRNazanin"/>
          <w:color w:val="111111"/>
          <w:sz w:val="28"/>
          <w:sz w:val="28"/>
          <w:szCs w:val="28"/>
          <w:rtl w:val="true"/>
          <w:lang w:bidi="fa-IR"/>
        </w:rPr>
        <w:t>لما نحن فیه؛ فإنّ قوله علیه السلام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اختلط علیها أیّامها و زادت أو نقصت حتّی لا تقف منها علی حدّ و لا من الدم علی لون عملت بإقبال الدم و إدباره</w:t>
      </w:r>
      <w:r>
        <w:rPr>
          <w:rFonts w:eastAsia="IRNazanin" w:cs="IRNazanin"/>
          <w:color w:val="111111"/>
          <w:sz w:val="28"/>
          <w:szCs w:val="28"/>
          <w:rtl w:val="true"/>
          <w:lang w:bidi="fa-IR"/>
        </w:rPr>
        <w:t xml:space="preserve">» </w:t>
      </w:r>
      <w:r>
        <w:rPr>
          <w:rStyle w:val="FootnoteAnchor"/>
          <w:rtl w:val="true"/>
        </w:rPr>
        <w:footnoteReference w:id="1706"/>
      </w:r>
      <w:r>
        <w:rPr>
          <w:rFonts w:ascii="IRNazanin" w:hAnsi="IRNazanin" w:eastAsia="IRNazanin"/>
          <w:color w:val="111111"/>
          <w:sz w:val="28"/>
          <w:sz w:val="28"/>
          <w:szCs w:val="28"/>
          <w:rtl w:val="true"/>
          <w:lang w:bidi="fa-IR"/>
        </w:rPr>
        <w:t>مطلق فی ناسیة العدد، و لا مجال لإنکار شموله لذاکرة الوقت، و حینئذٍ فقوله علیه السلام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الأمر کذلک و لکن الدم أطبق علیها فلم تزل الاستحاضة دارّة و کان الدم علی لون واحد فسنّتها السبع و الثلاث و العشرون</w:t>
      </w:r>
      <w:r>
        <w:rPr>
          <w:rFonts w:eastAsia="IRNazanin" w:cs="IRNazanin"/>
          <w:color w:val="111111"/>
          <w:sz w:val="28"/>
          <w:szCs w:val="28"/>
          <w:rtl w:val="true"/>
          <w:lang w:bidi="fa-IR"/>
        </w:rPr>
        <w:t xml:space="preserve">» </w:t>
      </w:r>
      <w:r>
        <w:rPr>
          <w:rStyle w:val="FootnoteAnchor"/>
          <w:rtl w:val="true"/>
        </w:rPr>
        <w:footnoteReference w:id="1707"/>
      </w:r>
      <w:r>
        <w:rPr>
          <w:rFonts w:ascii="IRNazanin" w:hAnsi="IRNazanin" w:eastAsia="IRNazanin"/>
          <w:color w:val="111111"/>
          <w:sz w:val="28"/>
          <w:sz w:val="28"/>
          <w:szCs w:val="28"/>
          <w:rtl w:val="true"/>
          <w:lang w:bidi="fa-IR"/>
        </w:rPr>
        <w:t xml:space="preserve">دالّ علی أنّ ناسیة العدد مع عدم التمییز ترجع إلی الروایات، فهذا القول لا یخلو عن قوّة فی خصوص السبعة کما تقدّم عن الخلاف </w:t>
      </w:r>
      <w:r>
        <w:rPr>
          <w:rStyle w:val="FootnoteAnchor"/>
          <w:rtl w:val="true"/>
        </w:rPr>
        <w:footnoteReference w:id="1708"/>
      </w:r>
      <w:r>
        <w:rPr>
          <w:rFonts w:ascii="IRNazanin" w:hAnsi="IRNazanin" w:eastAsia="IRNazanin"/>
          <w:color w:val="111111"/>
          <w:sz w:val="28"/>
          <w:sz w:val="28"/>
          <w:szCs w:val="28"/>
          <w:rtl w:val="true"/>
          <w:lang w:bidi="fa-IR"/>
        </w:rPr>
        <w:t xml:space="preserve">مدّعیاً علیه الوفاق، لکن فی النسبة کلام تقدّم فی المتحیّرة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غیرها من الروایات فغیر جاریة فی الناسیة إلّا علی ما ذکرنا فی المتحیّرة، من أنّ المستفاد من المرسلة اتّحاد حکم المضطربة و المبتدأة، فالسبع فیها علی التخییر کالمبتدأة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الروایات بأسرها غیر جاریة فیما لو علم إجمالًا زیادة العدد المنسیّ عن الروایات أو نقصانه عنها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الکلام فی سائر أفراد هذا القسم،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w:t>
      </w:r>
      <w:r>
        <w:rPr>
          <w:rStyle w:val="FootnoteAnchor"/>
          <w:rtl w:val="true"/>
        </w:rPr>
        <w:footnoteReference w:id="1710"/>
      </w:r>
      <w:r>
        <w:rPr>
          <w:rFonts w:ascii="IRNazanin" w:hAnsi="IRNazanin" w:eastAsia="IRNazanin"/>
          <w:color w:val="111111"/>
          <w:sz w:val="28"/>
          <w:sz w:val="28"/>
          <w:szCs w:val="28"/>
          <w:rtl w:val="true"/>
          <w:lang w:bidi="fa-IR"/>
        </w:rPr>
        <w:t>ذکرت آخره فهو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فتجعل الثلاثة حیضاً، و الکلام فی السبعة الباقیة ما عرفت من الأقوال، و عرفت أنّ مختار المصنّف قدّس سرّه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1711"/>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فی باقی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علی الثلاثة فی الصورتین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تترک ما تترکه الحائض و إن لم یذکره المصنّف و لا شیخه فی المعتبر، إلّا أنّ المصرّح به فی محکیّ الجامع أنّه لا یطأها الزوج و لا یطلّقها </w:t>
      </w:r>
      <w:r>
        <w:rPr>
          <w:rStyle w:val="FootnoteAnchor"/>
          <w:rtl w:val="true"/>
        </w:rPr>
        <w:footnoteReference w:id="1712"/>
      </w:r>
      <w:r>
        <w:rPr>
          <w:rFonts w:ascii="IRNazanin" w:hAnsi="IRNazanin" w:eastAsia="IRNazanin"/>
          <w:color w:val="111111"/>
          <w:sz w:val="28"/>
          <w:sz w:val="28"/>
          <w:szCs w:val="28"/>
          <w:rtl w:val="true"/>
          <w:lang w:bidi="fa-IR"/>
        </w:rPr>
        <w:t xml:space="preserve">، و قد صرّح فی الروض </w:t>
      </w:r>
      <w:r>
        <w:rPr>
          <w:rStyle w:val="FootnoteAnchor"/>
          <w:rtl w:val="true"/>
        </w:rPr>
        <w:footnoteReference w:id="1713"/>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1714"/>
      </w:r>
      <w:r>
        <w:rPr>
          <w:rFonts w:ascii="IRNazanin" w:hAnsi="IRNazanin" w:eastAsia="IRNazanin"/>
          <w:color w:val="111111"/>
          <w:sz w:val="28"/>
          <w:sz w:val="28"/>
          <w:szCs w:val="28"/>
          <w:rtl w:val="true"/>
          <w:lang w:bidi="fa-IR"/>
        </w:rPr>
        <w:t xml:space="preserve">لزوم التروک علی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تغتسل؛ لانقطاع الحیض فی کلّ وقت یحتمل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الصورة الأُولی بعد انتهاء الثلاثة و حضور وقت العبادة المشروطة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الاحتیاط تأخیر الاغتسال إلی آخر الوقت، و هو أن یبقی مقدار الطهارة مرّتین و خمس رکعات؛ لاحتمال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انقطاعه فی أثناء الغسل الأوّل فیفسد الغسل و العبادة، و إن کان قائماً هنا إلّا أنّه لا مفرّ منه؛ و لذا قیل </w:t>
      </w:r>
      <w:r>
        <w:rPr>
          <w:rStyle w:val="FootnoteAnchor"/>
          <w:rtl w:val="true"/>
        </w:rPr>
        <w:footnoteReference w:id="1716"/>
      </w:r>
      <w:r>
        <w:rPr>
          <w:rFonts w:ascii="IRNazanin" w:hAnsi="IRNazanin" w:eastAsia="IRNazanin"/>
          <w:color w:val="111111"/>
          <w:sz w:val="28"/>
          <w:sz w:val="28"/>
          <w:szCs w:val="28"/>
          <w:rtl w:val="true"/>
          <w:lang w:bidi="fa-IR"/>
        </w:rPr>
        <w:t>بوجوب قضاء عباداتها، کما تقدّم فی المتحیّرة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فیجب إحراز الاحتمالات بقدر الإمکان و ما لا یمکن إحرازه یسقط التکلیف به و یجب تدارکه بالقضاء کما تقدّم؛ لاحتمال الانقطاع فیه، و لا یقدح احتمال الانقطاع قبله لصحّة الغسل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انقطاعه فی أثناء الغسل الثانی للصلاة الأخیرة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علیها خمسة أغسال للصلوات الخمس، و فی تداخلها مع الأغسال الواجبة للاستحاضة حتّی یقتصر علی الخمسة کما اختاره فی</w:t>
      </w:r>
    </w:p>
    <w:p>
      <w:pPr>
        <w:pStyle w:val="BookText"/>
        <w:rPr/>
      </w:pPr>
      <w:r>
        <w:rPr>
          <w:rFonts w:ascii="IRNazanin" w:hAnsi="IRNazanin" w:eastAsia="IRNazanin"/>
          <w:color w:val="111111"/>
          <w:sz w:val="28"/>
          <w:sz w:val="28"/>
          <w:szCs w:val="28"/>
          <w:rtl w:val="true"/>
          <w:lang w:bidi="fa-IR"/>
        </w:rPr>
        <w:t xml:space="preserve">الروض </w:t>
      </w:r>
      <w:r>
        <w:rPr>
          <w:rStyle w:val="FootnoteAnchor"/>
          <w:rtl w:val="true"/>
        </w:rPr>
        <w:footnoteReference w:id="1717"/>
      </w:r>
      <w:r>
        <w:rPr>
          <w:rFonts w:ascii="IRNazanin" w:hAnsi="IRNazanin" w:eastAsia="IRNazanin"/>
          <w:color w:val="111111"/>
          <w:sz w:val="28"/>
          <w:sz w:val="28"/>
          <w:szCs w:val="28"/>
          <w:rtl w:val="true"/>
          <w:lang w:bidi="fa-IR"/>
        </w:rPr>
        <w:t xml:space="preserve">لعموم نصوص التداخل أو عدمه کما فی البیان </w:t>
      </w:r>
      <w:r>
        <w:rPr>
          <w:rStyle w:val="FootnoteAnchor"/>
          <w:rtl w:val="true"/>
        </w:rPr>
        <w:footnoteReference w:id="1718"/>
      </w:r>
      <w:r>
        <w:rPr>
          <w:rFonts w:ascii="IRNazanin" w:hAnsi="IRNazanin" w:eastAsia="IRNazanin"/>
          <w:color w:val="111111"/>
          <w:sz w:val="28"/>
          <w:sz w:val="28"/>
          <w:szCs w:val="28"/>
          <w:rtl w:val="true"/>
          <w:lang w:bidi="fa-IR"/>
        </w:rPr>
        <w:t>مستدلًا بأنّ استمرار الحدث یمنع عن التداخل قولان، أقواهما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ما قیل </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استمرار الحدث من التداخل، إنّما هو لاعتبار رفع الحدث فی غسل الحیض، فلا یتداخل مع الغسل الغیر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فتغتسل للانقطاع فی آخره، لکن تجمع فی السبعة السابقة بین وظیفتی الحائض و المستحاضة، و مقتضی الاحتیاط فیها تقدیم الصلاة فی أوّل الوقت حذراً من تجدّد الحیض فیما بعده، و علی القول برجوعها إلی الروایات تضمّ إلی الثلاثة الأخیرة تمام ما اختارته منها متّصلًا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ذکرت وسط الحیض أی الواقع بین الطرفین و إن لم تکن وسطاً حقیقیاً، ضمّت إلی المذکور یومین و اقتصرت علی المجموع، أو ضمّت إلیه تمام ما تأخذه من الروایات من قبل أو من بعد أو بالتفریق، أو احتاطت بضمّ تمام العشرة من قبل و من بعد؛ فلو ذکرت یوماً ضمّت إلیه تسعة من قبل و تسعة من بعد، و لو ذکرت یومین ضمّت ثمانیة من قبل و ثمانیة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ذکرت الوسط الحقیقی أعنی المحفوف بمتساویین فإن کان یوماً</w:t>
      </w:r>
    </w:p>
    <w:p>
      <w:pPr>
        <w:pStyle w:val="BookText"/>
        <w:rPr/>
      </w:pPr>
      <w:r>
        <w:rPr>
          <w:rFonts w:ascii="IRNazanin" w:hAnsi="IRNazanin" w:eastAsia="IRNazanin"/>
          <w:color w:val="111111"/>
          <w:sz w:val="28"/>
          <w:sz w:val="28"/>
          <w:szCs w:val="28"/>
          <w:rtl w:val="true"/>
          <w:lang w:bidi="fa-IR"/>
        </w:rPr>
        <w:t>واحداً حفّته بیومین و اقتصرت علی ذلک علی القول الأوّل أو علی القول الثالث و أکملته بما یناسبه من الروایات کالسبعة و الثلاثة، فلیس لها الأخذ بالستّة و لا العشرة، و لو أخذت الثلاثة فی شهر لم تأخذ العشرة فی آخر؛ للعلم بعدم بلوغ حیضها عشرة بحکم الفرض، فتأخذ التسعة علی الإشکال المتقدّم فی شمول روایات الثلاثة و العشرة للناسیة مطلقاً فضلًا عن العالمة بقصور عادتها عمّا تأخذه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بالاحتیاط تضمّ إلی الثلاثة ثلاثة من قبل و ثلاثة من بعد، و تکتفی بالستّة؛ للعلم بعدم بلوغ حیضها عشرة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ذکرت یومین حفّتها بیومین أو أکملتها بما یناسبها من الروایات کالستّة أو العشرة، و لو اختارت العشرة لم یکن لها التحیّض فی الشهر الآخر بالثلاثة؛ للعلم بزیادة حیضها عنها فتتحیّض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ذکرت ثلاثة حفّتها بیومین فتقتصر علی الخمسة، أو تأخذ </w:t>
      </w:r>
      <w:r>
        <w:rPr>
          <w:rStyle w:val="FootnoteAnchor"/>
          <w:rtl w:val="true"/>
        </w:rPr>
        <w:footnoteReference w:id="1720"/>
      </w:r>
      <w:r>
        <w:rPr>
          <w:rFonts w:ascii="IRNazanin" w:hAnsi="IRNazanin" w:eastAsia="IRNazanin"/>
          <w:color w:val="111111"/>
          <w:sz w:val="28"/>
          <w:sz w:val="28"/>
          <w:szCs w:val="28"/>
          <w:rtl w:val="true"/>
          <w:lang w:bidi="fa-IR"/>
        </w:rPr>
        <w:t xml:space="preserve">من الروایات السبعة؛ لعلمها بعدم کونها ستّة و یزاد بها </w:t>
      </w:r>
      <w:r>
        <w:rPr>
          <w:rStyle w:val="FootnoteAnchor"/>
          <w:rtl w:val="true"/>
        </w:rPr>
        <w:footnoteReference w:id="1721"/>
      </w:r>
      <w:r>
        <w:rPr>
          <w:rFonts w:ascii="IRNazanin" w:hAnsi="IRNazanin" w:eastAsia="IRNazanin"/>
          <w:color w:val="111111"/>
          <w:sz w:val="28"/>
          <w:sz w:val="28"/>
          <w:szCs w:val="28"/>
          <w:rtl w:val="true"/>
          <w:lang w:bidi="fa-IR"/>
        </w:rPr>
        <w:t>علی الثلاثة و نقصانها عن العشرة، و قس علی ذلک ما لو ذکرت توسّط ما زاد علی الثلاثة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ذکرت وقتاً فی الجملة کأن تعلم تحیّضها أوّل الشهر فقط أو مع ثانیة أو مع ثالثه و هکذا إلی تاسعه، و لا تدری أنّ المعلوم أوّل الحیض أو آخره، فهو الحیض المتیقّن، فعلی الروایات تکمله إحداها إن قصر عنها قبله أو بعده أو بالتفریق، و إن ساوی أحدها أو زاد اقتصرت، و علی الاحتیاط تکمله عشرة و تجعله نهایة عشرة، و صرّح فی الروض </w:t>
      </w:r>
      <w:r>
        <w:rPr>
          <w:rStyle w:val="FootnoteAnchor"/>
          <w:rtl w:val="true"/>
        </w:rPr>
        <w:footnoteReference w:id="1722"/>
      </w:r>
      <w:r>
        <w:rPr>
          <w:rFonts w:ascii="IRNazanin" w:hAnsi="IRNazanin" w:eastAsia="IRNazanin"/>
          <w:color w:val="111111"/>
          <w:sz w:val="28"/>
          <w:sz w:val="28"/>
          <w:szCs w:val="28"/>
          <w:rtl w:val="true"/>
          <w:lang w:bidi="fa-IR"/>
        </w:rPr>
        <w:t>هنا و فیما لو ذکرت</w:t>
      </w:r>
      <w:bookmarkStart w:id="172" w:name="pg13039_115416"/>
    </w:p>
    <w:p>
      <w:pPr>
        <w:pStyle w:val="BookText"/>
        <w:rPr/>
      </w:pPr>
      <w:bookmarkEnd w:id="172"/>
      <w:r>
        <w:rPr>
          <w:rFonts w:ascii="IRNazanin" w:hAnsi="IRNazanin" w:eastAsia="IRNazanin"/>
          <w:color w:val="111111"/>
          <w:sz w:val="28"/>
          <w:sz w:val="28"/>
          <w:szCs w:val="28"/>
          <w:rtl w:val="true"/>
          <w:lang w:bidi="fa-IR"/>
        </w:rPr>
        <w:t>وسطاً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علی الاحتیاط تکمل ما تحقّقه عشرة من قبل أو من بعد أو بالتفریق، و لا یخفی عدم تحقّق الاحتیاط إلّا بإتمام العشرة من قبل و من بعد کما فی البیان </w:t>
      </w:r>
      <w:r>
        <w:rPr>
          <w:rStyle w:val="FootnoteAnchor"/>
          <w:rtl w:val="true"/>
        </w:rPr>
        <w:footnoteReference w:id="172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هذا القسم إذا أُخذ فیه العدد کاملًا احتمل تسع صور کما عرفت و إن لحظ فیه الکسر لم یتناه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ذاکرة الوقت المحتملة لکون عددها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لاحتمال طروّ الدم فی أثناء الأوّل و انقطاعه فی أثناء الآخر</w:t>
      </w:r>
      <w:r>
        <w:rPr>
          <w:rFonts w:eastAsia="IRNazanin" w:cs="IRNazanin"/>
          <w:color w:val="111111"/>
          <w:sz w:val="28"/>
          <w:szCs w:val="28"/>
          <w:rtl w:val="true"/>
          <w:lang w:bidi="fa-IR"/>
        </w:rPr>
        <w:t>.</w:t>
      </w:r>
    </w:p>
    <w:p>
      <w:pPr>
        <w:pStyle w:val="Heading6"/>
        <w:numPr>
          <w:ilvl w:val="5"/>
          <w:numId w:val="1"/>
        </w:numPr>
        <w:rPr/>
      </w:pPr>
      <w:bookmarkStart w:id="173" w:name="__RefHeading___Toc6451988_3224264995"/>
      <w:bookmarkStart w:id="174" w:name="_Toc65"/>
      <w:bookmarkEnd w:id="173"/>
      <w:r>
        <w:rPr>
          <w:rtl w:val="true"/>
        </w:rPr>
        <w:t>[</w:t>
      </w:r>
      <w:r>
        <w:rPr>
          <w:rtl w:val="true"/>
        </w:rPr>
        <w:t>و لو ذکرت العدد</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المضطربة الفاقدة للتمییز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علمت وقت طروّ الدم علیها رجعت إلی عادتها بتجاوز العشرة، نصّ علیه فی جامع المقاصد،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الخلاف الآتی ما إذا لم تعلم وقت طروّ الدم علیها بأن عرض لها جنون و نحوه فإن علمته رجعت بتجاوز العشرة إلی عدد العادة، فإن استمرّ إلی الشهر الثانی فهو محلّ الخلاف </w:t>
      </w:r>
      <w:r>
        <w:rPr>
          <w:rStyle w:val="FootnoteAnchor"/>
          <w:rtl w:val="true"/>
        </w:rPr>
        <w:footnoteReference w:id="1725"/>
      </w:r>
      <w:r>
        <w:rPr>
          <w:rFonts w:ascii="IRNazanin" w:hAnsi="IRNazanin" w:eastAsia="IRNazanin"/>
          <w:color w:val="111111"/>
          <w:sz w:val="28"/>
          <w:sz w:val="28"/>
          <w:szCs w:val="28"/>
          <w:rtl w:val="true"/>
          <w:lang w:bidi="fa-IR"/>
        </w:rPr>
        <w:t>، انتهی، و هو حسن؛ إذ لا وجه للاحتیاط فی الدورة الاولی مع ظهور بعض الأخبار فی وجوب عمل المستحاضة بعد التحیّض بمقدار العادة و الاستظهار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إن لم تعرف قدر الدور الذی ضلّ فیه العدد، کما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 خمسة أو سبعة و لا أدری فی کم، أضللتها، أو عرفت قدر الدور و لم تعرف ابتداءه، کما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ثلاثون لکن لا أعرف ابتداءه، أو</w:t>
      </w:r>
    </w:p>
    <w:p>
      <w:pPr>
        <w:pStyle w:val="BookText"/>
        <w:rPr/>
      </w:pPr>
      <w:r>
        <w:rPr>
          <w:rFonts w:ascii="IRNazanin" w:hAnsi="IRNazanin" w:eastAsia="IRNazanin"/>
          <w:color w:val="111111"/>
          <w:sz w:val="28"/>
          <w:sz w:val="28"/>
          <w:szCs w:val="28"/>
          <w:rtl w:val="true"/>
          <w:lang w:bidi="fa-IR"/>
        </w:rPr>
        <w:t>عرفت ابتداءه و لا تعرف مقداره، کما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مبتدأ یوم کذا و لا أعرف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بینها و بین المتحیّرة الراجعة إلی الروایات إلّا من حیث نقصان العدد المحفوظ و زیادته عن الروایات؛ لاحتمال الحیض و الطهر و الانقطاع فی کلّ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علی ذلک کلّه المصنّف فی النهایة </w:t>
      </w:r>
      <w:r>
        <w:rPr>
          <w:rStyle w:val="FootnoteAnchor"/>
          <w:rtl w:val="true"/>
        </w:rPr>
        <w:footnoteReference w:id="1726"/>
      </w:r>
      <w:r>
        <w:rPr>
          <w:rFonts w:ascii="IRNazanin" w:hAnsi="IRNazanin" w:eastAsia="IRNazanin"/>
          <w:color w:val="111111"/>
          <w:sz w:val="28"/>
          <w:sz w:val="28"/>
          <w:szCs w:val="28"/>
          <w:rtl w:val="true"/>
          <w:lang w:bidi="fa-IR"/>
        </w:rPr>
        <w:t xml:space="preserve">و الشارح فی الروض </w:t>
      </w:r>
      <w:r>
        <w:rPr>
          <w:rStyle w:val="FootnoteAnchor"/>
          <w:rtl w:val="true"/>
        </w:rPr>
        <w:footnoteReference w:id="1727"/>
      </w:r>
      <w:r>
        <w:rPr>
          <w:rFonts w:ascii="IRNazanin" w:hAnsi="IRNazanin" w:eastAsia="IRNazanin"/>
          <w:color w:val="111111"/>
          <w:sz w:val="28"/>
          <w:sz w:val="28"/>
          <w:szCs w:val="28"/>
          <w:rtl w:val="true"/>
          <w:lang w:bidi="fa-IR"/>
        </w:rPr>
        <w:t>و وجهه واضح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حفظت مع العدد قدر الدور و ابتداءه کما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حیضی سبعة فی کلّ شهر هلالی أو فی نصفه الأوّل أو الآخر مثلًا، فقدر العدد من أوّله لا یحتمل انقطاع الدم، و یحتمل الحیض و الطهر، و ما بعده یحتملهما و الانقطاع إلی آخر ما ضلّ فیه العدد، فإن أوجبنا علیها الاحتیاط کما هو ظاهر الکتاب تبعاً للمعتبر </w:t>
      </w:r>
      <w:r>
        <w:rPr>
          <w:rStyle w:val="FootnoteAnchor"/>
          <w:rtl w:val="true"/>
        </w:rPr>
        <w:footnoteReference w:id="1728"/>
      </w:r>
      <w:r>
        <w:rPr>
          <w:rFonts w:ascii="IRNazanin" w:hAnsi="IRNazanin" w:eastAsia="IRNazanin"/>
          <w:color w:val="111111"/>
          <w:sz w:val="28"/>
          <w:sz w:val="28"/>
          <w:szCs w:val="28"/>
          <w:rtl w:val="true"/>
          <w:lang w:bidi="fa-IR"/>
        </w:rPr>
        <w:t xml:space="preserve">و المبسوط </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فی کلّ وقت ما تعمله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تترک ما تترکه الحائض، و قد عرفت فی المتحیّرة ضعف القول بالاحتیاط؛ لعدم الدلیل علیه، بل الدلیل من الأُصول المعتبرة علی خلافه، مضافاً إلی استلزامه للحرج کما عرفت وجهه، و لذا اختار الأکثر عدم وجوب ذلک علیها، و اختاروا أنّه لا یجب علیها إلّا تحیّض مقدار العادة مخیّراً فی وضعه حیثما شاءت مطلقاً، کما عن الأکثر </w:t>
      </w:r>
      <w:r>
        <w:rPr>
          <w:rStyle w:val="FootnoteAnchor"/>
          <w:rtl w:val="true"/>
        </w:rPr>
        <w:footnoteReference w:id="1730"/>
      </w:r>
      <w:r>
        <w:rPr>
          <w:rFonts w:ascii="IRNazanin" w:hAnsi="IRNazanin" w:eastAsia="IRNazanin"/>
          <w:color w:val="111111"/>
          <w:sz w:val="28"/>
          <w:sz w:val="28"/>
          <w:szCs w:val="28"/>
          <w:rtl w:val="true"/>
          <w:lang w:bidi="fa-IR"/>
        </w:rPr>
        <w:t>، أو بعد العجز من الاجتهاد فی تحصیل</w:t>
      </w:r>
    </w:p>
    <w:p>
      <w:pPr>
        <w:pStyle w:val="BookText"/>
        <w:rPr/>
      </w:pPr>
      <w:r>
        <w:rPr>
          <w:rFonts w:ascii="IRNazanin" w:hAnsi="IRNazanin" w:eastAsia="IRNazanin"/>
          <w:color w:val="111111"/>
          <w:sz w:val="28"/>
          <w:sz w:val="28"/>
          <w:szCs w:val="28"/>
          <w:rtl w:val="true"/>
          <w:lang w:bidi="fa-IR"/>
        </w:rPr>
        <w:t xml:space="preserve">الظنّ بموضعهما من الدور کما عن الذکری </w:t>
      </w:r>
      <w:r>
        <w:rPr>
          <w:rStyle w:val="FootnoteAnchor"/>
          <w:rtl w:val="true"/>
        </w:rPr>
        <w:footnoteReference w:id="1731"/>
      </w:r>
      <w:r>
        <w:rPr>
          <w:rFonts w:ascii="IRNazanin" w:hAnsi="IRNazanin" w:eastAsia="IRNazanin"/>
          <w:color w:val="111111"/>
          <w:sz w:val="28"/>
          <w:sz w:val="28"/>
          <w:szCs w:val="28"/>
          <w:rtl w:val="true"/>
          <w:lang w:bidi="fa-IR"/>
        </w:rPr>
        <w:t xml:space="preserve">و البیان </w:t>
      </w:r>
      <w:r>
        <w:rPr>
          <w:rStyle w:val="FootnoteAnchor"/>
          <w:rtl w:val="true"/>
        </w:rPr>
        <w:footnoteReference w:id="1732"/>
      </w:r>
      <w:r>
        <w:rPr>
          <w:rFonts w:ascii="IRNazanin" w:hAnsi="IRNazanin" w:eastAsia="IRNazanin"/>
          <w:color w:val="111111"/>
          <w:sz w:val="28"/>
          <w:sz w:val="28"/>
          <w:szCs w:val="28"/>
          <w:rtl w:val="true"/>
          <w:lang w:bidi="fa-IR"/>
        </w:rPr>
        <w:t xml:space="preserve">، أو معیّناً علیها وضعه فی أوّل الدور کما فی کشف اللثام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خیرها أوسطها؛ لما تقرّر من وجوب العمل بمطلق الظنّ فی کلّ مقام لم یجب الاحتیاط للعسر و لم یقطع الشارع النظر عن الواقع، و قد ادّعی المصنّف قدّس سرّه فی باب قضاء الصلوات </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العمل بالظنّ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یشیر إلیه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مرسلة یونس الطویلة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تعرف أیّامها ما احتاجت إلی معرفة لون الدم</w:t>
      </w:r>
      <w:r>
        <w:rPr>
          <w:rFonts w:eastAsia="IRNazanin" w:cs="IRNazanin"/>
          <w:color w:val="111111"/>
          <w:sz w:val="28"/>
          <w:szCs w:val="28"/>
          <w:rtl w:val="true"/>
          <w:lang w:bidi="fa-IR"/>
        </w:rPr>
        <w:t xml:space="preserve">» </w:t>
      </w:r>
      <w:r>
        <w:rPr>
          <w:rStyle w:val="FootnoteAnchor"/>
          <w:rtl w:val="true"/>
        </w:rPr>
        <w:footnoteReference w:id="1735"/>
      </w:r>
      <w:r>
        <w:rPr>
          <w:rFonts w:ascii="IRNazanin" w:hAnsi="IRNazanin" w:eastAsia="IRNazanin"/>
          <w:color w:val="111111"/>
          <w:sz w:val="28"/>
          <w:sz w:val="28"/>
          <w:szCs w:val="28"/>
          <w:rtl w:val="true"/>
          <w:lang w:bidi="fa-IR"/>
        </w:rPr>
        <w:t>، دلّت علی أنّ الجهل بالأیّام سبب الحاجة إلی معرفة لون الدم و الاستکشاف به من کون الدم حیضاً أو استحاضة، و الروایة و إن وردت فی التمییز بالصفات الغالبة إلّا أنّها لا تخلو عن إشعار بل دلالة عند التأمّل علی لزوم الاجتهاد عند الجهل بالعادة،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کلّه اجتهاد فی مقابل إطلاق النصوص الآمرة بأخذ المستحاضة مقدار عادتها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إرادة العادة المعلومة من حیث الوقت مسلّمة فی بعضها لا فی</w:t>
      </w:r>
    </w:p>
    <w:p>
      <w:pPr>
        <w:pStyle w:val="BookText"/>
        <w:rPr/>
      </w:pPr>
      <w:r>
        <w:rPr>
          <w:rFonts w:ascii="IRNazanin" w:hAnsi="IRNazanin" w:eastAsia="IRNazanin"/>
          <w:color w:val="111111"/>
          <w:sz w:val="28"/>
          <w:sz w:val="28"/>
          <w:szCs w:val="28"/>
          <w:rtl w:val="true"/>
          <w:lang w:bidi="fa-IR"/>
        </w:rPr>
        <w:t xml:space="preserve">جمیعها؛ و لذا ترجع من لم تستقرّ لها عادة وقتیّة إلی العدد إجماعاً کما عن الریاض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لا مستند لذلک إلّا هذه الأخبار کلّها من باب تنقیح المناط؛ لعدم تعقّل فرق بین نسیان العادة و علمها أو بعضها بإطلاق اللفظ و عدم اختصاصه بالعادة المعلومة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صحّة الاستدلال بما دلّ علی رجوع المبتدأة إلی عادة نسائها </w:t>
      </w:r>
      <w:r>
        <w:rPr>
          <w:rStyle w:val="FootnoteAnchor"/>
          <w:rtl w:val="true"/>
        </w:rPr>
        <w:footnoteReference w:id="1738"/>
      </w:r>
      <w:r>
        <w:rPr>
          <w:rFonts w:ascii="IRNazanin" w:hAnsi="IRNazanin" w:eastAsia="IRNazanin"/>
          <w:color w:val="111111"/>
          <w:sz w:val="28"/>
          <w:sz w:val="28"/>
          <w:szCs w:val="28"/>
          <w:rtl w:val="true"/>
          <w:lang w:bidi="fa-IR"/>
        </w:rPr>
        <w:t>، فإنّ الظاهر أنّ ذلک من حیث قیامها مقام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یستفاد من المرسلة الطویلة من حصر سنن المستحاضة فی الأخذ بالعادة و التمییز و الروایات، فینتفی الاحتیاط، و أمّا عادة الأهل فهی قائمة مقام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فحوی عدم وجوب الاحتیاط علی المتحیّرة، فإنّ ذکر العدد لا یوجب زیادة التکلیف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الاحتیاط فی مراعاة الظنّ ممّا لا ینبغی ترکه، و أحوط منه الاحتیاط المطلق الذی تعرّض المصنّف بعض جهاته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للحیض </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وقت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بعد مقدار العدد من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صوم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المحفوظة مع یوم زائد؛ لاحتمال طروّ الدم فی أثناء الأوّل و انقطاعه فی أثناء الأخیر، فتفسد الیومان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 من وجوب الجمع بین الوظیفتین عند</w:t>
      </w:r>
    </w:p>
    <w:p>
      <w:pPr>
        <w:pStyle w:val="BookText"/>
        <w:rPr/>
      </w:pPr>
      <w:r>
        <w:rPr>
          <w:rFonts w:ascii="IRNazanin" w:hAnsi="IRNazanin" w:eastAsia="IRNazanin"/>
          <w:color w:val="111111"/>
          <w:sz w:val="28"/>
          <w:sz w:val="28"/>
          <w:szCs w:val="28"/>
          <w:rtl w:val="true"/>
          <w:lang w:bidi="fa-IR"/>
        </w:rPr>
        <w:t xml:space="preserve">الشیخ </w:t>
      </w:r>
      <w:r>
        <w:rPr>
          <w:rStyle w:val="FootnoteAnchor"/>
          <w:rtl w:val="true"/>
        </w:rPr>
        <w:footnoteReference w:id="1740"/>
      </w:r>
      <w:r>
        <w:rPr>
          <w:rFonts w:ascii="IRNazanin" w:hAnsi="IRNazanin" w:eastAsia="IRNazanin"/>
          <w:color w:val="111111"/>
          <w:sz w:val="28"/>
          <w:sz w:val="28"/>
          <w:szCs w:val="28"/>
          <w:rtl w:val="true"/>
          <w:lang w:bidi="fa-IR"/>
        </w:rPr>
        <w:t xml:space="preserve">و التخییر المطلق عند الأکثر </w:t>
      </w:r>
      <w:r>
        <w:rPr>
          <w:rStyle w:val="FootnoteAnchor"/>
          <w:rtl w:val="true"/>
        </w:rPr>
        <w:footnoteReference w:id="1741"/>
      </w:r>
      <w:r>
        <w:rPr>
          <w:rFonts w:ascii="IRNazanin" w:hAnsi="IRNazanin" w:eastAsia="IRNazanin"/>
          <w:color w:val="111111"/>
          <w:sz w:val="28"/>
          <w:sz w:val="28"/>
          <w:szCs w:val="28"/>
          <w:rtl w:val="true"/>
          <w:lang w:bidi="fa-IR"/>
        </w:rPr>
        <w:t xml:space="preserve">، إنّما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نقص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نصف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ضلّ فیه العدد کالسبعة أو العشرة فی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أضلّت خمسة فی العشرة الاولی من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عنه، أی عن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فالزائد 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وسط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کالخامس و السادس لو کان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فی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لاندراجها فی الحیض قطعاً علی کلّ تقدیر، فبقی لها من العدد أربعة متقدّمة و أربعة متأخّرة، فهی مخیّرة عند الأکثر فی ضمّ المتقدّم أو المتأخّر إلی الخامس و السادس، و عند الشیخ تحتاط فی الأربعة المتقدّمة و المتأخّرة و تزید الاغتسال فی المتأخّرة؛ لاحتمال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أضلّت خمسة فی التسعة الأُولی فالزائد نصف یوم، فهو مع ضعفه حیض بیقین، فالخامس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أضلّت سبعة فی عشرة فالحیض أربعة أیّام؛ لأنّ العدد یزید علی نصف الدور بیومین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قاعدة کلّیة ترجع إلیها المسائل المعروفة بفروع الامتزاج التی ذکر کثیراً منها جماعة </w:t>
      </w:r>
      <w:r>
        <w:rPr>
          <w:rStyle w:val="FootnoteAnchor"/>
          <w:rtl w:val="true"/>
        </w:rPr>
        <w:footnoteReference w:id="1742"/>
      </w:r>
      <w:r>
        <w:rPr>
          <w:rFonts w:ascii="IRNazanin" w:hAnsi="IRNazanin" w:eastAsia="IRNazanin"/>
          <w:color w:val="111111"/>
          <w:sz w:val="28"/>
          <w:sz w:val="28"/>
          <w:szCs w:val="28"/>
          <w:rtl w:val="true"/>
          <w:lang w:bidi="fa-IR"/>
        </w:rPr>
        <w:t xml:space="preserve">تبعاً للشیخ فی المبسوط </w:t>
      </w:r>
      <w:r>
        <w:rPr>
          <w:rStyle w:val="FootnoteAnchor"/>
          <w:rtl w:val="true"/>
        </w:rPr>
        <w:footnoteReference w:id="1743"/>
      </w:r>
      <w:r>
        <w:rPr>
          <w:rFonts w:ascii="IRNazanin" w:hAnsi="IRNazanin" w:eastAsia="IRNazanin"/>
          <w:color w:val="111111"/>
          <w:sz w:val="28"/>
          <w:sz w:val="28"/>
          <w:szCs w:val="28"/>
          <w:rtl w:val="true"/>
          <w:lang w:bidi="fa-IR"/>
        </w:rPr>
        <w:t>،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حیضی</w:t>
      </w:r>
      <w:bookmarkStart w:id="175" w:name="pg13039_115421"/>
    </w:p>
    <w:p>
      <w:pPr>
        <w:pStyle w:val="BookText"/>
        <w:rPr/>
      </w:pPr>
      <w:bookmarkEnd w:id="175"/>
      <w:r>
        <w:rPr>
          <w:rFonts w:ascii="IRNazanin" w:hAnsi="IRNazanin" w:eastAsia="IRNazanin"/>
          <w:color w:val="111111"/>
          <w:sz w:val="28"/>
          <w:sz w:val="28"/>
          <w:szCs w:val="28"/>
          <w:rtl w:val="true"/>
          <w:lang w:bidi="fa-IR"/>
        </w:rPr>
        <w:t>عشرة و کنت أمزج شهراً بشهر، أی کنت آخر الشهر و أوّل ما بعده حائضاً، فالمتیقّن من الحیض لحظة من آخر کلّ شهر و لحظة من أوّله، و المتیقّن من الطهر من اللحظة الأخیرة من العاشر إلی أوّل لحظة من الیوم الحادی و العشرین، فقد ضلّت العشرة فی عشرین یوماً إلّا لحظتین، و هی ما بین اللحظة من أوّل الشهر و اللحظة من آخر العاشر، و ما بین اللحظة من أوّل لیلة الحادی و العشرین و اللحظة من آخر الشهر، فتزید العادة علی ما ضلّت فیه بلحظة، فلحظتان متیقّنتان و تضمّ إلیهما مکمّل العبادة من أیّ الطرفین شاءت علی المشهور، و تحتاط فیها علی قول الشیخ، و تغتسل للانقطاع فیما بعد اللحظة الاولی من أوّل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قالت ذات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أمزج أحد نصفی الشهر بالآخر بیوم من النصف، فالخامس عشر و السادس عشر حیض بیقین و الستّة الأخیرة منها بیقین، فقد ضلّت العشرة فیما یزید علی نصفه بیوم أعنی الثانیة عشر، فیضمّ إلی الیومین ما یکمّلهما ممّا شاءت من المتقدّم أو المتأخّر، أو تحتاط فی الثمانیة المتقدّمة بالجمع بین الوظیفتین و تزید فی الثمانیة المتأخّرة الغسل للانقطاع، و علیک بردّ ما یرد علیک إلی ما ذکر من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کلّ شهر حیضتان کلّ واحدة ثمانیة، فلا بدّ فیها من الطهر، فمظنّة العادة ما عدا ستّة أیّام من الثالث عشر إلی الثامن عشر؛ إذ الحیض الأوّل لا یتأخّر عن الخامس، و لا الحیض الثانی عن الثالث و العشرین، و المتیقّن من الحیضة الاولی من الخامس إلی الثامن، و من الثانیة من الثالث و العشرین إلی السادس و العشرین</w:t>
      </w:r>
      <w:r>
        <w:rPr>
          <w:rFonts w:eastAsia="IRNazanin" w:cs="IRNazanin"/>
          <w:color w:val="111111"/>
          <w:sz w:val="28"/>
          <w:szCs w:val="28"/>
          <w:rtl w:val="true"/>
          <w:lang w:bidi="fa-IR"/>
        </w:rPr>
        <w:t>.</w:t>
      </w:r>
    </w:p>
    <w:p>
      <w:pPr>
        <w:pStyle w:val="Heading6"/>
        <w:numPr>
          <w:ilvl w:val="5"/>
          <w:numId w:val="1"/>
        </w:numPr>
        <w:rPr/>
      </w:pPr>
      <w:bookmarkStart w:id="176" w:name="__RefHeading___Toc6451990_3224264995"/>
      <w:bookmarkStart w:id="177" w:name="_Toc66"/>
      <w:bookmarkEnd w:id="176"/>
      <w:r>
        <w:rPr>
          <w:rtl w:val="true"/>
        </w:rPr>
        <w:t>[</w:t>
      </w:r>
      <w:r>
        <w:rPr>
          <w:rtl w:val="true"/>
        </w:rPr>
        <w:t>کلّ دم یمکن أن یکون حیضاً فهو حیض</w:t>
      </w:r>
      <w:r>
        <w:rPr>
          <w:rtl w:val="true"/>
        </w:rPr>
        <w:t>]</w:t>
      </w:r>
      <w:bookmarkEnd w:id="17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أی لا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بصفة دم الحیض أم لم یکن، علی المشهور بین الأصحاب، بل فی</w:t>
      </w:r>
    </w:p>
    <w:p>
      <w:pPr>
        <w:pStyle w:val="BookText"/>
        <w:rPr/>
      </w:pPr>
      <w:r>
        <w:rPr>
          <w:rFonts w:ascii="IRNazanin" w:hAnsi="IRNazanin" w:eastAsia="IRNazanin"/>
          <w:color w:val="111111"/>
          <w:sz w:val="28"/>
          <w:sz w:val="28"/>
          <w:szCs w:val="28"/>
          <w:rtl w:val="true"/>
          <w:lang w:bidi="fa-IR"/>
        </w:rPr>
        <w:t xml:space="preserve">جامع المقاصد </w:t>
      </w:r>
      <w:r>
        <w:rPr>
          <w:rStyle w:val="FootnoteAnchor"/>
          <w:rtl w:val="true"/>
        </w:rPr>
        <w:footnoteReference w:id="1744"/>
      </w:r>
      <w:r>
        <w:rPr>
          <w:rFonts w:ascii="Amiri" w:hAnsi="Amiri" w:eastAsia="Amiri" w:cs="Amiri"/>
          <w:color w:val="111111"/>
          <w:sz w:val="28"/>
          <w:sz w:val="28"/>
          <w:szCs w:val="28"/>
          <w:rtl w:val="true"/>
          <w:lang w:bidi="ar-SA"/>
        </w:rPr>
        <w:t xml:space="preserve">و شرح الروضة </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متکرّر فی کلام الأصحاب بحیث یظهر أنّه ممّا أجمعوا علیه، و عن المعتبر </w:t>
      </w:r>
      <w:r>
        <w:rPr>
          <w:rStyle w:val="FootnoteAnchor"/>
          <w:rtl w:val="true"/>
        </w:rPr>
        <w:footnoteReference w:id="1746"/>
      </w:r>
      <w:r>
        <w:rPr>
          <w:rFonts w:ascii="IRNazanin" w:hAnsi="IRNazanin" w:eastAsia="IRNazanin"/>
          <w:color w:val="111111"/>
          <w:sz w:val="28"/>
          <w:sz w:val="28"/>
          <w:szCs w:val="28"/>
          <w:rtl w:val="true"/>
          <w:lang w:bidi="fa-IR"/>
        </w:rPr>
        <w:t xml:space="preserve">و المنتهی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حیضیَّة ما تراه المرأة بین الثلاثة و العشرة ممّا یمکن أن یکون حیضاً و إن لم تکن بصفات 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دم یمکن أن یکون حیضاً و ینقطع علی العشرة فإنّه حیض، سواء اتّفق لونه أو اختلف، قوی أو ضعف، إجماعاً </w:t>
      </w:r>
      <w:r>
        <w:rPr>
          <w:rStyle w:val="FootnoteAnchor"/>
          <w:rtl w:val="true"/>
        </w:rPr>
        <w:footnoteReference w:id="17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استدلّا علی ذلک بعد دعوی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دم فی زمانٍ یمکن أن یکون الدم حیضاً، فوجب أن یکون حیضاً و ظاهره أنّ هذه القاعدة من المسلّمات بحیث یستدلّ بها لا علیها، و قد تقدّم فی شرح قول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الصفرة و الکدرة فی أیّام الحیض حیض</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تفسیر أیّام الحیض فی المبسوط و السرائر بأیّام الإمکان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الوسیلة </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الصفرة و الکدرة فی أیّام الحیض و فیما یمکن أن یکون حیضاً حیض،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إرادة التعمیم فی أیّام الحیض الواردة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الصفرة و الکدرة فی أیّام الحیض حیض، و فی أیّام الطهر طهر، سواء کانت أیّام العادة أو الأیّام التی یمکن أن یکون الدم فیها حیضاً، ثمّ حکی عن بعض العامّة تخصیص ذلک بأیّام العادة، ثمّ استدلّ علی ذلک بإجماع الفرقة و أنّ إجماعهم حجّة </w:t>
      </w:r>
      <w:r>
        <w:rPr>
          <w:rStyle w:val="FootnoteAnchor"/>
          <w:rtl w:val="true"/>
        </w:rPr>
        <w:footnoteReference w:id="17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القاعدة المذکورة مضافاً إلی ظهور الاتّفاق المعتضد بنقل الإجماعات، و إلی أنّ الأصل فی دم النساء الحیضیَّة؛ لأنّها الغالب فیها و المخلوق فیهنّ للحکمة المتقدّمة، و لأنّ الأصل عدم الآفة الموجبة للاستحاضة أو القرحة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المتکثّرة المختلفة فی کیفیّة الدلالة علی هذه القاعدة بحیث یشرف المتتبّع علی القطع بها کما فی شرح المفاتیح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المرسلة المستدلّ بها علی هذه القاعدة فی المبسوط </w:t>
      </w:r>
      <w:r>
        <w:rPr>
          <w:rStyle w:val="FootnoteAnchor"/>
          <w:rtl w:val="true"/>
        </w:rPr>
        <w:footnoteReference w:id="1753"/>
      </w:r>
      <w:r>
        <w:rPr>
          <w:rFonts w:ascii="IRNazanin" w:hAnsi="IRNazanin" w:eastAsia="IRNazanin"/>
          <w:color w:val="111111"/>
          <w:sz w:val="28"/>
          <w:sz w:val="28"/>
          <w:szCs w:val="28"/>
          <w:rtl w:val="true"/>
          <w:lang w:bidi="fa-IR"/>
        </w:rPr>
        <w:t xml:space="preserve">و السرائر </w:t>
      </w:r>
      <w:r>
        <w:rPr>
          <w:rStyle w:val="FootnoteAnchor"/>
          <w:rtl w:val="true"/>
        </w:rPr>
        <w:footnoteReference w:id="1754"/>
      </w:r>
      <w:r>
        <w:rPr>
          <w:rFonts w:ascii="IRNazanin" w:hAnsi="IRNazanin" w:eastAsia="IRNazanin"/>
          <w:color w:val="111111"/>
          <w:sz w:val="28"/>
          <w:sz w:val="28"/>
          <w:szCs w:val="28"/>
          <w:rtl w:val="true"/>
          <w:lang w:bidi="fa-IR"/>
        </w:rPr>
        <w:t>التی لا یستدلّ فیها بأخبار الآحاد، و هی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الصفرة و الکدرة فی أیّام الحیض حیض</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 xml:space="preserve">بناءً علی التفسیر المتقدّم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تقدّم من روایتی </w:t>
      </w:r>
      <w:r>
        <w:rPr>
          <w:rStyle w:val="FootnoteAnchor"/>
          <w:rtl w:val="true"/>
        </w:rPr>
        <w:footnoteReference w:id="1757"/>
      </w:r>
      <w:r>
        <w:rPr>
          <w:rFonts w:ascii="IRNazanin" w:hAnsi="IRNazanin" w:eastAsia="IRNazanin"/>
          <w:color w:val="111111"/>
          <w:sz w:val="28"/>
          <w:sz w:val="28"/>
          <w:szCs w:val="28"/>
          <w:rtl w:val="true"/>
          <w:lang w:bidi="fa-IR"/>
        </w:rPr>
        <w:t>یونس بن یعقوب فیمن تری الدم ثلاثة أو أربعة و تری الطهر ثلاثة أو أربعة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ما تقدّم من روایتی ابن مسلم </w:t>
      </w:r>
      <w:r>
        <w:rPr>
          <w:rStyle w:val="FootnoteAnchor"/>
          <w:rtl w:val="true"/>
        </w:rPr>
        <w:footnoteReference w:id="1758"/>
      </w:r>
      <w:r>
        <w:rPr>
          <w:rFonts w:ascii="IRNazanin" w:hAnsi="IRNazanin" w:eastAsia="IRNazanin"/>
          <w:color w:val="111111"/>
          <w:sz w:val="28"/>
          <w:sz w:val="28"/>
          <w:szCs w:val="28"/>
          <w:rtl w:val="true"/>
          <w:lang w:bidi="fa-IR"/>
        </w:rPr>
        <w:t xml:space="preserve">و روایة البصری </w:t>
      </w:r>
      <w:r>
        <w:rPr>
          <w:rStyle w:val="FootnoteAnchor"/>
          <w:rtl w:val="true"/>
        </w:rPr>
        <w:footnoteReference w:id="1759"/>
      </w:r>
      <w:r>
        <w:rPr>
          <w:rFonts w:ascii="IRNazanin" w:hAnsi="IRNazanin" w:eastAsia="IRNazanin"/>
          <w:color w:val="111111"/>
          <w:sz w:val="28"/>
          <w:sz w:val="28"/>
          <w:szCs w:val="28"/>
          <w:rtl w:val="true"/>
          <w:lang w:bidi="fa-IR"/>
        </w:rPr>
        <w:t>الواردة فی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مرسلة یونس </w:t>
      </w:r>
      <w:r>
        <w:rPr>
          <w:rStyle w:val="FootnoteAnchor"/>
          <w:rtl w:val="true"/>
        </w:rPr>
        <w:footnoteReference w:id="1760"/>
      </w:r>
      <w:r>
        <w:rPr>
          <w:rFonts w:ascii="IRNazanin" w:hAnsi="IRNazanin" w:eastAsia="IRNazanin"/>
          <w:color w:val="111111"/>
          <w:sz w:val="28"/>
          <w:sz w:val="28"/>
          <w:szCs w:val="28"/>
          <w:rtl w:val="true"/>
          <w:lang w:bidi="fa-IR"/>
        </w:rPr>
        <w:t>، الدالّة بأجمعها علی أنّ ما تراه قبل العشرة فهو من الحیضة السابقة و ما تراه بعدها فهو من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1761"/>
      </w:r>
      <w:r>
        <w:rPr>
          <w:rFonts w:ascii="IRNazanin" w:hAnsi="IRNazanin" w:eastAsia="IRNazanin"/>
          <w:color w:val="111111"/>
          <w:sz w:val="28"/>
          <w:sz w:val="28"/>
          <w:szCs w:val="28"/>
          <w:rtl w:val="true"/>
          <w:lang w:bidi="fa-IR"/>
        </w:rPr>
        <w:t xml:space="preserve">فیما تراه المرأة قبل عادتها من أنّه حیض، معلّلًا بأنّه ربما تعجل بها الوقت، فدلّ علی أنّ مجرّد احتمال التعجیل یکفی فی الحکم بالحیضیَّة، و نحوه ما ورد من تحیّض الحامل بالدم معلّلًا بأنّ الرحم ربما قذفت الدم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روایة عبد اللّٰه بن المغیرة فیمن نفست فترکت الصلاة ثلاثین یوماً، ثمّ طهرت، ثمّ رأت الدم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تدع الصلاة؛ لأنّ أیّامها أیّام الطهر قد جازت مع أیّام النفاس </w:t>
      </w:r>
      <w:r>
        <w:rPr>
          <w:rStyle w:val="FootnoteAnchor"/>
          <w:rtl w:val="true"/>
        </w:rPr>
        <w:footnoteReference w:id="1763"/>
      </w:r>
      <w:r>
        <w:rPr>
          <w:rFonts w:ascii="IRNazanin" w:hAnsi="IRNazanin" w:eastAsia="IRNazanin"/>
          <w:color w:val="111111"/>
          <w:sz w:val="28"/>
          <w:sz w:val="28"/>
          <w:szCs w:val="28"/>
          <w:rtl w:val="true"/>
          <w:lang w:bidi="fa-IR"/>
        </w:rPr>
        <w:t>، فعلّل الحکم بالحیضیَّة بمجرّد عدم المانع، و لا ینافی ذلک عدم القول بها فی مدّة النفاس؛ لأنّ تأویلها لا ینافی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الصائمة تفطر بمجرّد رؤیة الدم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بالحیضیَّة فی المشتبه بالاستحاضة عند وجود الصفات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بها فی المشتبه بالعُذْرة عند عدم التطوّق، و فی المشتبه بالقرحة عند خروج الدم من الأیسر فی هذه المواضع بالحیض بمجرّد إمکانه بانتفاء علامة الاستحاضة و العذرة و القرحة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أخبار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ببقاء الحیض بمجرّد خروج الدم علی القطنة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المذکورات لا یدلّ علی هذه القاعدة بوجه، کأصالة الحیض بمعنی غلبته، و أصالة عدم ما عداه؛ لأنّ الغلبة بحیث تفید الظنّ ممنوعة مع عدم الدلیل علی اعتبارها فی الموضوعات، و أصالة عدم ما عدا الحیض لا تثبت الحیض، بل أصالة عدم الحیض تنفیه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المرسلة، فالظاهر منها إرادة أیّام العادة، قال فی الذکری بعد حکایة التفسیر المتقدّم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فی الکافی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تراه المرأة فی أیّام حیضها من صفرة أو حمرة فهو من الحیض، و کلّ ما تراه بعد أیّام حیضها فلیس من الحیض</w:t>
      </w:r>
      <w:r>
        <w:rPr>
          <w:rFonts w:eastAsia="IRNazanin" w:cs="IRNazanin"/>
          <w:color w:val="111111"/>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فی الحیض أن یکون الصفرة و الکدرة فی أیّام الحیض حیضاً کلّه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تعریض علی أنّ ما ذکره فی المبسوط کأنه معنی مأخوذ من هاتین الروایتین الغیر الدالّتین علی ما استظهره، لکن الشارح فی الروض </w:t>
      </w:r>
      <w:r>
        <w:rPr>
          <w:rStyle w:val="FootnoteAnchor"/>
          <w:rtl w:val="true"/>
        </w:rPr>
        <w:footnoteReference w:id="1771"/>
      </w:r>
      <w:r>
        <w:rPr>
          <w:rFonts w:ascii="IRNazanin" w:hAnsi="IRNazanin" w:eastAsia="IRNazanin"/>
          <w:color w:val="111111"/>
          <w:sz w:val="28"/>
          <w:sz w:val="28"/>
          <w:szCs w:val="28"/>
          <w:rtl w:val="true"/>
          <w:lang w:bidi="fa-IR"/>
        </w:rPr>
        <w:t>استظهر ما استظهره فی المبسوط کما تقدّم عنه،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أخبار إفطار الصائمة برؤیة الدم، فهی واردة فی مقام بیان إطلاق وجوب الإفطار فی أیّ وقت رأت دم الحیض؛ فلا إطلاق فیها بالنسبة إلی نفس الدم، بل المراد به کما فی المعتبر </w:t>
      </w:r>
      <w:r>
        <w:rPr>
          <w:rStyle w:val="FootnoteAnchor"/>
          <w:rtl w:val="true"/>
        </w:rPr>
        <w:footnoteReference w:id="1772"/>
      </w:r>
      <w:r>
        <w:rPr>
          <w:rFonts w:ascii="IRNazanin" w:hAnsi="IRNazanin" w:eastAsia="IRNazanin"/>
          <w:color w:val="111111"/>
          <w:sz w:val="28"/>
          <w:sz w:val="28"/>
          <w:szCs w:val="28"/>
          <w:rtl w:val="true"/>
          <w:lang w:bidi="fa-IR"/>
        </w:rPr>
        <w:t>الدم المعهود، کما أنّ رؤیة الدم یراد بها خروجه عن الموضع الطبیعی لا مطلق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الجواب عن أخبار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دلّ علی تمییز الحیض عن الاستحاضة </w:t>
      </w:r>
      <w:r>
        <w:rPr>
          <w:rStyle w:val="FootnoteAnchor"/>
          <w:rtl w:val="true"/>
        </w:rPr>
        <w:footnoteReference w:id="1773"/>
      </w:r>
      <w:r>
        <w:rPr>
          <w:rFonts w:ascii="Amiri" w:hAnsi="Amiri" w:eastAsia="Amiri" w:cs="Amiri"/>
          <w:color w:val="111111"/>
          <w:sz w:val="28"/>
          <w:sz w:val="28"/>
          <w:szCs w:val="28"/>
          <w:rtl w:val="true"/>
          <w:lang w:bidi="ar-SA"/>
        </w:rPr>
        <w:t xml:space="preserve">و العُذْرة </w:t>
      </w:r>
      <w:r>
        <w:rPr>
          <w:rStyle w:val="FootnoteAnchor"/>
          <w:rtl w:val="true"/>
        </w:rPr>
        <w:footnoteReference w:id="1774"/>
      </w:r>
      <w:r>
        <w:rPr>
          <w:rFonts w:ascii="Amiri" w:hAnsi="Amiri" w:eastAsia="Amiri" w:cs="Amiri"/>
          <w:color w:val="111111"/>
          <w:sz w:val="28"/>
          <w:sz w:val="28"/>
          <w:szCs w:val="28"/>
          <w:rtl w:val="true"/>
          <w:lang w:bidi="ar-SA"/>
        </w:rPr>
        <w:t xml:space="preserve">و القرحة </w:t>
      </w:r>
      <w:r>
        <w:rPr>
          <w:rStyle w:val="FootnoteAnchor"/>
          <w:rtl w:val="true"/>
        </w:rPr>
        <w:footnoteReference w:id="1775"/>
      </w:r>
      <w:r>
        <w:rPr>
          <w:rFonts w:ascii="IRNazanin" w:hAnsi="IRNazanin" w:eastAsia="IRNazanin"/>
          <w:color w:val="111111"/>
          <w:sz w:val="28"/>
          <w:sz w:val="28"/>
          <w:szCs w:val="28"/>
          <w:rtl w:val="true"/>
          <w:lang w:bidi="fa-IR"/>
        </w:rPr>
        <w:t>، فموردها ما إذا علم من الخارج انتفاء الثالث و دوران الأمر بین المشتبهین، و لا شبهة فی وجوب الحکم بأحدهما عند انتفاء الآخر بانتفاء علامته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دلّ علی الحکم بالحیضیَّة معلّلًا بالاحتمال کروایات تقدّم العادة </w:t>
      </w:r>
      <w:r>
        <w:rPr>
          <w:rStyle w:val="FootnoteAnchor"/>
          <w:rtl w:val="true"/>
        </w:rPr>
        <w:footnoteReference w:id="1776"/>
      </w:r>
      <w:r>
        <w:rPr>
          <w:rFonts w:ascii="IRNazanin" w:hAnsi="IRNazanin" w:eastAsia="IRNazanin"/>
          <w:color w:val="111111"/>
          <w:sz w:val="28"/>
          <w:sz w:val="28"/>
          <w:szCs w:val="28"/>
          <w:rtl w:val="true"/>
          <w:lang w:bidi="fa-IR"/>
        </w:rPr>
        <w:t xml:space="preserve">و حیض الحبلی </w:t>
      </w:r>
      <w:r>
        <w:rPr>
          <w:rStyle w:val="FootnoteAnchor"/>
          <w:rtl w:val="true"/>
        </w:rPr>
        <w:footnoteReference w:id="1777"/>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للتکثیر جی‌ء به</w:t>
      </w:r>
    </w:p>
    <w:p>
      <w:pPr>
        <w:pStyle w:val="BookText"/>
        <w:rPr/>
      </w:pPr>
      <w:r>
        <w:rPr>
          <w:rFonts w:ascii="IRNazanin" w:hAnsi="IRNazanin" w:eastAsia="IRNazanin"/>
          <w:color w:val="111111"/>
          <w:sz w:val="28"/>
          <w:sz w:val="28"/>
          <w:szCs w:val="28"/>
          <w:rtl w:val="true"/>
          <w:lang w:bidi="fa-IR"/>
        </w:rPr>
        <w:t xml:space="preserve">لرفع الاستبعاد، و لم یقصد تعلیل الحکم بالاحتمال، مع أنّ أخبار التعجیل </w:t>
      </w:r>
      <w:r>
        <w:rPr>
          <w:rStyle w:val="FootnoteAnchor"/>
          <w:rtl w:val="true"/>
        </w:rPr>
        <w:footnoteReference w:id="1778"/>
      </w:r>
      <w:r>
        <w:rPr>
          <w:rFonts w:ascii="IRNazanin" w:hAnsi="IRNazanin" w:eastAsia="IRNazanin"/>
          <w:color w:val="111111"/>
          <w:sz w:val="28"/>
          <w:sz w:val="28"/>
          <w:szCs w:val="28"/>
          <w:rtl w:val="true"/>
          <w:lang w:bidi="fa-IR"/>
        </w:rPr>
        <w:t>مختصّة بما تراه المعتادة قریباً من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روایتا یونس، فقد تقدّم </w:t>
      </w:r>
      <w:r>
        <w:rPr>
          <w:rStyle w:val="FootnoteAnchor"/>
          <w:rtl w:val="true"/>
        </w:rPr>
        <w:footnoteReference w:id="1779"/>
      </w:r>
      <w:r>
        <w:rPr>
          <w:rFonts w:ascii="IRNazanin" w:hAnsi="IRNazanin" w:eastAsia="IRNazanin"/>
          <w:color w:val="111111"/>
          <w:sz w:val="28"/>
          <w:sz w:val="28"/>
          <w:szCs w:val="28"/>
          <w:rtl w:val="true"/>
          <w:lang w:bidi="fa-IR"/>
        </w:rPr>
        <w:t>فی أقلّ الطهر وجوب تأویلهما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دلّ علی أنّ المرئی قبل العشرة من الحیضة السابقة و بعدها من المستقبلة </w:t>
      </w:r>
      <w:r>
        <w:rPr>
          <w:rStyle w:val="FootnoteAnchor"/>
          <w:rtl w:val="true"/>
        </w:rPr>
        <w:footnoteReference w:id="1780"/>
      </w:r>
      <w:r>
        <w:rPr>
          <w:rFonts w:ascii="IRNazanin" w:hAnsi="IRNazanin" w:eastAsia="IRNazanin"/>
          <w:color w:val="111111"/>
          <w:sz w:val="28"/>
          <w:sz w:val="28"/>
          <w:szCs w:val="28"/>
          <w:rtl w:val="true"/>
          <w:lang w:bidi="fa-IR"/>
        </w:rPr>
        <w:t xml:space="preserve">، فالإنصاف أنّها مسوقة لبیان أنّ الدم المفروغ عن حیضیّته إن وجد فیما قبل العشرة فهو جزء من الحیضة الأُولی، و إن وجد بعدها فهی من حیضة مستقبلة، مع أنّ الظاهر اختصاص مورد ما قبل العشرة بالدم الموجود بعد تحقّق أقلّ الحیض، و منه یظهر أخصّیة إجماعی المعتبر و المنتهی من المطلب، اللهمّ إلّا أن یستظهر منهما الإجماع علی أصل القاعدة و کونها من المسلّمات، کما أشرنا إلیه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فالعمدة فی المقام الإجماعات، و لولاها لأشکل الحکم، کما اعترف به شارح الروضة </w:t>
      </w:r>
      <w:r>
        <w:rPr>
          <w:rStyle w:val="FootnoteAnchor"/>
          <w:rtl w:val="true"/>
        </w:rPr>
        <w:footnoteReference w:id="1782"/>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1783"/>
      </w:r>
      <w:r>
        <w:rPr>
          <w:rFonts w:ascii="IRNazanin" w:hAnsi="IRNazanin" w:eastAsia="IRNazanin"/>
          <w:color w:val="111111"/>
          <w:sz w:val="28"/>
          <w:sz w:val="28"/>
          <w:szCs w:val="28"/>
          <w:rtl w:val="true"/>
          <w:lang w:bidi="fa-IR"/>
        </w:rPr>
        <w:t>، فلو قطع النظر عن الإجماعات کان الحاصل من مجموع الأخبار وجوب الحکم بحیضیَّة الدم فی أربعة موارد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تجده فی أیّام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تجده قریباً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تجده بعد انقضاء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تجده متّصفاً بالصفات، علی تأمّل فی عموم هذا لغیر مورد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انحصر المستند فی عموم هذه القاعدة فی الإجماعات المنقولة فلا بدّ من تنقیح معنی القاعدة لیعلم وفاء معاقد الإجماع بإثباتها و عدمه،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مجرّد الاحتمال فی مقابل العلم، بل المراد الإمکان الواقعی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الامتناع الواقعی؛ لأنّه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الإمکان بمعنی عدم وجود المانع فی ذهن المحتمل و المتردّد، و لو سلّم إرادة الأعمّ من ذلک حتّی یکون المراد أنّ کلّ ما یحتمل أن یکون حیضاً فهو حیض، فهذا ممّا لا یفی به شی‌ء من الأخبار و معاقد الإجماعات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عدم الامتناع لیس هو عدم الامتناع من جمیع الجهات، کیف؟ و لو ثبت ذلک کان الحیضیَّة واجبة لا ممکنة؛ إذ لا واسطة فی الممکنات بین الامتناع العرضی و الوجوب العرضی، فیصیر معنی کلّ ما لم یمتنع کونه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وجب أن یکون حیضاً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یتحقّق عدم الامتناع علی الإطلاق إلّا بعد العلم بانتفاء ما عدا الحیض، فتعیّن أن یراد بالامتناع عدم الامتناع من جهة الموانع التی قرّرها الشارع کالصغر و الیأس و نحوهما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ما لم یمتنع من جهة الموانع المقرّرة فی الشریعة کونه حیضاً، بأن کان جامعاً لشرائطه و خالیاً عن موانعه المقرّرة فهو حیض،</w:t>
      </w:r>
    </w:p>
    <w:p>
      <w:pPr>
        <w:pStyle w:val="BookText"/>
        <w:rPr/>
      </w:pPr>
      <w:r>
        <w:rPr>
          <w:rFonts w:ascii="IRNazanin" w:hAnsi="IRNazanin" w:eastAsia="IRNazanin"/>
          <w:color w:val="111111"/>
          <w:sz w:val="28"/>
          <w:sz w:val="28"/>
          <w:szCs w:val="28"/>
          <w:rtl w:val="true"/>
          <w:lang w:bidi="fa-IR"/>
        </w:rPr>
        <w:t>و إن لم نعلم کونه حیضاً من جهة بعض الخصوصیات التی لا یطلّع علیها إلّا من یعلم ما فی الأرحام؛ فإنّ انتفاء الموانع أو اجتماع الشروط لا یوجب تحقّق المشروط، و إنّما یلزم من وجودها أو عدمها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عدم الامتناع لأجل الموانع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عدم الامتناع واقعاً من جهة الموانع الشرعیّة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بدّ من إحراز عدم الموانع الواقعیّة، فلا یکون الشکّ فی حیضیَّة هذا الدم علی هذا الفرض إلّا مسبّباً عن خصوصیّات و علائم باطنیّة للحیض، و لا یطّلع علیها غیر من یعلم ما فی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الامتناع من جهة ما وصل إلینا من الموانع الشرعیّة، و حینئذٍ فمجرّد عدم ثبوت مانع شرعی لحیضیَّة الدم یکون کافیاً فی الحکم بحیضیّته، و لا یحتاج إلی إحراز عدم الموانع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کون ما تراه حیضاً لا یخلو عن أحد أسباب ثلاثة،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من جهة الشکّ فی تحقّق شرط شرعی أو عادی، کما فی الدم الخارج من الخنثی أو الممسوح المشکوک فی أُنوثیّتهما، و کما لو خرج و تردّد زمان خروجه بین ما قبل التسع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جهة الشکّ فی شرطیّة شی‌ء مفقود فی ذلک الدم، کالتوالی و نحوه من الشروط الخلافیّة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من جهة الشکّ فی مشخّصات جزئیة للحیض تختلف باختلاف آحاد النساء بحیث لا تنضبط تحت ضابطٍ واقعی و لا معرّفٍ ظاهری، فلا یطّلع علیها إلّا من یعلم ما فی الأرحام، کما إذا استمرّ دم فی ثلاثة أیّام بحیث یعلم باستجماعه لجمیع الشرائط المقرّرة للحیض إلّا أنّه</w:t>
      </w:r>
    </w:p>
    <w:p>
      <w:pPr>
        <w:pStyle w:val="BookText"/>
        <w:rPr/>
      </w:pPr>
      <w:r>
        <w:rPr>
          <w:rFonts w:ascii="IRNazanin" w:hAnsi="IRNazanin" w:eastAsia="IRNazanin"/>
          <w:color w:val="111111"/>
          <w:sz w:val="28"/>
          <w:sz w:val="28"/>
          <w:szCs w:val="28"/>
          <w:rtl w:val="true"/>
          <w:lang w:bidi="fa-IR"/>
        </w:rPr>
        <w:t>یشکّ فی کون ذلک الدم المخصوص حیضاً، فإنّ اجتماع تلک الشروط لا یفید إلّا احتمال الحیضیَّة فی مقابل فقدها الموجب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فیه إجراء أصالة عدم الحیض السلیمة عن أصالة عدم الآفة أو غلبة الحیض کما عرفت، و لا دلیل علی إجراء القاعدة المذکورة هنا من الأخبار و لا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الأخبار فلما عرفت، و أمّا الإجماع فلأنّ کثیراً من نقلته کأوّل المحقّقین و ثانیهما و غیرهما لم یقولوا بتحیّض المبتدأة و المضطربة إلّا بعد الثلاثة، بل عرفت أنّ إرادة هذا من القاعدة خلاف الظاهر و إن سلّمنا العموم فی معاقد الإجماع؛ إذ المتبادر من الإمکان القابلیّة الواقعیّة فی مقابل الامتناع، لا الاحتمال و التردّد فی مقابل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التردّد و الاحتمال، إلّا أنّ المراد به الإمکان فی نظر الشخص لا فی الواقع، و لأجل ما ذکرنا اعتبروا فی الإمکان تحقّق شرائط الحیض</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أمکن أی کون الدم حیضاً بحسب حال المرأة بأن تکون بالغة غیر یائسة، و مدّته بأن لا ینقص من ثلاثة و لا یزید علی عشرة، و دوامه کتوالی الثلاثة، و وصفه کالقویّ مع التمییز، و محلّه کالجانب إن اعتبرناه و نحو ذلک، 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یعتبر الإمکان بعد استقراره فیما یتوقّف علیه کأیّام الاستظهار، فإنّ الدم فیها یمکن کونه حیضاً، إلّا أنّ الحکم به موقوف علی عدم عبور العشرة، و مثله القول فی أوّل رؤیته مع انقطاعه قبل الثلاثة </w:t>
      </w:r>
      <w:r>
        <w:rPr>
          <w:rStyle w:val="FootnoteAnchor"/>
          <w:rtl w:val="true"/>
        </w:rPr>
        <w:footnoteReference w:id="17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ما فی جامع المقاصد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جمال الدین الخوانساری فی حاشیة الروضة فی ذیل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الإمکان فی کلام المصنّف علی مجرّد الاحتمال، فقیّده بما ذکر، و لو حمله علی الإمکان النفس الأمری بحسب القواعد الشرعیّة فلا حاجة إلی ما ذکره،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یکون غرضه من هذا التقیید بیان أنّ المراد من الإمکان لیس مجرّد الاحتمال الذی قد یستعمل فیه الإمکان، بل هو بعد استقراره الذی مآله إلی الإمکان النفس الأمری، فیجب حمل کلام المصنّف علیه </w:t>
      </w:r>
      <w:r>
        <w:rPr>
          <w:rStyle w:val="FootnoteAnchor"/>
          <w:rtl w:val="true"/>
        </w:rPr>
        <w:footnoteReference w:id="178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عبارة الروض </w:t>
      </w:r>
      <w:r>
        <w:rPr>
          <w:rStyle w:val="FootnoteAnchor"/>
          <w:rtl w:val="true"/>
        </w:rPr>
        <w:footnoteReference w:id="1787"/>
      </w:r>
      <w:r>
        <w:rPr>
          <w:rFonts w:ascii="IRNazanin" w:hAnsi="IRNazanin" w:eastAsia="IRNazanin"/>
          <w:color w:val="111111"/>
          <w:sz w:val="28"/>
          <w:sz w:val="28"/>
          <w:szCs w:val="28"/>
          <w:rtl w:val="true"/>
          <w:lang w:bidi="fa-IR"/>
        </w:rPr>
        <w:t>و إن کان یعطی إرادة مجرّد الاحتمال، إلّا أنّ الظاهر أنّ المقصود منه بعد تقییده بالاستقرار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النفس الأمری، فحاصل هذه القاعدة کما فی شرح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أمکن شرعاً کونه حیضاً بالاستجماع لشرائطه و الخلوّ عن موانعه حکم بکونه حیضاً، کان بصفات الحیض أم لا، کذا ذکره الأصحاب قاطعین علی وجه یظهر منه اتّفاقهم علیه </w:t>
      </w:r>
      <w:r>
        <w:rPr>
          <w:rStyle w:val="FootnoteAnchor"/>
          <w:rtl w:val="true"/>
        </w:rPr>
        <w:footnoteReference w:id="178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أنّه لا یحکم علی الدم بالحیضیَّة بقاعدة الإمکان إلّا بعد مضیّ الثلاثة؛ إذ قبله لا یستقرّ الإمکان، و لذا اختصّ معقد إجماعی المعتبر و المنتهی المتقدّمین </w:t>
      </w:r>
      <w:r>
        <w:rPr>
          <w:rStyle w:val="FootnoteAnchor"/>
          <w:rtl w:val="true"/>
        </w:rPr>
        <w:footnoteReference w:id="1789"/>
      </w:r>
      <w:r>
        <w:rPr>
          <w:rFonts w:ascii="IRNazanin" w:hAnsi="IRNazanin" w:eastAsia="IRNazanin"/>
          <w:color w:val="111111"/>
          <w:sz w:val="28"/>
          <w:sz w:val="28"/>
          <w:szCs w:val="28"/>
          <w:rtl w:val="true"/>
          <w:lang w:bidi="fa-IR"/>
        </w:rPr>
        <w:t>بما تراه المرأة من الثلاثة إلی العشرة، ثمّ استدلّا علیه بقاعدة الإمکان، مع أنّ تلک القاعدة علی المعنی المتوهّم جاریة فیما قبل</w:t>
      </w:r>
    </w:p>
    <w:p>
      <w:pPr>
        <w:pStyle w:val="BookText"/>
        <w:rPr/>
      </w:pPr>
      <w:r>
        <w:rPr>
          <w:rFonts w:ascii="IRNazanin" w:hAnsi="IRNazanin" w:eastAsia="IRNazanin"/>
          <w:color w:val="111111"/>
          <w:sz w:val="28"/>
          <w:sz w:val="28"/>
          <w:szCs w:val="28"/>
          <w:rtl w:val="true"/>
          <w:lang w:bidi="fa-IR"/>
        </w:rPr>
        <w:t>الثلاثة، و لم یقل المحقّق فی کتبه بتحیّض المبتدأة بمجرّد الرؤیة، فلیس ذلک إلّا لعدم استقرار الإمکان قبل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استدلّ المصنّف فی المختلف </w:t>
      </w:r>
      <w:r>
        <w:rPr>
          <w:rStyle w:val="FootnoteAnchor"/>
          <w:rtl w:val="true"/>
        </w:rPr>
        <w:footnoteReference w:id="1790"/>
      </w:r>
      <w:r>
        <w:rPr>
          <w:rFonts w:ascii="IRNazanin" w:hAnsi="IRNazanin" w:eastAsia="IRNazanin"/>
          <w:color w:val="111111"/>
          <w:sz w:val="28"/>
          <w:sz w:val="28"/>
          <w:szCs w:val="28"/>
          <w:rtl w:val="true"/>
          <w:lang w:bidi="fa-IR"/>
        </w:rPr>
        <w:t xml:space="preserve">و المنتهی </w:t>
      </w:r>
      <w:r>
        <w:rPr>
          <w:rStyle w:val="FootnoteAnchor"/>
          <w:rtl w:val="true"/>
        </w:rPr>
        <w:footnoteReference w:id="1791"/>
      </w:r>
      <w:r>
        <w:rPr>
          <w:rFonts w:ascii="IRNazanin" w:hAnsi="IRNazanin" w:eastAsia="IRNazanin"/>
          <w:color w:val="111111"/>
          <w:sz w:val="28"/>
          <w:sz w:val="28"/>
          <w:szCs w:val="28"/>
          <w:rtl w:val="true"/>
          <w:lang w:bidi="fa-IR"/>
        </w:rPr>
        <w:t xml:space="preserve">بهذه القاعدة علی تحیّض المبتدأة، و قد أجاب بعضهم </w:t>
      </w:r>
      <w:r>
        <w:rPr>
          <w:rStyle w:val="FootnoteAnchor"/>
          <w:rtl w:val="true"/>
        </w:rPr>
        <w:footnoteReference w:id="1792"/>
      </w:r>
      <w:r>
        <w:rPr>
          <w:rFonts w:ascii="IRNazanin" w:hAnsi="IRNazanin" w:eastAsia="IRNazanin"/>
          <w:color w:val="111111"/>
          <w:sz w:val="28"/>
          <w:sz w:val="28"/>
          <w:szCs w:val="28"/>
          <w:rtl w:val="true"/>
          <w:lang w:bidi="fa-IR"/>
        </w:rPr>
        <w:t xml:space="preserve">عن تمسّکه هذا بعدم استقرار الإمکان بمجرّد الرؤیة، لکن تمسّکه قدّس سرّه بشی‌ءٍ لا یدلّ علی ارتضائه بالمتمسّک، کما لا یخفی علی العارف بطریقته فی کتبه الاستدلالیّة، و لذا أخّر التمسّک بها عن الأخبار، و عکس </w:t>
      </w:r>
      <w:r>
        <w:rPr>
          <w:rStyle w:val="FootnoteAnchor"/>
          <w:rtl w:val="true"/>
        </w:rPr>
        <w:footnoteReference w:id="1793"/>
      </w:r>
      <w:r>
        <w:rPr>
          <w:rFonts w:ascii="IRNazanin" w:hAnsi="IRNazanin" w:eastAsia="IRNazanin"/>
          <w:color w:val="111111"/>
          <w:sz w:val="28"/>
          <w:sz w:val="28"/>
          <w:szCs w:val="28"/>
          <w:rtl w:val="true"/>
          <w:lang w:bidi="fa-IR"/>
        </w:rPr>
        <w:t>فی مسألة ما تراه بین الثلاثة و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 من الشکّ، فالظاهر خروجه أیضاً عن مورد القاعدة، لأنّ الظاهر من الإمکان هو عدم الامتناع الواقعی من جهة ما صدر من الشارع واقعاً من الشرائط و الموانع </w:t>
      </w:r>
      <w:r>
        <w:rPr>
          <w:rStyle w:val="FootnoteAnchor"/>
          <w:rtl w:val="true"/>
        </w:rPr>
        <w:footnoteReference w:id="1794"/>
      </w:r>
      <w:r>
        <w:rPr>
          <w:rFonts w:ascii="IRNazanin" w:hAnsi="IRNazanin" w:eastAsia="IRNazanin"/>
          <w:color w:val="111111"/>
          <w:sz w:val="28"/>
          <w:sz w:val="28"/>
          <w:szCs w:val="28"/>
          <w:rtl w:val="true"/>
          <w:lang w:bidi="fa-IR"/>
        </w:rPr>
        <w:t>الواقعیّة، و المفروض عدم العلم بذلک فی ذلک القسم و لو سلّم ظهور القاعدة فیما یعمّ هذا القسم، لکن لا دلیل علی اعتبارها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شککنا فی أنّ تفرّق أیّام رؤیة الدم فی جملة العشرة مانع شرعی أم لا، أو التوالی شرط أم لا؟ فلا یجوز الحکم علی الدم المرئی متفرقاً بأنّه ممّا لا یمتنع فی حکم الشارع أن یکون حیضاً؛ لاحتمال امتناعه عنده من جهة اعتبار التوالی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احتمال اعتبار الشارع له بحکم الأصل مدفوع بأصالة عدم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هناک إطلاق ینفع فی مقام الشکّ فی شرطیّة الشی‌ء المشکوک أُخذ به، و إلّا بقی علی حکم الأصل؛ و لذا تری القائلین بعدم اعتبار التوالی تمسّکوا بإطلاق أخبار کون أقلّ الحیض ثلاثة </w:t>
      </w:r>
      <w:r>
        <w:rPr>
          <w:rStyle w:val="FootnoteAnchor"/>
          <w:rtl w:val="true"/>
        </w:rPr>
        <w:footnoteReference w:id="1795"/>
      </w:r>
      <w:r>
        <w:rPr>
          <w:rFonts w:ascii="IRNazanin" w:hAnsi="IRNazanin" w:eastAsia="IRNazanin"/>
          <w:color w:val="111111"/>
          <w:sz w:val="28"/>
          <w:sz w:val="28"/>
          <w:szCs w:val="28"/>
          <w:rtl w:val="true"/>
          <w:lang w:bidi="fa-IR"/>
        </w:rPr>
        <w:t xml:space="preserve">، و المعتبرین للتوالی و هم </w:t>
      </w:r>
      <w:r>
        <w:rPr>
          <w:rStyle w:val="FootnoteAnchor"/>
          <w:rtl w:val="true"/>
        </w:rPr>
        <w:footnoteReference w:id="1796"/>
      </w:r>
      <w:r>
        <w:rPr>
          <w:rFonts w:ascii="IRNazanin" w:hAnsi="IRNazanin" w:eastAsia="IRNazanin"/>
          <w:color w:val="111111"/>
          <w:sz w:val="28"/>
          <w:sz w:val="28"/>
          <w:szCs w:val="28"/>
          <w:rtl w:val="true"/>
          <w:lang w:bidi="fa-IR"/>
        </w:rPr>
        <w:t>المعظم رجعوا إلی أصالة عدم الحیض بعد منع الإطلاق لا إلی قاعدة الإمکان، فالمتیقّن من القاعدة هو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فهذه القاعدة بمنزلة أصل ثانویّ وارد علی أصالة عدم الحیض، فإذا ثبت من الشارع کون الدم الفلانی کالمتجاوز عن أیّام العادة إلی ما فوق العشرة مثلًا لیس بحیض و إن استجمع سائر شرائط قابلیّته للحیض، فهذا الدلیل مخرج لذلک الدم عن موضوع الإمکان لا مخصّص لقاعدة الإمکان، فیرجع حاصله إلی أنّ تجاوز الدم الزائد علی أیّام العادة عن العشرة مانع شرعی لکونه حیضاً، نظیر سائر الموانع کالصغر و الیأس و نحوهما؛ و لذا جعل هذا الفرض فی جامع المقاصد </w:t>
      </w:r>
      <w:r>
        <w:rPr>
          <w:rStyle w:val="FootnoteAnchor"/>
          <w:rtl w:val="true"/>
        </w:rPr>
        <w:footnoteReference w:id="1797"/>
      </w:r>
      <w:r>
        <w:rPr>
          <w:rFonts w:ascii="Amiri" w:hAnsi="Amiri" w:eastAsia="Amiri" w:cs="Amiri"/>
          <w:color w:val="111111"/>
          <w:sz w:val="28"/>
          <w:sz w:val="28"/>
          <w:szCs w:val="28"/>
          <w:rtl w:val="true"/>
          <w:lang w:bidi="ar-SA"/>
        </w:rPr>
        <w:t xml:space="preserve">و الروضة </w:t>
      </w:r>
      <w:r>
        <w:rPr>
          <w:rStyle w:val="FootnoteAnchor"/>
          <w:rtl w:val="true"/>
        </w:rPr>
        <w:footnoteReference w:id="1798"/>
      </w:r>
      <w:r>
        <w:rPr>
          <w:rFonts w:ascii="IRNazanin" w:hAnsi="IRNazanin" w:eastAsia="IRNazanin"/>
          <w:color w:val="111111"/>
          <w:sz w:val="28"/>
          <w:sz w:val="28"/>
          <w:szCs w:val="28"/>
          <w:rtl w:val="true"/>
          <w:lang w:bidi="fa-IR"/>
        </w:rPr>
        <w:t>مثالًا لعدم استقرار الإمکان کدم المبتدأة قبل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فساد ما قیل </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مخصّصة، و قد استثنی منها مواضع کالمثال المفروض و ما أشبهه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أفسد من ذلک جعل دم الخنثی و الممسوح و ما شکّ فی خروجه عن</w:t>
      </w:r>
    </w:p>
    <w:p>
      <w:pPr>
        <w:pStyle w:val="BookText"/>
        <w:rPr/>
      </w:pPr>
      <w:r>
        <w:rPr>
          <w:rFonts w:ascii="IRNazanin" w:hAnsi="IRNazanin" w:eastAsia="IRNazanin"/>
          <w:color w:val="111111"/>
          <w:sz w:val="28"/>
          <w:sz w:val="28"/>
          <w:szCs w:val="28"/>
          <w:rtl w:val="true"/>
          <w:lang w:bidi="fa-IR"/>
        </w:rPr>
        <w:t>الرحم أو من الخارج من مستثنیات هذه القاعدة؛ و لعلّه مبنیّ علی جعل الإمکان بمعنی الاحتمال و التردّد،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أُرید من الاستثناء و التخصیص الخروج الموضوعی المعبّر عنه بالتخصیص </w:t>
      </w:r>
      <w:r>
        <w:rPr>
          <w:rStyle w:val="FootnoteAnchor"/>
          <w:rtl w:val="true"/>
        </w:rPr>
        <w:footnoteReference w:id="1800"/>
      </w:r>
      <w:r>
        <w:rPr>
          <w:rFonts w:ascii="IRNazanin" w:hAnsi="IRNazanin" w:eastAsia="IRNazanin"/>
          <w:color w:val="111111"/>
          <w:sz w:val="28"/>
          <w:sz w:val="28"/>
          <w:szCs w:val="28"/>
          <w:rtl w:val="true"/>
          <w:lang w:bidi="fa-IR"/>
        </w:rPr>
        <w:t>، وجب التزام دخول ما ینقطع علی الأقلّ و الخارج من الیائسة و الصغیرة و غیر ذلک من الدماء الفاقدة للشرائط فی المستثنیات، فالمتحصّل أنّ المتیقّن من معاقد الإجماعات فی مورد هذه القاعدة هو القسم الثالث</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علیها فیه 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باستقرار سیرة المتشرّعة علی جعل الدم الخارج من المخرج حیضاً ما لم یعلم کونه دماً آخر، بل علی ذلک بناء العرف قاطبة، و کما یجب الرجوع إلی العرف لاستعلام مراد الشارع من ألفاظه التی لم یثبت له فیها حقیقة شرعیّة، کذلک یجب الرجوع إلیه لاستعلام مصادیق ما علم </w:t>
      </w:r>
      <w:r>
        <w:rPr>
          <w:rStyle w:val="FootnoteAnchor"/>
          <w:rtl w:val="true"/>
        </w:rPr>
        <w:footnoteReference w:id="1801"/>
      </w:r>
      <w:r>
        <w:rPr>
          <w:rFonts w:ascii="IRNazanin" w:hAnsi="IRNazanin" w:eastAsia="IRNazanin"/>
          <w:color w:val="111111"/>
          <w:sz w:val="28"/>
          <w:sz w:val="28"/>
          <w:szCs w:val="28"/>
          <w:rtl w:val="true"/>
          <w:lang w:bidi="fa-IR"/>
        </w:rPr>
        <w:t>إرادته من ألفاظ الشارع إذا لم ینصب معرّفاً خاصّاً لمعرفة تلک المصادیق،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أنّ المراد منه الدم المخلوق فی الرحم لتربیة الولد فلا بدّ فی تمییز أنّ الخارج هو من ذلک الدم أو من دم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نصب ضابط ممیّز له عن غیره، و إمّا من إحالة ذلک إلی العرف، و الشارع و إن کشف هنا ببیان ما قرّر من شروط الحیض و موانعه عن عدم کون بعض الدماء حیضاً کالخارج عن الصغیرة و الیائسة و المنقطع قبل الثلاثة و المتجاوز للعشرة، إلّا أنّ ذلک ضابط غالبی لا یفی بتعیین جمیع ما هو الحیض، فعلم من اقتصاره</w:t>
      </w:r>
    </w:p>
    <w:p>
      <w:pPr>
        <w:pStyle w:val="BookText"/>
        <w:rPr/>
      </w:pPr>
      <w:r>
        <w:rPr>
          <w:rFonts w:ascii="IRNazanin" w:hAnsi="IRNazanin" w:eastAsia="IRNazanin"/>
          <w:color w:val="111111"/>
          <w:sz w:val="28"/>
          <w:sz w:val="28"/>
          <w:szCs w:val="28"/>
          <w:rtl w:val="true"/>
          <w:lang w:bidi="fa-IR"/>
        </w:rPr>
        <w:t>علی ذلک إحالة المکلّف علی ما بنی العرف علی کونه من ذلک الدم، و قد عرفت أنّ بناءهم علی أصالة الحیض فی الدماء الخارجة من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جریان هذا الوجه فی القسم الثانی أیضاً من أقسام الشکّ فی حیضیَّة الدم،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الشکّ فیها من جهة الشکّ فی شرطیّة أمر مفقود کالتوالی مثلًا، أو مانعیّة أمر موجود کالحمل،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بناء العرف علی کون الخارج الغیر المتوالی، أو الخارج من الحامل حیضاً مثلًا فإذا لم یصل إلینا من الشارع ما یقضی بخلافه، کان بناء العرف 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التمسّک بهذا الوجه من أصله لا یخلو عن نظر؛ بناءً علی أنّ المسلّم من بناء العرف هو فیما لو کان الدم بصفات الحیض و مع عدمه لا یظهر حکمهم بالحیضیَّة کما لا یخفی علی من سألهنّ عن علامات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فی روایة حفص بن البختری بعد ما سَمِعَتْ من الإمام علیه السلام صفات الحیض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کان امرأة ما زاد علی هذا </w:t>
      </w:r>
      <w:r>
        <w:rPr>
          <w:rStyle w:val="FootnoteAnchor"/>
          <w:rtl w:val="true"/>
        </w:rPr>
        <w:footnoteReference w:id="1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المرأة الأُخری فی روایة إسحاق بن جریر بعد ما سَمِعَتْ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الحیض لیس به خفاء، هو حارّ تجد له 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لمولاتها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ترینه کان امرأة</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وجه النظر فی السیرة المدّعاة علی هذا المطلب، فلا یبقی ممّا یدلّ علی قاعدة الإمکان فی فاقد الصفات عدا إطلاق معاقد الإجماعات و بعض الأخبار المتقدّمة مع الإغماض عمّا یرد علیها، بل لا یبعد دعوی انصراف الدم فی تلک الإطلاقات إلی ما وجد فیه صفات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 کما یشهد به جعل الصفرة فی مقابل الدم فی جملة من الروایات،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 عدم الانصراف فیها کانت هی و الإجماعات المنقولة معارضةً أو موهونةً بالأخبار الدالّة علی الصفات و علی أنّ الفاقد لها استحاضة، کالأخبار المتقدّمة فی أوّل المسألة عند تعرّض المصنّف قدّس سرّه لتحدید الحیض، و کالدالّة علی أنّ الصفرة فی غیر أیّام الحیض لیس حیضاً، مثل قوله علیه السلام فی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علی التفصیل فیما تراه الحامل بین کونه عبیطاً و عدمه </w:t>
      </w:r>
      <w:r>
        <w:rPr>
          <w:rStyle w:val="FootnoteAnchor"/>
          <w:rtl w:val="true"/>
        </w:rPr>
        <w:footnoteReference w:id="1805"/>
      </w:r>
      <w:r>
        <w:rPr>
          <w:rFonts w:ascii="IRNazanin" w:hAnsi="IRNazanin" w:eastAsia="IRNazanin"/>
          <w:color w:val="111111"/>
          <w:sz w:val="28"/>
          <w:sz w:val="28"/>
          <w:szCs w:val="28"/>
          <w:rtl w:val="true"/>
          <w:lang w:bidi="fa-IR"/>
        </w:rPr>
        <w:t xml:space="preserve">، و نحو ذلک، و مع التعارض و التساقط فالمرجع إلی استصحاب أحکام الطاهر؛ لأنّ أصالة عدم الحیض فی بعض الصور أعنی ما إذا رأت الدم أوّلًا معارض بأصالة بقاء الحیض فیما إذا رأت الدم المشکوک بعد تحقّق المتیقّن لعادة أو غیرها، و الرجوع إلی عموم أدلّة أو أمر العبادة و نحوها غیر صحیح بعد العلم بخروج الحائض عن موضوعها، و تحقّق الاشتباه فی المقام فی مصداق الحائض و الطاهر، فلا مناص عن الرجوع إلی ما ذکرنا من الاستصحاب؛ و لذلک کلّه أو بعضه منع صاحب المدارک </w:t>
      </w:r>
      <w:r>
        <w:rPr>
          <w:rStyle w:val="FootnoteAnchor"/>
          <w:rtl w:val="true"/>
        </w:rPr>
        <w:footnoteReference w:id="1806"/>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1807"/>
      </w:r>
      <w:r>
        <w:rPr>
          <w:rFonts w:ascii="IRNazanin" w:hAnsi="IRNazanin" w:eastAsia="IRNazanin"/>
          <w:color w:val="111111"/>
          <w:sz w:val="28"/>
          <w:sz w:val="28"/>
          <w:szCs w:val="28"/>
          <w:rtl w:val="true"/>
          <w:lang w:bidi="fa-IR"/>
        </w:rPr>
        <w:t xml:space="preserve">عن جریان القاعدة فی فاقد الصفات بعد أن استشکل شیخه الأردبیلی </w:t>
      </w:r>
      <w:r>
        <w:rPr>
          <w:rStyle w:val="FootnoteAnchor"/>
          <w:rtl w:val="true"/>
        </w:rPr>
        <w:footnoteReference w:id="1808"/>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1809"/>
      </w:r>
      <w:r>
        <w:rPr>
          <w:rFonts w:ascii="IRNazanin" w:hAnsi="IRNazanin" w:eastAsia="IRNazanin"/>
          <w:color w:val="111111"/>
          <w:sz w:val="28"/>
          <w:sz w:val="28"/>
          <w:szCs w:val="28"/>
          <w:rtl w:val="true"/>
          <w:lang w:bidi="fa-IR"/>
        </w:rPr>
        <w:t>فی الحکم لولا الإجماع، و ما أبعد ما بینه و بین من</w:t>
      </w:r>
      <w:bookmarkStart w:id="178" w:name="pg13039_115437"/>
    </w:p>
    <w:p>
      <w:pPr>
        <w:pStyle w:val="BookText"/>
        <w:rPr/>
      </w:pPr>
      <w:bookmarkEnd w:id="178"/>
      <w:r>
        <w:rPr>
          <w:rFonts w:ascii="IRNazanin" w:hAnsi="IRNazanin" w:eastAsia="IRNazanin"/>
          <w:color w:val="111111"/>
          <w:sz w:val="28"/>
          <w:sz w:val="28"/>
          <w:szCs w:val="28"/>
          <w:rtl w:val="true"/>
          <w:lang w:bidi="fa-IR"/>
        </w:rPr>
        <w:t>أجراها فی جمیع الأقسام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أنّ الخروج عمّا علیه الأصحاب مشکل، و الأخبار المتقدّمة فی صفات الحیض </w:t>
      </w:r>
      <w:r>
        <w:rPr>
          <w:rStyle w:val="FootnoteAnchor"/>
          <w:rtl w:val="true"/>
        </w:rPr>
        <w:footnoteReference w:id="1810"/>
      </w:r>
      <w:r>
        <w:rPr>
          <w:rFonts w:ascii="IRNazanin" w:hAnsi="IRNazanin" w:eastAsia="IRNazanin"/>
          <w:color w:val="111111"/>
          <w:sz w:val="28"/>
          <w:sz w:val="28"/>
          <w:szCs w:val="28"/>
          <w:rtl w:val="true"/>
          <w:lang w:bidi="fa-IR"/>
        </w:rPr>
        <w:t>قد عرفت فی أوّل الباب اختصاص دلالتها علی العدم عند العدم بصورة استمرار الدم المعبّر عنه عرفاً و فی الأخبار بالاستحاضة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الحامل من اعتبار الصفة فهو مسلّم، لما مرّ من أنّه لا تتحیّض غیر ذات العادة بمجرّد الرؤیة إلّا مع اتّصاف الدم بصفات الحیض، بل یحتمل أن یکون الحکم فی الحامل کذلک و لو کانت معتادة؛ لعدم ثبوت الإجماع المرکّب بین الحامل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دلّ علی أنّ الصفرة فی غیر أیّام الحیض لیس حیضاً </w:t>
      </w:r>
      <w:r>
        <w:rPr>
          <w:rStyle w:val="FootnoteAnchor"/>
          <w:rtl w:val="true"/>
        </w:rPr>
        <w:footnoteReference w:id="1811"/>
      </w:r>
      <w:r>
        <w:rPr>
          <w:rFonts w:ascii="IRNazanin" w:hAnsi="IRNazanin" w:eastAsia="IRNazanin"/>
          <w:color w:val="111111"/>
          <w:sz w:val="28"/>
          <w:sz w:val="28"/>
          <w:szCs w:val="28"/>
          <w:rtl w:val="true"/>
          <w:lang w:bidi="fa-IR"/>
        </w:rPr>
        <w:t>فهو محمول علی ما بعد الاستظهار،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یتحیّض بها کما سیجی‌ء، و التخصیص بالصفرة إنّما هو لوقوعها فی مورد السؤال لا لخصوصیّة فی الصفرة،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یترتّب علی قاعدة الإمکان أنّه</w:t>
      </w:r>
    </w:p>
    <w:p>
      <w:pPr>
        <w:pStyle w:val="Heading6"/>
        <w:numPr>
          <w:ilvl w:val="5"/>
          <w:numId w:val="1"/>
        </w:numPr>
        <w:rPr/>
      </w:pPr>
      <w:bookmarkStart w:id="179" w:name="__RefHeading___Toc6451992_3224264995"/>
      <w:bookmarkStart w:id="180" w:name="_Toc67"/>
      <w:bookmarkEnd w:id="179"/>
      <w:r>
        <w:rPr>
          <w:rtl w:val="true"/>
        </w:rPr>
        <w:t>[</w:t>
      </w:r>
      <w:r>
        <w:rPr>
          <w:rtl w:val="true"/>
        </w:rPr>
        <w:t>لو رأت الدم ثلاثة أیّام و انقطع ثمّ رأت یوم العاشر</w:t>
      </w:r>
      <w:r>
        <w:rPr>
          <w:rtl w:val="true"/>
        </w:rPr>
        <w:t>]</w:t>
      </w:r>
      <w:bookmarkEnd w:id="18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کان حیضاً و إن لم یکن بالصفات،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ثمّ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العاشر أیضاً حیضاً بلا خلاف ظاهراً، کما تقدّم </w:t>
      </w:r>
      <w:r>
        <w:rPr>
          <w:rStyle w:val="FootnoteAnchor"/>
          <w:rtl w:val="true"/>
        </w:rPr>
        <w:footnoteReference w:id="1812"/>
      </w:r>
      <w:r>
        <w:rPr>
          <w:rFonts w:ascii="IRNazanin" w:hAnsi="IRNazanin" w:eastAsia="IRNazanin"/>
          <w:color w:val="111111"/>
          <w:sz w:val="28"/>
          <w:sz w:val="28"/>
          <w:szCs w:val="28"/>
          <w:rtl w:val="true"/>
          <w:lang w:bidi="fa-IR"/>
        </w:rPr>
        <w:t>عن الخلاف و التذکرة؛ لإمکان کونه حیضاً، و الأخبار به فی الجملة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المبتدأة من وجوب انتظارها العشرة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1814"/>
      </w:r>
      <w:r>
        <w:rPr>
          <w:rFonts w:ascii="IRNazanin" w:hAnsi="IRNazanin" w:eastAsia="IRNazanin"/>
          <w:color w:val="111111"/>
          <w:sz w:val="28"/>
          <w:sz w:val="28"/>
          <w:szCs w:val="28"/>
          <w:rtl w:val="true"/>
          <w:lang w:bidi="fa-IR"/>
        </w:rPr>
        <w:t>من روایتی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تراه قبل العشرة فهو من الحیضة الأُولی، و ما تراه بعدها فهو من الحیضة المستقبلة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إطلاقها کإطلاق معاقد الإجماع یشمل ما لو رأت المعتادة الدم بغیر صفات الحیض متجاوزاً عن عادتها، و لو لا الإجماع لأشکل الحکم فی هذا الفرض من جهة ما دلّ من المستفیضة علی أنّ الصفرة بعد أیّام الحیض لیس حیضاً </w:t>
      </w:r>
      <w:r>
        <w:rPr>
          <w:rStyle w:val="FootnoteAnchor"/>
          <w:rtl w:val="true"/>
        </w:rPr>
        <w:footnoteReference w:id="1815"/>
      </w:r>
      <w:r>
        <w:rPr>
          <w:rFonts w:ascii="IRNazanin" w:hAnsi="IRNazanin" w:eastAsia="IRNazanin"/>
          <w:color w:val="111111"/>
          <w:sz w:val="28"/>
          <w:sz w:val="28"/>
          <w:szCs w:val="28"/>
          <w:rtl w:val="true"/>
          <w:lang w:bidi="fa-IR"/>
        </w:rPr>
        <w:t>، إلّا أن یراد بها ما ذکرنا سابقاً من عدم التحیّض بالصفرة بعد الاستظهار، و قد عرفت أنّه محلّ تأمّل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عرفت </w:t>
      </w:r>
      <w:r>
        <w:rPr>
          <w:rStyle w:val="FootnoteAnchor"/>
          <w:rtl w:val="true"/>
        </w:rPr>
        <w:footnoteReference w:id="1816"/>
      </w:r>
      <w:r>
        <w:rPr>
          <w:rFonts w:ascii="IRNazanin" w:hAnsi="IRNazanin" w:eastAsia="IRNazanin"/>
          <w:color w:val="111111"/>
          <w:sz w:val="28"/>
          <w:sz w:val="28"/>
          <w:szCs w:val="28"/>
          <w:rtl w:val="true"/>
          <w:lang w:bidi="fa-IR"/>
        </w:rPr>
        <w:t>سابقاً من الإجمال فی المعتبرة فی روایتی ابن مسلم؛ لتردّدها بین إرادة العشرة من مبدأ الحیض و العشرة من مبدأ الطهر، إلّا أن یعیّن الاولی فی الفقرة الأُولی و الثانیة فی الثانیة بقرینة الإجماع علی أنّ الطهر لا ینقص عن عشرة و إن کان فیه مخالفة لما هو الظاهر من اتّحاد العشرة فی الفقرتین، أو یراد بالعشرة فی الفقرتین العشرة من مبدأ الحیض، و یقیّد إطلاق الثانیة بما إذا تخلّل بینهما أقلّ الطهر، و قد جمع المصنّف قدّس سرّه بین الاستدلال بالفقرة الأُولی لما نحن فیه و بالثانیة لاعتبار العشرة فی أقلّ الطهر، 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توضیح المطلب فیما تراه المعتادة بعد العادة فی مسألة الاستظهار إن شاء اللّٰه</w:t>
      </w:r>
      <w:r>
        <w:rPr>
          <w:rFonts w:eastAsia="IRNazanin" w:cs="IRNazanin"/>
          <w:color w:val="111111"/>
          <w:sz w:val="28"/>
          <w:szCs w:val="28"/>
          <w:rtl w:val="true"/>
          <w:lang w:bidi="fa-IR"/>
        </w:rPr>
        <w:t>.</w:t>
      </w:r>
      <w:bookmarkStart w:id="181" w:name="pg13039_115439"/>
    </w:p>
    <w:p>
      <w:pPr>
        <w:pStyle w:val="BookText"/>
        <w:rPr/>
      </w:pPr>
      <w:bookmarkEnd w:id="181"/>
      <w:r>
        <w:rPr>
          <w:rFonts w:ascii="IRNazanin" w:hAnsi="IRNazanin" w:eastAsia="IRNazanin"/>
          <w:color w:val="111111"/>
          <w:sz w:val="28"/>
          <w:sz w:val="28"/>
          <w:szCs w:val="28"/>
          <w:rtl w:val="true"/>
          <w:lang w:bidi="fa-IR"/>
        </w:rPr>
        <w:t xml:space="preserve">و حیث فرضنا کون العاشر حیضاً و عرفت سابقاً أنّ الطهر لا ینقص عن عشرة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الملفّقة فی فرض المتن من أیّام الدم و أیّام النقاء مجموعها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لو انقطع الدم لما دون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دمین فصاعداً فی العشرة تخلّلها نقاء و حکم فی الأوّل بکونه حیضاً فالمجموع من أیّام الدم و النقاء بینها حیض</w:t>
      </w:r>
      <w:r>
        <w:rPr>
          <w:rFonts w:eastAsia="IRNazanin" w:cs="IRNazanin"/>
          <w:color w:val="111111"/>
          <w:sz w:val="28"/>
          <w:szCs w:val="28"/>
          <w:rtl w:val="true"/>
          <w:lang w:bidi="fa-IR"/>
        </w:rPr>
        <w:t>.</w:t>
      </w:r>
    </w:p>
    <w:p>
      <w:pPr>
        <w:pStyle w:val="Heading6"/>
        <w:numPr>
          <w:ilvl w:val="5"/>
          <w:numId w:val="1"/>
        </w:numPr>
        <w:rPr/>
      </w:pPr>
      <w:bookmarkStart w:id="182" w:name="__RefHeading___Toc6451994_3224264995"/>
      <w:bookmarkStart w:id="183" w:name="_Toc68"/>
      <w:bookmarkEnd w:id="182"/>
      <w:r>
        <w:rPr>
          <w:rtl w:val="true"/>
        </w:rPr>
        <w:t>[</w:t>
      </w:r>
      <w:r>
        <w:rPr>
          <w:rtl w:val="true"/>
        </w:rPr>
        <w:t>وجوب الاستظهار عند الانقطاع لدون العشرة فی المعتادة</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طلب براءة الرحم من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ظاهر المحکی عن الذخیرة نسبته إلی الأصحاب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عدم الخلاف فیه </w:t>
      </w:r>
      <w:r>
        <w:rPr>
          <w:rStyle w:val="FootnoteAnchor"/>
          <w:rtl w:val="true"/>
        </w:rPr>
        <w:footnoteReference w:id="1818"/>
      </w:r>
      <w:r>
        <w:rPr>
          <w:rFonts w:ascii="IRNazanin" w:hAnsi="IRNazanin" w:eastAsia="IRNazanin"/>
          <w:color w:val="111111"/>
          <w:sz w:val="28"/>
          <w:sz w:val="28"/>
          <w:szCs w:val="28"/>
          <w:rtl w:val="true"/>
          <w:lang w:bidi="fa-IR"/>
        </w:rPr>
        <w:t xml:space="preserve">، لکن عن الاقتصاد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Style w:val="FootnoteAnchor"/>
          <w:rtl w:val="true"/>
        </w:rPr>
        <w:footnoteReference w:id="1819"/>
      </w:r>
      <w:r>
        <w:rPr>
          <w:rFonts w:ascii="IRNazanin" w:hAnsi="IRNazanin" w:eastAsia="IRNazanin"/>
          <w:color w:val="111111"/>
          <w:sz w:val="28"/>
          <w:sz w:val="28"/>
          <w:szCs w:val="28"/>
          <w:rtl w:val="true"/>
          <w:lang w:bidi="fa-IR"/>
        </w:rPr>
        <w:t>، و لا یبعد إرادة الوجوب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بالأخبار المستفیضة، ففی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الحائض أن تغتسل فلتستدخل قطنة، فإن خرج فیها شی‌ء من الدم فلا تغتسل، و إن لم ترَ شیئاً فلتغتسل، فإن رأت بعد ذلک صفرة فلتتوضّأ و لتصلّ</w:t>
      </w:r>
      <w:r>
        <w:rPr>
          <w:rFonts w:eastAsia="IRNazanin" w:cs="IRNazanin"/>
          <w:color w:val="111111"/>
          <w:sz w:val="28"/>
          <w:szCs w:val="28"/>
          <w:rtl w:val="true"/>
          <w:lang w:bidi="fa-IR"/>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انقطع عنها الدم فلا تدری أ طهرت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قائمة و تلزق بطنها بحائط و تستدخل قطنة بیضاء و ترفع رجلها الیمنی، فإن خرج علی القطنة مثل رأس الذباب دم عبیط لم تطهر،</w:t>
      </w:r>
    </w:p>
    <w:p>
      <w:pPr>
        <w:pStyle w:val="BookText"/>
        <w:rPr/>
      </w:pPr>
      <w:r>
        <w:rPr>
          <w:rFonts w:ascii="IRNazanin" w:hAnsi="IRNazanin" w:eastAsia="IRNazanin"/>
          <w:color w:val="111111"/>
          <w:sz w:val="28"/>
          <w:sz w:val="28"/>
          <w:szCs w:val="28"/>
          <w:rtl w:val="true"/>
          <w:lang w:bidi="fa-IR"/>
        </w:rPr>
        <w:t>و إن لم یخرج فقد طهرت تغتسل و تصلیّ</w:t>
      </w:r>
      <w:r>
        <w:rPr>
          <w:rFonts w:eastAsia="IRNazanin" w:cs="IRNazanin"/>
          <w:color w:val="111111"/>
          <w:sz w:val="28"/>
          <w:szCs w:val="28"/>
          <w:rtl w:val="true"/>
          <w:lang w:bidi="fa-IR"/>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شرحبیل الکندی،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الطامث طهرها؟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برجلها الیسری علی الحائط و تستدخل الکرسف بیدها الیمنی، فإن کان ثمّة مثل رأس الذباب خرج علی الکرسف</w:t>
      </w:r>
      <w:r>
        <w:rPr>
          <w:rFonts w:eastAsia="IRNazanin" w:cs="IRNazanin"/>
          <w:color w:val="111111"/>
          <w:sz w:val="28"/>
          <w:szCs w:val="28"/>
          <w:rtl w:val="true"/>
          <w:lang w:bidi="fa-IR"/>
        </w:rPr>
        <w:t xml:space="preserve">» </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1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الطهر و تری الصفرة أو الشی‌ء فلا تدری أ طهرت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فلتقم فلتلصق بطنها إلی حائط و ترفع رجلها علی حائط کما رأیت الکلب یصنع إذا أراد أن یبول، ثمّ تستدخل الکرسف، فإن کان ثمّة من الدم مثل رأس الذباب خرج فلم تطهر، و إن لم یخرج فقد طهرت</w:t>
      </w:r>
      <w:r>
        <w:rPr>
          <w:rFonts w:eastAsia="IRNazanin" w:cs="IRNazanin"/>
          <w:color w:val="111111"/>
          <w:sz w:val="28"/>
          <w:szCs w:val="28"/>
          <w:rtl w:val="true"/>
          <w:lang w:bidi="fa-IR"/>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رأت الصفرة أو شیئاً من الدم فعلیها أن تلصق بطنها إلی الحائط و ترفع رجلها الیسری کما تری الکلب إذا بال و تدخل قطنة فإن خرج فیها دم فهی حائض و إن لم یخرج فلیست بحائض</w:t>
      </w:r>
      <w:r>
        <w:rPr>
          <w:rFonts w:eastAsia="IRNazanin" w:cs="IRNazanin"/>
          <w:color w:val="111111"/>
          <w:sz w:val="28"/>
          <w:szCs w:val="28"/>
          <w:rtl w:val="true"/>
          <w:lang w:bidi="fa-IR"/>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أنّه لولا فتوی الأصحاب بالوجوب کان استفادته من هذه الأخبار مشکلة؛ لأنّ بعضها مسوق لبیان وجوب ذلک عند إرادة الاغتسال لئلّا یظهر الدم فیلغو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الاشتراط شرعاً، إمّا لأنّ الأصل بقاء الحیض، و إمّا لتحصیل الجزم ببراءة الرحم تعبّداً و إن قلنا بأصالة عدم حدوث دمٍ فی الرحم و عدم جریان أصالة البقاء فی الأُمور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مسوق لبیان کیفیّة استعلام براءة الرحم من غیر تعرّض لوجوبه، و الظاهر أنّ موثّقة سماعة أیضاً من هذا القبیل، و إن کان یتراءی منها الوجوب، بل و کذلک الرضوی، فالعمدة فهم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یؤیّد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أمثال المقام من الشبهات الموضوعیّة التی لا تعلم غالباً إلّا بالفحص هو وجوب الفحص، کما تقدّم فی وجوب الاستعلام لمن اشتبه علیها الحیض بالعذرة أو القرحة و إن قلنا بأنّ الأصل فی الشبهة الموضوعیّة العمل بالأُصول من دون فحص،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النصوص و الفتاوی أنّ وجوب الاستبراء إنّما هو مع احتمال وجود الدم، فلو علمت بعدمه و لو لأجل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قطعیّة لم یجب، کما لا یجب </w:t>
      </w:r>
      <w:r>
        <w:rPr>
          <w:rStyle w:val="FootnoteAnchor"/>
          <w:rtl w:val="true"/>
        </w:rPr>
        <w:footnoteReference w:id="1826"/>
      </w:r>
      <w:r>
        <w:rPr>
          <w:rFonts w:ascii="IRNazanin" w:hAnsi="IRNazanin" w:eastAsia="IRNazanin"/>
          <w:color w:val="111111"/>
          <w:sz w:val="28"/>
          <w:sz w:val="28"/>
          <w:szCs w:val="28"/>
          <w:rtl w:val="true"/>
          <w:lang w:bidi="fa-IR"/>
        </w:rPr>
        <w:t>إذا علمت بعدم الانقطاع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الاعتماد علی العادة الظنّیة إشکال، أقربه وجوب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وجوب الاستبراء إنّما هو من باب المقدّمة للعبادة المشروطة بالطهارة، فلا تجب إلّا بوجوبها، و لیس شرطاً فی صحّة الغسل إلّا لأجل أنّ الأمر بالغسل إنّما یتوجّه علی الطاهر من الحیض، و یتوقّف معرفة کون المرأة کذلک علی الاستبراء؛ إذ الأصل بقاء الحیض و عدم انقطاعه، و لا إشکال فی عدم صحّة الغسل بدون الاستبراء حینئذٍ</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نسیت الاستبراء و اغتسلت، ثمّ تبیّن طهرها زمان الاغتسال</w:t>
      </w:r>
    </w:p>
    <w:p>
      <w:pPr>
        <w:pStyle w:val="BookText"/>
        <w:rPr/>
      </w:pPr>
      <w:r>
        <w:rPr>
          <w:rFonts w:ascii="IRNazanin" w:hAnsi="IRNazanin" w:eastAsia="IRNazanin"/>
          <w:color w:val="111111"/>
          <w:sz w:val="28"/>
          <w:sz w:val="28"/>
          <w:szCs w:val="28"/>
          <w:rtl w:val="true"/>
          <w:lang w:bidi="fa-IR"/>
        </w:rPr>
        <w:t>صحّ الغسل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قلنا بعدم جریان الأصل فی الأُمور التدریجیّة الحادثة شیئاً فشیئاً، بل الأصل فیها عدم حدوث الزائد علی ما علم حدوثه، کان الأصل فی المقام عدم حدوث دم الحیض بعد ذلک، و یکفی ذلک فی صحّة الاغتسال، إلّا أنّ الأخبار المتقدّمة ظاهرة فی عدم جواز الاغتسال؛ اعتماداً علی الأصل المذکور من دون 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کما عرفت سابقاً کون الأمر فیها للإرشاد؛ لئلّا یقع الغسل و ما یترتّب علیه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ما ذکرنا من جریان أصالة بقاء الحیض أو أصالة عدمه، أنّه لو تعذّر الاستبراء استمرّت علی ترک العبادة حتّی تقطع بالطهر علی الأوّل، و اغتسلت و فعلت العبادة علی الثانی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کیفیّة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تستدخل قطنة بأیّ وجهٍ اتّفق، علی ما عن الهدایة </w:t>
      </w:r>
      <w:r>
        <w:rPr>
          <w:rStyle w:val="FootnoteAnchor"/>
          <w:rtl w:val="true"/>
        </w:rPr>
        <w:footnoteReference w:id="1827"/>
      </w:r>
      <w:r>
        <w:rPr>
          <w:rFonts w:ascii="Amiri" w:hAnsi="Amiri" w:eastAsia="Amiri" w:cs="Amiri"/>
          <w:color w:val="111111"/>
          <w:sz w:val="28"/>
          <w:sz w:val="28"/>
          <w:szCs w:val="28"/>
          <w:rtl w:val="true"/>
          <w:lang w:bidi="ar-SA"/>
        </w:rPr>
        <w:t xml:space="preserve">و المقنعة </w:t>
      </w:r>
      <w:r>
        <w:rPr>
          <w:rStyle w:val="FootnoteAnchor"/>
          <w:rtl w:val="true"/>
        </w:rPr>
        <w:footnoteReference w:id="1828"/>
      </w:r>
      <w:r>
        <w:rPr>
          <w:rFonts w:ascii="IRNazanin" w:hAnsi="IRNazanin" w:eastAsia="IRNazanin"/>
          <w:color w:val="111111"/>
          <w:sz w:val="28"/>
          <w:sz w:val="28"/>
          <w:szCs w:val="28"/>
          <w:rtl w:val="true"/>
          <w:lang w:bidi="fa-IR"/>
        </w:rPr>
        <w:t xml:space="preserve">و المبسوط </w:t>
      </w:r>
      <w:r>
        <w:rPr>
          <w:rStyle w:val="FootnoteAnchor"/>
          <w:rtl w:val="true"/>
        </w:rPr>
        <w:footnoteReference w:id="1829"/>
      </w:r>
      <w:r>
        <w:rPr>
          <w:rFonts w:ascii="IRNazanin" w:hAnsi="IRNazanin" w:eastAsia="IRNazanin"/>
          <w:color w:val="111111"/>
          <w:sz w:val="28"/>
          <w:sz w:val="28"/>
          <w:szCs w:val="28"/>
          <w:rtl w:val="true"/>
          <w:lang w:bidi="fa-IR"/>
        </w:rPr>
        <w:t xml:space="preserve">و المراسم </w:t>
      </w:r>
      <w:r>
        <w:rPr>
          <w:rStyle w:val="FootnoteAnchor"/>
          <w:rtl w:val="true"/>
        </w:rPr>
        <w:footnoteReference w:id="1830"/>
      </w:r>
      <w:r>
        <w:rPr>
          <w:rFonts w:ascii="Amiri" w:hAnsi="Amiri" w:eastAsia="Amiri" w:cs="Amiri"/>
          <w:color w:val="111111"/>
          <w:sz w:val="28"/>
          <w:sz w:val="28"/>
          <w:szCs w:val="28"/>
          <w:rtl w:val="true"/>
          <w:lang w:bidi="ar-SA"/>
        </w:rPr>
        <w:t xml:space="preserve">و المهذّب </w:t>
      </w:r>
      <w:r>
        <w:rPr>
          <w:rStyle w:val="FootnoteAnchor"/>
          <w:rtl w:val="true"/>
        </w:rPr>
        <w:footnoteReference w:id="1831"/>
      </w:r>
      <w:r>
        <w:rPr>
          <w:rFonts w:ascii="IRNazanin" w:hAnsi="IRNazanin" w:eastAsia="IRNazanin"/>
          <w:color w:val="111111"/>
          <w:sz w:val="28"/>
          <w:sz w:val="28"/>
          <w:szCs w:val="28"/>
          <w:rtl w:val="true"/>
          <w:lang w:bidi="fa-IR"/>
        </w:rPr>
        <w:t xml:space="preserve">و الکافی </w:t>
      </w:r>
      <w:r>
        <w:rPr>
          <w:rStyle w:val="FootnoteAnchor"/>
          <w:rtl w:val="true"/>
        </w:rPr>
        <w:footnoteReference w:id="1832"/>
      </w:r>
      <w:r>
        <w:rPr>
          <w:rFonts w:ascii="IRNazanin" w:hAnsi="IRNazanin" w:eastAsia="IRNazanin"/>
          <w:color w:val="111111"/>
          <w:sz w:val="28"/>
          <w:sz w:val="28"/>
          <w:szCs w:val="28"/>
          <w:rtl w:val="true"/>
          <w:lang w:bidi="fa-IR"/>
        </w:rPr>
        <w:t xml:space="preserve">و الوسیلة </w:t>
      </w:r>
      <w:r>
        <w:rPr>
          <w:rStyle w:val="FootnoteAnchor"/>
          <w:rtl w:val="true"/>
        </w:rPr>
        <w:footnoteReference w:id="1833"/>
      </w:r>
      <w:r>
        <w:rPr>
          <w:rFonts w:ascii="IRNazanin" w:hAnsi="IRNazanin" w:eastAsia="IRNazanin"/>
          <w:color w:val="111111"/>
          <w:sz w:val="28"/>
          <w:sz w:val="28"/>
          <w:szCs w:val="28"/>
          <w:rtl w:val="true"/>
          <w:lang w:bidi="fa-IR"/>
        </w:rPr>
        <w:t xml:space="preserve">و الجامع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المشهور؛ عملًا بإطلاق صحیحة ابن مسلم المتقدّمة </w:t>
      </w:r>
      <w:r>
        <w:rPr>
          <w:rStyle w:val="FootnoteAnchor"/>
          <w:rtl w:val="true"/>
        </w:rPr>
        <w:footnoteReference w:id="1835"/>
      </w:r>
      <w:r>
        <w:rPr>
          <w:rFonts w:ascii="IRNazanin" w:hAnsi="IRNazanin" w:eastAsia="IRNazanin"/>
          <w:color w:val="111111"/>
          <w:sz w:val="28"/>
          <w:sz w:val="28"/>
          <w:szCs w:val="28"/>
          <w:rtl w:val="true"/>
          <w:lang w:bidi="fa-IR"/>
        </w:rPr>
        <w:t xml:space="preserve">لأنّ غیرها من الأخبار لا یصلح لتقییدها؛ لضعف سند بعضها، و دلالة آخر، و معارضة بعضها مع بعض، مع ورود الصحیحة فی مقام البیان، فیبعد ترک القید إلّا أنّ العمل علیها أحوط، و یرجّح ما دلّ علی رفع الرجل الیسری </w:t>
      </w:r>
      <w:r>
        <w:rPr>
          <w:rStyle w:val="FootnoteAnchor"/>
          <w:rtl w:val="true"/>
        </w:rPr>
        <w:footnoteReference w:id="1836"/>
      </w:r>
      <w:r>
        <w:rPr>
          <w:rFonts w:ascii="Amiri" w:hAnsi="Amiri" w:eastAsia="Amiri" w:cs="Amiri"/>
          <w:color w:val="111111"/>
          <w:sz w:val="28"/>
          <w:sz w:val="28"/>
          <w:szCs w:val="28"/>
          <w:rtl w:val="true"/>
          <w:lang w:bidi="ar-SA"/>
        </w:rPr>
        <w:t>لتعدّده و قوّة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إذا أدخلت القطنة صبرت هنیئةً، کما فی الروض </w:t>
      </w:r>
      <w:r>
        <w:rPr>
          <w:rStyle w:val="FootnoteAnchor"/>
          <w:rtl w:val="true"/>
        </w:rPr>
        <w:footnoteReference w:id="1837"/>
      </w:r>
      <w:r>
        <w:rPr>
          <w:rFonts w:ascii="IRNazanin" w:hAnsi="IRNazanin" w:eastAsia="IRNazanin"/>
          <w:color w:val="111111"/>
          <w:sz w:val="28"/>
          <w:sz w:val="28"/>
          <w:szCs w:val="28"/>
          <w:rtl w:val="true"/>
          <w:lang w:bidi="fa-IR"/>
        </w:rPr>
        <w:t>، لکن النصوص و سائر الفتاوی خالیة عن ذلک، و لعلّه المتعارف عند النساء فی مقام الاستعلام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دعوی انفهامه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 القطنة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الدم و لو کان صفرة، بناءً علی ما تقدّم من عدم الفرق فیما تجده فی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علیها الغسل عند وجوب مشروطه، و لا یجب علیها الاستظهار و إن احتمل حدوث الدم فیما بعد، بلا خلاف ظاهراً إلّا عن المصنّف قدّس سرّه فی المختلف علی ما نسبه إلیه الشهیدان </w:t>
      </w:r>
      <w:r>
        <w:rPr>
          <w:rStyle w:val="FootnoteAnchor"/>
          <w:rtl w:val="true"/>
        </w:rPr>
        <w:footnoteReference w:id="1838"/>
      </w:r>
      <w:r>
        <w:rPr>
          <w:rFonts w:ascii="IRNazanin" w:hAnsi="IRNazanin" w:eastAsia="IRNazanin"/>
          <w:color w:val="111111"/>
          <w:sz w:val="28"/>
          <w:sz w:val="28"/>
          <w:szCs w:val="28"/>
          <w:rtl w:val="true"/>
          <w:lang w:bidi="fa-IR"/>
        </w:rPr>
        <w:t xml:space="preserve">، و لکنّ المصرّح به فی کشف اللثام </w:t>
      </w:r>
      <w:r>
        <w:rPr>
          <w:rStyle w:val="FootnoteAnchor"/>
          <w:rtl w:val="true"/>
        </w:rPr>
        <w:footnoteReference w:id="1839"/>
      </w:r>
      <w:r>
        <w:rPr>
          <w:rFonts w:ascii="IRNazanin" w:hAnsi="IRNazanin" w:eastAsia="IRNazanin"/>
          <w:color w:val="111111"/>
          <w:sz w:val="28"/>
          <w:sz w:val="28"/>
          <w:szCs w:val="28"/>
          <w:rtl w:val="true"/>
          <w:lang w:bidi="fa-IR"/>
        </w:rPr>
        <w:t>أنّه توهّم، و سیجی‌ء کلام المختلف لأصالة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هنا أصالة بقاء الحیض و إن قلنا بجریانه فی التدریجیّات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تیقّن العود لعادة قطعیّة لم ینفع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ظنّت العود لعادة أو نحوها فالأقوی إلحاقه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المحکیّ عن الدروس الاستظهار هنا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یؤیّد بلزوم الحرج لو وجب الغسل و العبادة بمجرّد احتمال العود و لو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الفرق بین الظنّ الحاصل من العادة و غیره، کما یظهر من صاحبی المدارک و الذخیرة، و جزم به جماعة ممّن تأخّر عنهم، منهم المحقّق البهبهانی قدّس سرّه </w:t>
      </w:r>
      <w:r>
        <w:rPr>
          <w:rStyle w:val="FootnoteAnchor"/>
          <w:rtl w:val="true"/>
        </w:rPr>
        <w:footnoteReference w:id="1841"/>
      </w:r>
      <w:r>
        <w:rPr>
          <w:rFonts w:ascii="IRNazanin" w:hAnsi="IRNazanin" w:eastAsia="IRNazanin"/>
          <w:color w:val="111111"/>
          <w:sz w:val="28"/>
          <w:sz w:val="28"/>
          <w:szCs w:val="28"/>
          <w:rtl w:val="true"/>
          <w:lang w:bidi="fa-IR"/>
        </w:rPr>
        <w:t xml:space="preserve">، و علّله أکثرهم بلزوم الحرج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الاستدلال له بالأصل فی الثانی و عموم أدلّة ترک العبادة أیّام العادة علی ما هو المنساق منها </w:t>
      </w:r>
      <w:r>
        <w:rPr>
          <w:rStyle w:val="FootnoteAnchor"/>
          <w:rtl w:val="true"/>
        </w:rPr>
        <w:footnoteReference w:id="1843"/>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القطنة نقیّةً من الدم بأیّ لون اتّفق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دون العشرة، عن العبادة مدّة غیر معیّنة، کما یظهر من إطلاق الاستظهار فی بعض الأخبار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یوماً </w:t>
      </w:r>
      <w:r>
        <w:rPr>
          <w:rStyle w:val="FootnoteAnchor"/>
          <w:rtl w:val="true"/>
        </w:rPr>
        <w:footnoteReference w:id="1845"/>
      </w:r>
      <w:r>
        <w:rPr>
          <w:rFonts w:ascii="IRNazanin" w:hAnsi="IRNazanin" w:eastAsia="IRNazanin"/>
          <w:color w:val="111111"/>
          <w:sz w:val="28"/>
          <w:sz w:val="28"/>
          <w:szCs w:val="28"/>
          <w:rtl w:val="true"/>
          <w:lang w:bidi="fa-IR"/>
        </w:rPr>
        <w:t xml:space="preserve">واحداً کما فی بعض آخر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به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ثالث </w:t>
      </w:r>
      <w:r>
        <w:rPr>
          <w:rStyle w:val="FootnoteAnchor"/>
          <w:rtl w:val="true"/>
        </w:rPr>
        <w:footnoteReference w:id="1847"/>
      </w:r>
      <w:r>
        <w:rPr>
          <w:rFonts w:ascii="IRNazanin" w:hAnsi="IRNazanin" w:eastAsia="IRNazanin"/>
          <w:color w:val="111111"/>
          <w:sz w:val="28"/>
          <w:sz w:val="28"/>
          <w:szCs w:val="28"/>
          <w:rtl w:val="true"/>
          <w:lang w:bidi="fa-IR"/>
        </w:rPr>
        <w:t>، و لم نعثر له علی قائل عدا المصنّف قدّس سرّه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ثلاثة کما عن الصدوق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مخیّراً بین الأوّلین کما عن جملة من الکتب </w:t>
      </w:r>
      <w:r>
        <w:rPr>
          <w:rStyle w:val="FootnoteAnchor"/>
          <w:rtl w:val="true"/>
        </w:rPr>
        <w:footnoteReference w:id="1849"/>
      </w:r>
      <w:r>
        <w:rPr>
          <w:rFonts w:ascii="IRNazanin" w:hAnsi="IRNazanin" w:eastAsia="IRNazanin"/>
          <w:color w:val="111111"/>
          <w:sz w:val="28"/>
          <w:sz w:val="28"/>
          <w:szCs w:val="28"/>
          <w:rtl w:val="true"/>
          <w:lang w:bidi="fa-IR"/>
        </w:rPr>
        <w:t xml:space="preserve">، بل عن المشهور </w:t>
      </w:r>
      <w:r>
        <w:rPr>
          <w:rStyle w:val="FootnoteAnchor"/>
          <w:rtl w:val="true"/>
        </w:rPr>
        <w:footnoteReference w:id="1850"/>
      </w:r>
      <w:r>
        <w:rPr>
          <w:rFonts w:ascii="IRNazanin" w:hAnsi="IRNazanin" w:eastAsia="IRNazanin"/>
          <w:color w:val="111111"/>
          <w:sz w:val="28"/>
          <w:sz w:val="28"/>
          <w:szCs w:val="28"/>
          <w:rtl w:val="true"/>
          <w:lang w:bidi="fa-IR"/>
        </w:rPr>
        <w:t xml:space="preserve">لروایات کثیرة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بین الأخیرین کما فی بعض الروایات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بین الثلاثة کما فی روایة البزنطی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إلی العشرة کما فی عدّة روایات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ثلثی أیّامها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إشکال فی أصل مشروعیّته، و حکایة الاتّفاق علیه</w:t>
      </w:r>
    </w:p>
    <w:p>
      <w:pPr>
        <w:pStyle w:val="BookText"/>
        <w:rPr/>
      </w:pPr>
      <w:r>
        <w:rPr>
          <w:rFonts w:ascii="IRNazanin" w:hAnsi="IRNazanin" w:eastAsia="IRNazanin"/>
          <w:color w:val="111111"/>
          <w:sz w:val="28"/>
          <w:sz w:val="28"/>
          <w:szCs w:val="28"/>
          <w:rtl w:val="true"/>
          <w:lang w:bidi="fa-IR"/>
        </w:rPr>
        <w:t xml:space="preserve">مستفیضة </w:t>
      </w:r>
      <w:r>
        <w:rPr>
          <w:rStyle w:val="FootnoteAnchor"/>
          <w:rtl w:val="true"/>
        </w:rPr>
        <w:footnoteReference w:id="1855"/>
      </w:r>
      <w:r>
        <w:rPr>
          <w:rFonts w:ascii="IRNazanin" w:hAnsi="IRNazanin" w:eastAsia="IRNazanin"/>
          <w:color w:val="111111"/>
          <w:sz w:val="28"/>
          <w:sz w:val="28"/>
          <w:szCs w:val="28"/>
          <w:rtl w:val="true"/>
          <w:lang w:bidi="fa-IR"/>
        </w:rPr>
        <w:t>، مضافاً إلی الأخبار المستفیضة بل المتواترة،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المغیرة، عن رجل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أیّام المرأة عشرة لم تستظهر، فإن کانت أقلّ استظهرت</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یونس بن یعقوب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 النفساء أیّام حیضها التی کانت تحیض، ثمّ تستظهر و تغتسل و تصلیّ</w:t>
      </w:r>
      <w:r>
        <w:rPr>
          <w:rFonts w:eastAsia="IRNazanin" w:cs="IRNazanin"/>
          <w:color w:val="111111"/>
          <w:sz w:val="28"/>
          <w:szCs w:val="28"/>
          <w:rtl w:val="true"/>
          <w:lang w:bidi="fa-IR"/>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إسحاق بن جریر فی المرأة تحیض فتجوز أیّام حیضها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أیّام حیضها دون عشرة أیّام استظهرت بیوم واحد، ثمّ 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الدم یستمرّ بها الشهر و الشهرین و الثلاثة،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تجلس أیّام حیضها، تغتسل لکلّ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 مرسلة داود مولی أبی المغراء عمّن أخبره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تحیض ثمّ یمضی وقت طهرها و هی تری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إن کان حیضها دون العشرة أیّام، فإن استمرّ الدم فهی مستحاضة، و إن انقطع الدم اغتسلت و صلّت</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 xml:space="preserve">، لکن ذیلها کما سیجی‌ء </w:t>
      </w:r>
      <w:r>
        <w:rPr>
          <w:rStyle w:val="FootnoteAnchor"/>
          <w:rtl w:val="true"/>
        </w:rPr>
        <w:footnoteReference w:id="1860"/>
      </w:r>
      <w:r>
        <w:rPr>
          <w:rFonts w:ascii="IRNazanin" w:hAnsi="IRNazanin" w:eastAsia="IRNazanin"/>
          <w:color w:val="111111"/>
          <w:sz w:val="28"/>
          <w:sz w:val="28"/>
          <w:szCs w:val="28"/>
          <w:rtl w:val="true"/>
          <w:lang w:bidi="fa-IR"/>
        </w:rPr>
        <w:t>ظاهر فی عدم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زرارة و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تنظر بعض نسائها فتقتدی بأقرائها، ثمّ تستظهر علی ذلک بیوم</w:t>
      </w:r>
      <w:r>
        <w:rPr>
          <w:rFonts w:eastAsia="IRNazanin" w:cs="IRNazanin"/>
          <w:color w:val="111111"/>
          <w:sz w:val="28"/>
          <w:szCs w:val="28"/>
          <w:rtl w:val="true"/>
          <w:lang w:bidi="fa-IR"/>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مالک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النفساء یغشاها زوجها و هی فی نفاسها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له منذ یوم وضعت بقدر أیّام حیضها، ثمّ تستظهر بیوم فلا بأس أن یغشاها إن أحبّ</w:t>
      </w:r>
      <w:r>
        <w:rPr>
          <w:rFonts w:eastAsia="IRNazanin" w:cs="IRNazanin"/>
          <w:color w:val="111111"/>
          <w:sz w:val="28"/>
          <w:szCs w:val="28"/>
          <w:rtl w:val="true"/>
          <w:lang w:bidi="fa-IR"/>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النفساء أیّامها التی کانت تقعد فی الحیض و تستظهر بیومین</w:t>
      </w:r>
      <w:r>
        <w:rPr>
          <w:rFonts w:eastAsia="IRNazanin" w:cs="IRNazanin"/>
          <w:color w:val="111111"/>
          <w:sz w:val="28"/>
          <w:szCs w:val="28"/>
          <w:rtl w:val="true"/>
          <w:lang w:bidi="fa-IR"/>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متی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بقدر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تستظهر بیومین، فإن انقطع الدم و إلّا اغتسلت،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w:t>
      </w:r>
      <w:r>
        <w:rPr>
          <w:rFonts w:eastAsia="IRNazanin" w:cs="IRNazanin"/>
          <w:color w:val="111111"/>
          <w:sz w:val="28"/>
          <w:szCs w:val="28"/>
          <w:rtl w:val="true"/>
          <w:lang w:bidi="fa-IR"/>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تری الدم قبل وقت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قبل وقت حیضها فلتدع الصلاة، فإنّه ربما تعجل بها الوقت، فإن کان أکثر من أیّامها التی تحیض فیهنّ فلتتربّص ثلاثة أیّام بعد ما تمضی أیّامها، فإذا تربّصت ثلاثة أیّام و لم ینقطع الدم عنها فلتصنع کما تصنع المستحاضة</w:t>
      </w:r>
      <w:r>
        <w:rPr>
          <w:rFonts w:eastAsia="IRNazanin" w:cs="IRNazanin"/>
          <w:color w:val="111111"/>
          <w:sz w:val="28"/>
          <w:szCs w:val="28"/>
          <w:rtl w:val="true"/>
          <w:lang w:bidi="fa-IR"/>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موثّقته الأُخری،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رأت الدم فی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تقعد أیّامها التی کانت تحیض، فإذا زادت الدم علی الأیّام التی کانت تقعد استظهرت بثلاثة أیّام، ثمّ هی مستحاضة</w:t>
      </w:r>
      <w:r>
        <w:rPr>
          <w:rFonts w:eastAsia="IRNazanin" w:cs="IRNazanin"/>
          <w:color w:val="111111"/>
          <w:sz w:val="28"/>
          <w:szCs w:val="28"/>
          <w:rtl w:val="true"/>
          <w:lang w:bidi="fa-IR"/>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عمرو بن سعید عن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الطامث و حدّ جلوسها،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عدّة ما کانت تحیض، ثمّ تستظهر بثلاثة أیّام، ثمّ هی مستحاضة</w:t>
      </w:r>
      <w:r>
        <w:rPr>
          <w:rFonts w:eastAsia="IRNazanin" w:cs="IRNazanin"/>
          <w:color w:val="111111"/>
          <w:sz w:val="28"/>
          <w:szCs w:val="28"/>
          <w:rtl w:val="true"/>
          <w:lang w:bidi="fa-IR"/>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إسماعیل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تقعد أیّام أقرائها ثمّ تحتاط بیوم أو یومین، فإن رأت طهراً اغتسلت، و إن لم ترَ طهراً اغتسلت</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تکفّ عن الصلاة أیّام أقرائها و تحتاط بیوم أو اثنین، ثمّ تغتسل کلّ یوم و لیلة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 لها الصلاة حلّ لزوجها أن یغشاها</w:t>
      </w:r>
      <w:r>
        <w:rPr>
          <w:rFonts w:eastAsia="IRNazanin" w:cs="IRNazanin"/>
          <w:color w:val="111111"/>
          <w:sz w:val="28"/>
          <w:szCs w:val="28"/>
          <w:rtl w:val="true"/>
          <w:lang w:bidi="fa-IR"/>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مسلم، المرویّة عن المشیخة لابن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إذا رأت دماً بعد أیّامها التی تری الدم فیها فلتقعد عن الصلاة یوماً أو یومین</w:t>
      </w:r>
      <w:r>
        <w:rPr>
          <w:rFonts w:eastAsia="IRNazanin" w:cs="IRNazanin"/>
          <w:color w:val="111111"/>
          <w:sz w:val="28"/>
          <w:szCs w:val="28"/>
          <w:rtl w:val="true"/>
          <w:lang w:bidi="fa-IR"/>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تستظهر بیوم أو یومین</w:t>
      </w:r>
      <w:r>
        <w:rPr>
          <w:rFonts w:eastAsia="IRNazanin" w:cs="IRNazanin"/>
          <w:color w:val="111111"/>
          <w:sz w:val="28"/>
          <w:szCs w:val="28"/>
          <w:rtl w:val="true"/>
          <w:lang w:bidi="fa-IR"/>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الطامث تقعد بعدد أیّامها، کیف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أو یومین</w:t>
      </w:r>
      <w:r>
        <w:rPr>
          <w:rFonts w:eastAsia="IRNazanin" w:cs="IRNazanin"/>
          <w:color w:val="111111"/>
          <w:sz w:val="28"/>
          <w:szCs w:val="28"/>
          <w:rtl w:val="true"/>
          <w:lang w:bidi="fa-IR"/>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المستحاضة، أ یطؤها زوجها؟ و هل تطوف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 قرئها الذی کانت تحیض فیه، فإن کان قرؤها مستقیماً فلتأخذ به، و إن کان فیه خلاف فلتحتط بیوم أو یومین</w:t>
      </w:r>
      <w:r>
        <w:rPr>
          <w:rFonts w:eastAsia="IRNazanin" w:cs="IRNazanin"/>
          <w:color w:val="111111"/>
          <w:sz w:val="28"/>
          <w:szCs w:val="28"/>
          <w:rtl w:val="true"/>
          <w:lang w:bidi="fa-IR"/>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حمران بن أعین، المرویّة عن المنتقی، عن کتاب الأغسال لأحمد بن محمّد بن عیّاش الجوهری،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النفساء؟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أیّامها التی کانت تطمث فیهنّ أیّام أقرائها، فإن هی طهرت و إلّا استظهرت بیومین أو ثلاثة</w:t>
      </w:r>
      <w:r>
        <w:rPr>
          <w:rFonts w:eastAsia="IRNazanin" w:cs="IRNazanin"/>
          <w:color w:val="111111"/>
          <w:sz w:val="28"/>
          <w:szCs w:val="28"/>
          <w:rtl w:val="true"/>
          <w:lang w:bidi="fa-IR"/>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تطهر و ربما رأت بعد ذلک الشی‌ء من الدم الرقیق بعد اغتسالها من طهرها،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بعد أیّامها بیومین أو ثلاثة ثمّ تصلّی</w:t>
      </w:r>
      <w:r>
        <w:rPr>
          <w:rFonts w:eastAsia="IRNazanin" w:cs="IRNazanin"/>
          <w:color w:val="111111"/>
          <w:sz w:val="28"/>
          <w:szCs w:val="28"/>
          <w:rtl w:val="true"/>
          <w:lang w:bidi="fa-IR"/>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البزنطی عن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الطامث، کم تستظهر؟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أو یومین أو ثلاثة</w:t>
      </w:r>
      <w:r>
        <w:rPr>
          <w:rFonts w:eastAsia="IRNazanin" w:cs="IRNazanin"/>
          <w:color w:val="111111"/>
          <w:sz w:val="28"/>
          <w:szCs w:val="28"/>
          <w:rtl w:val="true"/>
          <w:lang w:bidi="fa-IR"/>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أبی عبد اللّٰه علیه السلام، فی المرأة تری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قرؤها دون العشرة انتظرت العشرة، و إن کان</w:t>
      </w:r>
    </w:p>
    <w:p>
      <w:pPr>
        <w:pStyle w:val="BookText"/>
        <w:rPr/>
      </w:pPr>
      <w:r>
        <w:rPr>
          <w:rFonts w:ascii="IRNazanin" w:hAnsi="IRNazanin" w:eastAsia="IRNazanin"/>
          <w:color w:val="111111"/>
          <w:sz w:val="28"/>
          <w:sz w:val="28"/>
          <w:szCs w:val="28"/>
          <w:rtl w:val="true"/>
          <w:lang w:bidi="fa-IR"/>
        </w:rPr>
        <w:t>أیّامها عشرة لم تستظهر</w:t>
      </w:r>
      <w:r>
        <w:rPr>
          <w:rFonts w:eastAsia="IRNazanin" w:cs="IRNazanin"/>
          <w:color w:val="111111"/>
          <w:sz w:val="28"/>
          <w:szCs w:val="28"/>
          <w:rtl w:val="true"/>
          <w:lang w:bidi="fa-IR"/>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رأت الدم فی حیضها حتّی تجاوز وقتها، متی ینبغی لها أن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عدّتها التی کانت تجلس، ثمّ تستظهر بعشرة أیّام</w:t>
      </w:r>
      <w:r>
        <w:rPr>
          <w:rFonts w:eastAsia="IRNazanin" w:cs="IRNazanin"/>
          <w:color w:val="111111"/>
          <w:sz w:val="28"/>
          <w:szCs w:val="28"/>
          <w:rtl w:val="true"/>
          <w:lang w:bidi="fa-IR"/>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اخری لیونس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ولدت فرأت الدم أکثر ممّا کانت تری،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أیّامها التی کانت تجلس فیها، ثمّ تستظهر بعشرة أیّام</w:t>
      </w:r>
      <w:r>
        <w:rPr>
          <w:rFonts w:eastAsia="IRNazanin" w:cs="IRNazanin"/>
          <w:color w:val="111111"/>
          <w:sz w:val="28"/>
          <w:szCs w:val="28"/>
          <w:rtl w:val="true"/>
          <w:lang w:bidi="fa-IR"/>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إذا ابتلیت بأیّام کثیرة مکثت مثل أیّامها التی کانت تجلس قبل ذلک، و استظهرت بمثل ثلثی 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لا تعرف أیّام نفاسها فابتلیت جلست مثل أیّام أُمّها أو أختها أو خالتها و استظهرت بثلثی ذلک، ثمّ صنعت کما تصنع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کما تری متّفقة الدلالة علی مشروعیّة الاستظهار و إن اختلفت فی مدّته من حیث الإطلاق و التقیید بین تسعة مضامین، إلّا أنّ بإزائها ما یدلّ بظاهره علی المنع عن الاستظهار و ترتیب أحکام المستحاضة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روایة یونس الطویلة </w:t>
      </w:r>
      <w:r>
        <w:rPr>
          <w:rStyle w:val="FootnoteAnchor"/>
          <w:rtl w:val="true"/>
        </w:rPr>
        <w:footnoteReference w:id="1881"/>
      </w:r>
      <w:r>
        <w:rPr>
          <w:rFonts w:ascii="IRNazanin" w:hAnsi="IRNazanin" w:eastAsia="IRNazanin"/>
          <w:color w:val="111111"/>
          <w:sz w:val="28"/>
          <w:sz w:val="28"/>
          <w:szCs w:val="28"/>
          <w:rtl w:val="true"/>
          <w:lang w:bidi="fa-IR"/>
        </w:rPr>
        <w:t xml:space="preserve">الصریحة فی </w:t>
      </w:r>
      <w:r>
        <w:rPr>
          <w:rStyle w:val="FootnoteAnchor"/>
          <w:rtl w:val="true"/>
        </w:rPr>
        <w:footnoteReference w:id="1882"/>
      </w:r>
      <w:r>
        <w:rPr>
          <w:rFonts w:ascii="Amiri" w:hAnsi="Amiri" w:eastAsia="Amiri" w:cs="Amiri"/>
          <w:color w:val="111111"/>
          <w:sz w:val="28"/>
          <w:sz w:val="28"/>
          <w:szCs w:val="28"/>
          <w:rtl w:val="true"/>
          <w:lang w:bidi="ar-SA"/>
        </w:rPr>
        <w:t>المستحاضة المعتادة لا وقت لها</w:t>
      </w:r>
    </w:p>
    <w:p>
      <w:pPr>
        <w:pStyle w:val="BookText"/>
        <w:rPr/>
      </w:pPr>
      <w:r>
        <w:rPr>
          <w:rFonts w:ascii="IRNazanin" w:hAnsi="IRNazanin" w:eastAsia="IRNazanin"/>
          <w:color w:val="111111"/>
          <w:sz w:val="28"/>
          <w:sz w:val="28"/>
          <w:szCs w:val="28"/>
          <w:rtl w:val="true"/>
          <w:lang w:bidi="fa-IR"/>
        </w:rPr>
        <w:t>إلّا أیّامها، و قوله علیه السلام فی آخر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علیه و تدع ما سواه، و یکون سنتها فیما تستقبل إن استحاضت</w:t>
      </w:r>
      <w:r>
        <w:rPr>
          <w:rFonts w:eastAsia="IRNazanin" w:cs="IRNazanin"/>
          <w:color w:val="111111"/>
          <w:sz w:val="28"/>
          <w:szCs w:val="28"/>
          <w:rtl w:val="true"/>
          <w:lang w:bidi="fa-IR"/>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المضطربة المأمورة بالتحیّض سبعاً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تری أنّ أیّامها لو کانت أقلّ من سبع لما قال </w:t>
      </w:r>
      <w:r>
        <w:rPr>
          <w:rStyle w:val="FootnoteAnchor"/>
          <w:rtl w:val="true"/>
        </w:rPr>
        <w:footnoteReference w:id="1884"/>
      </w:r>
      <w:r>
        <w:rPr>
          <w:rFonts w:ascii="IRNazanin" w:hAnsi="IRNazanin" w:eastAsia="IRNazanin"/>
          <w:color w:val="111111"/>
          <w:sz w:val="28"/>
          <w:sz w:val="28"/>
          <w:szCs w:val="28"/>
          <w:rtl w:val="true"/>
          <w:lang w:bidi="fa-IR"/>
        </w:rPr>
        <w:t xml:space="preserve">لها تحیّضی سبعاً، فیکون قد أمرها بترک الصلاة أیّاماً و هی مستحاضة، و لو کان حیضها أکثر لم یأمرها بالصلاة و هی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 فإنّ المستفاد منه أنّ الشارع لم یکن لیأمر بترک الصلاة بعد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تنظر أیّامها، فلا تصلّی فیها و لا یقربها بعلها، و إن جازت أیّامها و رأت الدم یثقب الکرسف اغتسلت و صلّت</w:t>
      </w:r>
      <w:r>
        <w:rPr>
          <w:rFonts w:eastAsia="IRNazanin" w:cs="IRNazanin"/>
          <w:color w:val="111111"/>
          <w:sz w:val="28"/>
          <w:szCs w:val="28"/>
          <w:rtl w:val="true"/>
          <w:lang w:bidi="fa-IR"/>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ابن سنان فی المرأة المستحاضة التی لا تطهر،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تغتسل عند صلاة الظهر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بعلها متی شاء إلّا أیّام أقرائها</w:t>
      </w:r>
      <w:r>
        <w:rPr>
          <w:rFonts w:eastAsia="IRNazanin" w:cs="IRNazanin"/>
          <w:color w:val="111111"/>
          <w:sz w:val="28"/>
          <w:szCs w:val="28"/>
          <w:rtl w:val="true"/>
          <w:lang w:bidi="fa-IR"/>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تصوم شهر رمضان إلّا الأیّام التی کانت تحیض فیها</w:t>
      </w:r>
      <w:r>
        <w:rPr>
          <w:rFonts w:eastAsia="IRNazanin" w:cs="IRNazanin"/>
          <w:color w:val="111111"/>
          <w:sz w:val="28"/>
          <w:szCs w:val="28"/>
          <w:rtl w:val="true"/>
          <w:lang w:bidi="fa-IR"/>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إذا مضت أیّام قرئها اغتسلت و احتشت</w:t>
      </w:r>
      <w:r>
        <w:rPr>
          <w:rFonts w:eastAsia="IRNazanin" w:cs="IRNazanin"/>
          <w:color w:val="111111"/>
          <w:sz w:val="28"/>
          <w:szCs w:val="28"/>
          <w:rtl w:val="true"/>
          <w:lang w:bidi="fa-IR"/>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مالک بن أعین عن المستحاضة کیف یغشاها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الأیّام التی کانت تحیض فیها و حیضتها مستقیمة، فلا یقربها فی عدّة تلک الأیّام</w:t>
      </w:r>
      <w:r>
        <w:rPr>
          <w:rFonts w:eastAsia="IRNazanin" w:cs="IRNazanin"/>
          <w:color w:val="111111"/>
          <w:sz w:val="28"/>
          <w:szCs w:val="28"/>
          <w:rtl w:val="true"/>
          <w:lang w:bidi="fa-IR"/>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تکفّ عن الصلاة أیّامها التی کانت تمکث فیها، ثمّ تغتسل و تعمل کما تعمل المستحاضة</w:t>
      </w:r>
      <w:r>
        <w:rPr>
          <w:rFonts w:eastAsia="IRNazanin" w:cs="IRNazanin"/>
          <w:color w:val="111111"/>
          <w:sz w:val="28"/>
          <w:szCs w:val="28"/>
          <w:rtl w:val="true"/>
          <w:lang w:bidi="fa-IR"/>
        </w:rPr>
        <w:t xml:space="preserve">» </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مرسلة داود مولی أبی المغراء المتقدّمة عمّن أخبره عن أبی عبد اللّٰه علیه السلام و قد تقدّمت فی مسألة أقلّ الطهر </w:t>
      </w:r>
      <w:r>
        <w:rPr>
          <w:rStyle w:val="FootnoteAnchor"/>
          <w:rtl w:val="true"/>
        </w:rPr>
        <w:footnoteReference w:id="18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تکون حیضها سبعة أیّام أو ثمانیة أیّام حیضها دائم مستقیم، ثمّ تحیض ثلاثة أیّام، ثمّ ینقطع عنها الدم و تری البیاض، لا صفرة و لا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 تصلّی و تصوم ثمّ یعود 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أمسکت عن الصلاة، و إذا رأت الطهر صلّت، فإذا مضت أیّام حیضها و استمرّ بها الطهر صلّت، و إذا رأت الطهر فهی مستحاضة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یونس القصیرة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رأت المرأة أیّام حیضها من صفرة أو حمرة فهو من الحیض، و کلّ ما رأته بعد أیّام حیضها فلیس من الحیض</w:t>
      </w:r>
      <w:r>
        <w:rPr>
          <w:rFonts w:eastAsia="IRNazanin" w:cs="IRNazanin"/>
          <w:color w:val="111111"/>
          <w:sz w:val="28"/>
          <w:szCs w:val="28"/>
          <w:rtl w:val="true"/>
          <w:lang w:bidi="fa-IR"/>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الصفرة بعد الحیض لیس من الحیض</w:t>
      </w:r>
      <w:r>
        <w:rPr>
          <w:rFonts w:eastAsia="IRNazanin" w:cs="IRNazanin"/>
          <w:color w:val="111111"/>
          <w:sz w:val="28"/>
          <w:szCs w:val="28"/>
          <w:rtl w:val="true"/>
          <w:lang w:bidi="fa-IR"/>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المبسوط أنّه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الصفرة فی أیّام الحیض حیض، و فی أیّام الطهر طهر</w:t>
      </w:r>
      <w:r>
        <w:rPr>
          <w:rFonts w:eastAsia="IRNazanin" w:cs="IRNazanin"/>
          <w:color w:val="111111"/>
          <w:sz w:val="28"/>
          <w:szCs w:val="28"/>
          <w:rtl w:val="true"/>
          <w:lang w:bidi="fa-IR"/>
        </w:rPr>
        <w:t xml:space="preserve">» </w:t>
      </w:r>
      <w:r>
        <w:rPr>
          <w:rStyle w:val="FootnoteAnchor"/>
          <w:rtl w:val="true"/>
        </w:rPr>
        <w:footnoteReference w:id="1896"/>
      </w:r>
      <w:r>
        <w:rPr>
          <w:rFonts w:ascii="IRNazanin" w:hAnsi="IRNazanin" w:eastAsia="IRNazanin"/>
          <w:color w:val="111111"/>
          <w:sz w:val="28"/>
          <w:sz w:val="28"/>
          <w:szCs w:val="28"/>
          <w:rtl w:val="true"/>
          <w:lang w:bidi="fa-IR"/>
        </w:rPr>
        <w:t xml:space="preserve">، و نحوه عن الخلاف </w:t>
      </w:r>
      <w:r>
        <w:rPr>
          <w:rStyle w:val="FootnoteAnchor"/>
          <w:rtl w:val="true"/>
        </w:rPr>
        <w:footnoteReference w:id="1897"/>
      </w:r>
      <w:r>
        <w:rPr>
          <w:rFonts w:ascii="IRNazanin" w:hAnsi="IRNazanin" w:eastAsia="IRNazanin"/>
          <w:color w:val="111111"/>
          <w:sz w:val="28"/>
          <w:sz w:val="28"/>
          <w:szCs w:val="28"/>
          <w:rtl w:val="true"/>
          <w:lang w:bidi="fa-IR"/>
        </w:rPr>
        <w:t xml:space="preserve">مدّعیاً علیه کالناصریات </w:t>
      </w:r>
      <w:r>
        <w:rPr>
          <w:rStyle w:val="FootnoteAnchor"/>
          <w:rtl w:val="true"/>
        </w:rPr>
        <w:footnoteReference w:id="189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هذه الأخبار و ما تقدّم، بحمل ما تقدّم علی استحباب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الحمل ممّا یأبی عنه کثیر من الأخبار المتقدّمة الواردة فی بیان حدّ الجلوس سیّما مثل موثّقة مالک بن أعین المتقدّمة </w:t>
      </w:r>
      <w:r>
        <w:rPr>
          <w:rStyle w:val="FootnoteAnchor"/>
          <w:rtl w:val="true"/>
        </w:rPr>
        <w:footnoteReference w:id="1899"/>
      </w:r>
      <w:r>
        <w:rPr>
          <w:rFonts w:ascii="IRNazanin" w:hAnsi="IRNazanin" w:eastAsia="IRNazanin"/>
          <w:color w:val="111111"/>
          <w:sz w:val="28"/>
          <w:sz w:val="28"/>
          <w:szCs w:val="28"/>
          <w:rtl w:val="true"/>
          <w:lang w:bidi="fa-IR"/>
        </w:rPr>
        <w:t>الدالّة بمفهومها علی تحریم الوقاع بعد عادة الحیض بیوم واحد، مع أنّ الحمل المذکور مستلزم للخروج عن ظاهر أخبار الطرفین بلا شاهد، بل لمعارض أن یعارضه بالعکس، فیحمل أخبار المبادرة إلی الغسل بعد تجاوز العادة علی الاستحباب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ضعف ما عن الذخیرة من حمل أخبار الاستظهار علی الإباحة </w:t>
      </w:r>
      <w:r>
        <w:rPr>
          <w:rStyle w:val="FootnoteAnchor"/>
          <w:rtl w:val="true"/>
        </w:rPr>
        <w:footnoteReference w:id="1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یحتمله عبارة المعتبر حیث عبّر بأنّ الاستظهار علی الجواز </w:t>
      </w:r>
      <w:r>
        <w:rPr>
          <w:rStyle w:val="FootnoteAnchor"/>
          <w:rtl w:val="true"/>
        </w:rPr>
        <w:footnoteReference w:id="1901"/>
      </w:r>
      <w:r>
        <w:rPr>
          <w:rFonts w:ascii="IRNazanin" w:hAnsi="IRNazanin" w:eastAsia="IRNazanin"/>
          <w:color w:val="111111"/>
          <w:sz w:val="28"/>
          <w:sz w:val="28"/>
          <w:szCs w:val="28"/>
          <w:rtl w:val="true"/>
          <w:lang w:bidi="fa-IR"/>
        </w:rPr>
        <w:t>، بناءً علی جعل أوامر الاستظهار واردة فی مقام توهّم الحظر و وجوب العبادة</w:t>
      </w:r>
    </w:p>
    <w:p>
      <w:pPr>
        <w:pStyle w:val="BookText"/>
        <w:rPr/>
      </w:pPr>
      <w:r>
        <w:rPr>
          <w:rFonts w:ascii="Amiri" w:hAnsi="Amiri" w:eastAsia="Amiri" w:cs="Amiri"/>
          <w:color w:val="111111"/>
          <w:sz w:val="28"/>
          <w:sz w:val="28"/>
          <w:szCs w:val="28"/>
          <w:rtl w:val="true"/>
          <w:lang w:bidi="ar-SA"/>
        </w:rPr>
        <w:t>بمجرّد انقضاء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یتلو الوجهین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بحمل أخبار الاستظهار علی ما إذا کان الدم بصفة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لتخصیصها أوّلًا بما دلّ من المستفیضة علی أنّ الصفرة بعد الحیض لیس من الحیض </w:t>
      </w:r>
      <w:r>
        <w:rPr>
          <w:rStyle w:val="FootnoteAnchor"/>
          <w:rtl w:val="true"/>
        </w:rPr>
        <w:footnoteReference w:id="1902"/>
      </w:r>
      <w:r>
        <w:rPr>
          <w:rFonts w:ascii="IRNazanin" w:hAnsi="IRNazanin" w:eastAsia="IRNazanin"/>
          <w:color w:val="111111"/>
          <w:sz w:val="28"/>
          <w:sz w:val="28"/>
          <w:szCs w:val="28"/>
          <w:rtl w:val="true"/>
          <w:lang w:bidi="fa-IR"/>
        </w:rPr>
        <w:t xml:space="preserve">فتصیر بعد التخصیص أخصّ ممّا دلّ علی وجوب الغسل بعد أیّام العادة </w:t>
      </w:r>
      <w:r>
        <w:rPr>
          <w:rStyle w:val="FootnoteAnchor"/>
          <w:rtl w:val="true"/>
        </w:rPr>
        <w:footnoteReference w:id="1903"/>
      </w:r>
      <w:r>
        <w:rPr>
          <w:rFonts w:ascii="Amiri" w:hAnsi="Amiri" w:eastAsia="Amiri" w:cs="Amiri"/>
          <w:color w:val="111111"/>
          <w:sz w:val="28"/>
          <w:sz w:val="28"/>
          <w:szCs w:val="28"/>
          <w:rtl w:val="true"/>
          <w:lang w:bidi="ar-SA"/>
        </w:rPr>
        <w:t>فیخصّص بها،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لشهادة صحیحة ابن مسلم عن المرأة تری الصفرة فی أیّامها،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حتّی تنقضی أیّامها، فإن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یعنی من الصفرة بعد الحیض بیومین فلیس من الحیض</w:t>
      </w:r>
      <w:r>
        <w:rPr>
          <w:rFonts w:eastAsia="IRNazanin" w:cs="IRNazanin"/>
          <w:color w:val="111111"/>
          <w:sz w:val="28"/>
          <w:szCs w:val="28"/>
          <w:rtl w:val="true"/>
          <w:lang w:bidi="fa-IR"/>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عموم ما دلّ علی اعتبار الصفات </w:t>
      </w:r>
      <w:r>
        <w:rPr>
          <w:rStyle w:val="FootnoteAnchor"/>
          <w:rtl w:val="true"/>
        </w:rPr>
        <w:footnoteReference w:id="1906"/>
      </w:r>
      <w:r>
        <w:rPr>
          <w:rFonts w:ascii="IRNazanin" w:hAnsi="IRNazanin" w:eastAsia="IRNazanin"/>
          <w:color w:val="111111"/>
          <w:sz w:val="28"/>
          <w:sz w:val="28"/>
          <w:szCs w:val="28"/>
          <w:rtl w:val="true"/>
          <w:lang w:bidi="fa-IR"/>
        </w:rPr>
        <w:t>، و خصوص مرسلة یونس الواردة فی الاستبراء لمن انقطع عنها الدم ظاهراً و لا یدری أ طهرت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قائمة و تلزق بطنها بحائط و تستدخل قطنة بیضاء، فإن خرج علی رأس القطنة مثل رأس الذباب دم عبیط لم تطهر، و إن لم یخرج فقد طهرت</w:t>
      </w:r>
      <w:r>
        <w:rPr>
          <w:rFonts w:eastAsia="IRNazanin" w:cs="IRNazanin"/>
          <w:color w:val="111111"/>
          <w:sz w:val="28"/>
          <w:szCs w:val="28"/>
          <w:rtl w:val="true"/>
          <w:lang w:bidi="fa-IR"/>
        </w:rPr>
        <w:t xml:space="preserve">» </w:t>
      </w:r>
      <w:r>
        <w:rPr>
          <w:rStyle w:val="FootnoteAnchor"/>
          <w:rtl w:val="true"/>
        </w:rPr>
        <w:footnoteReference w:id="1907"/>
      </w:r>
      <w:r>
        <w:rPr>
          <w:rFonts w:ascii="IRNazanin" w:hAnsi="IRNazanin" w:eastAsia="IRNazanin"/>
          <w:color w:val="111111"/>
          <w:sz w:val="28"/>
          <w:sz w:val="28"/>
          <w:szCs w:val="28"/>
          <w:rtl w:val="true"/>
          <w:lang w:bidi="fa-IR"/>
        </w:rPr>
        <w:t>فإنّ إطلاقها یشمل المعتادة، أو ینصرف إلیها بحکم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الحائض أن تغتسل فلتستدخل قطنة، فإن خرج فیها شی‌ء من الدم فلا تغتسل، و إن لم ترَ شیئاً فلتغتسل، فإن رأت بعد ذلک صفرة فلتتوضّأ و لتصلِّ</w:t>
      </w:r>
      <w:r>
        <w:rPr>
          <w:rFonts w:eastAsia="IRNazanin" w:cs="IRNazanin"/>
          <w:color w:val="111111"/>
          <w:sz w:val="28"/>
          <w:szCs w:val="28"/>
          <w:rtl w:val="true"/>
          <w:lang w:bidi="fa-IR"/>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مع إباء بعض أخبار الاستظهار عن التخصیص المذکور، کروایة سعید بن یسار المتقدّمة الواردة فیمن تری الشی‌ء الرقیق من الدم بعد اغتسالها </w:t>
      </w:r>
      <w:r>
        <w:rPr>
          <w:rStyle w:val="FootnoteAnchor"/>
          <w:rtl w:val="true"/>
        </w:rPr>
        <w:footnoteReference w:id="1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قرب هذا التخصیص فی هذه الأخبار، إلّا أنّ جعل الأخبار الدالّة علی الاقتصار علی العادة مختصّةً بما إذا رأت الصفرة بعید جدّاً، فلاحظها، خصوصاً المرسلة القصیرة المتقدّمة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أضعف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أخبار الاغتسال بعد انقضاء العادة بما عدا أیّام الاستظهار، و ضعفه غنیّ عن البیان و إن مال إلیه أو قال به بعض من اختار وجوب الاستظهار من مشایخنا المعاصرین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ارتکبه </w:t>
      </w:r>
      <w:r>
        <w:rPr>
          <w:rStyle w:val="FootnoteAnchor"/>
          <w:rtl w:val="true"/>
        </w:rPr>
        <w:footnoteReference w:id="1912"/>
      </w:r>
      <w:r>
        <w:rPr>
          <w:rFonts w:ascii="IRNazanin" w:hAnsi="IRNazanin" w:eastAsia="IRNazanin"/>
          <w:color w:val="111111"/>
          <w:sz w:val="28"/>
          <w:sz w:val="28"/>
          <w:szCs w:val="28"/>
          <w:rtl w:val="true"/>
          <w:lang w:bidi="fa-IR"/>
        </w:rPr>
        <w:t xml:space="preserve">تبعاً لوحید عصره شارح المفاتیح </w:t>
      </w:r>
      <w:r>
        <w:rPr>
          <w:rStyle w:val="FootnoteAnchor"/>
          <w:rtl w:val="true"/>
        </w:rPr>
        <w:footnoteReference w:id="1913"/>
      </w:r>
      <w:r>
        <w:rPr>
          <w:rFonts w:ascii="IRNazanin" w:hAnsi="IRNazanin" w:eastAsia="IRNazanin"/>
          <w:color w:val="111111"/>
          <w:sz w:val="28"/>
          <w:sz w:val="28"/>
          <w:szCs w:val="28"/>
          <w:rtl w:val="true"/>
          <w:lang w:bidi="fa-IR"/>
        </w:rPr>
        <w:t xml:space="preserve">من تخصیص تلک الأخبار بالدامیة، و هی التی یستمرّ بها الدم من حیضها الأوّل إلی الدورة الثانیة فما زاد، و أنت خبیر بأنّ غیر واحدة منها، کصحیحة زرارة المتقدّمة الواردة فی النفساء </w:t>
      </w:r>
      <w:r>
        <w:rPr>
          <w:rStyle w:val="FootnoteAnchor"/>
          <w:rtl w:val="true"/>
        </w:rPr>
        <w:footnoteReference w:id="1914"/>
      </w:r>
      <w:r>
        <w:rPr>
          <w:rFonts w:ascii="IRNazanin" w:hAnsi="IRNazanin" w:eastAsia="IRNazanin"/>
          <w:color w:val="111111"/>
          <w:sz w:val="28"/>
          <w:sz w:val="28"/>
          <w:szCs w:val="28"/>
          <w:rtl w:val="true"/>
          <w:lang w:bidi="fa-IR"/>
        </w:rPr>
        <w:t>، و کذا الفقرتان الأخیرتان المتقدّمتان</w:t>
      </w:r>
    </w:p>
    <w:p>
      <w:pPr>
        <w:pStyle w:val="BookText"/>
        <w:rPr/>
      </w:pPr>
      <w:r>
        <w:rPr>
          <w:rFonts w:ascii="IRNazanin" w:hAnsi="IRNazanin" w:eastAsia="IRNazanin"/>
          <w:color w:val="111111"/>
          <w:sz w:val="28"/>
          <w:sz w:val="28"/>
          <w:szCs w:val="28"/>
          <w:rtl w:val="true"/>
          <w:lang w:bidi="fa-IR"/>
        </w:rPr>
        <w:t xml:space="preserve">من مرسلة یونس الطویلة </w:t>
      </w:r>
      <w:r>
        <w:rPr>
          <w:rStyle w:val="FootnoteAnchor"/>
          <w:rtl w:val="true"/>
        </w:rPr>
        <w:footnoteReference w:id="1915"/>
      </w:r>
      <w:r>
        <w:rPr>
          <w:rFonts w:ascii="IRNazanin" w:hAnsi="IRNazanin" w:eastAsia="IRNazanin"/>
          <w:color w:val="111111"/>
          <w:sz w:val="28"/>
          <w:sz w:val="28"/>
          <w:szCs w:val="28"/>
          <w:rtl w:val="true"/>
          <w:lang w:bidi="fa-IR"/>
        </w:rPr>
        <w:t>، و نحوهما ذیل المرسلة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رأته بعد أیّام حیضها فلیس من الحیض</w:t>
      </w:r>
      <w:r>
        <w:rPr>
          <w:rFonts w:eastAsia="IRNazanin" w:cs="IRNazanin"/>
          <w:color w:val="111111"/>
          <w:sz w:val="28"/>
          <w:szCs w:val="28"/>
          <w:rtl w:val="true"/>
          <w:lang w:bidi="fa-IR"/>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 و مرسلة داود المتقدّمة </w:t>
      </w:r>
      <w:r>
        <w:rPr>
          <w:rStyle w:val="FootnoteAnchor"/>
          <w:rtl w:val="true"/>
        </w:rPr>
        <w:footnoteReference w:id="1917"/>
      </w:r>
      <w:r>
        <w:rPr>
          <w:rFonts w:ascii="IRNazanin" w:hAnsi="IRNazanin" w:eastAsia="IRNazanin"/>
          <w:color w:val="111111"/>
          <w:sz w:val="28"/>
          <w:sz w:val="28"/>
          <w:szCs w:val="28"/>
          <w:rtl w:val="true"/>
          <w:lang w:bidi="fa-IR"/>
        </w:rPr>
        <w:t>ظاهرة بل صریحة فی غیر الدامیة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ظهور جملة منها فی الدامیة ممّا لا ینکر، إلّا أنّ بعض أخبار الاستظهار کروایة إسماعیل الجعفی </w:t>
      </w:r>
      <w:r>
        <w:rPr>
          <w:rStyle w:val="FootnoteAnchor"/>
          <w:rtl w:val="true"/>
        </w:rPr>
        <w:footnoteReference w:id="1918"/>
      </w:r>
      <w:r>
        <w:rPr>
          <w:rFonts w:ascii="IRNazanin" w:hAnsi="IRNazanin" w:eastAsia="IRNazanin"/>
          <w:color w:val="111111"/>
          <w:sz w:val="28"/>
          <w:sz w:val="28"/>
          <w:szCs w:val="28"/>
          <w:rtl w:val="true"/>
          <w:lang w:bidi="fa-IR"/>
        </w:rPr>
        <w:t xml:space="preserve">، و صحیحة زرارة الواردة فی استظهار المبتدأة </w:t>
      </w:r>
      <w:r>
        <w:rPr>
          <w:rStyle w:val="FootnoteAnchor"/>
          <w:rtl w:val="true"/>
        </w:rPr>
        <w:footnoteReference w:id="1919"/>
      </w:r>
      <w:r>
        <w:rPr>
          <w:rFonts w:ascii="IRNazanin" w:hAnsi="IRNazanin" w:eastAsia="IRNazanin"/>
          <w:color w:val="111111"/>
          <w:sz w:val="28"/>
          <w:sz w:val="28"/>
          <w:szCs w:val="28"/>
          <w:rtl w:val="true"/>
          <w:lang w:bidi="fa-IR"/>
        </w:rPr>
        <w:t xml:space="preserve">، و موثّقة البصری </w:t>
      </w:r>
      <w:r>
        <w:rPr>
          <w:rStyle w:val="FootnoteAnchor"/>
          <w:rtl w:val="true"/>
        </w:rPr>
        <w:footnoteReference w:id="1920"/>
      </w:r>
      <w:r>
        <w:rPr>
          <w:rFonts w:ascii="IRNazanin" w:hAnsi="IRNazanin" w:eastAsia="IRNazanin"/>
          <w:color w:val="111111"/>
          <w:sz w:val="28"/>
          <w:sz w:val="28"/>
          <w:szCs w:val="28"/>
          <w:rtl w:val="true"/>
          <w:lang w:bidi="fa-IR"/>
        </w:rPr>
        <w:t xml:space="preserve">، و صحیحته الأُخری، واردة فی المستحاضة </w:t>
      </w:r>
      <w:r>
        <w:rPr>
          <w:rStyle w:val="FootnoteAnchor"/>
          <w:rtl w:val="true"/>
        </w:rPr>
        <w:footnoteReference w:id="1921"/>
      </w:r>
      <w:r>
        <w:rPr>
          <w:rFonts w:ascii="IRNazanin" w:hAnsi="IRNazanin" w:eastAsia="IRNazanin"/>
          <w:color w:val="111111"/>
          <w:sz w:val="28"/>
          <w:sz w:val="28"/>
          <w:szCs w:val="28"/>
          <w:rtl w:val="true"/>
          <w:lang w:bidi="fa-IR"/>
        </w:rPr>
        <w:t>التی یدّعی ظهورها فی الدامیة، فالتعارض بحاله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یجمع أیضاً بحمل أخبار الاستظهار علی من کانت عادتها غیر مستقیمة بأن تکون قد تزید و تنقص، و هذا لا ینافی کون المرأة معتادة عددیة؛ إذ المقصود اختلاف أیّامها بالزیادة علیها أحیاناً بعد استقرار العادة علی عدد معیّن، أو بالزیادة و النقیصة، بناءً علی أنّ هذا لا یقدح فی بقاء العادة کما تقدّم فی مسألة ثبوت العادة، و یحمل أخبار الاغتسال بمجرّد انقضاء العادة علی من لا تکون فی عادتها خلاف أصلًا، کما هو مورد</w:t>
      </w:r>
    </w:p>
    <w:p>
      <w:pPr>
        <w:pStyle w:val="BookText"/>
        <w:rPr/>
      </w:pPr>
      <w:r>
        <w:rPr>
          <w:rFonts w:ascii="IRNazanin" w:hAnsi="IRNazanin" w:eastAsia="IRNazanin"/>
          <w:color w:val="111111"/>
          <w:sz w:val="28"/>
          <w:sz w:val="28"/>
          <w:szCs w:val="28"/>
          <w:rtl w:val="true"/>
          <w:lang w:bidi="fa-IR"/>
        </w:rPr>
        <w:t>روایتی مالک بن أعین و ذیل مرسلة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البصری المتقدّمة </w:t>
      </w:r>
      <w:r>
        <w:rPr>
          <w:rStyle w:val="FootnoteAnchor"/>
          <w:rtl w:val="true"/>
        </w:rPr>
        <w:footnoteReference w:id="1922"/>
      </w:r>
      <w:r>
        <w:rPr>
          <w:rFonts w:ascii="IRNazanin" w:hAnsi="IRNazanin" w:eastAsia="IRNazanin"/>
          <w:color w:val="111111"/>
          <w:sz w:val="28"/>
          <w:sz w:val="28"/>
          <w:szCs w:val="28"/>
          <w:rtl w:val="true"/>
          <w:lang w:bidi="fa-IR"/>
        </w:rPr>
        <w:t xml:space="preserve">، و به یجمع بین صدر مرسلة داود المتقدّمة و ذیلها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یضعّفه مضافاً إلی أنّ حمل أخبار الاستظهار علی غیر المستقیمة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الموثّقة الشاهدة علی الجمع ورودها فی الدامیة التی یستمرّ بها الدم من عادة إلی أُخری، من دون بیاض أقلّ الطهر؛ لأنّ الحکم علی المستحاضة بأنّها تقعد أقراءها، لا یکون إلّا فی غیر الدورة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اعترف صاحب هذا الجمع </w:t>
      </w:r>
      <w:r>
        <w:rPr>
          <w:rStyle w:val="FootnoteAnchor"/>
          <w:rtl w:val="true"/>
        </w:rPr>
        <w:footnoteReference w:id="1924"/>
      </w:r>
      <w:r>
        <w:rPr>
          <w:rFonts w:ascii="IRNazanin" w:hAnsi="IRNazanin" w:eastAsia="IRNazanin"/>
          <w:color w:val="111111"/>
          <w:sz w:val="28"/>
          <w:sz w:val="28"/>
          <w:szCs w:val="28"/>
          <w:rtl w:val="true"/>
          <w:lang w:bidi="fa-IR"/>
        </w:rPr>
        <w:t xml:space="preserve">بخروجها عن مورد الاستظهار و وجوب اقتصارها علی أیّامها؛ فإنّه ذکر فیما سیأتی </w:t>
      </w:r>
      <w:r>
        <w:rPr>
          <w:rStyle w:val="FootnoteAnchor"/>
          <w:rtl w:val="true"/>
        </w:rPr>
        <w:footnoteReference w:id="1925"/>
      </w:r>
      <w:r>
        <w:rPr>
          <w:rFonts w:ascii="IRNazanin" w:hAnsi="IRNazanin" w:eastAsia="IRNazanin"/>
          <w:color w:val="111111"/>
          <w:sz w:val="28"/>
          <w:sz w:val="28"/>
          <w:szCs w:val="28"/>
          <w:rtl w:val="true"/>
          <w:lang w:bidi="fa-IR"/>
        </w:rPr>
        <w:t>من أنّ الدم متی تجاوز عن العشرة حکم بأنّ ما عدا العادة من أیّام الاستظهار و غیرها استحاضة، فی ردّ من استدلّ علی ذلک بمرسلة یونس الطویلة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المرسلة و هو من استمرّ بها الدم شهراً، بل سنین عدیدة، خارج عن محلّ الکلام؛ لأنّ محلّ البحث هنا کما هو مورد الأخبار المتقدّمة و صریح کلام الأصحاب إنّما هو بالنسبة إلی أوّل الدم إذا تجاوز العادة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بالوجوه المتقدّمة لا یخلو عن تکلّف، کما أنّ طرح أخبار الاغتسال بعد العادة من جهة موافقتها لمذهب من عدا مالک</w:t>
      </w:r>
    </w:p>
    <w:p>
      <w:pPr>
        <w:pStyle w:val="BookText"/>
        <w:rPr/>
      </w:pPr>
      <w:r>
        <w:rPr>
          <w:rFonts w:ascii="IRNazanin" w:hAnsi="IRNazanin" w:eastAsia="IRNazanin"/>
          <w:color w:val="111111"/>
          <w:sz w:val="28"/>
          <w:sz w:val="28"/>
          <w:szCs w:val="28"/>
          <w:rtl w:val="true"/>
          <w:lang w:bidi="fa-IR"/>
        </w:rPr>
        <w:t xml:space="preserve">من الجمهور لا یخلو من بُعد أو منع؛ بناءً علی أنّ الوارد فی الأخبار العلاجیة </w:t>
      </w:r>
      <w:r>
        <w:rPr>
          <w:rStyle w:val="FootnoteAnchor"/>
          <w:rtl w:val="true"/>
        </w:rPr>
        <w:footnoteReference w:id="1926"/>
      </w:r>
      <w:r>
        <w:rPr>
          <w:rFonts w:ascii="IRNazanin" w:hAnsi="IRNazanin" w:eastAsia="IRNazanin"/>
          <w:color w:val="111111"/>
          <w:sz w:val="28"/>
          <w:sz w:val="28"/>
          <w:szCs w:val="28"/>
          <w:rtl w:val="true"/>
          <w:lang w:bidi="fa-IR"/>
        </w:rPr>
        <w:t xml:space="preserve">طرح ما خالف </w:t>
      </w:r>
      <w:r>
        <w:rPr>
          <w:rStyle w:val="FootnoteAnchor"/>
          <w:rtl w:val="true"/>
        </w:rPr>
        <w:footnoteReference w:id="1927"/>
      </w:r>
      <w:r>
        <w:rPr>
          <w:rFonts w:ascii="IRNazanin" w:hAnsi="IRNazanin" w:eastAsia="IRNazanin"/>
          <w:color w:val="111111"/>
          <w:sz w:val="28"/>
          <w:sz w:val="28"/>
          <w:szCs w:val="28"/>
          <w:rtl w:val="true"/>
          <w:lang w:bidi="fa-IR"/>
        </w:rPr>
        <w:t xml:space="preserve">جمیع العامّة، و دخل فیه ما لو خرج شاذّ منهم، أمّا مجرّد الاشتهار بین أکثرهم مع مخالفة مثل مالک </w:t>
      </w:r>
      <w:r>
        <w:rPr>
          <w:rStyle w:val="FootnoteAnchor"/>
          <w:rtl w:val="true"/>
        </w:rPr>
        <w:footnoteReference w:id="1928"/>
      </w:r>
      <w:r>
        <w:rPr>
          <w:rFonts w:ascii="IRNazanin" w:hAnsi="IRNazanin" w:eastAsia="IRNazanin"/>
          <w:color w:val="111111"/>
          <w:sz w:val="28"/>
          <w:sz w:val="28"/>
          <w:szCs w:val="28"/>
          <w:rtl w:val="true"/>
          <w:lang w:bidi="fa-IR"/>
        </w:rPr>
        <w:t>، فوجوب الطرح حینئذٍ و الأخذ بخلافه لیس من المرجّحات المنصوصة، فلا بدّ من إدخاله فی المرجّحات الاجتهادیّة التابعة لظنّ المجتهد، و لا ظنّ بصدور تلک الأخبار هنا تقیّةً، کما لا یخفی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جمع آخر لا یخلو عن قرب، و هو إبقاء أخبار الاستظهار علی ظاهرها من الوجوب و جعلها مختصّة بصورة رجاء المرأة الانقطاع لدون العشرة، کما یشهد به قوله علیه السلام فی کثیر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رأت طهراً أو </w:t>
      </w:r>
      <w:r>
        <w:rPr>
          <w:rStyle w:val="FootnoteAnchor"/>
          <w:rtl w:val="true"/>
        </w:rPr>
        <w:footnoteReference w:id="1929"/>
      </w:r>
      <w:r>
        <w:rPr>
          <w:rFonts w:ascii="IRNazanin" w:hAnsi="IRNazanin" w:eastAsia="IRNazanin"/>
          <w:color w:val="111111"/>
          <w:sz w:val="28"/>
          <w:sz w:val="28"/>
          <w:szCs w:val="28"/>
          <w:rtl w:val="true"/>
          <w:lang w:bidi="fa-IR"/>
        </w:rPr>
        <w:t>إن انقطع الدم اغتسلت و إن لم ینقطع فهی 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یؤیّده مضافاً إلی التعبیر عنه فی بعض الأخبار بالانتظار </w:t>
      </w:r>
      <w:r>
        <w:rPr>
          <w:rStyle w:val="FootnoteAnchor"/>
          <w:rtl w:val="true"/>
        </w:rPr>
        <w:footnoteReference w:id="1930"/>
      </w:r>
      <w:r>
        <w:rPr>
          <w:rFonts w:ascii="IRNazanin" w:hAnsi="IRNazanin" w:eastAsia="IRNazanin"/>
          <w:color w:val="111111"/>
          <w:sz w:val="28"/>
          <w:sz w:val="28"/>
          <w:szCs w:val="28"/>
          <w:rtl w:val="true"/>
          <w:lang w:bidi="fa-IR"/>
        </w:rPr>
        <w:t xml:space="preserve">، و فی بعضها الآخر بالاحتیاط </w:t>
      </w:r>
      <w:r>
        <w:rPr>
          <w:rStyle w:val="FootnoteAnchor"/>
          <w:rtl w:val="true"/>
        </w:rPr>
        <w:footnoteReference w:id="1931"/>
      </w:r>
      <w:r>
        <w:rPr>
          <w:rFonts w:ascii="IRNazanin" w:hAnsi="IRNazanin" w:eastAsia="IRNazanin"/>
          <w:color w:val="111111"/>
          <w:sz w:val="28"/>
          <w:sz w:val="28"/>
          <w:szCs w:val="28"/>
          <w:rtl w:val="true"/>
          <w:lang w:bidi="fa-IR"/>
        </w:rPr>
        <w:t>الظاهر فی احتمال کون الدم حیضاً بسبب انقطاعه قبل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الاستظهار طلب ظهور الحال فی کون الدم حیضاً أو غیره، و لا معنی لطلب ذلک مع الیأس عن الانقطاع، و تحمل أخبار الاغتسال بعد العادة علی الیائسة عن الانقطاع؛ لأنّ مواردها منحصرة فی الدامیة التی استمرّ بها الدم</w:t>
      </w:r>
    </w:p>
    <w:p>
      <w:pPr>
        <w:pStyle w:val="BookText"/>
        <w:rPr/>
      </w:pPr>
      <w:r>
        <w:rPr>
          <w:rFonts w:ascii="IRNazanin" w:hAnsi="IRNazanin" w:eastAsia="IRNazanin"/>
          <w:color w:val="111111"/>
          <w:sz w:val="28"/>
          <w:sz w:val="28"/>
          <w:szCs w:val="28"/>
          <w:rtl w:val="true"/>
          <w:lang w:bidi="fa-IR"/>
        </w:rPr>
        <w:t>أشهراً أو سنین، بحیث یغلب علی ظنّها عدم حصول الطهر بالصبر یوماً أو یومین و من هو مثلها کالنفساء، حیث إنّ الغالب استمرار دمها إلی ما بعد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ورود الاستظهار للنفساء فی بعض الأخبار؛ لأنّها مقیّدة بمن یحتمل الطهر، کما یدلّ علیه قوله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طهرت و إلّا فهی مستحاضة</w:t>
      </w:r>
      <w:r>
        <w:rPr>
          <w:rFonts w:eastAsia="IRNazanin" w:cs="IRNazanin"/>
          <w:color w:val="111111"/>
          <w:sz w:val="28"/>
          <w:szCs w:val="28"/>
          <w:rtl w:val="true"/>
          <w:lang w:bidi="fa-IR"/>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النفساء من یعلم عادة من جهة کمال استقامة عادتها أنّ الحادث بعدها لا تنقطع علی العشرة، فتزید حیضها علی عادتها، کما هو مورد مرسلة داود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الکلام فی موثّقة البصری المتقدّمة </w:t>
      </w:r>
      <w:r>
        <w:rPr>
          <w:rStyle w:val="FootnoteAnchor"/>
          <w:rtl w:val="true"/>
        </w:rPr>
        <w:footnoteReference w:id="1934"/>
      </w:r>
      <w:r>
        <w:rPr>
          <w:rFonts w:ascii="IRNazanin" w:hAnsi="IRNazanin" w:eastAsia="IRNazanin"/>
          <w:color w:val="111111"/>
          <w:sz w:val="28"/>
          <w:sz w:val="28"/>
          <w:szCs w:val="28"/>
          <w:rtl w:val="true"/>
          <w:lang w:bidi="fa-IR"/>
        </w:rPr>
        <w:t>التی ادّعینا ظهورها فی الدامیة مع التفصیل فیها بین صورتی استقامة العادة و عدمها، و یمکن القول بمقتضاها بأن یکون اللازم أو الراجح للدامیة التی قد تزید حیضها علی عادتها أن تحتاط فی التحیّض بزیادة یوم أو یومین علی عادتها، کما أنّه لا بأس بثبوت الاستظهار للمستحاضة و إن کانت دامیة إذا رجت الانقطاع</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یحمل بعض ما ورد فی استظهار المستحاضة </w:t>
      </w:r>
      <w:r>
        <w:rPr>
          <w:rStyle w:val="FootnoteAnchor"/>
          <w:rtl w:val="true"/>
        </w:rPr>
        <w:footnoteReference w:id="1935"/>
      </w:r>
      <w:r>
        <w:rPr>
          <w:rFonts w:ascii="IRNazanin" w:hAnsi="IRNazanin" w:eastAsia="IRNazanin"/>
          <w:color w:val="111111"/>
          <w:sz w:val="28"/>
          <w:sz w:val="28"/>
          <w:szCs w:val="28"/>
          <w:rtl w:val="true"/>
          <w:lang w:bidi="fa-IR"/>
        </w:rPr>
        <w:t>، بناءً علی ظهورها فی الدامیة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مرسلة یونس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رأت المرأة بعد أیّام حیضها فلیس من الحیض</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 و الظاهر أنّ هذا الحکم عند التجاوز عن العشرة؛ للتصریح فیها قبل ذلک بوجوب ترک العبادة و التحیّض فیما تراه قبل انقضاء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الجمع الذی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المستحاضة الدامیة الیائسة من حصول الطهر لها بالاستظهار لا یشرع لها الاستظهار، و الظاهر أنّ هذا لیس محلّ کلامهم کما عرفت من بعض </w:t>
      </w:r>
      <w:r>
        <w:rPr>
          <w:rStyle w:val="FootnoteAnchor"/>
          <w:rtl w:val="true"/>
        </w:rPr>
        <w:footnoteReference w:id="1937"/>
      </w:r>
      <w:r>
        <w:rPr>
          <w:rFonts w:ascii="IRNazanin" w:hAnsi="IRNazanin" w:eastAsia="IRNazanin"/>
          <w:color w:val="111111"/>
          <w:sz w:val="28"/>
          <w:sz w:val="28"/>
          <w:szCs w:val="28"/>
          <w:rtl w:val="true"/>
          <w:lang w:bidi="fa-IR"/>
        </w:rPr>
        <w:t>، و ادّعی ذلک غیره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النصّ و الفتوی اختصاص الاستظهار بالدورة الاولی </w:t>
      </w:r>
      <w:r>
        <w:rPr>
          <w:rStyle w:val="FootnoteAnchor"/>
          <w:rtl w:val="true"/>
        </w:rPr>
        <w:footnoteReference w:id="1938"/>
      </w:r>
      <w:r>
        <w:rPr>
          <w:rFonts w:ascii="IRNazanin" w:hAnsi="IRNazanin" w:eastAsia="IRNazanin"/>
          <w:color w:val="111111"/>
          <w:sz w:val="28"/>
          <w:sz w:val="28"/>
          <w:szCs w:val="28"/>
          <w:rtl w:val="true"/>
          <w:lang w:bidi="fa-IR"/>
        </w:rPr>
        <w:t>، و سیأتی من الدروس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الأصحاب اختصاص صبر المبتدأة إلی النقاء أو العشرة بالدورة الاولی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محلّ الکلام فی المبتدأة و المعتادة واحد؛ حیث 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خرجت القطنة ملوّثة صبرت المبتدأة إلی النقاء أو العشرة، و المعتادة یوماً أو یومین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یشرع الاستظهار لهذه المرأة بناءً علی ظاهر موثّقة البصری المتقدّمة </w:t>
      </w:r>
      <w:r>
        <w:rPr>
          <w:rStyle w:val="FootnoteAnchor"/>
          <w:rtl w:val="true"/>
        </w:rPr>
        <w:footnoteReference w:id="1940"/>
      </w:r>
      <w:r>
        <w:rPr>
          <w:rFonts w:ascii="IRNazanin" w:hAnsi="IRNazanin" w:eastAsia="IRNazanin"/>
          <w:color w:val="111111"/>
          <w:sz w:val="28"/>
          <w:sz w:val="28"/>
          <w:szCs w:val="28"/>
          <w:rtl w:val="true"/>
          <w:lang w:bidi="fa-IR"/>
        </w:rPr>
        <w:t>، إذا کان أیّامها قد تزید علی عادتها أو تزید و تنقص؛ بناءً علی أنّ الأخیر لا یقدح فی الاعتیاد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الظاهرة بل الصریحة فی مغایرة الدامیة لغیرها فی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جریر المتقدّمة فی أخبار الاستظهار </w:t>
      </w:r>
      <w:r>
        <w:rPr>
          <w:rStyle w:val="FootnoteAnchor"/>
          <w:rtl w:val="true"/>
        </w:rPr>
        <w:footnoteReference w:id="1941"/>
      </w:r>
      <w:r>
        <w:rPr>
          <w:rFonts w:ascii="IRNazanin" w:hAnsi="IRNazanin" w:eastAsia="IRNazanin"/>
          <w:color w:val="111111"/>
          <w:sz w:val="28"/>
          <w:sz w:val="28"/>
          <w:szCs w:val="28"/>
          <w:rtl w:val="true"/>
          <w:lang w:bidi="fa-IR"/>
        </w:rPr>
        <w:t>فلاحظ صدرها و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الدامیة و هی من تری الدم بعد الطهر الواقعی و تجاوز عادته، فإن رَجَت الانقطاع استظهرت حالها فی الحیض و الطهر بما یحصل معه ظهور حالها من الیوم الواحد أو الأکثر، و إن یئست عن الانقطاع بأن علمت عادة التجاوز عن العشرة کأغلب ذوات النفاس و بعض ذوات العادة المستقیمة فی الحیض، بحیث یعلم أنّ الحادث بعد العادة یتجاوز عن العشرة و یکون استحاضة، فلا استظهار 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دلّ علی أنّ الصفرة قبل الحیض من الحیض و بعد أیّام الحیض لیس منه، فالظاهر أنّ المراد بأیّام الحیض ما یشمل أیّام الاستظهار، حیث إنّ أصل تشریع الاستظهار لأجل احتمال زیادة الأیّام، فالأیّام المحتملة لکونها أیّام الحیض جعلت فی الحکم الظاهری من أیّام الحیض، و یشهد لذلک قوله علیه السلام فی موثّقة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الصفرة إن کان بعد الحیض بیومین فلیس من الحیض</w:t>
      </w:r>
      <w:r>
        <w:rPr>
          <w:rFonts w:eastAsia="IRNazanin" w:cs="IRNazanin"/>
          <w:color w:val="111111"/>
          <w:sz w:val="28"/>
          <w:szCs w:val="28"/>
          <w:rtl w:val="true"/>
          <w:lang w:bidi="fa-IR"/>
        </w:rPr>
        <w:t xml:space="preserve">» </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التخصیص بالیومین لأنّ الغالب حصول الاستظهار بها </w:t>
      </w:r>
      <w:r>
        <w:rPr>
          <w:rStyle w:val="FootnoteAnchor"/>
          <w:rtl w:val="true"/>
        </w:rPr>
        <w:footnoteReference w:id="1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تتمّة الکلام فی تلک الأخبار عند بیان ما یتفرّع علی الاستظهار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اختلاف الأخبار فی مقدار الاستظهار</w:t>
      </w:r>
    </w:p>
    <w:p>
      <w:pPr>
        <w:pStyle w:val="BookText"/>
        <w:rPr/>
      </w:pPr>
      <w:r>
        <w:rPr>
          <w:rFonts w:ascii="IRNazanin" w:hAnsi="IRNazanin" w:eastAsia="IRNazanin"/>
          <w:color w:val="111111"/>
          <w:sz w:val="28"/>
          <w:sz w:val="28"/>
          <w:szCs w:val="28"/>
          <w:rtl w:val="true"/>
          <w:lang w:bidi="fa-IR"/>
        </w:rPr>
        <w:t>إمّا لأنّ ظهور الحال قد یحصل بیوم واحد، و قد لا یحصل إلّا بالصبر إلی العشرة، فإنّ المرأة إذا صبرت یوماً فإن رجت الانقطاع صبرت أکثر من ذلک، و إن یئست عن انقطاعها قبل العشرة عملت بعد الیوم عمل المستحاضة، فقولهم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استظهرت بیوم أو یومین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بما یحصل معه ظهور الحال، فانتظار العشرة بالنسبة إلی من لا یظهر له الحال قبلها من حیث الانقطاع 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أنّه لاختلاف عادات النساء، فمن کانت عادتها تسعاً یظهر لها الحال بیوم، و ذات الثمانیة بیومین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الکلّ محمول علی الصبر إلی تمام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الخبر الأخیر من أخبار الاستظهار </w:t>
      </w:r>
      <w:r>
        <w:rPr>
          <w:rStyle w:val="FootnoteAnchor"/>
          <w:rtl w:val="true"/>
        </w:rPr>
        <w:footnoteReference w:id="1944"/>
      </w:r>
      <w:r>
        <w:rPr>
          <w:rFonts w:ascii="IRNazanin" w:hAnsi="IRNazanin" w:eastAsia="IRNazanin"/>
          <w:color w:val="111111"/>
          <w:sz w:val="28"/>
          <w:sz w:val="28"/>
          <w:szCs w:val="28"/>
          <w:rtl w:val="true"/>
          <w:lang w:bidi="fa-IR"/>
        </w:rPr>
        <w:t xml:space="preserve">الدالّ علی الاستظهار بثلثی عادة نفاسها، ممّا لم أجد به قائلًا، فهو محمول علی من کانت عادتها ستّة أیّام، أو مطروح ککثیر من الأخبار الواردة فی تحدید النفاس </w:t>
      </w:r>
      <w:r>
        <w:rPr>
          <w:rStyle w:val="FootnoteAnchor"/>
          <w:rtl w:val="true"/>
        </w:rPr>
        <w:footnoteReference w:id="1945"/>
      </w:r>
      <w:r>
        <w:rPr>
          <w:rFonts w:ascii="Amiri" w:hAnsi="Amiri" w:eastAsia="Amiri" w:cs="Amiri"/>
          <w:color w:val="111111"/>
          <w:sz w:val="28"/>
          <w:sz w:val="28"/>
          <w:szCs w:val="28"/>
          <w:rtl w:val="true"/>
          <w:lang w:bidi="ar-SA"/>
        </w:rPr>
        <w:t>، کما ستعرف إن شاء اللّٰه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ذکرناه من الوجهین فی اختلاف الأخبار أولی من حملها علی التخییر؛ لأنّ التخییر فی الواجب أو المستحبّ بین الأقلّ و الأکثر مع عدم کون الأکثر أفضل بل مع کونه مفضولًا کما یشیر به کلام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الاقتصار أحوط للعبادة </w:t>
      </w:r>
      <w:r>
        <w:rPr>
          <w:rStyle w:val="FootnoteAnchor"/>
          <w:rtl w:val="true"/>
        </w:rPr>
        <w:footnoteReference w:id="1946"/>
      </w:r>
      <w:r>
        <w:rPr>
          <w:rFonts w:ascii="IRNazanin" w:hAnsi="IRNazanin" w:eastAsia="IRNazanin"/>
          <w:color w:val="111111"/>
          <w:sz w:val="28"/>
          <w:sz w:val="28"/>
          <w:szCs w:val="28"/>
          <w:rtl w:val="true"/>
          <w:lang w:bidi="fa-IR"/>
        </w:rPr>
        <w:t>غیر وارد فی الشرع بل لعلّه غیر معقول کما ذکرناه فی الأُصول، إلّا أن یکون الواجب الاستظهار بالأقلّ، و یکون الزائد</w:t>
      </w:r>
    </w:p>
    <w:p>
      <w:pPr>
        <w:pStyle w:val="BookText"/>
        <w:rPr/>
      </w:pPr>
      <w:r>
        <w:rPr>
          <w:rFonts w:ascii="IRNazanin" w:hAnsi="IRNazanin" w:eastAsia="IRNazanin"/>
          <w:color w:val="111111"/>
          <w:sz w:val="28"/>
          <w:sz w:val="28"/>
          <w:szCs w:val="28"/>
          <w:rtl w:val="true"/>
          <w:lang w:bidi="fa-IR"/>
        </w:rPr>
        <w:t>قد خیّر الشارع فیه بین التحیّض و عدمه، نظیر الستّ أو السبع للمتحیّرة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الاستظهار فی الحدیث الصحیح بثلاثة، و قدّمنا فیما مضی وروده بیوم أو یومین، فهل المراد التخییر؟ الوجه لا؛ لعدم جواز التخییر فی الواجب بل التفصیل، اعتماداً علی اجتهاد المرأة فی قوّة المزاج و ضعفه الموجبین لزیادة الحیض و قلّته </w:t>
      </w:r>
      <w:r>
        <w:rPr>
          <w:rStyle w:val="FootnoteAnchor"/>
          <w:rtl w:val="true"/>
        </w:rPr>
        <w:footnoteReference w:id="19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إرجاعه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الاستظهار فی حقّ کلّ امرأة بما یحصل معه ظهور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مقدار الاستظهار تابع لرجاء الانقطاع و الیأس عنه، ما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لو استظهرت إلی العشرة مع ظنّها بقاء الحیض جاز </w:t>
      </w:r>
      <w:r>
        <w:rPr>
          <w:rStyle w:val="FootnoteAnchor"/>
          <w:rtl w:val="true"/>
        </w:rPr>
        <w:footnoteReference w:id="19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یرد علیه کغیره ممّن حکم بجواز ترک الاستظهار، کما هو المشهور بین المتأخّرین، بل المنسوب إلی عامّتهم </w:t>
      </w:r>
      <w:r>
        <w:rPr>
          <w:rStyle w:val="FootnoteAnchor"/>
          <w:rtl w:val="true"/>
        </w:rPr>
        <w:footnoteReference w:id="1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داعی لصرف أوامر الاستظهار عن ظاهرها من الوجوب کما هو المحکیّ عن السیّد </w:t>
      </w:r>
      <w:r>
        <w:rPr>
          <w:rStyle w:val="FootnoteAnchor"/>
          <w:rtl w:val="true"/>
        </w:rPr>
        <w:footnoteReference w:id="1950"/>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1951"/>
      </w:r>
      <w:r>
        <w:rPr>
          <w:rFonts w:ascii="IRNazanin" w:hAnsi="IRNazanin" w:eastAsia="IRNazanin"/>
          <w:color w:val="111111"/>
          <w:sz w:val="28"/>
          <w:sz w:val="28"/>
          <w:szCs w:val="28"/>
          <w:rtl w:val="true"/>
          <w:lang w:bidi="fa-IR"/>
        </w:rPr>
        <w:t xml:space="preserve">و الشیخین </w:t>
      </w:r>
      <w:r>
        <w:rPr>
          <w:rStyle w:val="FootnoteAnchor"/>
          <w:rtl w:val="true"/>
        </w:rPr>
        <w:footnoteReference w:id="195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953"/>
      </w:r>
      <w:r>
        <w:rPr>
          <w:rFonts w:ascii="IRNazanin" w:hAnsi="IRNazanin" w:eastAsia="IRNazanin"/>
          <w:color w:val="111111"/>
          <w:sz w:val="28"/>
          <w:sz w:val="28"/>
          <w:szCs w:val="28"/>
          <w:rtl w:val="true"/>
          <w:lang w:bidi="fa-IR"/>
        </w:rPr>
        <w:t xml:space="preserve">، بل عن ظاهر الأکثر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أصالة بقاء دم الحیض إلّا أن یعارض بأصالة بقاء الدم إلی ما بعد العشرة، المستلزم لعدم کونه حیضاً شرعاً، لکنّ المرجع بعد تسلیم المعارضة إلی استصحاب أحکام الحیض لا 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بأنّ الأصل لا یجری فی مثل المقام من الأُمور التدریجیّة کما نبّهنا علیه مراراً کان الأصل عدم حدوث دم الحیض زائداً علی ما حدث، فیزول به استصحاب بقاء أحکام الحائض، و یتعیّن الرجوع حینئذٍ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استفیدت من الإجماعات المحکیّة دون الأخبار، لما عرفت من عدم نهوضها لإثباتها، و المفروض أنّ المشهور بین المتأخّرین عدم الحکم بالحیضیَّة فی المقام، و جعل الاستظهار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محلّه لا تجدی فی التحیّض بدم متزلزل یحتمل ظهور کونها المستحاضة لعدم استقرار الإمکان، فتأمّل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إثبات وجوب الاستظهار بظاهر الأخبار، خصوصاً ما یظهر منه توقّف حلّ المواقعة علی الاستظهار، و ما تقدّم </w:t>
      </w:r>
      <w:r>
        <w:rPr>
          <w:rStyle w:val="FootnoteAnchor"/>
          <w:rtl w:val="true"/>
        </w:rPr>
        <w:footnoteReference w:id="1955"/>
      </w:r>
      <w:r>
        <w:rPr>
          <w:rFonts w:ascii="IRNazanin" w:hAnsi="IRNazanin" w:eastAsia="IRNazanin"/>
          <w:color w:val="111111"/>
          <w:sz w:val="28"/>
          <w:sz w:val="28"/>
          <w:szCs w:val="28"/>
          <w:rtl w:val="true"/>
          <w:lang w:bidi="fa-IR"/>
        </w:rPr>
        <w:t>فی روایتی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تراه قبل العشرة فهو من الحیضة الأُولی، و فی أخبار الاستبراء </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متی خرجت القطنة ملوّثة لم تطهر، خرج من إطلاقها ما بعد العشرة، فتأمّل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ما صبرت المعتادة مدّة یظهر فیها حالها، بناءً علی عدم تعیین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و 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أنّ الجمیع حیض، و أنّ ما عملت فی أیّام الاستظهار مطابق للواقع،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قضت ما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الاستظهار علی المشهور بین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Style w:val="FootnoteAnchor"/>
          <w:rtl w:val="true"/>
        </w:rPr>
        <w:footnoteReference w:id="1957"/>
      </w:r>
      <w:r>
        <w:rPr>
          <w:rFonts w:ascii="IRNazanin" w:hAnsi="IRNazanin" w:eastAsia="IRNazanin"/>
          <w:color w:val="111111"/>
          <w:sz w:val="28"/>
          <w:sz w:val="28"/>
          <w:szCs w:val="28"/>
          <w:rtl w:val="true"/>
          <w:lang w:bidi="fa-IR"/>
        </w:rPr>
        <w:t xml:space="preserve">و المصنّف و الشهیدان </w:t>
      </w:r>
      <w:r>
        <w:rPr>
          <w:rStyle w:val="FootnoteAnchor"/>
          <w:rtl w:val="true"/>
        </w:rPr>
        <w:footnoteReference w:id="1958"/>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959"/>
      </w:r>
      <w:r>
        <w:rPr>
          <w:rFonts w:ascii="IRNazanin" w:hAnsi="IRNazanin" w:eastAsia="IRNazanin"/>
          <w:color w:val="111111"/>
          <w:sz w:val="28"/>
          <w:sz w:val="28"/>
          <w:szCs w:val="28"/>
          <w:rtl w:val="true"/>
          <w:lang w:bidi="fa-IR"/>
        </w:rPr>
        <w:t xml:space="preserve">، و نسبه فی الحدائق إلی الأصحاب </w:t>
      </w:r>
      <w:r>
        <w:rPr>
          <w:rStyle w:val="FootnoteAnchor"/>
          <w:rtl w:val="true"/>
        </w:rPr>
        <w:footnoteReference w:id="1960"/>
      </w:r>
      <w:r>
        <w:rPr>
          <w:rFonts w:ascii="IRNazanin" w:hAnsi="IRNazanin" w:eastAsia="IRNazanin"/>
          <w:color w:val="111111"/>
          <w:sz w:val="28"/>
          <w:sz w:val="28"/>
          <w:szCs w:val="28"/>
          <w:rtl w:val="true"/>
          <w:lang w:bidi="fa-IR"/>
        </w:rPr>
        <w:t>، بل عن ظاهر بعض کصریح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961"/>
      </w:r>
      <w:r>
        <w:rPr>
          <w:rFonts w:ascii="IRNazanin" w:hAnsi="IRNazanin" w:eastAsia="IRNazanin"/>
          <w:color w:val="111111"/>
          <w:sz w:val="28"/>
          <w:sz w:val="28"/>
          <w:szCs w:val="28"/>
          <w:rtl w:val="true"/>
          <w:lang w:bidi="fa-IR"/>
        </w:rPr>
        <w:t xml:space="preserve">، بل هو من معقد إجماع الخلاف </w:t>
      </w:r>
      <w:r>
        <w:rPr>
          <w:rStyle w:val="FootnoteAnchor"/>
          <w:rtl w:val="true"/>
        </w:rPr>
        <w:footnoteReference w:id="1962"/>
      </w:r>
      <w:r>
        <w:rPr>
          <w:rFonts w:ascii="IRNazanin" w:hAnsi="IRNazanin" w:eastAsia="IRNazanin"/>
          <w:color w:val="111111"/>
          <w:sz w:val="28"/>
          <w:sz w:val="28"/>
          <w:szCs w:val="28"/>
          <w:rtl w:val="true"/>
          <w:lang w:bidi="fa-IR"/>
        </w:rPr>
        <w:t xml:space="preserve">و المعتبر </w:t>
      </w:r>
      <w:r>
        <w:rPr>
          <w:rStyle w:val="FootnoteAnchor"/>
          <w:rtl w:val="true"/>
        </w:rPr>
        <w:footnoteReference w:id="1963"/>
      </w:r>
      <w:r>
        <w:rPr>
          <w:rFonts w:ascii="IRNazanin" w:hAnsi="IRNazanin" w:eastAsia="IRNazanin"/>
          <w:color w:val="111111"/>
          <w:sz w:val="28"/>
          <w:sz w:val="28"/>
          <w:szCs w:val="28"/>
          <w:rtl w:val="true"/>
          <w:lang w:bidi="fa-IR"/>
        </w:rPr>
        <w:t xml:space="preserve">و المنتهی </w:t>
      </w:r>
      <w:r>
        <w:rPr>
          <w:rStyle w:val="FootnoteAnchor"/>
          <w:rtl w:val="true"/>
        </w:rPr>
        <w:footnoteReference w:id="1964"/>
      </w:r>
      <w:r>
        <w:rPr>
          <w:rFonts w:ascii="IRNazanin" w:hAnsi="IRNazanin" w:eastAsia="IRNazanin"/>
          <w:color w:val="111111"/>
          <w:sz w:val="28"/>
          <w:sz w:val="28"/>
          <w:szCs w:val="28"/>
          <w:rtl w:val="true"/>
          <w:lang w:bidi="fa-IR"/>
        </w:rPr>
        <w:t xml:space="preserve">و النهایة </w:t>
      </w:r>
      <w:r>
        <w:rPr>
          <w:rStyle w:val="FootnoteAnchor"/>
          <w:rtl w:val="true"/>
        </w:rPr>
        <w:footnoteReference w:id="1965"/>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تراه من الثلاثة إلی العشرة إذا انقطع علیها حیض؛ لأصالة بقاء الحیض و أحکامه،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روایتی ابن مسلم المتقدّمتین </w:t>
      </w:r>
      <w:r>
        <w:rPr>
          <w:rStyle w:val="FootnoteAnchor"/>
          <w:rtl w:val="true"/>
        </w:rPr>
        <w:footnoteReference w:id="1966"/>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تراه قبل العشرة فهو من الحیضة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أخبار الاستبراء الدالّة علی أنّه إن خرجت القطنة ملوّثة لم تطهر </w:t>
      </w:r>
      <w:r>
        <w:rPr>
          <w:rStyle w:val="FootnoteAnchor"/>
          <w:rtl w:val="true"/>
        </w:rPr>
        <w:footnoteReference w:id="1967"/>
      </w:r>
      <w:r>
        <w:rPr>
          <w:rFonts w:ascii="IRNazanin" w:hAnsi="IRNazanin" w:eastAsia="IRNazanin"/>
          <w:color w:val="111111"/>
          <w:sz w:val="28"/>
          <w:sz w:val="28"/>
          <w:szCs w:val="28"/>
          <w:rtl w:val="true"/>
          <w:lang w:bidi="fa-IR"/>
        </w:rPr>
        <w:t>، و لیس بإزائها ما ینافیها</w:t>
      </w:r>
    </w:p>
    <w:p>
      <w:pPr>
        <w:pStyle w:val="BookText"/>
        <w:rPr/>
      </w:pPr>
      <w:r>
        <w:rPr>
          <w:rFonts w:ascii="IRNazanin" w:hAnsi="IRNazanin" w:eastAsia="IRNazanin"/>
          <w:color w:val="111111"/>
          <w:sz w:val="28"/>
          <w:sz w:val="28"/>
          <w:szCs w:val="28"/>
          <w:rtl w:val="true"/>
          <w:lang w:bidi="fa-IR"/>
        </w:rPr>
        <w:t xml:space="preserve">عدا ما دلّ علی أنّ ما بعد أیّام الاستظهار استحاضة </w:t>
      </w:r>
      <w:r>
        <w:rPr>
          <w:rStyle w:val="FootnoteAnchor"/>
          <w:rtl w:val="true"/>
        </w:rPr>
        <w:footnoteReference w:id="1968"/>
      </w:r>
      <w:r>
        <w:rPr>
          <w:rFonts w:ascii="IRNazanin" w:hAnsi="IRNazanin" w:eastAsia="IRNazanin"/>
          <w:color w:val="111111"/>
          <w:sz w:val="28"/>
          <w:sz w:val="28"/>
          <w:szCs w:val="28"/>
          <w:rtl w:val="true"/>
          <w:lang w:bidi="fa-IR"/>
        </w:rPr>
        <w:t xml:space="preserve">، بناءً علی عدم وجوب الاستظهار إلی الیأس عن الانقطاع أو إلی العشرة، مضافاً إلی أنّه لا یبعد کما قدّمنا وجوب الاستظهار إلی العشرة أو الیأس من الانقطاع، و لأجلها استشکل فی الحکم المذکور أصحاب المدارک </w:t>
      </w:r>
      <w:r>
        <w:rPr>
          <w:rStyle w:val="FootnoteAnchor"/>
          <w:rtl w:val="true"/>
        </w:rPr>
        <w:footnoteReference w:id="1969"/>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1970"/>
      </w:r>
      <w:r>
        <w:rPr>
          <w:rFonts w:ascii="IRNazanin" w:hAnsi="IRNazanin" w:eastAsia="IRNazanin"/>
          <w:color w:val="111111"/>
          <w:sz w:val="28"/>
          <w:sz w:val="28"/>
          <w:szCs w:val="28"/>
          <w:rtl w:val="true"/>
          <w:lang w:bidi="fa-IR"/>
        </w:rPr>
        <w:t xml:space="preserve">و الحدائق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بکونها مستحاضة بعد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یجب أن تعمل عملها کما یشهد به قوله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تربّصت ثلاثة أیّام و لم ینقطع عنها الدم فلتصنع کما تصنع المستحاضة</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 فتأمّل، و قوله فی روایات </w:t>
      </w:r>
      <w:r>
        <w:rPr>
          <w:rStyle w:val="FootnoteAnchor"/>
          <w:rtl w:val="true"/>
        </w:rPr>
        <w:footnoteReference w:id="19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فلتغتسل، أو فلتصلّ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منافاة بین أن تعمل عمل المستحاضة و بین أن یحکم بعد انکشاف الخلاف بکونها حیضاً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المستحاضة لیس لها حقیقة شرعیّة تحمل علیها الأخبار، و معناها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مطلق من استمرّ دمها بعد أیّام العادة کما عن الصحاح </w:t>
      </w:r>
      <w:r>
        <w:rPr>
          <w:rStyle w:val="FootnoteAnchor"/>
          <w:rtl w:val="true"/>
        </w:rPr>
        <w:footnoteReference w:id="1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المرأة مستحاضة قبل الاستظهار بمجرّد انقضاء العادة</w:t>
      </w:r>
    </w:p>
    <w:p>
      <w:pPr>
        <w:pStyle w:val="BookText"/>
        <w:rPr/>
      </w:pPr>
      <w:r>
        <w:rPr>
          <w:rFonts w:ascii="IRNazanin" w:hAnsi="IRNazanin" w:eastAsia="IRNazanin"/>
          <w:color w:val="111111"/>
          <w:sz w:val="28"/>
          <w:sz w:val="28"/>
          <w:szCs w:val="28"/>
          <w:rtl w:val="true"/>
          <w:lang w:bidi="fa-IR"/>
        </w:rPr>
        <w:t>فضلًا عمّا بعدها، لکن هذا المعنی یجامع الحیض فی الصدق و لا ینافیه، کما إذا انقطع فی أیّام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یستمرّ بها الدم أشهراً أو سنین بحیث لا تری طهراً صحیحاً، فلا مناص عن حمل ما دلّ علی کونها مستحاضة بعد الاستظهار </w:t>
      </w:r>
      <w:r>
        <w:rPr>
          <w:rStyle w:val="FootnoteAnchor"/>
          <w:rtl w:val="true"/>
        </w:rPr>
        <w:footnoteReference w:id="1975"/>
      </w:r>
      <w:r>
        <w:rPr>
          <w:rFonts w:ascii="IRNazanin" w:hAnsi="IRNazanin" w:eastAsia="IRNazanin"/>
          <w:color w:val="111111"/>
          <w:sz w:val="28"/>
          <w:sz w:val="28"/>
          <w:szCs w:val="28"/>
          <w:rtl w:val="true"/>
          <w:lang w:bidi="fa-IR"/>
        </w:rPr>
        <w:t>علی أنّها بمنزلتها و فی حکمها، لکن الظاهر من هذا التنزیل المسوق لبیان حکم المرأة فی عملها فی الحال لا فیما یترتّب علیها فی المستقبل کونها بمنزلتها فی وجوب العبادة بعد فعل الأغسال و جواز ما یحرم علی الحائض، أمّا إجزاء ما فعلت من العبادة بعد الانقطاع علی العشرة فهو حکم آخر لیس فی الأخبار دلالة علی ثبوته و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لو سلّم التعارض فالنسبة عموم من وجه، فالمرجع أصالة بقاء الحیض و أحکامه </w:t>
      </w:r>
      <w:r>
        <w:rPr>
          <w:rStyle w:val="FootnoteAnchor"/>
          <w:rtl w:val="true"/>
        </w:rPr>
        <w:footnoteReference w:id="197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عدّها مستحاضة مبنیّ علی الغالب من انتهاء العشرة بانتهاء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لما عرفت من ظهور الموثّقة المتقدّمة فی أنّ المرأة بعد تربّص الثلاثة لیست علی الإطلاق مستحاضة حقیقة، بل تصنع کما تصنع المستحاضة، فکیف یکون بعد الیوم و الیومین مستحاضة حقیقة، لغلبة بلوغ الأیّام بهما عشرة؟ فتأمّل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یعارض ما ذکر ما تقدّم فی مرسلة یونس القصیرة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رأته المرأة بعد أیّامها فلیس من الحیض</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 xml:space="preserve">خرج منه أیّام الاستظهار، و کذلک ما دلّ علی أنّ الصفرة بعد الحیض بیومین أو مطلقاً لیس من الحیض </w:t>
      </w:r>
      <w:r>
        <w:rPr>
          <w:rStyle w:val="FootnoteAnchor"/>
          <w:rtl w:val="true"/>
        </w:rPr>
        <w:footnoteReference w:id="1978"/>
      </w:r>
      <w:r>
        <w:rPr>
          <w:rFonts w:ascii="IRNazanin" w:hAnsi="IRNazanin" w:eastAsia="IRNazanin"/>
          <w:color w:val="111111"/>
          <w:sz w:val="28"/>
          <w:sz w:val="28"/>
          <w:szCs w:val="28"/>
          <w:rtl w:val="true"/>
          <w:lang w:bidi="fa-IR"/>
        </w:rPr>
        <w:t>، بناءً علی بُعد حملها علی المرئی بعد العشرة إذ لا اختصاص لذلک بالصفرة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 أمّا عمّا فی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تقدّم من وجوب الجمع بینه و بین الفقرة السابقة منها الدالّة علی أنّ المرئی بعد العادة من الحیض ما لم یتجاوز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بعد تخصیصها بما عدا أیّام الاستظهار من الجمع بینها و بین ما تقدّم ممّا دلّ علی کون الدم المنقطع علی العشرة حیضاً علی إرادة ما بعد العشرة، و التقیید بالصفرة مع عدم اختصاص الحکم بها لأنّها وقعت فی مورد السؤال، فلا إشعار فیه بالفرق بینها و بین الحمرة فی عدم الحیضیَّة، أو علی أنّ المراد من عدم کونها من الحیض عدم التحیّض بها قبل انکشاف الحال فی مقابل صدرها الدالّ علی أنّ الصفرة قبل الحیض حیض؛ فإنّ المراد به وجوب التحیّض بمجرّد رؤیته لا کونه حیضاً فی الواقع، و لذا لو فرض تجاوز المجموع منه و من العادة أو منهما و ممّا بعدها عن العشرة اقتصر علی العادة و جعل الطرفان استحاضة، بلا خلاف یظهر منهم کما سیجی‌ء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المراد بهذه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 ما قبل العادة من الحیض بمعنی التحیّض به، و وجوب عدّ ما بعدها من الطهر بمعنی عدم التحیّض فیه،</w:t>
      </w:r>
      <w:bookmarkStart w:id="184" w:name="pg13039_115469"/>
    </w:p>
    <w:p>
      <w:pPr>
        <w:pStyle w:val="BookText"/>
        <w:rPr/>
      </w:pPr>
      <w:bookmarkEnd w:id="184"/>
      <w:r>
        <w:rPr>
          <w:rFonts w:ascii="Amiri" w:hAnsi="Amiri" w:eastAsia="Amiri" w:cs="Amiri"/>
          <w:color w:val="111111"/>
          <w:sz w:val="28"/>
          <w:sz w:val="28"/>
          <w:szCs w:val="28"/>
          <w:rtl w:val="true"/>
          <w:lang w:bidi="ar-SA"/>
        </w:rPr>
        <w:t>من دون ملاحظة کون الأوّل حیضاً واقعیّاً منجّزاً، و الثانی طهراً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فی بعض تلک الأخبار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 قبل الحیض من الحیض و بعده لیس من الحیض، و هی فی أیّام الحیض حیض</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فإنّ الفرق بین ما قبل الحیض و بین ما فی الحیض لا یتأتّی إلّا بإرادة التحیّض فیما قبل أیّام الحیض دون الحیض الواقعی، فالمراد أیضاً نفی الحیض فیما بعد الحیض، و ربما تحمل علی بیان الغالب؛ حیث إنّ الغالب فی الصفرة الواقعة بعد العادة کونها استحاضة،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فالمذهب ما ذکره المصنّف من إجراء أحکام الحیض علی الجمیع إذا انقطع الدم علی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ینقطع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لما صامت، و لا ریب فی قضاء صوم أیّام الاستظهار؛ لوجوبه علی تقدیری الحیض و الطهر، و کذا صلاتها علی المشهور؛ لظهور </w:t>
      </w:r>
      <w:r>
        <w:rPr>
          <w:rStyle w:val="FootnoteAnchor"/>
          <w:rtl w:val="true"/>
        </w:rPr>
        <w:footnoteReference w:id="1980"/>
      </w:r>
      <w:r>
        <w:rPr>
          <w:rFonts w:ascii="IRNazanin" w:hAnsi="IRNazanin" w:eastAsia="IRNazanin"/>
          <w:color w:val="111111"/>
          <w:sz w:val="28"/>
          <w:sz w:val="28"/>
          <w:szCs w:val="28"/>
          <w:rtl w:val="true"/>
          <w:lang w:bidi="fa-IR"/>
        </w:rPr>
        <w:t>ما زاد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ترکها أو جوازه فی أیّام الاستظهار لا ینافی وجوب القضاء عند انکشاف الحال، کما أنّ فعلها الصوم بعد الاستظهار لا ینافی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المعتادة،</w:t>
      </w:r>
    </w:p>
    <w:p>
      <w:pPr>
        <w:pStyle w:val="Heading6"/>
        <w:numPr>
          <w:ilvl w:val="5"/>
          <w:numId w:val="1"/>
        </w:numPr>
        <w:rPr/>
      </w:pPr>
      <w:bookmarkStart w:id="185" w:name="__RefHeading___Toc6451996_3224264995"/>
      <w:bookmarkStart w:id="186" w:name="_Toc69"/>
      <w:bookmarkEnd w:id="185"/>
      <w:r>
        <w:rPr>
          <w:rtl w:val="true"/>
        </w:rPr>
        <w:t>[</w:t>
      </w:r>
      <w:r>
        <w:rPr>
          <w:rtl w:val="true"/>
        </w:rPr>
        <w:t>و المبتدأة تصبر حتّی تنقی أو تمضی عشرة أیام</w:t>
      </w:r>
      <w:r>
        <w:rPr>
          <w:rtl w:val="true"/>
        </w:rPr>
        <w:t>]</w:t>
      </w:r>
      <w:bookmarkEnd w:id="18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لم یستقرّ لها عادة عددیة فإنّها عند رؤیة الدم علی القطنة المستدخلة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 حتّی تنقی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أو بحکم استبراء جدید لا تری معه الدم علی القطنة، فإنّ مقتضی ما تقدّم من الأخبار و من قاعدة وجوب الفحص فی المقام و إن کان الشبهة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تجدید الاستبراء و تکریره فی کلّ وقت انقطع الدم ظاهراً</w:t>
      </w:r>
    </w:p>
    <w:p>
      <w:pPr>
        <w:pStyle w:val="BookText"/>
        <w:rPr/>
      </w:pPr>
      <w:r>
        <w:rPr>
          <w:rFonts w:ascii="IRNazanin" w:hAnsi="IRNazanin" w:eastAsia="IRNazanin"/>
          <w:color w:val="111111"/>
          <w:sz w:val="28"/>
          <w:sz w:val="28"/>
          <w:szCs w:val="28"/>
          <w:rtl w:val="true"/>
          <w:lang w:bidi="fa-IR"/>
        </w:rPr>
        <w:t xml:space="preserve">و احتمل انقطاعه فی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حیضها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فإن انقطعت اغتسلت، و إلّا رجعت إلی التمییز کما سیجی‌ء تفصیله، بلا خلاف و لا إشکال فی الحکمین، بعد ما عرفت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الإجماعات المحکیّة علی حیضیَّة ما تراه من الثلاثة إلی العشرة، و ما دلّ علی کون ما تراه قبل العشرة من الحیضة الأُولی، و أخبار الاستبراء الدالّة علی أنّها مع رؤیة الدم علی القطنة حائض، و خصوص روایة خلف بن حمّاد المتقدّمة الواردة فیمن رأت قریباً من عشرة دماً لا تدری أنّه دم الحیض أو العذرة،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من الطمث فلتمسک عن الصلاة حتّی تری الطهر</w:t>
      </w:r>
      <w:r>
        <w:rPr>
          <w:rFonts w:eastAsia="IRNazanin" w:cs="IRNazanin"/>
          <w:color w:val="111111"/>
          <w:sz w:val="28"/>
          <w:szCs w:val="28"/>
          <w:rtl w:val="true"/>
          <w:lang w:bidi="fa-IR"/>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الدم فی أوّل حیضها فاستمرّ الدم ترکت الصلاة عشرة أیّام</w:t>
      </w:r>
      <w:r>
        <w:rPr>
          <w:rFonts w:eastAsia="IRNazanin" w:cs="IRNazanin"/>
          <w:color w:val="111111"/>
          <w:sz w:val="28"/>
          <w:szCs w:val="28"/>
          <w:rtl w:val="true"/>
          <w:lang w:bidi="fa-IR"/>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الجاریة أوّل ما تحیض تدفع علیها الدم فتکون مستحاضة أنّها تنتظر الصلاة فلا تصلّی حتّی یمضی أکثر ما یکون من الحیض، فإذا مضی ذلک و هو عشرة أیّام فعلت ما تفعله المستحاضة</w:t>
      </w:r>
      <w:r>
        <w:rPr>
          <w:rFonts w:eastAsia="IRNazanin" w:cs="IRNazanin"/>
          <w:color w:val="111111"/>
          <w:sz w:val="28"/>
          <w:szCs w:val="28"/>
          <w:rtl w:val="true"/>
          <w:lang w:bidi="fa-IR"/>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الجاریة البکر أوّل ما تحیض تقعد فی الشهر یومین و فی الشهر ثلاثة یختلف علیها لا یکون طمثها فی الشهر عدّة أیّام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أن تجلس و تدع الصلاة ما دامت تری الدم ما لم تجز العشرة</w:t>
      </w:r>
      <w:r>
        <w:rPr>
          <w:rFonts w:eastAsia="IRNazanin" w:cs="IRNazanin"/>
          <w:color w:val="111111"/>
          <w:sz w:val="28"/>
          <w:szCs w:val="28"/>
          <w:rtl w:val="true"/>
          <w:lang w:bidi="fa-IR"/>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الأوّلین و إن کان مختصّاً بالمبتدئة بالمعنی الأخصّ و هی التی لم ترَ دماً قبل ذلک، لکن صریح المضمرة التعمیم لکلّ من لم یستقرّ لها عادة و هی المبتدأة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صریح الروض </w:t>
      </w:r>
      <w:r>
        <w:rPr>
          <w:rStyle w:val="FootnoteAnchor"/>
          <w:rtl w:val="true"/>
        </w:rPr>
        <w:footnoteReference w:id="1985"/>
      </w:r>
      <w:r>
        <w:rPr>
          <w:rFonts w:ascii="IRNazanin" w:hAnsi="IRNazanin" w:eastAsia="IRNazanin"/>
          <w:color w:val="111111"/>
          <w:sz w:val="28"/>
          <w:sz w:val="28"/>
          <w:szCs w:val="28"/>
          <w:rtl w:val="true"/>
          <w:lang w:bidi="fa-IR"/>
        </w:rPr>
        <w:t xml:space="preserve">و الموجز </w:t>
      </w:r>
      <w:r>
        <w:rPr>
          <w:rStyle w:val="FootnoteAnchor"/>
          <w:rtl w:val="true"/>
        </w:rPr>
        <w:footnoteReference w:id="1986"/>
      </w:r>
      <w:r>
        <w:rPr>
          <w:rFonts w:ascii="IRNazanin" w:hAnsi="IRNazanin" w:eastAsia="IRNazanin"/>
          <w:color w:val="111111"/>
          <w:sz w:val="28"/>
          <w:sz w:val="28"/>
          <w:szCs w:val="28"/>
          <w:rtl w:val="true"/>
          <w:lang w:bidi="fa-IR"/>
        </w:rPr>
        <w:t xml:space="preserve">و شرحه </w:t>
      </w:r>
      <w:r>
        <w:rPr>
          <w:rStyle w:val="FootnoteAnchor"/>
          <w:rtl w:val="true"/>
        </w:rPr>
        <w:footnoteReference w:id="1987"/>
      </w:r>
      <w:r>
        <w:rPr>
          <w:rFonts w:ascii="IRNazanin" w:hAnsi="IRNazanin" w:eastAsia="IRNazanin"/>
          <w:color w:val="111111"/>
          <w:sz w:val="28"/>
          <w:sz w:val="28"/>
          <w:szCs w:val="28"/>
          <w:rtl w:val="true"/>
          <w:lang w:bidi="fa-IR"/>
        </w:rPr>
        <w:t xml:space="preserve">تبعاً للدروس </w:t>
      </w:r>
      <w:r>
        <w:rPr>
          <w:rStyle w:val="FootnoteAnchor"/>
          <w:rtl w:val="true"/>
        </w:rPr>
        <w:footnoteReference w:id="1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ذلک بالدورة الأُولی، فإذا استمرّ بها الدم إلی الدورة الثانیة تحیّضت بمقتضی التمییز أو الروایات من غیر انتظار للعشرة، و قد تقدّم فی الاستظهار اختصاصه بالدورة الاولی و وجوب الأخذ فی الدورة الثانیة إذا استمرّ الدم من الدورة الاولی إلیها بمقتضی العادة من دون استظهار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الشهر الأوّل، و فی الثانی إن وجدت تمییزاً عملت به و إن کان فی الأوّل قد أخذت بما بعده لعدمه، فلو رأت فی الأوّل أحمر و عبر العشرة فرجعت إلی نسائها و أخذت السبعة، و فی الشهر الثانی رأت خمسة أسود ثمّ أحمر و عبر العشرة أخذت الخمسة؛ عملًا بالتمییز، و إن فقدته اغتسلت و تعبّدت بعد تمام العدد المأخوذ من عادة نسائها أو الروایات، ثمّ إن عبر العشرة ظهرت صحّة عملها، و إن انقطع علیها تبیّن أنّ الجمیع حیض، فتقضی ما صامت کالمعتادة، و ظهر بطلان الغسل، و لا إثم فی الصلاة و الصوم و الوقاع بعد الغسل کما مرّ، و کذا القول فیما بعده من الأدوار، و أمّا المضطربة فتغتسل بعد ما تأخذه من الروایات مع عدم التمییز و یجی‌ء عند</w:t>
      </w:r>
    </w:p>
    <w:p>
      <w:pPr>
        <w:pStyle w:val="BookText"/>
        <w:rPr/>
      </w:pPr>
      <w:r>
        <w:rPr>
          <w:rFonts w:ascii="IRNazanin" w:hAnsi="IRNazanin" w:eastAsia="IRNazanin"/>
          <w:color w:val="111111"/>
          <w:sz w:val="28"/>
          <w:sz w:val="28"/>
          <w:szCs w:val="28"/>
          <w:rtl w:val="true"/>
          <w:lang w:bidi="fa-IR"/>
        </w:rPr>
        <w:t xml:space="preserve">انقطاعه علی العشرة ما ذکر </w:t>
      </w:r>
      <w:r>
        <w:rPr>
          <w:rStyle w:val="FootnoteAnchor"/>
          <w:rtl w:val="true"/>
        </w:rPr>
        <w:footnoteReference w:id="19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المبتدأة فظاهر الأصحاب أنّها تمکث فی الدور الأوّل إلی العشرة فإذا تجاوزت اعتبرت التمییز فیما مضی، ثمّ ذکر شروط التمییز و حکم فاقدة التمییز من الرجوع إلی الأقران ثمّ إلی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الدور الثانی اعتبرت التمییز و عادة النساء و الروایات فی نفس العشرة، و تعبّدت فی الزائد علی ذلک، أمّا المضطربة فإنّها تعتبر التمییز و الروایات فی جمیع أدوارها </w:t>
      </w:r>
      <w:r>
        <w:rPr>
          <w:rStyle w:val="FootnoteAnchor"/>
          <w:rtl w:val="true"/>
        </w:rPr>
        <w:footnoteReference w:id="19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أراد أنّ مع استمرار دم الدور الأوّل إلی الدور الثانی ترجع إلی التمییز أو ما بعده من غیر انتظار للعشرة، و هو حسن؛ لظاهر أخبار التمییز الواردة فیمن استمرّ بها الدم، الدالّة علی وجوب ترک العبادة برؤیة الدم المتّصف، و وجوب الاغتسال برؤیة الغیر المتّصف،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الحیضة فدعی الصلاة و إذا أدبرت فاغتسلی و صلّی</w:t>
      </w:r>
      <w:r>
        <w:rPr>
          <w:rFonts w:eastAsia="IRNazanin" w:cs="IRNazanin"/>
          <w:color w:val="111111"/>
          <w:sz w:val="28"/>
          <w:szCs w:val="28"/>
          <w:rtl w:val="true"/>
          <w:lang w:bidi="fa-IR"/>
        </w:rPr>
        <w:t xml:space="preserve">» </w:t>
      </w:r>
      <w:r>
        <w:rPr>
          <w:rStyle w:val="FootnoteAnchor"/>
          <w:rtl w:val="true"/>
        </w:rPr>
        <w:footnoteReference w:id="1991"/>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للدم حرارة و دفع و سواد فلتدع الصلاة</w:t>
      </w:r>
      <w:r>
        <w:rPr>
          <w:rFonts w:eastAsia="IRNazanin" w:cs="IRNazanin"/>
          <w:color w:val="111111"/>
          <w:sz w:val="28"/>
          <w:szCs w:val="28"/>
          <w:rtl w:val="true"/>
          <w:lang w:bidi="fa-IR"/>
        </w:rPr>
        <w:t xml:space="preserve">» </w:t>
      </w:r>
      <w:r>
        <w:rPr>
          <w:rStyle w:val="FootnoteAnchor"/>
          <w:rtl w:val="true"/>
        </w:rPr>
        <w:footnoteReference w:id="1992"/>
      </w:r>
      <w:r>
        <w:rPr>
          <w:rFonts w:ascii="IRNazanin" w:hAnsi="IRNazanin" w:eastAsia="IRNazanin"/>
          <w:color w:val="111111"/>
          <w:sz w:val="28"/>
          <w:sz w:val="28"/>
          <w:szCs w:val="28"/>
          <w:rtl w:val="true"/>
          <w:lang w:bidi="fa-IR"/>
        </w:rPr>
        <w:t>لا أنّ مع انقطاع الدم فی الدورة الاولی و تجدّده فی الدور الثانی یرجع إلی التمییز أو ما بعده من غیر انتظار للعشرة؛ لما عرفت من اختصاص أدلّة التحیّض برؤیة الدم المتّصف بصورة استمرار الدم، و هذا المعنی مفقود مع انقطاع دم الدور الأوّل،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مستند کون ما زاد علی العادة طهراً عند تجاوز العشرة مع منافاته لأصالة بقاء الحیض و أحکامه و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المدّعی فی المعتبر </w:t>
      </w:r>
      <w:r>
        <w:rPr>
          <w:rStyle w:val="FootnoteAnchor"/>
          <w:rtl w:val="true"/>
        </w:rPr>
        <w:footnoteReference w:id="1993"/>
      </w:r>
      <w:r>
        <w:rPr>
          <w:rFonts w:ascii="IRNazanin" w:hAnsi="IRNazanin" w:eastAsia="IRNazanin"/>
          <w:color w:val="111111"/>
          <w:sz w:val="28"/>
          <w:sz w:val="28"/>
          <w:szCs w:val="28"/>
          <w:rtl w:val="true"/>
          <w:lang w:bidi="fa-IR"/>
        </w:rPr>
        <w:t xml:space="preserve">و التذکرة </w:t>
      </w:r>
      <w:r>
        <w:rPr>
          <w:rStyle w:val="FootnoteAnchor"/>
          <w:rtl w:val="true"/>
        </w:rPr>
        <w:footnoteReference w:id="1994"/>
      </w:r>
      <w:r>
        <w:rPr>
          <w:rFonts w:ascii="IRNazanin" w:hAnsi="IRNazanin" w:eastAsia="IRNazanin"/>
          <w:color w:val="111111"/>
          <w:sz w:val="28"/>
          <w:sz w:val="28"/>
          <w:szCs w:val="28"/>
          <w:rtl w:val="true"/>
          <w:lang w:bidi="fa-IR"/>
        </w:rPr>
        <w:t xml:space="preserve">و غیرهما </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یونس الطویلة </w:t>
      </w:r>
      <w:r>
        <w:rPr>
          <w:rStyle w:val="FootnoteAnchor"/>
          <w:rtl w:val="true"/>
        </w:rPr>
        <w:footnoteReference w:id="1996"/>
      </w:r>
      <w:r>
        <w:rPr>
          <w:rFonts w:ascii="IRNazanin" w:hAnsi="IRNazanin" w:eastAsia="IRNazanin"/>
          <w:color w:val="111111"/>
          <w:sz w:val="28"/>
          <w:sz w:val="28"/>
          <w:szCs w:val="28"/>
          <w:rtl w:val="true"/>
          <w:lang w:bidi="fa-IR"/>
        </w:rPr>
        <w:t>فإنّها و إن کانت فی غیر الدورة الاولی من أدوار المستحاضة و قد عرفت أنّه لا کلام فی وجوب الاقتصار فیها علی العادة من أوّل الأمر إلّا أنّ المستفاد منها 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الثلاثة للمعتادة و المبتدأة و المتحیّرة أحکام اختلاط الحیض بالاستحاضة و إن حصل ذلک فی الدورة الأُولی، غایة الأمر أنّها فی الدورة الأُولی حیث لم یحصل لها استحاضة و استمرار دم تستظهر إن کانت معتادة، و تنتظر العشرة إن کانت مبتدأة، لکنّها متی استظهرت أو انتظرت العشرة و تبیّن لها اختلاط حیضها بالاستحاضة کان حکمها بالنسبة إلی الأیّام الماضیة هو حکمها فی الدورة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یؤیّد ما ذکرناه، بل ربما یستدلّ علیه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الأخبار المتقدّمة؛ حیث إنّ المراد منه عرفاً طلب ظهور الحال و انکشافه فی کون الزائد علی العادة حیضاً أو استحاضة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الاستظهار الاحتیاط فی التحیّض؛ لاحتمال زیادة أیّام العادة فی هذه النوبة من دون ترقّب لظهور الحال فی ذلک، مخالفة</w:t>
      </w:r>
    </w:p>
    <w:p>
      <w:pPr>
        <w:pStyle w:val="BookText"/>
        <w:rPr/>
      </w:pPr>
      <w:r>
        <w:rPr>
          <w:rFonts w:ascii="IRNazanin" w:hAnsi="IRNazanin" w:eastAsia="IRNazanin"/>
          <w:color w:val="111111"/>
          <w:sz w:val="28"/>
          <w:sz w:val="28"/>
          <w:szCs w:val="28"/>
          <w:rtl w:val="true"/>
          <w:lang w:bidi="fa-IR"/>
        </w:rPr>
        <w:t xml:space="preserve">لظاهر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بفهم الفقهاء، فإنّک لا تراهم یتأمّلون فی أنّ الدم إذا تجاوز العشرة فذات العادة تأخذ عددها، و غیرها ترجع إلی التمییز أو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شائع الاستعمال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أیضاً بما تقدّم من الأخبار الدالّة علی أنّ الدم مطلقاً أو خصوص الصفرة فیما بعد أیّام العادة لیس من الحیض </w:t>
      </w:r>
      <w:r>
        <w:rPr>
          <w:rStyle w:val="FootnoteAnchor"/>
          <w:rtl w:val="true"/>
        </w:rPr>
        <w:footnoteReference w:id="1997"/>
      </w:r>
      <w:r>
        <w:rPr>
          <w:rFonts w:ascii="IRNazanin" w:hAnsi="IRNazanin" w:eastAsia="IRNazanin"/>
          <w:color w:val="111111"/>
          <w:sz w:val="28"/>
          <w:sz w:val="28"/>
          <w:szCs w:val="28"/>
          <w:rtl w:val="true"/>
          <w:lang w:bidi="fa-IR"/>
        </w:rPr>
        <w:t>، خرج منه ما إذا لم یتجاوز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تلک الأخبار کما عرفت سابقاً بیان حکم المرأة و عملها فی تلک الأیّام من عدم وجوب التحیّض فیها، من غیر تعرّض فیها لما یترتّب علی ذلک بعد تجاوز العشرة، کما ینادی بذلک کون السؤال فیها عن المرأة تری الدم قبل أیّامها الظاهر فی أنّ المقصود بیان عمل المرأة فی تلک الأیّام، و حینئذٍ فلا إشکال فی أنّها مخصّصة بما بعد أیّام الاستظهار؛ لوجوب التحیّض فیها، سیّما إذا قلنا بوجوبه إلی العشرة، کما یراه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فساد ما ذکره جماعة </w:t>
      </w:r>
      <w:r>
        <w:rPr>
          <w:rStyle w:val="FootnoteAnchor"/>
          <w:rtl w:val="true"/>
        </w:rPr>
        <w:footnoteReference w:id="1998"/>
      </w:r>
      <w:r>
        <w:rPr>
          <w:rFonts w:ascii="IRNazanin" w:hAnsi="IRNazanin" w:eastAsia="IRNazanin"/>
          <w:color w:val="111111"/>
          <w:sz w:val="28"/>
          <w:sz w:val="28"/>
          <w:szCs w:val="28"/>
          <w:rtl w:val="true"/>
          <w:lang w:bidi="fa-IR"/>
        </w:rPr>
        <w:t xml:space="preserve">تبعاً لما ذکره صاحب المدارک </w:t>
      </w:r>
      <w:r>
        <w:rPr>
          <w:rStyle w:val="FootnoteAnchor"/>
          <w:rtl w:val="true"/>
        </w:rPr>
        <w:footnoteReference w:id="1999"/>
      </w:r>
      <w:r>
        <w:rPr>
          <w:rFonts w:ascii="IRNazanin" w:hAnsi="IRNazanin" w:eastAsia="IRNazanin"/>
          <w:color w:val="111111"/>
          <w:sz w:val="28"/>
          <w:sz w:val="28"/>
          <w:szCs w:val="28"/>
          <w:rtl w:val="true"/>
          <w:lang w:bidi="fa-IR"/>
        </w:rPr>
        <w:t>من ظهور أدلّة الاستظهار فی کون أیّام الاستظهار ملحقة بأیّام الحیض، و عدم وجوب قضاء ما ترکته فیها من الصلاة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الاستظهار مسوقة لبیان عمل المرأة فی تلک الأیّام، لا فیما یترتّب علی ذلک بعد تجاوز العشرة، فهنا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التحیّض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حکم ذلک فی الاستقبال، و لا منافاة بین وجوب التحیّض فی الحال و وجوب إخراجه عن أیّام العادة بعد انکشاف المآل، فهذا الاستظهار نظیر تحیّض المبتدأة بمجرّد الرؤیة علی القول به؛ فإنّ الأمر به لا ینافی عدم ترتّب آثار الواقع علیه إذا انقطع الدم لدون ثلاثة، کما أنّ ما بعد الاستظهار مع الانقطاع علی العشرة نظیر استظهار المبتدأة بالعبادة علی القول به، فإنّه لا ینافی وجوب عدّه من الحیض إذا دام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الاستدلال للمختار بما دلّ علی أنّ المستحاضة تجلس أیّامها </w:t>
      </w:r>
      <w:r>
        <w:rPr>
          <w:rStyle w:val="FootnoteAnchor"/>
          <w:rtl w:val="true"/>
        </w:rPr>
        <w:footnoteReference w:id="2000"/>
      </w:r>
      <w:r>
        <w:rPr>
          <w:rFonts w:ascii="IRNazanin" w:hAnsi="IRNazanin" w:eastAsia="IRNazanin"/>
          <w:color w:val="111111"/>
          <w:sz w:val="28"/>
          <w:sz w:val="28"/>
          <w:szCs w:val="28"/>
          <w:rtl w:val="true"/>
          <w:lang w:bidi="fa-IR"/>
        </w:rPr>
        <w:t xml:space="preserve">، بضمیمة ما دلّ علی أنّ المرأة مستحاضة بعد الاستظهار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فساده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المستحاضة لبیان تحیّضها عند حضور أیّام العادة، و هذا ینفع للمستظهرة فی الدورة الثانیة، فلا تعرّض فیها لحکم ما مضی من أیّام العادة و الزائد علیها، إلّا أن یستخرج منها کما ذکرنا فی مرسلة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المستحاضة لا فرق بین دورتها الاولی و غیرها فی مقدار حیضها الواقعی، و إن کانت فی الدورة الاولی تتحیّض ابتداء إلی العشرة أو إلی انقضاء أیّام الاستظهار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تجاوز الدم العشرة لا فرق بین الدورة الاولی و غیرها فی وجوب رجوع المعتادة إلی عادتها، و الفاقدة إلی التمییز أو ما بعده، کما تقدّم فی مسألة الاستظهار</w:t>
      </w:r>
      <w:r>
        <w:rPr>
          <w:rFonts w:eastAsia="IRNazanin" w:cs="IRNazanin"/>
          <w:color w:val="111111"/>
          <w:sz w:val="28"/>
          <w:szCs w:val="28"/>
          <w:rtl w:val="true"/>
          <w:lang w:bidi="fa-IR"/>
        </w:rPr>
        <w:t>.</w:t>
      </w:r>
      <w:bookmarkStart w:id="187" w:name="pg13039_115476"/>
    </w:p>
    <w:p>
      <w:pPr>
        <w:pStyle w:val="Heading6"/>
        <w:numPr>
          <w:ilvl w:val="5"/>
          <w:numId w:val="1"/>
        </w:numPr>
        <w:rPr/>
      </w:pPr>
      <w:bookmarkStart w:id="188" w:name="__RefHeading___Toc6451998_3224264995"/>
      <w:bookmarkStart w:id="189" w:name="_Toc70"/>
      <w:bookmarkEnd w:id="187"/>
      <w:bookmarkEnd w:id="188"/>
      <w:r>
        <w:rPr>
          <w:rtl w:val="true"/>
        </w:rPr>
        <w:t>[</w:t>
      </w:r>
      <w:r>
        <w:rPr>
          <w:rtl w:val="true"/>
        </w:rPr>
        <w:t>لو رأت الدم فی العادة و طرفیها و لم یتجاوز العشرة فالمجموع حیض</w:t>
      </w:r>
      <w:r>
        <w:rPr>
          <w:rtl w:val="true"/>
        </w:rPr>
        <w:t>]</w:t>
      </w:r>
      <w:bookmarkEnd w:id="189"/>
    </w:p>
    <w:p>
      <w:pPr>
        <w:pStyle w:val="BookText"/>
        <w:rPr/>
      </w:pPr>
      <w:r>
        <w:rPr>
          <w:rFonts w:ascii="IRNazanin" w:hAnsi="IRNazanin" w:eastAsia="IRNazanin"/>
          <w:color w:val="111111"/>
          <w:sz w:val="28"/>
          <w:sz w:val="28"/>
          <w:szCs w:val="28"/>
          <w:rtl w:val="true"/>
          <w:lang w:bidi="fa-IR"/>
        </w:rPr>
        <w:t xml:space="preserve">و منه یظهر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رأت </w:t>
      </w:r>
      <w:r>
        <w:rPr>
          <w:rStyle w:val="FootnoteAnchor"/>
          <w:rtl w:val="true"/>
        </w:rPr>
        <w:footnoteReference w:id="2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المعتادة الدم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و بعدها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 لم یتجاوز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فالمجموع</w:t>
      </w:r>
      <w:r>
        <w:rPr>
          <w:rFonts w:eastAsia="IRNazanin" w:cs="IRNazanin"/>
          <w:color w:val="111111"/>
          <w:sz w:val="28"/>
          <w:szCs w:val="28"/>
          <w:rtl w:val="true"/>
          <w:lang w:bidi="fa-IR"/>
        </w:rPr>
        <w:t xml:space="preserve">) </w:t>
      </w:r>
      <w:r>
        <w:rPr>
          <w:rStyle w:val="FootnoteAnchor"/>
          <w:rtl w:val="true"/>
        </w:rPr>
        <w:footnoteReference w:id="2003"/>
      </w:r>
      <w:r>
        <w:rPr>
          <w:rFonts w:ascii="IRNazanin" w:hAnsi="IRNazanin" w:eastAsia="IRNazanin"/>
          <w:color w:val="111111"/>
          <w:sz w:val="28"/>
          <w:sz w:val="28"/>
          <w:szCs w:val="28"/>
          <w:rtl w:val="true"/>
          <w:lang w:bidi="fa-IR"/>
        </w:rPr>
        <w:t>أعنی العادة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تری الدم فی غیر وقت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قبل وقت حیضها فإنّه ربما تعجل بها الوقت، فإن کان أکثر من أیّامها التی کانت تحیض فیهنّ فلتتربّص ثلاثة أیّام بعد ما یمضی أیّامها، فإذا تربّصت ثلاثة أیّام و لم ینقطع عنها فلتصنع کما تصنع المستحاضة</w:t>
      </w:r>
      <w:r>
        <w:rPr>
          <w:rFonts w:eastAsia="IRNazanin" w:cs="IRNazanin"/>
          <w:color w:val="111111"/>
          <w:sz w:val="28"/>
          <w:szCs w:val="28"/>
          <w:rtl w:val="true"/>
          <w:lang w:bidi="fa-IR"/>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ینقطع علی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دون غیرها، لما تقدّم فی أحکام الاستظهار و یأتی فی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المستحاضة و هی من استمرّ بها الدم بعد أیّامها إذا کانت معتادة فلا وقت لها إلّا أیّامها تأخذ به و تدع ما سوی ذلک، کما دلّ علیه مرسلة یونس الطویلة </w:t>
      </w:r>
      <w:r>
        <w:rPr>
          <w:rStyle w:val="FootnoteAnchor"/>
          <w:rtl w:val="true"/>
        </w:rPr>
        <w:footnoteReference w:id="2005"/>
      </w:r>
      <w:r>
        <w:rPr>
          <w:rFonts w:ascii="IRNazanin" w:hAnsi="IRNazanin" w:eastAsia="IRNazanin"/>
          <w:color w:val="111111"/>
          <w:sz w:val="28"/>
          <w:sz w:val="28"/>
          <w:szCs w:val="28"/>
          <w:rtl w:val="true"/>
          <w:lang w:bidi="fa-IR"/>
        </w:rPr>
        <w:t xml:space="preserve">المعتضدة فی المقام بعدم ظهور الخلاف، فیخصّص بها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ما قبل العادة و ما بعدها من حیث الإمکان علی السواء، فضمّ أحدهما دون الآخر ترجیح من غیر مرجّح،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اللازم من مراعاة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p>
    <w:p>
      <w:pPr>
        <w:pStyle w:val="Heading5"/>
        <w:numPr>
          <w:ilvl w:val="4"/>
          <w:numId w:val="1"/>
        </w:numPr>
        <w:rPr/>
      </w:pPr>
      <w:bookmarkStart w:id="190" w:name="__RefHeading___Toc6452000_3224264995"/>
      <w:bookmarkStart w:id="191" w:name="_Toc71"/>
      <w:bookmarkEnd w:id="190"/>
      <w:r>
        <w:rPr>
          <w:rtl w:val="true"/>
        </w:rPr>
        <w:t>[</w:t>
      </w:r>
      <w:r>
        <w:rPr>
          <w:rtl w:val="true"/>
        </w:rPr>
        <w:t>أحکام الحائض عند انقطاع الدم</w:t>
      </w:r>
      <w:r>
        <w:rPr>
          <w:rtl w:val="true"/>
        </w:rPr>
        <w:t>]</w:t>
      </w:r>
      <w:bookmarkEnd w:id="191"/>
    </w:p>
    <w:p>
      <w:pPr>
        <w:pStyle w:val="Heading6"/>
        <w:numPr>
          <w:ilvl w:val="5"/>
          <w:numId w:val="1"/>
        </w:numPr>
        <w:rPr/>
      </w:pPr>
      <w:bookmarkStart w:id="192" w:name="__RefHeading___Toc6452002_3224264995"/>
      <w:bookmarkStart w:id="193" w:name="_Toc72"/>
      <w:bookmarkEnd w:id="192"/>
      <w:r>
        <w:rPr>
          <w:rtl w:val="true"/>
        </w:rPr>
        <w:t>[</w:t>
      </w:r>
      <w:r>
        <w:rPr>
          <w:rtl w:val="true"/>
        </w:rPr>
        <w:t>وجوب الغسل علیها</w:t>
      </w:r>
      <w:r>
        <w:rPr>
          <w:rtl w:val="true"/>
        </w:rPr>
        <w:t>]</w:t>
      </w:r>
      <w:bookmarkEnd w:id="19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عند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المحقّق بالوجدان أو بالاستبراء، وجوباً مشروطاً بوجوب ما یتوقّف علی الطهارة</w:t>
      </w:r>
      <w:r>
        <w:rPr>
          <w:rFonts w:eastAsia="IRNazanin" w:cs="IRNazanin"/>
          <w:color w:val="111111"/>
          <w:sz w:val="28"/>
          <w:szCs w:val="28"/>
          <w:rtl w:val="true"/>
          <w:lang w:bidi="fa-IR"/>
        </w:rPr>
        <w:t>.</w:t>
      </w:r>
      <w:bookmarkStart w:id="194" w:name="pg13039_115477"/>
    </w:p>
    <w:p>
      <w:pPr>
        <w:pStyle w:val="BookText"/>
        <w:rPr/>
      </w:pPr>
      <w:bookmarkEnd w:id="194"/>
      <w:r>
        <w:rPr>
          <w:rFonts w:ascii="Amiri" w:hAnsi="Amiri" w:eastAsia="Amiri" w:cs="Amiri"/>
          <w:color w:val="111111"/>
          <w:sz w:val="28"/>
          <w:sz w:val="28"/>
          <w:szCs w:val="28"/>
          <w:rtl w:val="true"/>
          <w:lang w:bidi="ar-SA"/>
        </w:rPr>
        <w:t xml:space="preserve">و کیفیّته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ترتیباً و ارتماساً إلّا أنّ فیه الوضوء کما تقدّم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452004_3224264995"/>
      <w:bookmarkStart w:id="196" w:name="_Toc73"/>
      <w:bookmarkEnd w:id="195"/>
      <w:r>
        <w:rPr>
          <w:rtl w:val="true"/>
        </w:rPr>
        <w:t>[</w:t>
      </w:r>
      <w:r>
        <w:rPr>
          <w:rtl w:val="true"/>
        </w:rPr>
        <w:t>حرمة الصلاة علیها و بطلان صومها</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رؤیة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أو إباحته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بالطهارة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أو المندوبة،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لتوقّفه علی الطهارة، و المندوب؛ لتوقّفه علی جواز الکون فی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 کتابة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تقدّم فی الجنب ما یدلّ علیه </w:t>
      </w:r>
      <w:r>
        <w:rPr>
          <w:rStyle w:val="FootnoteAnchor"/>
          <w:rtl w:val="true"/>
        </w:rPr>
        <w:footnoteReference w:id="2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کراهته لها </w:t>
      </w:r>
      <w:r>
        <w:rPr>
          <w:rStyle w:val="FootnoteAnchor"/>
          <w:rtl w:val="true"/>
        </w:rPr>
        <w:footnoteReference w:id="2007"/>
      </w:r>
      <w:r>
        <w:rPr>
          <w:rFonts w:ascii="IRNazanin" w:hAnsi="IRNazanin" w:eastAsia="IRNazanin"/>
          <w:color w:val="111111"/>
          <w:sz w:val="28"/>
          <w:sz w:val="28"/>
          <w:szCs w:val="28"/>
          <w:rtl w:val="true"/>
          <w:lang w:bidi="fa-IR"/>
        </w:rPr>
        <w:t xml:space="preserve">، و لعلّه أراد بها التحریم؛ فإنّ علیه الإجماع عن جماعة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إشکال فی تحریم الصلاة من حیث التشریع، و هل هی محرّمة ذاتاً کقراءة العزائم، أو لا حرمة فیها إلّا من جهة التشریع بفعل الصلاة الغیر المأمور 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التصریح بعدم الجواز، و الأمر بالترک فی النصوص و أکثر معاقد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المرأة طامثاً لا تجوز لها الصلاة</w:t>
      </w:r>
      <w:r>
        <w:rPr>
          <w:rFonts w:eastAsia="IRNazanin" w:cs="IRNazanin"/>
          <w:color w:val="111111"/>
          <w:sz w:val="28"/>
          <w:szCs w:val="28"/>
          <w:rtl w:val="true"/>
          <w:lang w:bidi="fa-IR"/>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لها الصلاة</w:t>
      </w:r>
      <w:r>
        <w:rPr>
          <w:rFonts w:eastAsia="IRNazanin" w:cs="IRNazanin"/>
          <w:color w:val="111111"/>
          <w:sz w:val="28"/>
          <w:szCs w:val="28"/>
          <w:rtl w:val="true"/>
          <w:lang w:bidi="fa-IR"/>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دفقته یعنی الدم حرمت علیها الصلاة</w:t>
      </w:r>
      <w:r>
        <w:rPr>
          <w:rFonts w:eastAsia="IRNazanin" w:cs="IRNazanin"/>
          <w:color w:val="111111"/>
          <w:sz w:val="28"/>
          <w:szCs w:val="28"/>
          <w:rtl w:val="true"/>
          <w:lang w:bidi="fa-IR"/>
        </w:rPr>
        <w:t xml:space="preserve">» </w:t>
      </w:r>
      <w:r>
        <w:rPr>
          <w:rStyle w:val="FootnoteAnchor"/>
          <w:rtl w:val="true"/>
        </w:rPr>
        <w:footnoteReference w:id="2011"/>
      </w:r>
      <w:r>
        <w:rPr>
          <w:rFonts w:ascii="IRNazanin" w:hAnsi="IRNazanin" w:eastAsia="IRNazanin"/>
          <w:color w:val="111111"/>
          <w:sz w:val="28"/>
          <w:sz w:val="28"/>
          <w:szCs w:val="28"/>
          <w:rtl w:val="true"/>
          <w:lang w:bidi="fa-IR"/>
        </w:rPr>
        <w:t xml:space="preserve">، و نحوها غیرها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الحائض الصلاة و الصوم، و هو مذهب عامّة أهل الإسلام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الظاهر توجّه التحریم و الأمر بالترک فی الأدلّة علی فعل الصلاة علی وجه التعبّد و المشروعیّة، کما کانت تفعلها قبل الحیض، و لا کلام فی حرمة ذلک؛ لأنّه تشریع و تعبّد بما لم یأمر به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تظهر الثمرة فی حسن الاحتیاط بها بفعل الصوم و الصلاة الواجبین أو المندوبین عند الشکّ فی الحیض مع فرض عدم أصل أو عموم یرجع إلیه، فإن قلنا بالتحریم الذاتی لم یحسن له الاحتیاط، سیّما بفعل المندوبة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عدمه؛ للأصل و ظهور النواهی فیما ذکرنا، مع أنّ أوامر الترک واردة فی مقام رفع الوجوب، و لذا أبدل التحریم فی المعتبر و النافع </w:t>
      </w:r>
      <w:r>
        <w:rPr>
          <w:rStyle w:val="FootnoteAnchor"/>
          <w:rtl w:val="true"/>
        </w:rPr>
        <w:footnoteReference w:id="2014"/>
      </w:r>
      <w:r>
        <w:rPr>
          <w:rFonts w:ascii="IRNazanin" w:hAnsi="IRNazanin" w:eastAsia="IRNazanin"/>
          <w:color w:val="111111"/>
          <w:sz w:val="28"/>
          <w:sz w:val="28"/>
          <w:szCs w:val="28"/>
          <w:rtl w:val="true"/>
          <w:lang w:bidi="fa-IR"/>
        </w:rPr>
        <w:t>بعدم الانعقاد، فقال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تنعقد للحائض صوم و لا صلاة و علیه الإجماع </w:t>
      </w:r>
      <w:r>
        <w:rPr>
          <w:rStyle w:val="FootnoteAnchor"/>
          <w:rtl w:val="true"/>
        </w:rPr>
        <w:footnoteReference w:id="2015"/>
      </w:r>
      <w:r>
        <w:rPr>
          <w:rFonts w:ascii="IRNazanin" w:hAnsi="IRNazanin" w:eastAsia="IRNazanin"/>
          <w:color w:val="111111"/>
          <w:sz w:val="28"/>
          <w:sz w:val="28"/>
          <w:szCs w:val="28"/>
          <w:rtl w:val="true"/>
          <w:lang w:bidi="fa-IR"/>
        </w:rPr>
        <w:t>، و قال المصنّف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منها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الأُسلوب؛ لنکتة لعلّها ما ذکره فی الروض من التنبیه علی اختلاف حکم الثلاثة مع الصوم و أنّ مشروطیّتها بالطهارة أقوی منه؛ للإجماع علی عدم</w:t>
      </w:r>
      <w:bookmarkStart w:id="197" w:name="pg13039_115479"/>
    </w:p>
    <w:p>
      <w:pPr>
        <w:pStyle w:val="BookText"/>
        <w:rPr/>
      </w:pPr>
      <w:bookmarkEnd w:id="197"/>
      <w:r>
        <w:rPr>
          <w:rFonts w:ascii="IRNazanin" w:hAnsi="IRNazanin" w:eastAsia="IRNazanin"/>
          <w:color w:val="111111"/>
          <w:sz w:val="28"/>
          <w:sz w:val="28"/>
          <w:szCs w:val="28"/>
          <w:rtl w:val="true"/>
          <w:lang w:bidi="fa-IR"/>
        </w:rPr>
        <w:t xml:space="preserve">صحّتها بعد النقاء قبل الغسل و الخلاف فیه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حرمة الصلاة فی علل 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علی حدّ نجاسة فأحبّ اللّٰه أن لا یعبد إلّا طاهراً</w:t>
      </w:r>
      <w:r>
        <w:rPr>
          <w:rFonts w:eastAsia="IRNazanin" w:cs="IRNazanin"/>
          <w:color w:val="111111"/>
          <w:sz w:val="28"/>
          <w:szCs w:val="28"/>
          <w:rtl w:val="true"/>
          <w:lang w:bidi="fa-IR"/>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جماعة </w:t>
      </w:r>
      <w:r>
        <w:rPr>
          <w:rStyle w:val="FootnoteAnchor"/>
          <w:rtl w:val="true"/>
        </w:rPr>
        <w:footnoteReference w:id="2018"/>
      </w:r>
      <w:r>
        <w:rPr>
          <w:rFonts w:ascii="Amiri" w:hAnsi="Amiri" w:eastAsia="Amiri" w:cs="Amiri"/>
          <w:color w:val="111111"/>
          <w:sz w:val="28"/>
          <w:sz w:val="28"/>
          <w:szCs w:val="28"/>
          <w:rtl w:val="true"/>
          <w:lang w:bidi="ar-SA"/>
        </w:rPr>
        <w:t xml:space="preserve">، بل ادّعی علیه الاتّفاق </w:t>
      </w:r>
      <w:r>
        <w:rPr>
          <w:rStyle w:val="FootnoteAnchor"/>
          <w:rtl w:val="true"/>
        </w:rPr>
        <w:footnoteReference w:id="2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الاحتیاط للمضطربة، و تتبع کلمات الفقهاء یشرف الفقیه علی القطع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تحریم</w:t>
      </w:r>
    </w:p>
    <w:p>
      <w:pPr>
        <w:pStyle w:val="Heading6"/>
        <w:numPr>
          <w:ilvl w:val="5"/>
          <w:numId w:val="1"/>
        </w:numPr>
        <w:rPr/>
      </w:pPr>
      <w:bookmarkStart w:id="198" w:name="__RefHeading___Toc6452006_3224264995"/>
      <w:bookmarkStart w:id="199" w:name="_Toc74"/>
      <w:bookmarkEnd w:id="198"/>
      <w:r>
        <w:rPr>
          <w:rtl w:val="true"/>
        </w:rPr>
        <w:t>[</w:t>
      </w:r>
      <w:r>
        <w:rPr>
          <w:rtl w:val="true"/>
        </w:rPr>
        <w:t>حرمة طلاقها</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طلاقها </w:t>
      </w:r>
      <w:r>
        <w:rPr>
          <w:rStyle w:val="FootnoteAnchor"/>
          <w:rtl w:val="true"/>
        </w:rPr>
        <w:footnoteReference w:id="2020"/>
      </w:r>
      <w:r>
        <w:rPr>
          <w:rFonts w:ascii="IRNazanin" w:hAnsi="IRNazanin" w:eastAsia="IRNazanin"/>
          <w:color w:val="111111"/>
          <w:sz w:val="28"/>
          <w:sz w:val="28"/>
          <w:szCs w:val="28"/>
          <w:rtl w:val="true"/>
          <w:lang w:bidi="fa-IR"/>
        </w:rPr>
        <w:t>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کالمحبوس، فإنّ الظاهر أنّ المراد به عدم الانعقاد مع هذه الشروط، و سیأتی تفصیل ذلک فی کتاب الطلاق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المساجد </w:t>
      </w:r>
      <w:r>
        <w:rPr>
          <w:rStyle w:val="FootnoteAnchor"/>
          <w:rtl w:val="true"/>
        </w:rPr>
        <w:footnoteReference w:id="2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إجماع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عامّة أهل العلم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صحیحة زرارة و ابن مسلم المحکیّة عن علل الصدوق</w:t>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الجنب یدخلان المسجد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الجنب لا یدخلان المسجد إلّا مجتازین</w:t>
      </w:r>
      <w:r>
        <w:rPr>
          <w:rFonts w:eastAsia="IRNazanin" w:cs="IRNazanin"/>
          <w:color w:val="111111"/>
          <w:sz w:val="28"/>
          <w:szCs w:val="28"/>
          <w:rtl w:val="true"/>
          <w:lang w:bidi="fa-IR"/>
        </w:rPr>
        <w:t xml:space="preserve">» </w:t>
      </w:r>
      <w:r>
        <w:rPr>
          <w:rStyle w:val="FootnoteAnchor"/>
          <w:rtl w:val="true"/>
        </w:rPr>
        <w:footnoteReference w:id="2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حسنة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یدخلان المسجد و لا یقعدان فیه، و لا یقربان المسجدین الحرمین</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 xml:space="preserve">، و منها یظهر الوجه فی حرمة دخولهما علیه </w:t>
      </w:r>
      <w:r>
        <w:rPr>
          <w:rStyle w:val="FootnoteAnchor"/>
          <w:rtl w:val="true"/>
        </w:rPr>
        <w:footnoteReference w:id="2026"/>
      </w:r>
      <w:r>
        <w:rPr>
          <w:rFonts w:ascii="IRNazanin" w:hAnsi="IRNazanin" w:eastAsia="IRNazanin"/>
          <w:color w:val="111111"/>
          <w:sz w:val="28"/>
          <w:sz w:val="28"/>
          <w:szCs w:val="28"/>
          <w:rtl w:val="true"/>
          <w:lang w:bidi="fa-IR"/>
        </w:rPr>
        <w:t xml:space="preserve">، و لا خلاف فیه ظاهراً کما یظهر من المدارک </w:t>
      </w:r>
      <w:r>
        <w:rPr>
          <w:rStyle w:val="FootnoteAnchor"/>
          <w:rtl w:val="true"/>
        </w:rPr>
        <w:footnoteReference w:id="2027"/>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2028"/>
      </w:r>
      <w:r>
        <w:rPr>
          <w:rFonts w:ascii="IRNazanin" w:hAnsi="IRNazanin" w:eastAsia="IRNazanin"/>
          <w:color w:val="111111"/>
          <w:sz w:val="28"/>
          <w:sz w:val="28"/>
          <w:szCs w:val="28"/>
          <w:rtl w:val="true"/>
          <w:lang w:bidi="fa-IR"/>
        </w:rPr>
        <w:t xml:space="preserve">و إن حکی عن جماعة </w:t>
      </w:r>
      <w:r>
        <w:rPr>
          <w:rStyle w:val="FootnoteAnchor"/>
          <w:rtl w:val="true"/>
        </w:rPr>
        <w:footnoteReference w:id="2029"/>
      </w:r>
      <w:r>
        <w:rPr>
          <w:rFonts w:ascii="IRNazanin" w:hAnsi="IRNazanin" w:eastAsia="IRNazanin"/>
          <w:color w:val="111111"/>
          <w:sz w:val="28"/>
          <w:sz w:val="28"/>
          <w:szCs w:val="28"/>
          <w:rtl w:val="true"/>
          <w:lang w:bidi="fa-IR"/>
        </w:rPr>
        <w:t xml:space="preserve">إطلاق الجواز فی المساجد، و یمکن أن یحمل علی ما عدا المسجدین لأنّه الغالب، فإطلاقهم کإطلاق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و الجنب لا یدخلان المسجد إلّا مجتازین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عدّ من المندوب اعتزال المساجد من غیر فرق بینها </w:t>
      </w:r>
      <w:r>
        <w:rPr>
          <w:rStyle w:val="FootnoteAnchor"/>
          <w:rtl w:val="true"/>
        </w:rPr>
        <w:footnoteReference w:id="2030"/>
      </w:r>
      <w:r>
        <w:rPr>
          <w:rFonts w:ascii="IRNazanin" w:hAnsi="IRNazanin" w:eastAsia="IRNazanin"/>
          <w:color w:val="111111"/>
          <w:sz w:val="28"/>
          <w:sz w:val="28"/>
          <w:szCs w:val="28"/>
          <w:rtl w:val="true"/>
          <w:lang w:bidi="fa-IR"/>
        </w:rPr>
        <w:t>، و هو ضعیف لو أُرید به ما یخالف المشهور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فی النصّ و الفتوی هو أن تدخل من أحد البابین و تخرج من الآخر، و هو المراد بعابر السبیل فی الآیة </w:t>
      </w:r>
      <w:r>
        <w:rPr>
          <w:rStyle w:val="FootnoteAnchor"/>
          <w:rtl w:val="true"/>
        </w:rPr>
        <w:footnoteReference w:id="2031"/>
      </w:r>
      <w:r>
        <w:rPr>
          <w:rFonts w:ascii="IRNazanin" w:hAnsi="IRNazanin" w:eastAsia="IRNazanin"/>
          <w:color w:val="111111"/>
          <w:sz w:val="28"/>
          <w:sz w:val="28"/>
          <w:szCs w:val="28"/>
          <w:rtl w:val="true"/>
          <w:lang w:bidi="fa-IR"/>
        </w:rPr>
        <w:t>، فالتردّد فی جوانب المسجد فی غیر جهة الخروج ملحق باللبث، کما</w:t>
      </w:r>
      <w:bookmarkStart w:id="200" w:name="pg13039_115481"/>
    </w:p>
    <w:p>
      <w:pPr>
        <w:pStyle w:val="BookText"/>
        <w:rPr/>
      </w:pPr>
      <w:bookmarkEnd w:id="200"/>
      <w:r>
        <w:rPr>
          <w:rFonts w:ascii="IRNazanin" w:hAnsi="IRNazanin" w:eastAsia="IRNazanin"/>
          <w:color w:val="111111"/>
          <w:sz w:val="28"/>
          <w:sz w:val="28"/>
          <w:szCs w:val="28"/>
          <w:rtl w:val="true"/>
          <w:lang w:bidi="fa-IR"/>
        </w:rPr>
        <w:t xml:space="preserve">صرّح به الثانیان فی جامع المقاصد </w:t>
      </w:r>
      <w:r>
        <w:rPr>
          <w:rStyle w:val="FootnoteAnchor"/>
          <w:rtl w:val="true"/>
        </w:rPr>
        <w:footnoteReference w:id="2032"/>
      </w:r>
      <w:r>
        <w:rPr>
          <w:rFonts w:ascii="IRNazanin" w:hAnsi="IRNazanin" w:eastAsia="IRNazanin"/>
          <w:color w:val="111111"/>
          <w:sz w:val="28"/>
          <w:sz w:val="28"/>
          <w:szCs w:val="28"/>
          <w:rtl w:val="true"/>
          <w:lang w:bidi="fa-IR"/>
        </w:rPr>
        <w:t xml:space="preserve">و الروض </w:t>
      </w:r>
      <w:r>
        <w:rPr>
          <w:rStyle w:val="FootnoteAnchor"/>
          <w:rtl w:val="true"/>
        </w:rPr>
        <w:footnoteReference w:id="2033"/>
      </w:r>
      <w:r>
        <w:rPr>
          <w:rFonts w:ascii="Amiri" w:hAnsi="Amiri" w:eastAsia="Amiri" w:cs="Amiri"/>
          <w:color w:val="111111"/>
          <w:sz w:val="28"/>
          <w:sz w:val="28"/>
          <w:szCs w:val="28"/>
          <w:rtl w:val="true"/>
          <w:lang w:bidi="ar-SA"/>
        </w:rPr>
        <w:t xml:space="preserve">، تبعاً للمصنّف قدّس سرّه فی النهایة </w:t>
      </w:r>
      <w:r>
        <w:rPr>
          <w:rStyle w:val="FootnoteAnchor"/>
          <w:rtl w:val="true"/>
        </w:rPr>
        <w:footnoteReference w:id="2034"/>
      </w:r>
      <w:r>
        <w:rPr>
          <w:rFonts w:ascii="IRNazanin" w:hAnsi="IRNazanin" w:eastAsia="IRNazanin"/>
          <w:color w:val="111111"/>
          <w:sz w:val="28"/>
          <w:sz w:val="28"/>
          <w:szCs w:val="28"/>
          <w:rtl w:val="true"/>
          <w:lang w:bidi="fa-IR"/>
        </w:rPr>
        <w:t>، و لا یبعد أن یلحق به الدخول فی المسجد الذی له باب واحد ثمّ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أیضاً علیها وضع شی‌ء فی المسجد علی المشهور، بل عن الحدائق </w:t>
      </w:r>
      <w:r>
        <w:rPr>
          <w:rStyle w:val="FootnoteAnchor"/>
          <w:rtl w:val="true"/>
        </w:rPr>
        <w:footnoteReference w:id="2035"/>
      </w:r>
      <w:r>
        <w:rPr>
          <w:rFonts w:ascii="IRNazanin" w:hAnsi="IRNazanin" w:eastAsia="IRNazanin"/>
          <w:color w:val="111111"/>
          <w:sz w:val="28"/>
          <w:sz w:val="28"/>
          <w:szCs w:val="28"/>
          <w:rtl w:val="true"/>
          <w:lang w:bidi="fa-IR"/>
        </w:rPr>
        <w:t xml:space="preserve">نفی الخلاف فیه إلّا عن سلّار </w:t>
      </w:r>
      <w:r>
        <w:rPr>
          <w:rStyle w:val="FootnoteAnchor"/>
          <w:rtl w:val="true"/>
        </w:rPr>
        <w:footnoteReference w:id="2036"/>
      </w:r>
      <w:r>
        <w:rPr>
          <w:rFonts w:ascii="IRNazanin" w:hAnsi="IRNazanin" w:eastAsia="IRNazanin"/>
          <w:color w:val="111111"/>
          <w:sz w:val="28"/>
          <w:sz w:val="28"/>
          <w:szCs w:val="28"/>
          <w:rtl w:val="true"/>
          <w:lang w:bidi="fa-IR"/>
        </w:rPr>
        <w:t>لما تقدّم من الروایة فی أحکام الجنابة</w:t>
      </w:r>
      <w:r>
        <w:rPr>
          <w:rFonts w:eastAsia="IRNazanin" w:cs="IRNazanin"/>
          <w:color w:val="111111"/>
          <w:sz w:val="28"/>
          <w:szCs w:val="28"/>
          <w:rtl w:val="true"/>
          <w:lang w:bidi="fa-IR"/>
        </w:rPr>
        <w:t>.</w:t>
      </w:r>
    </w:p>
    <w:p>
      <w:pPr>
        <w:pStyle w:val="Heading6"/>
        <w:numPr>
          <w:ilvl w:val="5"/>
          <w:numId w:val="1"/>
        </w:numPr>
        <w:rPr/>
      </w:pPr>
      <w:bookmarkStart w:id="201" w:name="__RefHeading___Toc6452008_3224264995"/>
      <w:bookmarkStart w:id="202" w:name="_Toc75"/>
      <w:bookmarkEnd w:id="201"/>
      <w:r>
        <w:rPr>
          <w:rtl w:val="true"/>
        </w:rPr>
        <w:t>[</w:t>
      </w:r>
      <w:r>
        <w:rPr>
          <w:rtl w:val="true"/>
        </w:rPr>
        <w:t>حرمة قراءة العزائم و سجدة التلاوة علیها</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یحرم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و هی السور الأربع المشتملة علی السجدات الواجبة عند علمائنا أجمع، کما فی المعتبر </w:t>
      </w:r>
      <w:r>
        <w:rPr>
          <w:rStyle w:val="FootnoteAnchor"/>
          <w:rtl w:val="true"/>
        </w:rPr>
        <w:footnoteReference w:id="2037"/>
      </w:r>
      <w:r>
        <w:rPr>
          <w:rFonts w:ascii="IRNazanin" w:hAnsi="IRNazanin" w:eastAsia="IRNazanin"/>
          <w:color w:val="111111"/>
          <w:sz w:val="28"/>
          <w:sz w:val="28"/>
          <w:szCs w:val="28"/>
          <w:rtl w:val="true"/>
          <w:lang w:bidi="fa-IR"/>
        </w:rPr>
        <w:t xml:space="preserve">و المنتهی </w:t>
      </w:r>
      <w:r>
        <w:rPr>
          <w:rStyle w:val="FootnoteAnchor"/>
          <w:rtl w:val="true"/>
        </w:rPr>
        <w:footnoteReference w:id="2038"/>
      </w:r>
      <w:r>
        <w:rPr>
          <w:rFonts w:ascii="IRNazanin" w:hAnsi="IRNazanin" w:eastAsia="IRNazanin"/>
          <w:color w:val="111111"/>
          <w:sz w:val="28"/>
          <w:sz w:val="28"/>
          <w:szCs w:val="28"/>
          <w:rtl w:val="true"/>
          <w:lang w:bidi="fa-IR"/>
        </w:rPr>
        <w:t xml:space="preserve">، و فی الروض </w:t>
      </w:r>
      <w:r>
        <w:rPr>
          <w:rStyle w:val="FootnoteAnchor"/>
          <w:rtl w:val="true"/>
        </w:rPr>
        <w:footnoteReference w:id="2039"/>
      </w:r>
      <w:r>
        <w:rPr>
          <w:rFonts w:ascii="IRNazanin" w:hAnsi="IRNazanin" w:eastAsia="IRNazanin"/>
          <w:color w:val="111111"/>
          <w:sz w:val="28"/>
          <w:sz w:val="28"/>
          <w:szCs w:val="28"/>
          <w:rtl w:val="true"/>
          <w:lang w:bidi="fa-IR"/>
        </w:rPr>
        <w:t xml:space="preserve">، کما عن الذکری </w:t>
      </w:r>
      <w:r>
        <w:rPr>
          <w:rStyle w:val="FootnoteAnchor"/>
          <w:rtl w:val="true"/>
        </w:rPr>
        <w:footnoteReference w:id="2040"/>
      </w:r>
      <w:r>
        <w:rPr>
          <w:rFonts w:ascii="IRNazanin" w:hAnsi="IRNazanin" w:eastAsia="IRNazanin"/>
          <w:color w:val="111111"/>
          <w:sz w:val="28"/>
          <w:sz w:val="28"/>
          <w:szCs w:val="28"/>
          <w:rtl w:val="true"/>
          <w:lang w:bidi="fa-IR"/>
        </w:rPr>
        <w:t xml:space="preserve">الإجماع علیه، و هی الحجّة مضافاً إلی الأخبار المتقدّمة </w:t>
      </w:r>
      <w:r>
        <w:rPr>
          <w:rStyle w:val="FootnoteAnchor"/>
          <w:rtl w:val="true"/>
        </w:rPr>
        <w:footnoteReference w:id="2041"/>
      </w:r>
      <w:r>
        <w:rPr>
          <w:rFonts w:ascii="IRNazanin" w:hAnsi="IRNazanin" w:eastAsia="IRNazanin"/>
          <w:color w:val="111111"/>
          <w:sz w:val="28"/>
          <w:sz w:val="28"/>
          <w:szCs w:val="28"/>
          <w:rtl w:val="true"/>
          <w:lang w:bidi="fa-IR"/>
        </w:rPr>
        <w:t>فی أحکام الجنابة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علی وجه العصیان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یقرأها، أی أصغت إلیه؛ لإطلاق أدلّة السجود </w:t>
      </w:r>
      <w:r>
        <w:rPr>
          <w:rStyle w:val="FootnoteAnchor"/>
          <w:rtl w:val="true"/>
        </w:rPr>
        <w:footnoteReference w:id="2042"/>
      </w:r>
      <w:r>
        <w:rPr>
          <w:rFonts w:ascii="IRNazanin" w:hAnsi="IRNazanin" w:eastAsia="IRNazanin"/>
          <w:color w:val="111111"/>
          <w:sz w:val="28"/>
          <w:sz w:val="28"/>
          <w:szCs w:val="28"/>
          <w:rtl w:val="true"/>
          <w:lang w:bidi="fa-IR"/>
        </w:rPr>
        <w:t>، و عدم</w:t>
      </w:r>
    </w:p>
    <w:p>
      <w:pPr>
        <w:pStyle w:val="BookText"/>
        <w:rPr/>
      </w:pPr>
      <w:r>
        <w:rPr>
          <w:rFonts w:ascii="IRNazanin" w:hAnsi="IRNazanin" w:eastAsia="IRNazanin"/>
          <w:color w:val="111111"/>
          <w:sz w:val="28"/>
          <w:sz w:val="28"/>
          <w:szCs w:val="28"/>
          <w:rtl w:val="true"/>
          <w:lang w:bidi="fa-IR"/>
        </w:rPr>
        <w:t>الدلیل علی اشتراط سجدة العزیمة بالطهارة، مضافاً إلی مصحّحة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الطامث تسمع السجدة،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من العزائم فلتسجد إذا سمعتها</w:t>
      </w:r>
      <w:r>
        <w:rPr>
          <w:rFonts w:eastAsia="IRNazanin" w:cs="IRNazanin"/>
          <w:color w:val="111111"/>
          <w:sz w:val="28"/>
          <w:szCs w:val="28"/>
          <w:rtl w:val="true"/>
          <w:lang w:bidi="fa-IR"/>
        </w:rPr>
        <w:t xml:space="preserve">» </w:t>
      </w:r>
      <w:r>
        <w:rPr>
          <w:rStyle w:val="FootnoteAnchor"/>
          <w:rtl w:val="true"/>
        </w:rPr>
        <w:footnoteReference w:id="2043"/>
      </w:r>
      <w:r>
        <w:rPr>
          <w:rFonts w:ascii="IRNazanin" w:hAnsi="IRNazanin" w:eastAsia="IRNazanin"/>
          <w:color w:val="111111"/>
          <w:sz w:val="28"/>
          <w:sz w:val="28"/>
          <w:szCs w:val="28"/>
          <w:rtl w:val="true"/>
          <w:lang w:bidi="fa-IR"/>
        </w:rPr>
        <w:t xml:space="preserve">، و موثّقة أبی بصیر المرویّة فی الکافی </w:t>
      </w:r>
      <w:r>
        <w:rPr>
          <w:rStyle w:val="FootnoteAnchor"/>
          <w:rtl w:val="true"/>
        </w:rPr>
        <w:footnoteReference w:id="2044"/>
      </w:r>
      <w:r>
        <w:rPr>
          <w:rFonts w:ascii="IRNazanin" w:hAnsi="IRNazanin" w:eastAsia="IRNazanin"/>
          <w:color w:val="111111"/>
          <w:sz w:val="28"/>
          <w:sz w:val="28"/>
          <w:szCs w:val="28"/>
          <w:rtl w:val="true"/>
          <w:lang w:bidi="fa-IR"/>
        </w:rPr>
        <w:t xml:space="preserve">المستندة فی محکی السرائر </w:t>
      </w:r>
      <w:r>
        <w:rPr>
          <w:rStyle w:val="FootnoteAnchor"/>
          <w:rtl w:val="true"/>
        </w:rPr>
        <w:footnoteReference w:id="2045"/>
      </w:r>
      <w:r>
        <w:rPr>
          <w:rFonts w:ascii="IRNazanin" w:hAnsi="IRNazanin" w:eastAsia="IRNazanin"/>
          <w:color w:val="111111"/>
          <w:sz w:val="28"/>
          <w:sz w:val="28"/>
          <w:szCs w:val="28"/>
          <w:rtl w:val="true"/>
          <w:lang w:bidi="fa-IR"/>
        </w:rPr>
        <w:t xml:space="preserve">و المعتبر </w:t>
      </w:r>
      <w:r>
        <w:rPr>
          <w:rStyle w:val="FootnoteAnchor"/>
          <w:rtl w:val="true"/>
        </w:rPr>
        <w:footnoteReference w:id="2046"/>
      </w:r>
      <w:r>
        <w:rPr>
          <w:rFonts w:ascii="IRNazanin" w:hAnsi="IRNazanin" w:eastAsia="IRNazanin"/>
          <w:color w:val="111111"/>
          <w:sz w:val="28"/>
          <w:sz w:val="28"/>
          <w:szCs w:val="28"/>
          <w:rtl w:val="true"/>
          <w:lang w:bidi="fa-IR"/>
        </w:rPr>
        <w:t xml:space="preserve">و الخلاف </w:t>
      </w:r>
      <w:r>
        <w:rPr>
          <w:rStyle w:val="FootnoteAnchor"/>
          <w:rtl w:val="true"/>
        </w:rPr>
        <w:footnoteReference w:id="2047"/>
      </w:r>
      <w:r>
        <w:rPr>
          <w:rFonts w:ascii="IRNazanin" w:hAnsi="IRNazanin" w:eastAsia="IRNazanin"/>
          <w:color w:val="111111"/>
          <w:sz w:val="28"/>
          <w:sz w:val="28"/>
          <w:szCs w:val="28"/>
          <w:rtl w:val="true"/>
          <w:lang w:bidi="fa-IR"/>
        </w:rPr>
        <w:t xml:space="preserve">و التذکرة </w:t>
      </w:r>
      <w:r>
        <w:rPr>
          <w:rStyle w:val="FootnoteAnchor"/>
          <w:rtl w:val="true"/>
        </w:rPr>
        <w:footnoteReference w:id="2048"/>
      </w:r>
      <w:r>
        <w:rPr>
          <w:rFonts w:ascii="IRNazanin" w:hAnsi="IRNazanin" w:eastAsia="IRNazanin"/>
          <w:color w:val="111111"/>
          <w:sz w:val="28"/>
          <w:sz w:val="28"/>
          <w:szCs w:val="28"/>
          <w:rtl w:val="true"/>
          <w:lang w:bidi="fa-IR"/>
        </w:rPr>
        <w:t>إلی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قرئ شی‌ء من العزائم الأربع و سمعتها فاسجد، و إن کنت علی غیر وضوء، و إن کنت جنباً، و إن کانت المرأة لا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القرآن أنت فیه بالخیار إن شئت سجدت و إن شئت لم تسجد</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 xml:space="preserve">، خلافاً للمحکیّ عن المقنعة </w:t>
      </w:r>
      <w:r>
        <w:rPr>
          <w:rStyle w:val="FootnoteAnchor"/>
          <w:rtl w:val="true"/>
        </w:rPr>
        <w:footnoteReference w:id="2050"/>
      </w:r>
      <w:r>
        <w:rPr>
          <w:rFonts w:ascii="IRNazanin" w:hAnsi="IRNazanin" w:eastAsia="IRNazanin"/>
          <w:color w:val="111111"/>
          <w:sz w:val="28"/>
          <w:sz w:val="28"/>
          <w:szCs w:val="28"/>
          <w:rtl w:val="true"/>
          <w:lang w:bidi="fa-IR"/>
        </w:rPr>
        <w:t xml:space="preserve">و التهذیب و الوسیلة </w:t>
      </w:r>
      <w:r>
        <w:rPr>
          <w:rStyle w:val="FootnoteAnchor"/>
          <w:rtl w:val="true"/>
        </w:rPr>
        <w:footnoteReference w:id="2051"/>
      </w:r>
      <w:r>
        <w:rPr>
          <w:rFonts w:ascii="IRNazanin" w:hAnsi="IRNazanin" w:eastAsia="IRNazanin"/>
          <w:color w:val="111111"/>
          <w:sz w:val="28"/>
          <w:sz w:val="28"/>
          <w:szCs w:val="28"/>
          <w:rtl w:val="true"/>
          <w:lang w:bidi="fa-IR"/>
        </w:rPr>
        <w:t>فحرّموها علیها، بناءً علی اشتراطها بالطهارة؛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السجود إلّا لطاهر من النجاسات بلا خلاف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الاستدلال لهم بما عن السرائر </w:t>
      </w:r>
      <w:r>
        <w:rPr>
          <w:rStyle w:val="FootnoteAnchor"/>
          <w:rtl w:val="true"/>
        </w:rPr>
        <w:footnoteReference w:id="2053"/>
      </w:r>
      <w:r>
        <w:rPr>
          <w:rFonts w:ascii="IRNazanin" w:hAnsi="IRNazanin" w:eastAsia="IRNazanin"/>
          <w:color w:val="111111"/>
          <w:sz w:val="28"/>
          <w:sz w:val="28"/>
          <w:szCs w:val="28"/>
          <w:rtl w:val="true"/>
          <w:lang w:bidi="fa-IR"/>
        </w:rPr>
        <w:t>، عن کتاب محمّد بن علی بن محبوب، عن غیاث،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الحائض</w:t>
      </w:r>
    </w:p>
    <w:p>
      <w:pPr>
        <w:pStyle w:val="BookText"/>
        <w:rPr/>
      </w:pPr>
      <w:r>
        <w:rPr>
          <w:rFonts w:ascii="Amiri" w:hAnsi="Amiri" w:eastAsia="Amiri" w:cs="Amiri"/>
          <w:color w:val="111111"/>
          <w:sz w:val="28"/>
          <w:sz w:val="28"/>
          <w:szCs w:val="28"/>
          <w:rtl w:val="true"/>
          <w:lang w:bidi="ar-SA"/>
        </w:rPr>
        <w:t>الصلاة و لا تسجد إذا سمعت السجدة</w:t>
      </w:r>
      <w:r>
        <w:rPr>
          <w:rFonts w:eastAsia="Amiri" w:cs="Amiri" w:ascii="Amiri" w:hAnsi="Amiri"/>
          <w:color w:val="111111"/>
          <w:sz w:val="28"/>
          <w:szCs w:val="28"/>
          <w:rtl w:val="true"/>
          <w:lang w:bidi="ar-SA"/>
        </w:rPr>
        <w:t xml:space="preserve">» </w:t>
      </w:r>
      <w:r>
        <w:rPr>
          <w:rStyle w:val="FootnoteAnchor"/>
          <w:rtl w:val="true"/>
        </w:rPr>
        <w:footnoteReference w:id="2054"/>
      </w:r>
      <w:r>
        <w:rPr>
          <w:rFonts w:ascii="IRNazanin" w:hAnsi="IRNazanin" w:eastAsia="IRNazanin"/>
          <w:color w:val="111111"/>
          <w:sz w:val="28"/>
          <w:sz w:val="28"/>
          <w:szCs w:val="28"/>
          <w:rtl w:val="true"/>
          <w:lang w:bidi="fa-IR"/>
        </w:rPr>
        <w:t>و مصحّحة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الحائض تقرأ القرآن و تسجد سجدة إذا سمعت السجدة؟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و لا تسجد</w:t>
      </w:r>
      <w:r>
        <w:rPr>
          <w:rFonts w:eastAsia="IRNazanin" w:cs="IRNazanin"/>
          <w:color w:val="111111"/>
          <w:sz w:val="28"/>
          <w:szCs w:val="28"/>
          <w:rtl w:val="true"/>
          <w:lang w:bidi="fa-IR"/>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 ضعیف بمنع اعتبار الطهارة فیما عدا سجود الصلاة أو سجود السهو و لیس کلّ سجود جزء للصلاة؛ و لذا یجوز سجود الشکر علی 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الصحیحة، فظاهر السؤال فیها عن جواز القراءة و وجوب السجدة، فأجاب بجواز الاولی و عدم وجوب الثانیة، فهی تدلّ علی عدم وجوب السجدة بالسماع من دون إصغاء، کما هو مذهب الشیخ فی الخلاف </w:t>
      </w:r>
      <w:r>
        <w:rPr>
          <w:rStyle w:val="FootnoteAnchor"/>
          <w:rtl w:val="true"/>
        </w:rPr>
        <w:footnoteReference w:id="2056"/>
      </w:r>
      <w:r>
        <w:rPr>
          <w:rFonts w:ascii="Amiri" w:hAnsi="Amiri" w:eastAsia="Amiri" w:cs="Amiri"/>
          <w:color w:val="111111"/>
          <w:sz w:val="28"/>
          <w:sz w:val="28"/>
          <w:szCs w:val="28"/>
          <w:rtl w:val="true"/>
          <w:lang w:bidi="ar-SA"/>
        </w:rPr>
        <w:t xml:space="preserve">، و المحقّق </w:t>
      </w:r>
      <w:r>
        <w:rPr>
          <w:rStyle w:val="FootnoteAnchor"/>
          <w:rtl w:val="true"/>
        </w:rPr>
        <w:footnoteReference w:id="2057"/>
      </w:r>
      <w:r>
        <w:rPr>
          <w:rFonts w:ascii="Amiri" w:hAnsi="Amiri" w:eastAsia="Amiri" w:cs="Amiri"/>
          <w:color w:val="111111"/>
          <w:sz w:val="28"/>
          <w:sz w:val="28"/>
          <w:szCs w:val="28"/>
          <w:rtl w:val="true"/>
          <w:lang w:bidi="ar-SA"/>
        </w:rPr>
        <w:t xml:space="preserve">و المصنّف قدّس سرّه </w:t>
      </w:r>
      <w:r>
        <w:rPr>
          <w:rStyle w:val="FootnoteAnchor"/>
          <w:rtl w:val="true"/>
        </w:rPr>
        <w:footnoteReference w:id="2058"/>
      </w:r>
      <w:r>
        <w:rPr>
          <w:rFonts w:ascii="Amiri" w:hAnsi="Amiri" w:eastAsia="Amiri" w:cs="Amiri"/>
          <w:color w:val="111111"/>
          <w:sz w:val="28"/>
          <w:sz w:val="28"/>
          <w:szCs w:val="28"/>
          <w:rtl w:val="true"/>
          <w:lang w:bidi="ar-SA"/>
        </w:rPr>
        <w:t>مدّعیاً فی الأوّل الاتّفاق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ذکر یظهر حمل الموثّقة علی عدم الوجوب أیضاً، و لا ینافیه عطفه علی نفی قضاء الصلاة الظاهر فی عدم المشروعیّة؛ لمنع أنّ المراد بیان الزائد علی نفی وجوب القضاء للصلاة و إن استلزم ذلک عدم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إمکان حمل الخبرین علی التقیّة؛ لأنّ القول بالمنع یحکی عن أبی حنیفة و الشافعی و أحمد </w:t>
      </w:r>
      <w:r>
        <w:rPr>
          <w:rStyle w:val="FootnoteAnchor"/>
          <w:rtl w:val="true"/>
        </w:rPr>
        <w:footnoteReference w:id="2059"/>
      </w:r>
      <w:r>
        <w:rPr>
          <w:rFonts w:ascii="IRNazanin" w:hAnsi="IRNazanin" w:eastAsia="IRNazanin"/>
          <w:color w:val="111111"/>
          <w:sz w:val="28"/>
          <w:sz w:val="28"/>
          <w:szCs w:val="28"/>
          <w:rtl w:val="true"/>
          <w:lang w:bidi="fa-IR"/>
        </w:rPr>
        <w:t xml:space="preserve">بل عن جمهور </w:t>
      </w:r>
      <w:r>
        <w:rPr>
          <w:rStyle w:val="FootnoteAnchor"/>
          <w:rtl w:val="true"/>
        </w:rPr>
        <w:footnoteReference w:id="2060"/>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ذکرناه فی توجیه الصحیحة أولی ممّا ذکره المصنّف قدّس سرّه فی</w:t>
      </w:r>
    </w:p>
    <w:p>
      <w:pPr>
        <w:pStyle w:val="BookText"/>
        <w:rPr/>
      </w:pPr>
      <w:r>
        <w:rPr>
          <w:rFonts w:ascii="IRNazanin" w:hAnsi="IRNazanin" w:eastAsia="IRNazanin"/>
          <w:color w:val="111111"/>
          <w:sz w:val="28"/>
          <w:sz w:val="28"/>
          <w:szCs w:val="28"/>
          <w:rtl w:val="true"/>
          <w:lang w:bidi="fa-IR"/>
        </w:rPr>
        <w:t>المختلف، حیث جعل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العزیمة التی تسجد فیها إطلاقاً للمسبّب علی السبب </w:t>
      </w:r>
      <w:r>
        <w:rPr>
          <w:rStyle w:val="FootnoteAnchor"/>
          <w:rtl w:val="true"/>
        </w:rPr>
        <w:footnoteReference w:id="2061"/>
      </w:r>
      <w:r>
        <w:rPr>
          <w:rFonts w:ascii="IRNazanin" w:hAnsi="IRNazanin" w:eastAsia="IRNazanin"/>
          <w:color w:val="111111"/>
          <w:sz w:val="28"/>
          <w:sz w:val="28"/>
          <w:szCs w:val="28"/>
          <w:rtl w:val="true"/>
          <w:lang w:bidi="fa-IR"/>
        </w:rPr>
        <w:t xml:space="preserve">، و لا یخفی بعده، و نحوه ما فی الروض </w:t>
      </w:r>
      <w:r>
        <w:rPr>
          <w:rStyle w:val="FootnoteAnchor"/>
          <w:rtl w:val="true"/>
        </w:rPr>
        <w:footnoteReference w:id="2062"/>
      </w:r>
      <w:r>
        <w:rPr>
          <w:rFonts w:ascii="IRNazanin" w:hAnsi="IRNazanin" w:eastAsia="IRNazanin"/>
          <w:color w:val="111111"/>
          <w:sz w:val="28"/>
          <w:sz w:val="28"/>
          <w:szCs w:val="28"/>
          <w:rtl w:val="true"/>
          <w:lang w:bidi="fa-IR"/>
        </w:rPr>
        <w:t xml:space="preserve">، بل نسب إلی المتأخّرین </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السجدات المستحبّة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ترک المصنّف قدّس سرّه لوجوب السجدة مع السماع مبنیّ علی مذهبه من عدم وجوبها </w:t>
      </w:r>
      <w:r>
        <w:rPr>
          <w:rStyle w:val="FootnoteAnchor"/>
          <w:rtl w:val="true"/>
        </w:rPr>
        <w:footnoteReference w:id="2064"/>
      </w:r>
      <w:r>
        <w:rPr>
          <w:rFonts w:ascii="Amiri" w:hAnsi="Amiri" w:eastAsia="Amiri" w:cs="Amiri"/>
          <w:color w:val="111111"/>
          <w:sz w:val="28"/>
          <w:sz w:val="28"/>
          <w:szCs w:val="28"/>
          <w:rtl w:val="true"/>
          <w:lang w:bidi="ar-SA"/>
        </w:rPr>
        <w:t xml:space="preserve">وفاقاً لجماعة </w:t>
      </w:r>
      <w:r>
        <w:rPr>
          <w:rStyle w:val="FootnoteAnchor"/>
          <w:rtl w:val="true"/>
        </w:rPr>
        <w:footnoteReference w:id="2065"/>
      </w:r>
      <w:r>
        <w:rPr>
          <w:rFonts w:ascii="IRNazanin" w:hAnsi="IRNazanin" w:eastAsia="IRNazanin"/>
          <w:color w:val="111111"/>
          <w:sz w:val="28"/>
          <w:sz w:val="28"/>
          <w:szCs w:val="28"/>
          <w:rtl w:val="true"/>
          <w:lang w:bidi="fa-IR"/>
        </w:rPr>
        <w:t>،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الوفاق علیه </w:t>
      </w:r>
      <w:r>
        <w:rPr>
          <w:rStyle w:val="FootnoteAnchor"/>
          <w:rtl w:val="true"/>
        </w:rPr>
        <w:footnoteReference w:id="2066"/>
      </w:r>
      <w:r>
        <w:rPr>
          <w:rFonts w:ascii="IRNazanin" w:hAnsi="IRNazanin" w:eastAsia="IRNazanin"/>
          <w:color w:val="111111"/>
          <w:sz w:val="28"/>
          <w:sz w:val="28"/>
          <w:szCs w:val="28"/>
          <w:rtl w:val="true"/>
          <w:lang w:bidi="fa-IR"/>
        </w:rPr>
        <w:t>لموثّقة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سمع السجدة،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 إلّا أن یکون منصتاً لقرائته مستمعاً لها، أو یصلّی بصلاته، و إمّا أن یکون فی ناحیة و أنت فی أُخری فلا تسجد لما سمعت</w:t>
      </w:r>
      <w:r>
        <w:rPr>
          <w:rFonts w:eastAsia="IRNazanin" w:cs="IRNazanin"/>
          <w:color w:val="111111"/>
          <w:sz w:val="28"/>
          <w:szCs w:val="28"/>
          <w:rtl w:val="true"/>
          <w:lang w:bidi="fa-IR"/>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2068"/>
      </w:r>
      <w:r>
        <w:rPr>
          <w:rFonts w:ascii="Amiri" w:hAnsi="Amiri" w:eastAsia="Amiri" w:cs="Amiri"/>
          <w:color w:val="111111"/>
          <w:sz w:val="28"/>
          <w:sz w:val="28"/>
          <w:szCs w:val="28"/>
          <w:rtl w:val="true"/>
          <w:lang w:bidi="ar-SA"/>
        </w:rPr>
        <w:t xml:space="preserve">منهم الحلیّ </w:t>
      </w:r>
      <w:r>
        <w:rPr>
          <w:rStyle w:val="FootnoteAnchor"/>
          <w:rtl w:val="true"/>
        </w:rPr>
        <w:footnoteReference w:id="2069"/>
      </w:r>
      <w:r>
        <w:rPr>
          <w:rFonts w:ascii="IRNazanin" w:hAnsi="IRNazanin" w:eastAsia="IRNazanin"/>
          <w:color w:val="111111"/>
          <w:sz w:val="28"/>
          <w:sz w:val="28"/>
          <w:szCs w:val="28"/>
          <w:rtl w:val="true"/>
          <w:lang w:bidi="fa-IR"/>
        </w:rPr>
        <w:t xml:space="preserve">، مدّعیاً الإجماع علی وجوبها بالسماع؛ لأخبار تقدّم بعضها </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bookmarkStart w:id="203" w:name="pg13039_115485"/>
    </w:p>
    <w:p>
      <w:pPr>
        <w:pStyle w:val="Heading6"/>
        <w:numPr>
          <w:ilvl w:val="5"/>
          <w:numId w:val="1"/>
        </w:numPr>
        <w:rPr/>
      </w:pPr>
      <w:bookmarkStart w:id="204" w:name="__RefHeading___Toc6452010_3224264995"/>
      <w:bookmarkStart w:id="205" w:name="_Toc76"/>
      <w:bookmarkEnd w:id="203"/>
      <w:bookmarkEnd w:id="204"/>
      <w:r>
        <w:rPr>
          <w:rtl w:val="true"/>
        </w:rPr>
        <w:t>[</w:t>
      </w:r>
      <w:r>
        <w:rPr>
          <w:rtl w:val="true"/>
        </w:rPr>
        <w:t>حرمة وطؤها علی زوجها</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بالأدلّة الثلاثة، بل بضرورة الإسلام؛ و لذا صرّح غیر واحد </w:t>
      </w:r>
      <w:r>
        <w:rPr>
          <w:rStyle w:val="FootnoteAnchor"/>
          <w:rtl w:val="true"/>
        </w:rPr>
        <w:footnoteReference w:id="2071"/>
      </w:r>
      <w:r>
        <w:rPr>
          <w:rFonts w:ascii="Amiri" w:hAnsi="Amiri" w:eastAsia="Amiri" w:cs="Amiri"/>
          <w:color w:val="111111"/>
          <w:sz w:val="28"/>
          <w:sz w:val="28"/>
          <w:szCs w:val="28"/>
          <w:rtl w:val="true"/>
          <w:lang w:bidi="ar-SA"/>
        </w:rPr>
        <w:t xml:space="preserve">بکفر مستحلّیه و بأنّه لو کان غیر مستحلّ عالماً بالحکم و الموضوع فعل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حسماً لمادّة الفساد، کما فی فاعل کلّ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جماعة </w:t>
      </w:r>
      <w:r>
        <w:rPr>
          <w:rStyle w:val="FootnoteAnchor"/>
          <w:rtl w:val="true"/>
        </w:rPr>
        <w:footnoteReference w:id="2072"/>
      </w:r>
      <w:r>
        <w:rPr>
          <w:rFonts w:ascii="IRNazanin" w:hAnsi="IRNazanin" w:eastAsia="IRNazanin"/>
          <w:color w:val="111111"/>
          <w:sz w:val="28"/>
          <w:sz w:val="28"/>
          <w:szCs w:val="28"/>
          <w:rtl w:val="true"/>
          <w:lang w:bidi="fa-IR"/>
        </w:rPr>
        <w:t xml:space="preserve">بعدم حدّ خاصّ للتعزیر و یناط بنظر الحاکم، کما فی بعض المعتبرة </w:t>
      </w:r>
      <w:r>
        <w:rPr>
          <w:rStyle w:val="FootnoteAnchor"/>
          <w:rtl w:val="true"/>
        </w:rPr>
        <w:footnoteReference w:id="2073"/>
      </w:r>
      <w:r>
        <w:rPr>
          <w:rFonts w:ascii="IRNazanin" w:hAnsi="IRNazanin" w:eastAsia="IRNazanin"/>
          <w:color w:val="111111"/>
          <w:sz w:val="28"/>
          <w:sz w:val="28"/>
          <w:szCs w:val="28"/>
          <w:rtl w:val="true"/>
          <w:lang w:bidi="fa-IR"/>
        </w:rPr>
        <w:t xml:space="preserve">، و بأنّ المحکی عن الشیخ أبی علی ولد الشیخ من تحدید </w:t>
      </w:r>
      <w:r>
        <w:rPr>
          <w:rStyle w:val="FootnoteAnchor"/>
          <w:rtl w:val="true"/>
        </w:rPr>
        <w:footnoteReference w:id="2074"/>
      </w:r>
      <w:r>
        <w:rPr>
          <w:rFonts w:ascii="IRNazanin" w:hAnsi="IRNazanin" w:eastAsia="IRNazanin"/>
          <w:color w:val="111111"/>
          <w:sz w:val="28"/>
          <w:sz w:val="28"/>
          <w:szCs w:val="28"/>
          <w:rtl w:val="true"/>
          <w:lang w:bidi="fa-IR"/>
        </w:rPr>
        <w:t xml:space="preserve">التعزیر بثمن حدّ الزانی </w:t>
      </w:r>
      <w:r>
        <w:rPr>
          <w:rStyle w:val="FootnoteAnchor"/>
          <w:rtl w:val="true"/>
        </w:rPr>
        <w:footnoteReference w:id="2075"/>
      </w:r>
      <w:r>
        <w:rPr>
          <w:rFonts w:ascii="IRNazanin" w:hAnsi="IRNazanin" w:eastAsia="IRNazanin"/>
          <w:color w:val="111111"/>
          <w:sz w:val="28"/>
          <w:sz w:val="28"/>
          <w:szCs w:val="28"/>
          <w:rtl w:val="true"/>
          <w:lang w:bidi="fa-IR"/>
        </w:rPr>
        <w:t>ممّا لم نقف له علی مأخذ، و الموجود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حدّ الزانی خمسة و عشرون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الکلینی و الشیخ بسندهما إلی الفضل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أتی أهله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و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خمسة و عشرون سوطاً ربع حدّ الزانی و هو صاغر؛ لأنّه أتی سفاحاً</w:t>
      </w:r>
      <w:r>
        <w:rPr>
          <w:rFonts w:eastAsia="IRNazanin" w:cs="IRNazanin"/>
          <w:color w:val="111111"/>
          <w:sz w:val="28"/>
          <w:szCs w:val="28"/>
          <w:rtl w:val="true"/>
          <w:lang w:bidi="fa-IR"/>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بسندهما عن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عن الرجل</w:t>
      </w:r>
    </w:p>
    <w:p>
      <w:pPr>
        <w:pStyle w:val="BookText"/>
        <w:rPr/>
      </w:pPr>
      <w:r>
        <w:rPr>
          <w:rFonts w:ascii="IRNazanin" w:hAnsi="IRNazanin" w:eastAsia="IRNazanin"/>
          <w:color w:val="111111"/>
          <w:sz w:val="28"/>
          <w:sz w:val="28"/>
          <w:szCs w:val="28"/>
          <w:rtl w:val="true"/>
          <w:lang w:bidi="fa-IR"/>
        </w:rPr>
        <w:t>أتی المرأة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فی استقبال الحیض دینار، و فی وسطه </w:t>
      </w:r>
      <w:r>
        <w:rPr>
          <w:rStyle w:val="FootnoteAnchor"/>
          <w:rtl w:val="true"/>
        </w:rPr>
        <w:footnoteReference w:id="2077"/>
      </w:r>
      <w:r>
        <w:rPr>
          <w:rFonts w:ascii="IRNazanin" w:hAnsi="IRNazanin" w:eastAsia="IRNazanin"/>
          <w:color w:val="111111"/>
          <w:sz w:val="28"/>
          <w:sz w:val="28"/>
          <w:szCs w:val="28"/>
          <w:rtl w:val="true"/>
          <w:lang w:bidi="fa-IR"/>
        </w:rPr>
        <w:t>نصف دینار،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یجب علیه شی‌ء </w:t>
      </w:r>
      <w:r>
        <w:rPr>
          <w:rStyle w:val="FootnoteAnchor"/>
          <w:rtl w:val="true"/>
        </w:rPr>
        <w:footnoteReference w:id="20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خمسة و عشرون سوطاً ربع حدّ الزانی؛ لأنّه أتی سفاحاً</w:t>
      </w:r>
      <w:r>
        <w:rPr>
          <w:rFonts w:eastAsia="IRNazanin" w:cs="IRNazanin"/>
          <w:color w:val="111111"/>
          <w:sz w:val="28"/>
          <w:szCs w:val="28"/>
          <w:rtl w:val="true"/>
          <w:lang w:bidi="fa-IR"/>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عن القمیّ فی تفسیره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امرأته فی الفرج فی أیّام حیض فعلیه أن یتصدّق بدینار، و علیه ربع حدّ الزانی خمسة و عشرون جلدة، و إن أتاها فی آخر أیّام حیضها فعلیه أن یتصدّق بنصف دینار و یضرب اثنی عشر جلدة و نصفاً</w:t>
      </w:r>
      <w:r>
        <w:rPr>
          <w:rFonts w:eastAsia="IRNazanin" w:cs="IRNazanin"/>
          <w:color w:val="111111"/>
          <w:sz w:val="28"/>
          <w:szCs w:val="28"/>
          <w:rtl w:val="true"/>
          <w:lang w:bidi="fa-IR"/>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جهل الحکم و الموضوع أو نسیهما فلا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سیأتی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الطامث خطأ عصی اللّٰه</w:t>
      </w:r>
      <w:r>
        <w:rPr>
          <w:rFonts w:eastAsia="IRNazanin" w:cs="IRNazanin"/>
          <w:color w:val="111111"/>
          <w:sz w:val="28"/>
          <w:szCs w:val="28"/>
          <w:rtl w:val="true"/>
          <w:lang w:bidi="fa-IR"/>
        </w:rPr>
        <w:t xml:space="preserve">» </w:t>
      </w:r>
      <w:r>
        <w:rPr>
          <w:rStyle w:val="FootnoteAnchor"/>
          <w:rtl w:val="true"/>
        </w:rPr>
        <w:footnoteReference w:id="2081"/>
      </w:r>
      <w:r>
        <w:rPr>
          <w:rFonts w:ascii="Amiri" w:hAnsi="Amiri" w:eastAsia="Amiri" w:cs="Amiri"/>
          <w:color w:val="111111"/>
          <w:sz w:val="28"/>
          <w:sz w:val="28"/>
          <w:szCs w:val="28"/>
          <w:rtl w:val="true"/>
          <w:lang w:bidi="ar-SA"/>
        </w:rPr>
        <w:t>مؤوّل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اشتبه الحال فإن کان لتحیّرها فقد مضی حکمه، و إلّا فالمرجع إلی الأُصول الشرعیّة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الامتناع وقت الاشتباه کما فی حال استمرار الدم مستدلًا؛ بأنّ الاجتناب حالة الحیض واجب، و الوطء حال</w:t>
      </w:r>
    </w:p>
    <w:p>
      <w:pPr>
        <w:pStyle w:val="BookText"/>
        <w:rPr/>
      </w:pPr>
      <w:r>
        <w:rPr>
          <w:rFonts w:ascii="IRNazanin" w:hAnsi="IRNazanin" w:eastAsia="IRNazanin"/>
          <w:color w:val="111111"/>
          <w:sz w:val="28"/>
          <w:sz w:val="28"/>
          <w:szCs w:val="28"/>
          <w:rtl w:val="true"/>
          <w:lang w:bidi="fa-IR"/>
        </w:rPr>
        <w:t xml:space="preserve">الطهر مباح، فیحتاط بتغلیب الحرام لأنّ الباب باب الفروج </w:t>
      </w:r>
      <w:r>
        <w:rPr>
          <w:rStyle w:val="FootnoteAnchor"/>
          <w:rtl w:val="true"/>
        </w:rPr>
        <w:footnoteReference w:id="2082"/>
      </w:r>
      <w:r>
        <w:rPr>
          <w:rFonts w:ascii="IRNazanin" w:hAnsi="IRNazanin" w:eastAsia="IRNazanin"/>
          <w:color w:val="111111"/>
          <w:sz w:val="28"/>
          <w:sz w:val="28"/>
          <w:szCs w:val="28"/>
          <w:rtl w:val="true"/>
          <w:lang w:bidi="fa-IR"/>
        </w:rPr>
        <w:t xml:space="preserve">، محلّ نظر کما اعترف به فی جامع المقاصد </w:t>
      </w:r>
      <w:r>
        <w:rPr>
          <w:rStyle w:val="FootnoteAnchor"/>
          <w:rtl w:val="true"/>
        </w:rPr>
        <w:footnoteReference w:id="2083"/>
      </w:r>
      <w:r>
        <w:rPr>
          <w:rFonts w:ascii="IRNazanin" w:hAnsi="IRNazanin" w:eastAsia="IRNazanin"/>
          <w:color w:val="111111"/>
          <w:sz w:val="28"/>
          <w:sz w:val="28"/>
          <w:szCs w:val="28"/>
          <w:rtl w:val="true"/>
          <w:lang w:bidi="fa-IR"/>
        </w:rPr>
        <w:t xml:space="preserve">و الروض </w:t>
      </w:r>
      <w:r>
        <w:rPr>
          <w:rStyle w:val="FootnoteAnchor"/>
          <w:rtl w:val="true"/>
        </w:rPr>
        <w:footnoteReference w:id="2084"/>
      </w:r>
      <w:r>
        <w:rPr>
          <w:rFonts w:ascii="IRNazanin" w:hAnsi="IRNazanin" w:eastAsia="IRNazanin"/>
          <w:color w:val="111111"/>
          <w:sz w:val="28"/>
          <w:sz w:val="28"/>
          <w:szCs w:val="28"/>
          <w:rtl w:val="true"/>
          <w:lang w:bidi="fa-IR"/>
        </w:rPr>
        <w:t xml:space="preserve">و المدارک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عن الذکری من أنّه لو اشتبه الحال فیها إمّا لتحیّرها أو لغلبة کذبها اجتنبت احتیاطاً؛ لأنّه إقدام علی ما لا یؤمن قبحه، و ینبّه علیه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الطامث خطأ عصی اللّٰه</w:t>
      </w:r>
      <w:r>
        <w:rPr>
          <w:rFonts w:eastAsia="IRNazanin" w:cs="IRNazanin"/>
          <w:color w:val="111111"/>
          <w:sz w:val="28"/>
          <w:szCs w:val="28"/>
          <w:rtl w:val="true"/>
          <w:lang w:bidi="fa-IR"/>
        </w:rPr>
        <w:t xml:space="preserve">» </w:t>
      </w:r>
      <w:r>
        <w:rPr>
          <w:rStyle w:val="FootnoteAnchor"/>
          <w:rtl w:val="true"/>
        </w:rPr>
        <w:footnoteReference w:id="2086"/>
      </w:r>
      <w:r>
        <w:rPr>
          <w:rStyle w:val="FootnoteAnchor"/>
          <w:rtl w:val="true"/>
        </w:rPr>
        <w:footnoteReference w:id="20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إشکال بل لا خلاف کما عن الحدائق </w:t>
      </w:r>
      <w:r>
        <w:rPr>
          <w:rStyle w:val="FootnoteAnchor"/>
          <w:rtl w:val="true"/>
        </w:rPr>
        <w:footnoteReference w:id="2088"/>
      </w:r>
      <w:r>
        <w:rPr>
          <w:rFonts w:ascii="IRNazanin" w:hAnsi="IRNazanin" w:eastAsia="IRNazanin"/>
          <w:color w:val="111111"/>
          <w:sz w:val="28"/>
          <w:sz w:val="28"/>
          <w:szCs w:val="28"/>
          <w:rtl w:val="true"/>
          <w:lang w:bidi="fa-IR"/>
        </w:rPr>
        <w:t xml:space="preserve">و الریاض </w:t>
      </w:r>
      <w:r>
        <w:rPr>
          <w:rStyle w:val="FootnoteAnchor"/>
          <w:rtl w:val="true"/>
        </w:rPr>
        <w:footnoteReference w:id="2089"/>
      </w:r>
      <w:r>
        <w:rPr>
          <w:rFonts w:ascii="Amiri" w:hAnsi="Amiri" w:eastAsia="Amiri" w:cs="Amiri"/>
          <w:color w:val="111111"/>
          <w:sz w:val="28"/>
          <w:sz w:val="28"/>
          <w:szCs w:val="28"/>
          <w:rtl w:val="true"/>
          <w:lang w:bidi="ar-SA"/>
        </w:rPr>
        <w:t>فی أنّها لو ادّعت الحیض صُدّقت مع عدم التهمة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علیه مضافاً إلی قوله تعالی وَ لٰا یَحِلُّ لَهُنَّ أَنْ یَکْتُمْنَ مٰا خَلَقَ اللّٰهُ فِی أَرْحٰامِهِنَّ </w:t>
      </w:r>
      <w:r>
        <w:rPr>
          <w:rStyle w:val="FootnoteAnchor"/>
          <w:rtl w:val="true"/>
        </w:rPr>
        <w:footnoteReference w:id="2090"/>
      </w:r>
      <w:r>
        <w:rPr>
          <w:rFonts w:ascii="IRNazanin" w:hAnsi="IRNazanin" w:eastAsia="IRNazanin"/>
          <w:color w:val="111111"/>
          <w:sz w:val="28"/>
          <w:sz w:val="28"/>
          <w:szCs w:val="28"/>
          <w:rtl w:val="true"/>
          <w:lang w:bidi="fa-IR"/>
        </w:rPr>
        <w:t>، و أنّه ممّا یتعسّر أو یتعذّر إقامة البیّنة علیه و لا تعرف إلّا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 الحیض إلی النساء</w:t>
      </w:r>
      <w:r>
        <w:rPr>
          <w:rFonts w:eastAsia="IRNazanin" w:cs="IRNazanin"/>
          <w:color w:val="111111"/>
          <w:sz w:val="28"/>
          <w:szCs w:val="28"/>
          <w:rtl w:val="true"/>
          <w:lang w:bidi="fa-IR"/>
        </w:rPr>
        <w:t xml:space="preserve">» </w:t>
      </w:r>
      <w:r>
        <w:rPr>
          <w:rStyle w:val="FootnoteAnchor"/>
          <w:rtl w:val="true"/>
        </w:rPr>
        <w:footnoteReference w:id="2091"/>
      </w:r>
      <w:r>
        <w:rPr>
          <w:rFonts w:ascii="IRNazanin" w:hAnsi="IRNazanin" w:eastAsia="IRNazanin"/>
          <w:color w:val="111111"/>
          <w:sz w:val="28"/>
          <w:sz w:val="28"/>
          <w:szCs w:val="28"/>
          <w:rtl w:val="true"/>
          <w:lang w:bidi="fa-IR"/>
        </w:rPr>
        <w:t>، و نحوها حسنته بزیادة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ادّعت صدّقت</w:t>
      </w:r>
      <w:r>
        <w:rPr>
          <w:rFonts w:eastAsia="IRNazanin" w:cs="IRNazanin"/>
          <w:color w:val="111111"/>
          <w:sz w:val="28"/>
          <w:szCs w:val="28"/>
          <w:rtl w:val="true"/>
          <w:lang w:bidi="fa-IR"/>
        </w:rPr>
        <w:t xml:space="preserve">» </w:t>
      </w:r>
      <w:r>
        <w:rPr>
          <w:rStyle w:val="FootnoteAnchor"/>
          <w:rtl w:val="true"/>
        </w:rPr>
        <w:footnoteReference w:id="2092"/>
      </w:r>
      <w:r>
        <w:rPr>
          <w:rFonts w:ascii="IRNazanin" w:hAnsi="IRNazanin" w:eastAsia="IRNazanin"/>
          <w:color w:val="111111"/>
          <w:sz w:val="28"/>
          <w:sz w:val="28"/>
          <w:szCs w:val="28"/>
          <w:rtl w:val="true"/>
          <w:lang w:bidi="fa-IR"/>
        </w:rPr>
        <w:t>، و روایة السکونی عن</w:t>
      </w:r>
    </w:p>
    <w:p>
      <w:pPr>
        <w:pStyle w:val="BookText"/>
        <w:rPr/>
      </w:pPr>
      <w:r>
        <w:rPr>
          <w:rFonts w:ascii="IRNazanin" w:hAnsi="IRNazanin" w:eastAsia="IRNazanin"/>
          <w:color w:val="111111"/>
          <w:sz w:val="28"/>
          <w:sz w:val="28"/>
          <w:szCs w:val="28"/>
          <w:rtl w:val="true"/>
          <w:lang w:bidi="fa-IR"/>
        </w:rPr>
        <w:t>جعفر عن أبیه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امرأة ادّعت أنّها حاضت فی شهر واحد ثلاث حیضات،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کلّفوا نسوة من بطانتها إن کان حیضها فیما مضی علی ما ادّعت فإن شهدن و إلّا فهی کاذبة</w:t>
      </w:r>
      <w:r>
        <w:rPr>
          <w:rFonts w:eastAsia="IRNazanin" w:cs="IRNazanin"/>
          <w:color w:val="111111"/>
          <w:sz w:val="28"/>
          <w:szCs w:val="28"/>
          <w:rtl w:val="true"/>
          <w:lang w:bidi="fa-IR"/>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هذه الأخیرة یظهر الوجه فیما عن التذکرة </w:t>
      </w:r>
      <w:r>
        <w:rPr>
          <w:rStyle w:val="FootnoteAnchor"/>
          <w:rtl w:val="true"/>
        </w:rPr>
        <w:footnoteReference w:id="209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095"/>
      </w:r>
      <w:r>
        <w:rPr>
          <w:rFonts w:ascii="IRNazanin" w:hAnsi="IRNazanin" w:eastAsia="IRNazanin"/>
          <w:color w:val="111111"/>
          <w:sz w:val="28"/>
          <w:sz w:val="28"/>
          <w:szCs w:val="28"/>
          <w:rtl w:val="true"/>
          <w:lang w:bidi="fa-IR"/>
        </w:rPr>
        <w:t xml:space="preserve">و الروض </w:t>
      </w:r>
      <w:r>
        <w:rPr>
          <w:rStyle w:val="FootnoteAnchor"/>
          <w:rtl w:val="true"/>
        </w:rPr>
        <w:footnoteReference w:id="2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الحکم بعدم اتّهامها بتضییع 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نهوض الروایة لتقیید روایتی زرارة المعتضدین بالآیة إشکال، سیّما مع أنّ موردها الدعوی البعیدة غایة البعد فتعدّی حکمها إلی مجرّد التهمة مشکل، اللهمّ إلّا مع دعوی انصراف إطلاقهما إلی غیر صورة التهمة، فیکفی أصالة عدم الاعتبار، و تصیر الروایة مؤیّدة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ادّعت الطهر بعد الحیض فالظاهر أیضاً القبول؛ لعموم الروایتین، و لو اتّفق الحیض فی أثناء الوطء وجب النزع، فإن استدام فکالمبتدی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الزوجة فی مطاوعتها کالزوج فی فعله من حیث المعصیة و استحقاق التعزیر دون الکفّارة إجماعاً کما فی الروض </w:t>
      </w:r>
      <w:r>
        <w:rPr>
          <w:rStyle w:val="FootnoteAnchor"/>
          <w:rtl w:val="true"/>
        </w:rPr>
        <w:footnoteReference w:id="2097"/>
      </w:r>
      <w:r>
        <w:rPr>
          <w:rFonts w:ascii="Amiri" w:hAnsi="Amiri" w:eastAsia="Amiri" w:cs="Amiri"/>
          <w:color w:val="111111"/>
          <w:sz w:val="28"/>
          <w:sz w:val="28"/>
          <w:szCs w:val="28"/>
          <w:rtl w:val="true"/>
          <w:lang w:bidi="ar-SA"/>
        </w:rPr>
        <w:t>لأصالة براءة الذمّة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الزوج کفّارة أو لا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محکی عن الصدوقین </w:t>
      </w:r>
      <w:r>
        <w:rPr>
          <w:rStyle w:val="FootnoteAnchor"/>
          <w:rtl w:val="true"/>
        </w:rPr>
        <w:footnoteReference w:id="2098"/>
      </w:r>
      <w:r>
        <w:rPr>
          <w:rFonts w:ascii="IRNazanin" w:hAnsi="IRNazanin" w:eastAsia="IRNazanin"/>
          <w:color w:val="111111"/>
          <w:sz w:val="28"/>
          <w:sz w:val="28"/>
          <w:szCs w:val="28"/>
          <w:rtl w:val="true"/>
          <w:lang w:bidi="fa-IR"/>
        </w:rPr>
        <w:t xml:space="preserve">و المشایخ الثلاثة </w:t>
      </w:r>
      <w:r>
        <w:rPr>
          <w:rStyle w:val="FootnoteAnchor"/>
          <w:rtl w:val="true"/>
        </w:rPr>
        <w:footnoteReference w:id="2099"/>
      </w:r>
      <w:r>
        <w:rPr>
          <w:rFonts w:ascii="Amiri" w:hAnsi="Amiri" w:eastAsia="Amiri" w:cs="Amiri"/>
          <w:color w:val="111111"/>
          <w:sz w:val="28"/>
          <w:sz w:val="28"/>
          <w:szCs w:val="28"/>
          <w:rtl w:val="true"/>
          <w:lang w:bidi="ar-SA"/>
        </w:rPr>
        <w:t xml:space="preserve">و ابن زهرة </w:t>
      </w:r>
      <w:r>
        <w:rPr>
          <w:rStyle w:val="FootnoteAnchor"/>
          <w:rtl w:val="true"/>
        </w:rPr>
        <w:footnoteReference w:id="210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القاضی </w:t>
      </w:r>
      <w:r>
        <w:rPr>
          <w:rStyle w:val="FootnoteAnchor"/>
          <w:rtl w:val="true"/>
        </w:rPr>
        <w:footnoteReference w:id="2101"/>
      </w:r>
      <w:r>
        <w:rPr>
          <w:rFonts w:ascii="Amiri" w:hAnsi="Amiri" w:eastAsia="Amiri" w:cs="Amiri"/>
          <w:color w:val="111111"/>
          <w:sz w:val="28"/>
          <w:sz w:val="28"/>
          <w:szCs w:val="28"/>
          <w:rtl w:val="true"/>
          <w:lang w:bidi="ar-SA"/>
        </w:rPr>
        <w:t xml:space="preserve">و سلّار </w:t>
      </w:r>
      <w:r>
        <w:rPr>
          <w:rStyle w:val="FootnoteAnchor"/>
          <w:rtl w:val="true"/>
        </w:rPr>
        <w:footnoteReference w:id="2102"/>
      </w:r>
      <w:r>
        <w:rPr>
          <w:rFonts w:ascii="Amiri" w:hAnsi="Amiri" w:eastAsia="Amiri" w:cs="Amiri"/>
          <w:color w:val="111111"/>
          <w:sz w:val="28"/>
          <w:sz w:val="28"/>
          <w:szCs w:val="28"/>
          <w:rtl w:val="true"/>
          <w:lang w:bidi="ar-SA"/>
        </w:rPr>
        <w:t xml:space="preserve">و ابن حمزة </w:t>
      </w:r>
      <w:r>
        <w:rPr>
          <w:rStyle w:val="FootnoteAnchor"/>
          <w:rtl w:val="true"/>
        </w:rPr>
        <w:footnoteReference w:id="210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2104"/>
      </w:r>
      <w:r>
        <w:rPr>
          <w:rFonts w:ascii="IRNazanin" w:hAnsi="IRNazanin" w:eastAsia="IRNazanin"/>
          <w:color w:val="111111"/>
          <w:sz w:val="28"/>
          <w:sz w:val="28"/>
          <w:szCs w:val="28"/>
          <w:rtl w:val="true"/>
          <w:lang w:bidi="fa-IR"/>
        </w:rPr>
        <w:t xml:space="preserve">و ابن سعید </w:t>
      </w:r>
      <w:r>
        <w:rPr>
          <w:rStyle w:val="FootnoteAnchor"/>
          <w:rtl w:val="true"/>
        </w:rPr>
        <w:footnoteReference w:id="2105"/>
      </w:r>
      <w:r>
        <w:rPr>
          <w:rFonts w:ascii="IRNazanin" w:hAnsi="IRNazanin" w:eastAsia="IRNazanin"/>
          <w:color w:val="111111"/>
          <w:sz w:val="28"/>
          <w:sz w:val="28"/>
          <w:szCs w:val="28"/>
          <w:rtl w:val="true"/>
          <w:lang w:bidi="fa-IR"/>
        </w:rPr>
        <w:t xml:space="preserve">و الشهیدین فی الدروس </w:t>
      </w:r>
      <w:r>
        <w:rPr>
          <w:rStyle w:val="FootnoteAnchor"/>
          <w:rtl w:val="true"/>
        </w:rPr>
        <w:footnoteReference w:id="2106"/>
      </w:r>
      <w:r>
        <w:rPr>
          <w:rFonts w:ascii="IRNazanin" w:hAnsi="IRNazanin" w:eastAsia="IRNazanin"/>
          <w:color w:val="111111"/>
          <w:sz w:val="28"/>
          <w:sz w:val="28"/>
          <w:szCs w:val="28"/>
          <w:rtl w:val="true"/>
          <w:lang w:bidi="fa-IR"/>
        </w:rPr>
        <w:t xml:space="preserve">و المسالک </w:t>
      </w:r>
      <w:r>
        <w:rPr>
          <w:rStyle w:val="FootnoteAnchor"/>
          <w:rtl w:val="true"/>
        </w:rPr>
        <w:footnoteReference w:id="2107"/>
      </w:r>
      <w:r>
        <w:rPr>
          <w:rFonts w:ascii="IRNazanin" w:hAnsi="IRNazanin" w:eastAsia="IRNazanin"/>
          <w:color w:val="111111"/>
          <w:sz w:val="28"/>
          <w:sz w:val="28"/>
          <w:szCs w:val="28"/>
          <w:rtl w:val="true"/>
          <w:lang w:bidi="fa-IR"/>
        </w:rPr>
        <w:t xml:space="preserve">، بل هو المشهور إمّا مطلقاً کما فی الروض </w:t>
      </w:r>
      <w:r>
        <w:rPr>
          <w:rStyle w:val="FootnoteAnchor"/>
          <w:rtl w:val="true"/>
        </w:rPr>
        <w:footnoteReference w:id="2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2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المتقدّمین کما عن جماعة </w:t>
      </w:r>
      <w:r>
        <w:rPr>
          <w:rStyle w:val="FootnoteAnchor"/>
          <w:rtl w:val="true"/>
        </w:rPr>
        <w:footnoteReference w:id="2110"/>
      </w:r>
      <w:r>
        <w:rPr>
          <w:rFonts w:ascii="IRNazanin" w:hAnsi="IRNazanin" w:eastAsia="IRNazanin"/>
          <w:color w:val="111111"/>
          <w:sz w:val="28"/>
          <w:sz w:val="28"/>
          <w:szCs w:val="28"/>
          <w:rtl w:val="true"/>
          <w:lang w:bidi="fa-IR"/>
        </w:rPr>
        <w:t xml:space="preserve">، بل عن الخلاف </w:t>
      </w:r>
      <w:r>
        <w:rPr>
          <w:rStyle w:val="FootnoteAnchor"/>
          <w:rtl w:val="true"/>
        </w:rPr>
        <w:footnoteReference w:id="2111"/>
      </w:r>
      <w:r>
        <w:rPr>
          <w:rFonts w:ascii="IRNazanin" w:hAnsi="IRNazanin" w:eastAsia="IRNazanin"/>
          <w:color w:val="111111"/>
          <w:sz w:val="28"/>
          <w:sz w:val="28"/>
          <w:szCs w:val="28"/>
          <w:rtl w:val="true"/>
          <w:lang w:bidi="fa-IR"/>
        </w:rPr>
        <w:t xml:space="preserve">و الانتصار </w:t>
      </w:r>
      <w:r>
        <w:rPr>
          <w:rStyle w:val="FootnoteAnchor"/>
          <w:rtl w:val="true"/>
        </w:rPr>
        <w:footnoteReference w:id="2112"/>
      </w:r>
      <w:r>
        <w:rPr>
          <w:rFonts w:ascii="IRNazanin" w:hAnsi="IRNazanin" w:eastAsia="IRNazanin"/>
          <w:color w:val="111111"/>
          <w:sz w:val="28"/>
          <w:sz w:val="28"/>
          <w:szCs w:val="28"/>
          <w:rtl w:val="true"/>
          <w:lang w:bidi="fa-IR"/>
        </w:rPr>
        <w:t xml:space="preserve">و الغنیة </w:t>
      </w:r>
      <w:r>
        <w:rPr>
          <w:rStyle w:val="FootnoteAnchor"/>
          <w:rtl w:val="true"/>
        </w:rPr>
        <w:footnoteReference w:id="2113"/>
      </w:r>
      <w:r>
        <w:rPr>
          <w:rFonts w:ascii="IRNazanin" w:hAnsi="IRNazanin" w:eastAsia="IRNazanin"/>
          <w:color w:val="111111"/>
          <w:sz w:val="28"/>
          <w:sz w:val="28"/>
          <w:szCs w:val="28"/>
          <w:rtl w:val="true"/>
          <w:lang w:bidi="fa-IR"/>
        </w:rPr>
        <w:t xml:space="preserve">و السرائر </w:t>
      </w:r>
      <w:r>
        <w:rPr>
          <w:rStyle w:val="FootnoteAnchor"/>
          <w:rtl w:val="true"/>
        </w:rPr>
        <w:footnoteReference w:id="2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للأخبار المستفیضة،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مسألة تعزیر الواطئ </w:t>
      </w:r>
      <w:r>
        <w:rPr>
          <w:rStyle w:val="FootnoteAnchor"/>
          <w:rtl w:val="true"/>
        </w:rPr>
        <w:footnoteReference w:id="2115"/>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بن فرقد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کفّارة الطمث أنّه یتصدّق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أوّله دینار </w:t>
      </w:r>
      <w:r>
        <w:rPr>
          <w:rStyle w:val="FootnoteAnchor"/>
          <w:rtl w:val="true"/>
        </w:rPr>
        <w:footnoteReference w:id="2116"/>
      </w:r>
      <w:r>
        <w:rPr>
          <w:rFonts w:ascii="IRNazanin" w:hAnsi="IRNazanin" w:eastAsia="IRNazanin"/>
          <w:color w:val="111111"/>
          <w:sz w:val="28"/>
          <w:sz w:val="28"/>
          <w:szCs w:val="28"/>
          <w:rtl w:val="true"/>
          <w:lang w:bidi="fa-IR"/>
        </w:rPr>
        <w:t xml:space="preserve">و فی وسطه </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 xml:space="preserve">نصف </w:t>
      </w:r>
      <w:r>
        <w:rPr>
          <w:rStyle w:val="FootnoteAnchor"/>
          <w:rtl w:val="true"/>
        </w:rPr>
        <w:footnoteReference w:id="2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آخره ربع </w:t>
      </w:r>
      <w:r>
        <w:rPr>
          <w:rStyle w:val="FootnoteAnchor"/>
          <w:rtl w:val="true"/>
        </w:rPr>
        <w:footnoteReference w:id="2119"/>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عنده ما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مسکین واحد و إلّا استغفر اللّٰه و لا یعود؛ فإنّ الاستغفار توبة و کفّارة لمن لم یجد السبیل إلی شی‌ء من الکفّارة</w:t>
      </w:r>
      <w:r>
        <w:rPr>
          <w:rFonts w:eastAsia="IRNazanin" w:cs="IRNazanin"/>
          <w:color w:val="111111"/>
          <w:sz w:val="28"/>
          <w:szCs w:val="28"/>
          <w:rtl w:val="true"/>
          <w:lang w:bidi="fa-IR"/>
        </w:rPr>
        <w:t xml:space="preserve">» </w:t>
      </w:r>
      <w:r>
        <w:rPr>
          <w:rStyle w:val="FootnoteAnchor"/>
          <w:rtl w:val="true"/>
        </w:rPr>
        <w:footnoteReference w:id="2120"/>
      </w:r>
      <w:r>
        <w:rPr>
          <w:rFonts w:ascii="IRNazanin" w:hAnsi="IRNazanin" w:eastAsia="IRNazanin"/>
          <w:color w:val="111111"/>
          <w:sz w:val="28"/>
          <w:sz w:val="28"/>
          <w:szCs w:val="28"/>
          <w:rtl w:val="true"/>
          <w:lang w:bidi="fa-IR"/>
        </w:rPr>
        <w:t xml:space="preserve">، و نحوها الرضوی </w:t>
      </w: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أتی أهله و هی طامث؟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بدینار و یستغفر اللّٰه</w:t>
      </w:r>
      <w:r>
        <w:rPr>
          <w:rFonts w:eastAsia="IRNazanin" w:cs="IRNazanin"/>
          <w:color w:val="111111"/>
          <w:sz w:val="28"/>
          <w:szCs w:val="28"/>
          <w:rtl w:val="true"/>
          <w:lang w:bidi="fa-IR"/>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حائضاً فعلیه نصف دینار یتصدّق به</w:t>
      </w:r>
      <w:r>
        <w:rPr>
          <w:rFonts w:eastAsia="IRNazanin" w:cs="IRNazanin"/>
          <w:color w:val="111111"/>
          <w:sz w:val="28"/>
          <w:szCs w:val="28"/>
          <w:rtl w:val="true"/>
          <w:lang w:bidi="fa-IR"/>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المقنع،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إن جامعها فی أوّل الحیض فعلیه أن یتصدّق بدینار، و إن کان فی نصفه فنصف دینار، و إن کان فی آخره فربع دینار</w:t>
      </w:r>
      <w:r>
        <w:rPr>
          <w:rFonts w:eastAsia="IRNazanin" w:cs="IRNazanin"/>
          <w:color w:val="111111"/>
          <w:sz w:val="28"/>
          <w:szCs w:val="28"/>
          <w:rtl w:val="true"/>
          <w:lang w:bidi="fa-IR"/>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الروایات و إن اختلفت إلّا أنّ الاولی منها مع الرضوی و المرسلة الأخیرة کافیة بعد انجبارها بالشهرة و الإجماع المحکی عن جماعة </w:t>
      </w:r>
      <w:r>
        <w:rPr>
          <w:rStyle w:val="FootnoteAnchor"/>
          <w:rtl w:val="true"/>
        </w:rPr>
        <w:footnoteReference w:id="2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الروایات المخالفة بظاهرها لها </w:t>
      </w:r>
      <w:r>
        <w:rPr>
          <w:rStyle w:val="FootnoteAnchor"/>
          <w:rtl w:val="true"/>
        </w:rPr>
        <w:footnoteReference w:id="2126"/>
      </w:r>
      <w:r>
        <w:rPr>
          <w:rFonts w:ascii="IRNazanin" w:hAnsi="IRNazanin" w:eastAsia="IRNazanin"/>
          <w:color w:val="111111"/>
          <w:sz w:val="28"/>
          <w:sz w:val="28"/>
          <w:szCs w:val="28"/>
          <w:rtl w:val="true"/>
          <w:lang w:bidi="fa-IR"/>
        </w:rPr>
        <w:t>مؤوّلة بما 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نهایة الشیخ </w:t>
      </w:r>
      <w:r>
        <w:rPr>
          <w:rStyle w:val="FootnoteAnchor"/>
          <w:rtl w:val="true"/>
        </w:rPr>
        <w:footnoteReference w:id="2127"/>
      </w:r>
      <w:r>
        <w:rPr>
          <w:rFonts w:ascii="IRNazanin" w:hAnsi="IRNazanin" w:eastAsia="IRNazanin"/>
          <w:color w:val="111111"/>
          <w:sz w:val="28"/>
          <w:sz w:val="28"/>
          <w:szCs w:val="28"/>
          <w:rtl w:val="true"/>
          <w:lang w:bidi="fa-IR"/>
        </w:rPr>
        <w:t xml:space="preserve">و المعتبر </w:t>
      </w:r>
      <w:r>
        <w:rPr>
          <w:rStyle w:val="FootnoteAnchor"/>
          <w:rtl w:val="true"/>
        </w:rPr>
        <w:footnoteReference w:id="2128"/>
      </w:r>
      <w:r>
        <w:rPr>
          <w:rFonts w:ascii="IRNazanin" w:hAnsi="IRNazanin" w:eastAsia="IRNazanin"/>
          <w:color w:val="111111"/>
          <w:sz w:val="28"/>
          <w:sz w:val="28"/>
          <w:szCs w:val="28"/>
          <w:rtl w:val="true"/>
          <w:lang w:bidi="fa-IR"/>
        </w:rPr>
        <w:t xml:space="preserve">و المختلف </w:t>
      </w:r>
      <w:r>
        <w:rPr>
          <w:rStyle w:val="FootnoteAnchor"/>
          <w:rtl w:val="true"/>
        </w:rPr>
        <w:footnoteReference w:id="2129"/>
      </w:r>
      <w:r>
        <w:rPr>
          <w:rFonts w:ascii="IRNazanin" w:hAnsi="IRNazanin" w:eastAsia="IRNazanin"/>
          <w:color w:val="111111"/>
          <w:sz w:val="28"/>
          <w:sz w:val="28"/>
          <w:szCs w:val="28"/>
          <w:rtl w:val="true"/>
          <w:lang w:bidi="fa-IR"/>
        </w:rPr>
        <w:t xml:space="preserve">و الذکری </w:t>
      </w:r>
      <w:r>
        <w:rPr>
          <w:rStyle w:val="FootnoteAnchor"/>
          <w:rtl w:val="true"/>
        </w:rPr>
        <w:footnoteReference w:id="2130"/>
      </w:r>
      <w:r>
        <w:rPr>
          <w:rFonts w:ascii="IRNazanin" w:hAnsi="IRNazanin" w:eastAsia="IRNazanin"/>
          <w:color w:val="111111"/>
          <w:sz w:val="28"/>
          <w:sz w:val="28"/>
          <w:szCs w:val="28"/>
          <w:rtl w:val="true"/>
          <w:lang w:bidi="fa-IR"/>
        </w:rPr>
        <w:t xml:space="preserve">و البیان </w:t>
      </w:r>
      <w:r>
        <w:rPr>
          <w:rStyle w:val="FootnoteAnchor"/>
          <w:rtl w:val="true"/>
        </w:rPr>
        <w:footnoteReference w:id="213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132"/>
      </w:r>
      <w:r>
        <w:rPr>
          <w:rFonts w:ascii="IRNazanin" w:hAnsi="IRNazanin" w:eastAsia="IRNazanin"/>
          <w:color w:val="111111"/>
          <w:sz w:val="28"/>
          <w:sz w:val="28"/>
          <w:szCs w:val="28"/>
          <w:rtl w:val="true"/>
          <w:lang w:bidi="fa-IR"/>
        </w:rPr>
        <w:t xml:space="preserve">و الروض </w:t>
      </w:r>
      <w:r>
        <w:rPr>
          <w:rStyle w:val="FootnoteAnchor"/>
          <w:rtl w:val="true"/>
        </w:rPr>
        <w:footnoteReference w:id="2133"/>
      </w:r>
      <w:r>
        <w:rPr>
          <w:rFonts w:ascii="IRNazanin" w:hAnsi="IRNazanin" w:eastAsia="IRNazanin"/>
          <w:color w:val="111111"/>
          <w:sz w:val="28"/>
          <w:sz w:val="28"/>
          <w:szCs w:val="28"/>
          <w:rtl w:val="true"/>
          <w:lang w:bidi="fa-IR"/>
        </w:rPr>
        <w:t xml:space="preserve">و غیرهم </w:t>
      </w:r>
      <w:r>
        <w:rPr>
          <w:rStyle w:val="FootnoteAnchor"/>
          <w:rtl w:val="true"/>
        </w:rPr>
        <w:footnoteReference w:id="2134"/>
      </w:r>
      <w:r>
        <w:rPr>
          <w:rFonts w:ascii="IRNazanin" w:hAnsi="IRNazanin" w:eastAsia="IRNazanin"/>
          <w:color w:val="111111"/>
          <w:sz w:val="28"/>
          <w:sz w:val="28"/>
          <w:szCs w:val="28"/>
          <w:rtl w:val="true"/>
          <w:lang w:bidi="fa-IR"/>
        </w:rPr>
        <w:t xml:space="preserve">، و جماعة من متأخّری المتأخّرین </w:t>
      </w:r>
      <w:r>
        <w:rPr>
          <w:rStyle w:val="FootnoteAnchor"/>
          <w:rtl w:val="true"/>
        </w:rPr>
        <w:footnoteReference w:id="2135"/>
      </w:r>
      <w:r>
        <w:rPr>
          <w:rFonts w:ascii="IRNazanin" w:hAnsi="IRNazanin" w:eastAsia="IRNazanin"/>
          <w:color w:val="111111"/>
          <w:sz w:val="28"/>
          <w:sz w:val="28"/>
          <w:szCs w:val="28"/>
          <w:rtl w:val="true"/>
          <w:lang w:bidi="fa-IR"/>
        </w:rPr>
        <w:t xml:space="preserve">، بل نسب إلی أکثرهم </w:t>
      </w:r>
      <w:r>
        <w:rPr>
          <w:rStyle w:val="FootnoteAnchor"/>
          <w:rtl w:val="true"/>
        </w:rPr>
        <w:footnoteReference w:id="2136"/>
      </w:r>
      <w:r>
        <w:rPr>
          <w:rFonts w:ascii="Amiri" w:hAnsi="Amiri" w:eastAsia="Amiri" w:cs="Amiri"/>
          <w:color w:val="111111"/>
          <w:sz w:val="28"/>
          <w:sz w:val="28"/>
          <w:szCs w:val="28"/>
          <w:rtl w:val="true"/>
          <w:lang w:bidi="ar-SA"/>
        </w:rPr>
        <w:t xml:space="preserve">للأصل و شهادة اختلاف الأخبار المتقدّمة </w:t>
      </w:r>
      <w:r>
        <w:rPr>
          <w:rStyle w:val="FootnoteAnchor"/>
          <w:rtl w:val="true"/>
        </w:rPr>
        <w:footnoteReference w:id="2137"/>
      </w:r>
      <w:r>
        <w:rPr>
          <w:rFonts w:ascii="IRNazanin" w:hAnsi="IRNazanin" w:eastAsia="IRNazanin"/>
          <w:color w:val="111111"/>
          <w:sz w:val="28"/>
          <w:sz w:val="28"/>
          <w:szCs w:val="28"/>
          <w:rtl w:val="true"/>
          <w:lang w:bidi="fa-IR"/>
        </w:rPr>
        <w:t>علی إرادة الاستحباب، و عدم کشف الإجماعات المحکیّة إلّا عن صدور الأوامر الظاهرة فی الوجوب عن الأئمة لا عن صدور إنشاء بمعنی الوجوب عنهم علیهم السلام، مع وهنها لمصیر من عرفت إلی خلافها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صحیحة العیص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واقع امرأته و هی طامث،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یلتمس فعل ذلک، قد نهی اللّٰه عزّ و جلّ أن یقربها،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فعلیه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فیه شیئاً، یستغفر اللّٰه</w:t>
      </w:r>
      <w:r>
        <w:rPr>
          <w:rFonts w:eastAsia="IRNazanin" w:cs="IRNazanin"/>
          <w:color w:val="111111"/>
          <w:sz w:val="28"/>
          <w:szCs w:val="28"/>
          <w:rtl w:val="true"/>
          <w:lang w:bidi="fa-IR"/>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الحائض یأتیها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یستغفر اللّٰه و لا یعود</w:t>
      </w:r>
      <w:r>
        <w:rPr>
          <w:rFonts w:eastAsia="IRNazanin" w:cs="IRNazanin"/>
          <w:color w:val="111111"/>
          <w:sz w:val="28"/>
          <w:szCs w:val="28"/>
          <w:rtl w:val="true"/>
          <w:lang w:bidi="fa-IR"/>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وقوع الرجل علی امرأته و هی طامث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 قد عصی ربّه</w:t>
      </w:r>
      <w:r>
        <w:rPr>
          <w:rFonts w:eastAsia="IRNazanin" w:cs="IRNazanin"/>
          <w:color w:val="111111"/>
          <w:sz w:val="28"/>
          <w:szCs w:val="28"/>
          <w:rtl w:val="true"/>
          <w:lang w:bidi="fa-IR"/>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الخطأ بقرینة المعصیة الخطأ فی الفعل، و منه الخطیئة أو الخطأ فی الحکم مع التقصیر فی السؤال دون الخطأ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یقع علی امرأته و هی حائض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 مسکین بقدر شبعه</w:t>
      </w:r>
      <w:r>
        <w:rPr>
          <w:rFonts w:eastAsia="IRNazanin" w:cs="IRNazanin"/>
          <w:color w:val="111111"/>
          <w:sz w:val="28"/>
          <w:szCs w:val="28"/>
          <w:rtl w:val="true"/>
          <w:lang w:bidi="fa-IR"/>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المسألة فی غایة الإشکال إلّا أنّ القول بالاستحباب مقتضی الأصل، فهو الأقوی، و إن کان الاحتیاط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خلاف ظاهراً فی کون الکفّارة هی الدینار و نصفه و ربعه، و یظهر من محکی المقنع العمل بروایة الحلبی المتقدّمة، و جعل الدینار روایة </w:t>
      </w:r>
      <w:r>
        <w:rPr>
          <w:rStyle w:val="FootnoteAnchor"/>
          <w:rtl w:val="true"/>
        </w:rPr>
        <w:footnoteReference w:id="2142"/>
      </w:r>
      <w:r>
        <w:rPr>
          <w:rFonts w:ascii="IRNazanin" w:hAnsi="IRNazanin" w:eastAsia="IRNazanin"/>
          <w:color w:val="111111"/>
          <w:sz w:val="28"/>
          <w:sz w:val="28"/>
          <w:szCs w:val="28"/>
          <w:rtl w:val="true"/>
          <w:lang w:bidi="fa-IR"/>
        </w:rPr>
        <w:t xml:space="preserve">، إلّا أنّه فی الفقیه وافق المشهور </w:t>
      </w:r>
      <w:r>
        <w:rPr>
          <w:rStyle w:val="FootnoteAnchor"/>
          <w:rtl w:val="true"/>
        </w:rPr>
        <w:footnoteReference w:id="2143"/>
      </w:r>
      <w:r>
        <w:rPr>
          <w:rFonts w:ascii="IRNazanin" w:hAnsi="IRNazanin" w:eastAsia="IRNazanin"/>
          <w:color w:val="111111"/>
          <w:sz w:val="28"/>
          <w:sz w:val="28"/>
          <w:szCs w:val="28"/>
          <w:rtl w:val="true"/>
          <w:lang w:bidi="fa-IR"/>
        </w:rPr>
        <w:t>، و علی تقدیر المخالفة فهو مخالف لمعاقد الإجماعات المتقدّمة و الشهرة العظیمة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محکیّ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الوجه فی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الواطئ فی أوّل الحیض لا مشقّة علیه فی ترک الجماع، لقرب عهده به</w:t>
      </w:r>
    </w:p>
    <w:p>
      <w:pPr>
        <w:pStyle w:val="BookText"/>
        <w:rPr/>
      </w:pPr>
      <w:r>
        <w:rPr>
          <w:rFonts w:ascii="IRNazanin" w:hAnsi="IRNazanin" w:eastAsia="IRNazanin"/>
          <w:color w:val="111111"/>
          <w:sz w:val="28"/>
          <w:sz w:val="28"/>
          <w:szCs w:val="28"/>
          <w:rtl w:val="true"/>
          <w:lang w:bidi="fa-IR"/>
        </w:rPr>
        <w:t xml:space="preserve">فغلظت کفّارته، و الواطئ فی آخره مشقّته شدیدة فکفّارته أنقص، و الواطئ فی الوسط أمره بین الأمرین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المتبادر من النصوص کتصریح </w:t>
      </w:r>
      <w:r>
        <w:rPr>
          <w:rStyle w:val="FootnoteAnchor"/>
          <w:rtl w:val="true"/>
        </w:rPr>
        <w:footnoteReference w:id="2145"/>
      </w:r>
      <w:r>
        <w:rPr>
          <w:rFonts w:ascii="IRNazanin" w:hAnsi="IRNazanin" w:eastAsia="IRNazanin"/>
          <w:color w:val="111111"/>
          <w:sz w:val="28"/>
          <w:sz w:val="28"/>
          <w:szCs w:val="28"/>
          <w:rtl w:val="true"/>
          <w:lang w:bidi="fa-IR"/>
        </w:rPr>
        <w:t>فتوی جمهور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حیض له أوّل و وسط و آخر بالنسبة إلی أیّامها، فالأوّل لذات الثلاثة یوم واحد، و لذات الأربعة یوم و ثلث، و لذات الخمسة یوم و 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الوسط ما بین الخمسة إلی السبعة </w:t>
      </w:r>
      <w:r>
        <w:rPr>
          <w:rStyle w:val="FootnoteAnchor"/>
          <w:rtl w:val="true"/>
        </w:rPr>
        <w:footnoteReference w:id="2146"/>
      </w:r>
      <w:r>
        <w:rPr>
          <w:rFonts w:ascii="IRNazanin" w:hAnsi="IRNazanin" w:eastAsia="IRNazanin"/>
          <w:color w:val="111111"/>
          <w:sz w:val="28"/>
          <w:sz w:val="28"/>
          <w:szCs w:val="28"/>
          <w:rtl w:val="true"/>
          <w:lang w:bidi="fa-IR"/>
        </w:rPr>
        <w:t>، فعلیه لا وسط و لا آخر لمن اعتادت ما دون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لاحظ الأطراف الثلاثة بالنسبة إلی أکثر الحیض أعنی العشرة فجعل الأوّل منه إلی الأربعة و الأوسط من الخمسة إلی السبعة و الآخر من الثمانیة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یقرب منه المحکی عن قطب الدین الراوندی </w:t>
      </w:r>
      <w:r>
        <w:rPr>
          <w:rStyle w:val="FootnoteAnchor"/>
          <w:rtl w:val="true"/>
        </w:rPr>
        <w:footnoteReference w:id="2147"/>
      </w:r>
      <w:r>
        <w:rPr>
          <w:rFonts w:ascii="IRNazanin" w:hAnsi="IRNazanin" w:eastAsia="IRNazanin"/>
          <w:color w:val="111111"/>
          <w:sz w:val="28"/>
          <w:sz w:val="28"/>
          <w:szCs w:val="28"/>
          <w:rtl w:val="true"/>
          <w:lang w:bidi="fa-IR"/>
        </w:rPr>
        <w:t>، حیث جعل العبرة بالعشرة لا العادة، إلّا أنّه ثلّثها تثلیثاً حقیقیاً، فذات الثلاثة لیس لها وسط و لا آخر علی القولین، و هکذا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کلاهما خلاف ظاهر الأخبار، بل صریحها؛ حیث عبّر فی بعضها عن الأوّل باستقبال الحیض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تکرّر الوطء فلا ینبغی الخلاف و الإشکال فی تکرار الکفّارة إذا تخلّل التکفیر، و إن کان الظاهر من شارح المفاتیح </w:t>
      </w:r>
      <w:r>
        <w:rPr>
          <w:rStyle w:val="FootnoteAnchor"/>
          <w:rtl w:val="true"/>
        </w:rPr>
        <w:footnoteReference w:id="2149"/>
      </w:r>
      <w:r>
        <w:rPr>
          <w:rFonts w:ascii="IRNazanin" w:hAnsi="IRNazanin" w:eastAsia="IRNazanin"/>
          <w:color w:val="111111"/>
          <w:sz w:val="28"/>
          <w:sz w:val="28"/>
          <w:szCs w:val="28"/>
          <w:rtl w:val="true"/>
          <w:lang w:bidi="fa-IR"/>
        </w:rPr>
        <w:t xml:space="preserve">وجود الخلاف فی ذلک، إلّا أنّه بعید جدّاً، و مع عدم التخلّل ففی تکرّرها بتکرّره مطلقاً کما عن الشهیدین </w:t>
      </w:r>
      <w:r>
        <w:rPr>
          <w:rStyle w:val="FootnoteAnchor"/>
          <w:rtl w:val="true"/>
        </w:rPr>
        <w:footnoteReference w:id="215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151"/>
      </w:r>
      <w:r>
        <w:rPr>
          <w:rFonts w:ascii="IRNazanin" w:hAnsi="IRNazanin" w:eastAsia="IRNazanin"/>
          <w:color w:val="111111"/>
          <w:sz w:val="28"/>
          <w:sz w:val="28"/>
          <w:szCs w:val="28"/>
          <w:rtl w:val="true"/>
          <w:lang w:bidi="fa-IR"/>
        </w:rPr>
        <w:t xml:space="preserve">و الفرید فی شرح المفاتیح </w:t>
      </w:r>
      <w:r>
        <w:rPr>
          <w:rStyle w:val="FootnoteAnchor"/>
          <w:rtl w:val="true"/>
        </w:rPr>
        <w:footnoteReference w:id="2152"/>
      </w:r>
      <w:r>
        <w:rPr>
          <w:rFonts w:ascii="IRNazanin" w:hAnsi="IRNazanin" w:eastAsia="IRNazanin"/>
          <w:color w:val="111111"/>
          <w:sz w:val="28"/>
          <w:sz w:val="28"/>
          <w:szCs w:val="28"/>
          <w:rtl w:val="true"/>
          <w:lang w:bidi="fa-IR"/>
        </w:rPr>
        <w:t xml:space="preserve">، و عدمه کذلک کما عن المبسوط </w:t>
      </w:r>
      <w:r>
        <w:rPr>
          <w:rStyle w:val="FootnoteAnchor"/>
          <w:rtl w:val="true"/>
        </w:rPr>
        <w:footnoteReference w:id="2153"/>
      </w:r>
      <w:r>
        <w:rPr>
          <w:rFonts w:ascii="IRNazanin" w:hAnsi="IRNazanin" w:eastAsia="IRNazanin"/>
          <w:color w:val="111111"/>
          <w:sz w:val="28"/>
          <w:sz w:val="28"/>
          <w:szCs w:val="28"/>
          <w:rtl w:val="true"/>
          <w:lang w:bidi="fa-IR"/>
        </w:rPr>
        <w:t xml:space="preserve">و السرائر </w:t>
      </w:r>
      <w:r>
        <w:rPr>
          <w:rStyle w:val="FootnoteAnchor"/>
          <w:rtl w:val="true"/>
        </w:rPr>
        <w:footnoteReference w:id="2154"/>
      </w:r>
      <w:r>
        <w:rPr>
          <w:rFonts w:ascii="IRNazanin" w:hAnsi="IRNazanin" w:eastAsia="IRNazanin"/>
          <w:color w:val="111111"/>
          <w:sz w:val="28"/>
          <w:sz w:val="28"/>
          <w:szCs w:val="28"/>
          <w:rtl w:val="true"/>
          <w:lang w:bidi="fa-IR"/>
        </w:rPr>
        <w:t xml:space="preserve">، أو التکرّر مع اختلاف الزمان، بأن کان أحدهما فی أوّل الحیض و الآخر فی وسطه أو آخره کما عن المحقّق </w:t>
      </w:r>
      <w:r>
        <w:rPr>
          <w:rStyle w:val="FootnoteAnchor"/>
          <w:rtl w:val="true"/>
        </w:rPr>
        <w:footnoteReference w:id="2155"/>
      </w:r>
      <w:r>
        <w:rPr>
          <w:rFonts w:ascii="Amiri" w:hAnsi="Amiri" w:eastAsia="Amiri" w:cs="Amiri"/>
          <w:color w:val="111111"/>
          <w:sz w:val="28"/>
          <w:sz w:val="28"/>
          <w:szCs w:val="28"/>
          <w:rtl w:val="true"/>
          <w:lang w:bidi="ar-SA"/>
        </w:rPr>
        <w:t xml:space="preserve">و المصنّف </w:t>
      </w:r>
      <w:r>
        <w:rPr>
          <w:rStyle w:val="FootnoteAnchor"/>
          <w:rtl w:val="true"/>
        </w:rPr>
        <w:footnoteReference w:id="2156"/>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2157"/>
      </w:r>
      <w:r>
        <w:rPr>
          <w:rFonts w:ascii="IRNazanin" w:hAnsi="IRNazanin" w:eastAsia="IRNazanin"/>
          <w:color w:val="111111"/>
          <w:sz w:val="28"/>
          <w:sz w:val="28"/>
          <w:szCs w:val="28"/>
          <w:rtl w:val="true"/>
          <w:lang w:bidi="fa-IR"/>
        </w:rPr>
        <w:t xml:space="preserve">و صاحبی التنقیح </w:t>
      </w:r>
      <w:r>
        <w:rPr>
          <w:rStyle w:val="FootnoteAnchor"/>
          <w:rtl w:val="true"/>
        </w:rPr>
        <w:footnoteReference w:id="2158"/>
      </w:r>
      <w:r>
        <w:rPr>
          <w:rFonts w:ascii="IRNazanin" w:hAnsi="IRNazanin" w:eastAsia="IRNazanin"/>
          <w:color w:val="111111"/>
          <w:sz w:val="28"/>
          <w:sz w:val="28"/>
          <w:szCs w:val="28"/>
          <w:rtl w:val="true"/>
          <w:lang w:bidi="fa-IR"/>
        </w:rPr>
        <w:t xml:space="preserve">و المدارک </w:t>
      </w:r>
      <w:r>
        <w:rPr>
          <w:rStyle w:val="FootnoteAnchor"/>
          <w:rtl w:val="true"/>
        </w:rPr>
        <w:footnoteReference w:id="2159"/>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بناءً علی أصالة عدم التداخل فی سببیّة الأسباب و لو کانت أفراداً لقدر مشترک؛ لأنّه إذا حصل الفرد الثانی، فإمّا أن یکون سبباً مؤثّراً، و هو خلاف ظاهر اللفظ؛ لأنّ ظاهره أنّ القدر المشترک سبب، فکلّما وجد فلا بدّ فیه من تأثیر و تفرّع أثر علیه، و إمّا أن یکون سبباً مؤثّراً لکن</w:t>
      </w:r>
    </w:p>
    <w:p>
      <w:pPr>
        <w:pStyle w:val="BookText"/>
        <w:rPr/>
      </w:pPr>
      <w:r>
        <w:rPr>
          <w:rFonts w:ascii="IRNazanin" w:hAnsi="IRNazanin" w:eastAsia="IRNazanin"/>
          <w:color w:val="111111"/>
          <w:sz w:val="28"/>
          <w:sz w:val="28"/>
          <w:szCs w:val="28"/>
          <w:rtl w:val="true"/>
          <w:lang w:bidi="fa-IR"/>
        </w:rPr>
        <w:t>یتداخل مسبّباهما، و هو أیضاً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فی المبسوط و السرائر مع قولهما بالتداخل بأنّ مقتضی عموم الدلیل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تکرّر الوطء فلا نصّ لأصحابنا فیه معیّن، و عموم الأخبار یقتضی بأنّ علیه لکلّ دفعة کفّارة، و إن قلنا أنّه لا یتکرّر؛ لأنّه لا دلیل علیه و الأصل براءة الذمّة کان قویّاً </w:t>
      </w:r>
      <w:r>
        <w:rPr>
          <w:rStyle w:val="FootnoteAnchor"/>
          <w:rtl w:val="true"/>
        </w:rPr>
        <w:footnoteReference w:id="21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محکیّ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تکرّر الوطء فالأظهر أنّ علیه تکرار الکفّارة؛ لأنّ عموم الأخبار یقضی بأنّ علیه لکلّ دفعة کفّارة، و الأقوی عندی و الأصحّ أنّه لا تکرار فی الکفّارة؛ لأنّ الأصل براءة الذمّة و شغلها بواجب أو ندب یحتاج إلی دلیل، و أمّا العموم فلا یصحّ التعلّق به فی مثل هذه المواضع؛ لأنّ هذه أسماء الأجناس و المصادر، أ لا تری أنّ من أکل فی نهار شهر رمضان متعمّداً و کرّر الأکل لا یجب علیه تکرار الکفّارة بلا خلاف </w:t>
      </w:r>
      <w:r>
        <w:rPr>
          <w:rStyle w:val="FootnoteAnchor"/>
          <w:rtl w:val="true"/>
        </w:rPr>
        <w:footnoteReference w:id="21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کون السبب مصدراً أو غیره؛ فإنّ الطبیعة إذا کانت سبباً فکلّ وجود من وجوداته مؤثّر فی ترتّب المسبّب علیه و إن کان مسبوقاً بوجود آخر، و إلّا لخرج عن کونه من حیث هو مؤثّراً، فإذا فرض تأثیر وجوده الثانی و المفروض عدم معقولیّة تأثیره فی الحکم المتقدّم، فلا بدّ أن یؤثّر حکماً جدیداً بمقتضی التفریع و الترتّب المستفاد من دلیل السببیّة، فإمّا أن یقال بتداخل الحکمین و حصول امتثالهما بوجود واحد و هو خلاف</w:t>
      </w:r>
    </w:p>
    <w:p>
      <w:pPr>
        <w:pStyle w:val="BookText"/>
        <w:rPr/>
      </w:pPr>
      <w:r>
        <w:rPr>
          <w:rFonts w:ascii="IRNazanin" w:hAnsi="IRNazanin" w:eastAsia="IRNazanin"/>
          <w:color w:val="111111"/>
          <w:sz w:val="28"/>
          <w:sz w:val="28"/>
          <w:szCs w:val="28"/>
          <w:rtl w:val="true"/>
          <w:lang w:bidi="fa-IR"/>
        </w:rPr>
        <w:t>الأصل، و إمّا أن یقال بوجوب تعدّد الامتثال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أنّ تکرّر الکفّارة فی نهار شهر رمضان بتکرّر الأکل فی یوم واحد هو مقتضی الأصل إلّا أن یقوم دلیل علی خلافه، کما اعترف به فی الروض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 علی تقدیر کون السبب هی الطبیعة دون کلّ فرد فرد أنّه لا یلزم من عدم تأثیر الفرد الثانی من طبیعة السبب مخالفة لظاهر اللفظ؛ إذ لیس فی اللفظ کون کلّ فرد فرد سبباً، بل السبب هو القدر المشترک،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حائضاً مرّة أو مرّتین أو أزید فعلیه کذا، و حینئذٍ فإذا تحقّق الفرد الأوّل تحقّق المسبّب، فإذا وجد الفرد الثانی منه فلیس فی الدلیل دلالة علی کون هذا الفرد سبباً مستقلا، بل حال هذا الشخص بعد هذا الفرد کحاله قبله فی الاندراج تحت الدلیل، أ لا تری أنّه لو جعل طبیعة التکلّم سبباً لشی‌ء، فکلّم الشخص بکلام طویل لم یتحقّق علیه إلّا مسبّب واحد، مع أنّ الطبیعة تحصل فی کلّ جزء جزء من الکلام بتحقّق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تکلّم واحد عرفاً، و لذا لو تکلّم بعد الأوّل بمدّة تعدّد فی حقّه المسبّب، خروج عن مفروض المسألة إلی أنّ العرف یفهم سببیّة الأفراد، إلّا أنّه یعدّ الکلام الطویل المتّصل فرداً واحداً، بخلاف المنفصلین، و کلامنا فیما إذا فرضنا أنّ السبب هی الطبیعة لا الأفراد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جمیع موارد سببیّة الطبیعة یفهم منه عرفاً سببیّة أفراده المتمایزة المتعدّدة عرفاً، کلام آخر لا ننکره علی الإطلاق، کما لا نسلّمه</w:t>
      </w:r>
    </w:p>
    <w:p>
      <w:pPr>
        <w:pStyle w:val="BookText"/>
        <w:rPr/>
      </w:pPr>
      <w:r>
        <w:rPr>
          <w:rFonts w:ascii="IRNazanin" w:hAnsi="IRNazanin" w:eastAsia="IRNazanin"/>
          <w:color w:val="111111"/>
          <w:sz w:val="28"/>
          <w:sz w:val="28"/>
          <w:szCs w:val="28"/>
          <w:rtl w:val="true"/>
          <w:lang w:bidi="fa-IR"/>
        </w:rPr>
        <w:t>کذلک، بل المدار فی المقامات علی فهم العرف، و لذا خصّصنا التأثیر بالأفراد المتمایزة المتعدّدة عرفاً، مع أنّ العقل لا یفرق بینها و بین الأفراد المتّصلة المعدودة عرفاً فرداً واحداً مستمرّاً کالکلام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یبعد دعوی فهم العرف علی عدم التداخل فی مثل المقام و غیره من سائر الکفّارات و نحوها ممّا یکون الجزاء فیه مقدّراً بمقدار معیّن،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کذا فعلیه مقدار کذا من الصدقة، أو الصوم، أو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کان متعلّق الجزاء فیه نفس طبیعة الفعل،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ذکرنا حجج الأقوال الثلاثة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بالدینار هو المثقال الشرعی من الذهب المضروب، و نسبه فی الحدائق إلی الأصحاب </w:t>
      </w:r>
      <w:r>
        <w:rPr>
          <w:rStyle w:val="FootnoteAnchor"/>
          <w:rtl w:val="true"/>
        </w:rPr>
        <w:footnoteReference w:id="2163"/>
      </w:r>
      <w:r>
        <w:rPr>
          <w:rFonts w:ascii="IRNazanin" w:hAnsi="IRNazanin" w:eastAsia="IRNazanin"/>
          <w:color w:val="111111"/>
          <w:sz w:val="28"/>
          <w:sz w:val="28"/>
          <w:szCs w:val="28"/>
          <w:rtl w:val="true"/>
          <w:lang w:bidi="fa-IR"/>
        </w:rPr>
        <w:t xml:space="preserve">، و مقتضی ذلک عدم إجزاء القیمة، وفاقاً للمحکیّ عن کتب المصنّف </w:t>
      </w:r>
      <w:r>
        <w:rPr>
          <w:rStyle w:val="FootnoteAnchor"/>
          <w:rtl w:val="true"/>
        </w:rPr>
        <w:footnoteReference w:id="2164"/>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16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166"/>
      </w:r>
      <w:r>
        <w:rPr>
          <w:rFonts w:ascii="IRNazanin" w:hAnsi="IRNazanin" w:eastAsia="IRNazanin"/>
          <w:color w:val="111111"/>
          <w:sz w:val="28"/>
          <w:sz w:val="28"/>
          <w:szCs w:val="28"/>
          <w:rtl w:val="true"/>
          <w:lang w:bidi="fa-IR"/>
        </w:rPr>
        <w:t xml:space="preserve">و التنقیح </w:t>
      </w:r>
      <w:r>
        <w:rPr>
          <w:rStyle w:val="FootnoteAnchor"/>
          <w:rtl w:val="true"/>
        </w:rPr>
        <w:footnoteReference w:id="2167"/>
      </w:r>
      <w:r>
        <w:rPr>
          <w:rFonts w:ascii="IRNazanin" w:hAnsi="IRNazanin" w:eastAsia="IRNazanin"/>
          <w:color w:val="111111"/>
          <w:sz w:val="28"/>
          <w:sz w:val="28"/>
          <w:szCs w:val="28"/>
          <w:rtl w:val="true"/>
          <w:lang w:bidi="fa-IR"/>
        </w:rPr>
        <w:t xml:space="preserve">و المدارک </w:t>
      </w:r>
      <w:r>
        <w:rPr>
          <w:rStyle w:val="FootnoteAnchor"/>
          <w:rtl w:val="true"/>
        </w:rPr>
        <w:footnoteReference w:id="2168"/>
      </w:r>
      <w:r>
        <w:rPr>
          <w:rFonts w:ascii="IRNazanin" w:hAnsi="IRNazanin" w:eastAsia="IRNazanin"/>
          <w:color w:val="111111"/>
          <w:sz w:val="28"/>
          <w:sz w:val="28"/>
          <w:szCs w:val="28"/>
          <w:rtl w:val="true"/>
          <w:lang w:bidi="fa-IR"/>
        </w:rPr>
        <w:t xml:space="preserve">و الذخیرة </w:t>
      </w:r>
      <w:r>
        <w:rPr>
          <w:rStyle w:val="FootnoteAnchor"/>
          <w:rtl w:val="true"/>
        </w:rPr>
        <w:footnoteReference w:id="2169"/>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2170"/>
      </w:r>
      <w:r>
        <w:rPr>
          <w:rFonts w:ascii="IRNazanin" w:hAnsi="IRNazanin" w:eastAsia="IRNazanin"/>
          <w:color w:val="111111"/>
          <w:sz w:val="28"/>
          <w:sz w:val="28"/>
          <w:szCs w:val="28"/>
          <w:rtl w:val="true"/>
          <w:lang w:bidi="fa-IR"/>
        </w:rPr>
        <w:t xml:space="preserve">و الحدائق </w:t>
      </w:r>
      <w:r>
        <w:rPr>
          <w:rStyle w:val="FootnoteAnchor"/>
          <w:rtl w:val="true"/>
        </w:rPr>
        <w:footnoteReference w:id="2171"/>
      </w:r>
      <w:r>
        <w:rPr>
          <w:rFonts w:ascii="IRNazanin" w:hAnsi="IRNazanin" w:eastAsia="IRNazanin"/>
          <w:color w:val="111111"/>
          <w:sz w:val="28"/>
          <w:sz w:val="28"/>
          <w:szCs w:val="28"/>
          <w:rtl w:val="true"/>
          <w:lang w:bidi="fa-IR"/>
        </w:rPr>
        <w:t>اقتصاراً علی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الموجز الحاوی </w:t>
      </w:r>
      <w:r>
        <w:rPr>
          <w:rStyle w:val="FootnoteAnchor"/>
          <w:rtl w:val="true"/>
        </w:rPr>
        <w:footnoteReference w:id="2172"/>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2173"/>
      </w:r>
      <w:r>
        <w:rPr>
          <w:rFonts w:ascii="IRNazanin" w:hAnsi="IRNazanin" w:eastAsia="IRNazanin"/>
          <w:color w:val="111111"/>
          <w:sz w:val="28"/>
          <w:sz w:val="28"/>
          <w:szCs w:val="28"/>
          <w:rtl w:val="true"/>
          <w:lang w:bidi="fa-IR"/>
        </w:rPr>
        <w:t xml:space="preserve">، و استظهره کاشف اللثام </w:t>
      </w:r>
      <w:r>
        <w:rPr>
          <w:rStyle w:val="FootnoteAnchor"/>
          <w:rtl w:val="true"/>
        </w:rPr>
        <w:footnoteReference w:id="2174"/>
      </w:r>
      <w:r>
        <w:rPr>
          <w:rFonts w:ascii="IRNazanin" w:hAnsi="IRNazanin" w:eastAsia="IRNazanin"/>
          <w:color w:val="111111"/>
          <w:sz w:val="28"/>
          <w:sz w:val="28"/>
          <w:szCs w:val="28"/>
          <w:rtl w:val="true"/>
          <w:lang w:bidi="fa-IR"/>
        </w:rPr>
        <w:t>عن المقنعة و النهایة و المراسم و المهذّب و الغنیة، و هو صریح الجامع،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فی أوّله بدینار أو عشرة دراهم </w:t>
      </w:r>
      <w:r>
        <w:rPr>
          <w:rStyle w:val="FootnoteAnchor"/>
          <w:rtl w:val="true"/>
        </w:rPr>
        <w:footnoteReference w:id="2175"/>
      </w:r>
      <w:r>
        <w:rPr>
          <w:rFonts w:ascii="IRNazanin" w:hAnsi="IRNazanin" w:eastAsia="IRNazanin"/>
          <w:color w:val="111111"/>
          <w:sz w:val="28"/>
          <w:sz w:val="28"/>
          <w:szCs w:val="28"/>
          <w:rtl w:val="true"/>
          <w:lang w:bidi="fa-IR"/>
        </w:rPr>
        <w:t>، و کأنّه للصدق العرفی، مضافاً إلی تعذّر الدینار غالباً و شهادة الأمر بالتصدّق بالنصف و الربع به، حیث إنّ الظاهر عدم کونهما مضروبین فی أزمنة صدور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الدینار هو الشی‌ء الخاصّ المضروب فی ذلک الزمان، و کان وزنه مثقالًا شرعیّاً، فلا یعمّ کلّ مضروب کان مثقالًا من الذهب نظیر الدرهم، فمع تعذّر ذلک المضروب الخاصّ یکون الأقرب إلیه قیمته لا مضروب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 ضعیف؛ لأنّ الإطلاق العرفی مسامحة، و تعذّره یوجب الاقتصار علی القیمة فی مورد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بالتصدّق بنصف الدینار أو ربعه مع عدم وجودهما مضروبین، ینصرف إلی القیمة، و هی أقرب إلیه من الشقّ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مدخلیّة خصوص السکّة القدیمة فی صدق الدینار،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ما ذکره الجماعة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إجزاء القیمة مطلقاً أو فی خصوص صورة تعذّر العین،</w:t>
      </w:r>
    </w:p>
    <w:p>
      <w:pPr>
        <w:pStyle w:val="BookText"/>
        <w:rPr/>
      </w:pPr>
      <w:r>
        <w:rPr>
          <w:rFonts w:ascii="IRNazanin" w:hAnsi="IRNazanin" w:eastAsia="IRNazanin"/>
          <w:color w:val="111111"/>
          <w:sz w:val="28"/>
          <w:sz w:val="28"/>
          <w:szCs w:val="28"/>
          <w:rtl w:val="true"/>
          <w:lang w:bidi="fa-IR"/>
        </w:rPr>
        <w:t>فالظاهر أنّ العبرة فی القیمة بوقت الأداء لا زمان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علی القول بإجزائها مطلقاً وجوب قیمة ذلک الزمان و هی عشرة دراهم، کما عرفت عن ظاهر جماعة و صریح الجامع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أیّ تقدیر فلا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غیر المسکوک علی أنّه أصل، بل لو جوّزنا القیمة جوّزناه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التبر؛ لصدق الاسم </w:t>
      </w:r>
      <w:r>
        <w:rPr>
          <w:rStyle w:val="FootnoteAnchor"/>
          <w:rtl w:val="true"/>
        </w:rPr>
        <w:footnoteReference w:id="2177"/>
      </w:r>
      <w:r>
        <w:rPr>
          <w:rFonts w:ascii="IRNazanin" w:hAnsi="IRNazanin" w:eastAsia="IRNazanin"/>
          <w:color w:val="111111"/>
          <w:sz w:val="28"/>
          <w:sz w:val="28"/>
          <w:szCs w:val="28"/>
          <w:rtl w:val="true"/>
          <w:lang w:bidi="fa-IR"/>
        </w:rPr>
        <w:t>،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مصرف هذه الکفّارة مصرف غیرها من الکفّارات و هو مستحقّ الزکاة، کما عن صریح جملة من الأصحاب </w:t>
      </w:r>
      <w:r>
        <w:rPr>
          <w:rStyle w:val="FootnoteAnchor"/>
          <w:rtl w:val="true"/>
        </w:rPr>
        <w:footnoteReference w:id="2178"/>
      </w:r>
      <w:r>
        <w:rPr>
          <w:rFonts w:ascii="IRNazanin" w:hAnsi="IRNazanin" w:eastAsia="IRNazanin"/>
          <w:color w:val="111111"/>
          <w:sz w:val="28"/>
          <w:sz w:val="28"/>
          <w:szCs w:val="28"/>
          <w:rtl w:val="true"/>
          <w:lang w:bidi="fa-IR"/>
        </w:rPr>
        <w:t xml:space="preserve">و ظاهر الکلّ، و لا یعتبر التعدّد کما صرّح به جماعة </w:t>
      </w:r>
      <w:r>
        <w:rPr>
          <w:rStyle w:val="FootnoteAnchor"/>
          <w:rtl w:val="true"/>
        </w:rPr>
        <w:footnoteReference w:id="2179"/>
      </w:r>
      <w:r>
        <w:rPr>
          <w:rFonts w:ascii="Amiri" w:hAnsi="Amiri" w:eastAsia="Amiri" w:cs="Amiri"/>
          <w:color w:val="111111"/>
          <w:sz w:val="28"/>
          <w:sz w:val="28"/>
          <w:szCs w:val="28"/>
          <w:rtl w:val="true"/>
          <w:lang w:bidi="ar-SA"/>
        </w:rPr>
        <w:t xml:space="preserve">تبعاً للروض </w:t>
      </w:r>
      <w:r>
        <w:rPr>
          <w:rStyle w:val="FootnoteAnchor"/>
          <w:rtl w:val="true"/>
        </w:rPr>
        <w:footnoteReference w:id="2180"/>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الزوجة بین الدائمة و المنقطعة و لا بین الحرّة و الأمة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یتعدّی إلی الأجنبیّة المشتبهة أو المزنی بها، کما فی جامع المقاصد </w:t>
      </w:r>
      <w:r>
        <w:rPr>
          <w:rStyle w:val="FootnoteAnchor"/>
          <w:rtl w:val="true"/>
        </w:rPr>
        <w:footnoteReference w:id="2181"/>
      </w:r>
      <w:r>
        <w:rPr>
          <w:rFonts w:ascii="IRNazanin" w:hAnsi="IRNazanin" w:eastAsia="IRNazanin"/>
          <w:color w:val="111111"/>
          <w:sz w:val="28"/>
          <w:sz w:val="28"/>
          <w:szCs w:val="28"/>
          <w:rtl w:val="true"/>
          <w:lang w:bidi="fa-IR"/>
        </w:rPr>
        <w:t xml:space="preserve">و الروض؟ </w:t>
      </w:r>
      <w:r>
        <w:rPr>
          <w:rStyle w:val="FootnoteAnchor"/>
          <w:rtl w:val="true"/>
        </w:rPr>
        <w:footnoteReference w:id="2182"/>
      </w:r>
      <w:r>
        <w:rPr>
          <w:rFonts w:ascii="IRNazanin" w:hAnsi="IRNazanin" w:eastAsia="IRNazanin"/>
          <w:color w:val="111111"/>
          <w:sz w:val="28"/>
          <w:sz w:val="28"/>
          <w:szCs w:val="28"/>
          <w:rtl w:val="true"/>
          <w:lang w:bidi="fa-IR"/>
        </w:rPr>
        <w:t>من عدم الإطلاق فی النصّ المعتبر، مع أنّه لو وجد فلا ریب فی انصرافها</w:t>
      </w:r>
    </w:p>
    <w:p>
      <w:pPr>
        <w:pStyle w:val="BookText"/>
        <w:rPr/>
      </w:pPr>
      <w:r>
        <w:rPr>
          <w:rFonts w:ascii="IRNazanin" w:hAnsi="IRNazanin" w:eastAsia="IRNazanin"/>
          <w:color w:val="111111"/>
          <w:sz w:val="28"/>
          <w:sz w:val="28"/>
          <w:szCs w:val="28"/>
          <w:rtl w:val="true"/>
          <w:lang w:bidi="fa-IR"/>
        </w:rPr>
        <w:t>إلی الحلیلة، و من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المصنّف </w:t>
      </w:r>
      <w:r>
        <w:rPr>
          <w:rStyle w:val="FootnoteAnchor"/>
          <w:rtl w:val="true"/>
        </w:rPr>
        <w:footnoteReference w:id="2183"/>
      </w:r>
      <w:r>
        <w:rPr>
          <w:rFonts w:ascii="IRNazanin" w:hAnsi="IRNazanin" w:eastAsia="IRNazanin"/>
          <w:color w:val="111111"/>
          <w:sz w:val="28"/>
          <w:sz w:val="28"/>
          <w:szCs w:val="28"/>
          <w:rtl w:val="true"/>
          <w:lang w:bidi="fa-IR"/>
        </w:rPr>
        <w:t xml:space="preserve">و الشهید </w:t>
      </w:r>
      <w:r>
        <w:rPr>
          <w:rStyle w:val="FootnoteAnchor"/>
          <w:rtl w:val="true"/>
        </w:rPr>
        <w:footnoteReference w:id="2184"/>
      </w:r>
      <w:r>
        <w:rPr>
          <w:rFonts w:ascii="IRNazanin" w:hAnsi="IRNazanin" w:eastAsia="IRNazanin"/>
          <w:color w:val="111111"/>
          <w:sz w:val="28"/>
          <w:sz w:val="28"/>
          <w:szCs w:val="28"/>
          <w:rtl w:val="true"/>
          <w:lang w:bidi="fa-IR"/>
        </w:rPr>
        <w:t>اختیار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النصوص و فتوی الأکثر بل الکلّ اختصاص الحکم بالوطء بغیر ملک الیمین، فلو وطئ أمته حائضاً تصدّق بثلاثة أمداد من طعام علی ثلاثة مساکین، کما عن المقنعة </w:t>
      </w:r>
      <w:r>
        <w:rPr>
          <w:rStyle w:val="FootnoteAnchor"/>
          <w:rtl w:val="true"/>
        </w:rPr>
        <w:footnoteReference w:id="2185"/>
      </w:r>
      <w:r>
        <w:rPr>
          <w:rFonts w:ascii="IRNazanin" w:hAnsi="IRNazanin" w:eastAsia="IRNazanin"/>
          <w:color w:val="111111"/>
          <w:sz w:val="28"/>
          <w:sz w:val="28"/>
          <w:szCs w:val="28"/>
          <w:rtl w:val="true"/>
          <w:lang w:bidi="fa-IR"/>
        </w:rPr>
        <w:t xml:space="preserve">و الانتصار </w:t>
      </w:r>
      <w:r>
        <w:rPr>
          <w:rStyle w:val="FootnoteAnchor"/>
          <w:rtl w:val="true"/>
        </w:rPr>
        <w:footnoteReference w:id="2186"/>
      </w:r>
      <w:r>
        <w:rPr>
          <w:rFonts w:ascii="IRNazanin" w:hAnsi="IRNazanin" w:eastAsia="IRNazanin"/>
          <w:color w:val="111111"/>
          <w:sz w:val="28"/>
          <w:sz w:val="28"/>
          <w:szCs w:val="28"/>
          <w:rtl w:val="true"/>
          <w:lang w:bidi="fa-IR"/>
        </w:rPr>
        <w:t xml:space="preserve">و النهایة </w:t>
      </w:r>
      <w:r>
        <w:rPr>
          <w:rStyle w:val="FootnoteAnchor"/>
          <w:rtl w:val="true"/>
        </w:rPr>
        <w:footnoteReference w:id="2187"/>
      </w:r>
      <w:r>
        <w:rPr>
          <w:rFonts w:ascii="IRNazanin" w:hAnsi="IRNazanin" w:eastAsia="IRNazanin"/>
          <w:color w:val="111111"/>
          <w:sz w:val="28"/>
          <w:sz w:val="28"/>
          <w:szCs w:val="28"/>
          <w:rtl w:val="true"/>
          <w:lang w:bidi="fa-IR"/>
        </w:rPr>
        <w:t xml:space="preserve">و السرائر </w:t>
      </w:r>
      <w:r>
        <w:rPr>
          <w:rStyle w:val="FootnoteAnchor"/>
          <w:rtl w:val="true"/>
        </w:rPr>
        <w:footnoteReference w:id="2188"/>
      </w:r>
      <w:r>
        <w:rPr>
          <w:rFonts w:ascii="Amiri" w:hAnsi="Amiri" w:eastAsia="Amiri" w:cs="Amiri"/>
          <w:color w:val="111111"/>
          <w:sz w:val="28"/>
          <w:sz w:val="28"/>
          <w:szCs w:val="28"/>
          <w:rtl w:val="true"/>
          <w:lang w:bidi="ar-SA"/>
        </w:rPr>
        <w:t xml:space="preserve">و المهذّب </w:t>
      </w:r>
      <w:r>
        <w:rPr>
          <w:rStyle w:val="FootnoteAnchor"/>
          <w:rtl w:val="true"/>
        </w:rPr>
        <w:footnoteReference w:id="2189"/>
      </w:r>
      <w:r>
        <w:rPr>
          <w:rFonts w:ascii="IRNazanin" w:hAnsi="IRNazanin" w:eastAsia="IRNazanin"/>
          <w:color w:val="111111"/>
          <w:sz w:val="28"/>
          <w:sz w:val="28"/>
          <w:szCs w:val="28"/>
          <w:rtl w:val="true"/>
          <w:lang w:bidi="fa-IR"/>
        </w:rPr>
        <w:t xml:space="preserve">و الجامع </w:t>
      </w:r>
      <w:r>
        <w:rPr>
          <w:rStyle w:val="FootnoteAnchor"/>
          <w:rtl w:val="true"/>
        </w:rPr>
        <w:footnoteReference w:id="2190"/>
      </w:r>
      <w:r>
        <w:rPr>
          <w:rFonts w:ascii="IRNazanin" w:hAnsi="IRNazanin" w:eastAsia="IRNazanin"/>
          <w:color w:val="111111"/>
          <w:sz w:val="28"/>
          <w:sz w:val="28"/>
          <w:szCs w:val="28"/>
          <w:rtl w:val="true"/>
          <w:lang w:bidi="fa-IR"/>
        </w:rPr>
        <w:t>، بل 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w:t>
      </w:r>
      <w:r>
        <w:rPr>
          <w:rStyle w:val="FootnoteAnchor"/>
          <w:rtl w:val="true"/>
        </w:rPr>
        <w:footnoteReference w:id="2191"/>
      </w:r>
      <w:r>
        <w:rPr>
          <w:rFonts w:ascii="IRNazanin" w:hAnsi="IRNazanin" w:eastAsia="IRNazanin"/>
          <w:color w:val="111111"/>
          <w:sz w:val="28"/>
          <w:sz w:val="28"/>
          <w:szCs w:val="28"/>
          <w:rtl w:val="true"/>
          <w:lang w:bidi="fa-IR"/>
        </w:rPr>
        <w:t>، و 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2192"/>
      </w:r>
      <w:r>
        <w:rPr>
          <w:rFonts w:ascii="IRNazanin" w:hAnsi="IRNazanin" w:eastAsia="IRNazanin"/>
          <w:color w:val="111111"/>
          <w:sz w:val="28"/>
          <w:sz w:val="28"/>
          <w:szCs w:val="28"/>
          <w:rtl w:val="true"/>
          <w:lang w:bidi="fa-IR"/>
        </w:rPr>
        <w:t>، و ظاهرهم الوجوب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استدلّ علیه السیّد فی الانتصار مع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الصدقة برّ و طاعة، فهی داخلة تحت قوله تعالی وَ افْعَلُوا الْخَیْرَ </w:t>
      </w:r>
      <w:r>
        <w:rPr>
          <w:rStyle w:val="FootnoteAnchor"/>
          <w:rtl w:val="true"/>
        </w:rPr>
        <w:footnoteReference w:id="2193"/>
      </w:r>
      <w:r>
        <w:rPr>
          <w:rFonts w:ascii="IRNazanin" w:hAnsi="IRNazanin" w:eastAsia="IRNazanin"/>
          <w:color w:val="111111"/>
          <w:sz w:val="28"/>
          <w:sz w:val="28"/>
          <w:szCs w:val="28"/>
          <w:rtl w:val="true"/>
          <w:lang w:bidi="fa-IR"/>
        </w:rPr>
        <w:t xml:space="preserve">و أمره بالطاعة ممّا لا یحصی و ظاهر الأمر الإیجابی یقضی بوجوب هذه الصدقة، و إنّما خرج ما خرج عن هذه الظواهر بدلیل، و لا دلیل علی الخروج هنا </w:t>
      </w:r>
      <w:r>
        <w:rPr>
          <w:rStyle w:val="FootnoteAnchor"/>
          <w:rtl w:val="true"/>
        </w:rPr>
        <w:footnoteReference w:id="21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الدلیل و إن کان کما تری إلّا أنّه یکشف عن أنّ معقد إجماعه هو الوجوب، و لم نعثر له علی مستند و إنّما حکاه کاشف اللثام عن الرضوی </w:t>
      </w:r>
      <w:r>
        <w:rPr>
          <w:rStyle w:val="FootnoteAnchor"/>
          <w:rtl w:val="true"/>
        </w:rPr>
        <w:footnoteReference w:id="2195"/>
      </w:r>
      <w:r>
        <w:rPr>
          <w:rFonts w:ascii="IRNazanin" w:hAnsi="IRNazanin" w:eastAsia="IRNazanin"/>
          <w:color w:val="111111"/>
          <w:sz w:val="28"/>
          <w:sz w:val="28"/>
          <w:szCs w:val="28"/>
          <w:rtl w:val="true"/>
          <w:lang w:bidi="fa-IR"/>
        </w:rPr>
        <w:t>، فإن عملنا به و لو مع الانجبار، و إلّا کان العمل علی الاستحباب تسامحاً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الشیخ عن عبد الملک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أتی جاریته و هی طامث؟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یقولون علیه نصف دینار أو دینار؟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عشرة مساکین</w:t>
      </w:r>
      <w:r>
        <w:rPr>
          <w:rFonts w:eastAsia="IRNazanin" w:cs="IRNazanin"/>
          <w:color w:val="111111"/>
          <w:sz w:val="28"/>
          <w:szCs w:val="28"/>
          <w:rtl w:val="true"/>
          <w:lang w:bidi="fa-IR"/>
        </w:rPr>
        <w:t xml:space="preserve">» </w:t>
      </w:r>
      <w:r>
        <w:rPr>
          <w:rStyle w:val="FootnoteAnchor"/>
          <w:rtl w:val="true"/>
        </w:rPr>
        <w:footnoteReference w:id="2196"/>
      </w:r>
      <w:r>
        <w:rPr>
          <w:rFonts w:ascii="IRNazanin" w:hAnsi="IRNazanin" w:eastAsia="IRNazanin"/>
          <w:color w:val="111111"/>
          <w:sz w:val="28"/>
          <w:sz w:val="28"/>
          <w:szCs w:val="28"/>
          <w:rtl w:val="true"/>
          <w:lang w:bidi="fa-IR"/>
        </w:rPr>
        <w:t>، و لا فرق فی إطلاق کلامهم و مستندهم بین أوّل الحیض و غیره، و لا بین القنّة و المدبّرة، بل و لا الزوجة و إن حرم وطؤها، قال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المکاتبة المشروطة أو المطلقة وجهان مبنیان علی الأجنبیّة </w:t>
      </w:r>
      <w:r>
        <w:rPr>
          <w:rStyle w:val="FootnoteAnchor"/>
          <w:rtl w:val="true"/>
        </w:rPr>
        <w:footnoteReference w:id="219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حکم النفساء فیما ذکر فی الزوجة و الأمة حکم الحائض کما نسب إلی ظاهر الأصحاب، بل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فیه خلافاً </w:t>
      </w:r>
      <w:r>
        <w:rPr>
          <w:rStyle w:val="FootnoteAnchor"/>
          <w:rtl w:val="true"/>
        </w:rPr>
        <w:footnoteReference w:id="2198"/>
      </w:r>
      <w:r>
        <w:rPr>
          <w:rFonts w:ascii="IRNazanin" w:hAnsi="IRNazanin" w:eastAsia="IRNazanin"/>
          <w:color w:val="111111"/>
          <w:sz w:val="28"/>
          <w:sz w:val="28"/>
          <w:szCs w:val="28"/>
          <w:rtl w:val="true"/>
          <w:lang w:bidi="fa-IR"/>
        </w:rPr>
        <w:t xml:space="preserve">، و علی هذا، فلو اتّفق مصادفة وطءٍ واحد لأوّل النفاس و وسطه و آخره نظراً إلی ما یتّفق فی النفاس من قصر زمانه، ففی تعدّده إشکال، و استظهر فی جامع المقاصد </w:t>
      </w:r>
      <w:r>
        <w:rPr>
          <w:rStyle w:val="FootnoteAnchor"/>
          <w:rtl w:val="true"/>
        </w:rPr>
        <w:footnoteReference w:id="2199"/>
      </w:r>
      <w:bookmarkStart w:id="206" w:name="pg13039_115502"/>
    </w:p>
    <w:p>
      <w:pPr>
        <w:pStyle w:val="BookText"/>
        <w:rPr/>
      </w:pPr>
      <w:bookmarkEnd w:id="206"/>
      <w:r>
        <w:rPr>
          <w:rFonts w:ascii="Amiri" w:hAnsi="Amiri" w:eastAsia="Amiri" w:cs="Amiri"/>
          <w:color w:val="111111"/>
          <w:sz w:val="28"/>
          <w:sz w:val="28"/>
          <w:szCs w:val="28"/>
          <w:rtl w:val="true"/>
          <w:lang w:bidi="ar-SA"/>
        </w:rPr>
        <w:t xml:space="preserve">تبعاً للذکری التعدّد </w:t>
      </w:r>
      <w:r>
        <w:rPr>
          <w:rStyle w:val="FootnoteAnchor"/>
          <w:rtl w:val="true"/>
        </w:rPr>
        <w:footnoteReference w:id="2200"/>
      </w:r>
      <w:r>
        <w:rPr>
          <w:rFonts w:ascii="IRNazanin" w:hAnsi="IRNazanin" w:eastAsia="IRNazanin"/>
          <w:color w:val="111111"/>
          <w:sz w:val="28"/>
          <w:sz w:val="28"/>
          <w:szCs w:val="28"/>
          <w:rtl w:val="true"/>
          <w:lang w:bidi="fa-IR"/>
        </w:rPr>
        <w:t>و کأنّه لعموم کون النفاس کالحیض فی النصّ و الفتوی، و لذا یحکم بالتعدّد لو صادف واحد آخر أوّل الحیض و أوّل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المسألة محلّ إشکال و الاقتصار علی ما یوجبه أوّل الوطء لا یخلو من قوّة، و ینبغی القطع بعدم التعدّد إذا قصر زمان النفاس عمّا یحتمل الوطء کما عن البیان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6452012_3224264995"/>
      <w:bookmarkStart w:id="208" w:name="_Toc77"/>
      <w:bookmarkEnd w:id="207"/>
      <w:r>
        <w:rPr>
          <w:rtl w:val="true"/>
        </w:rPr>
        <w:t>[</w:t>
      </w:r>
      <w:r>
        <w:rPr>
          <w:rtl w:val="true"/>
        </w:rPr>
        <w:t>کراهة وطؤها بعد انقطاع الدم قبل الغسل</w:t>
      </w:r>
      <w:r>
        <w:rPr>
          <w:rtl w:val="true"/>
        </w:rPr>
        <w:t>]</w:t>
      </w:r>
      <w:bookmarkEnd w:id="20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وطء الحائض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سواء کان انقطاعها علی العادة أو بعدها بل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و الفتوی شامل للانقطاع قبلها </w:t>
      </w:r>
      <w:r>
        <w:rPr>
          <w:rStyle w:val="FootnoteAnchor"/>
          <w:rtl w:val="true"/>
        </w:rPr>
        <w:footnoteReference w:id="2202"/>
      </w:r>
      <w:r>
        <w:rPr>
          <w:rFonts w:ascii="IRNazanin" w:hAnsi="IRNazanin" w:eastAsia="IRNazanin"/>
          <w:color w:val="111111"/>
          <w:sz w:val="28"/>
          <w:sz w:val="28"/>
          <w:szCs w:val="28"/>
          <w:rtl w:val="true"/>
          <w:lang w:bidi="fa-IR"/>
        </w:rPr>
        <w:t xml:space="preserve">، و ربما یستشکل من جهة احتمال معاودة الدم؛ لأنّ معاودته فی العادة من الأُمور الجبلیّة بخلافها بعدها، و إنّما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عن الانتصار </w:t>
      </w:r>
      <w:r>
        <w:rPr>
          <w:rStyle w:val="FootnoteAnchor"/>
          <w:rtl w:val="true"/>
        </w:rPr>
        <w:footnoteReference w:id="2203"/>
      </w:r>
      <w:r>
        <w:rPr>
          <w:rFonts w:ascii="IRNazanin" w:hAnsi="IRNazanin" w:eastAsia="IRNazanin"/>
          <w:color w:val="111111"/>
          <w:sz w:val="28"/>
          <w:sz w:val="28"/>
          <w:szCs w:val="28"/>
          <w:rtl w:val="true"/>
          <w:lang w:bidi="fa-IR"/>
        </w:rPr>
        <w:t xml:space="preserve">و الخلاف </w:t>
      </w:r>
      <w:r>
        <w:rPr>
          <w:rStyle w:val="FootnoteAnchor"/>
          <w:rtl w:val="true"/>
        </w:rPr>
        <w:footnoteReference w:id="2204"/>
      </w:r>
      <w:r>
        <w:rPr>
          <w:rFonts w:ascii="IRNazanin" w:hAnsi="IRNazanin" w:eastAsia="IRNazanin"/>
          <w:color w:val="111111"/>
          <w:sz w:val="28"/>
          <w:sz w:val="28"/>
          <w:szCs w:val="28"/>
          <w:rtl w:val="true"/>
          <w:lang w:bidi="fa-IR"/>
        </w:rPr>
        <w:t xml:space="preserve">و الغنیة </w:t>
      </w:r>
      <w:r>
        <w:rPr>
          <w:rStyle w:val="FootnoteAnchor"/>
          <w:rtl w:val="true"/>
        </w:rPr>
        <w:footnoteReference w:id="2205"/>
      </w:r>
      <w:r>
        <w:rPr>
          <w:rFonts w:ascii="IRNazanin" w:hAnsi="IRNazanin" w:eastAsia="IRNazanin"/>
          <w:color w:val="111111"/>
          <w:sz w:val="28"/>
          <w:sz w:val="28"/>
          <w:szCs w:val="28"/>
          <w:rtl w:val="true"/>
          <w:lang w:bidi="fa-IR"/>
        </w:rPr>
        <w:t xml:space="preserve">و السرائر </w:t>
      </w:r>
      <w:r>
        <w:rPr>
          <w:rStyle w:val="FootnoteAnchor"/>
          <w:rtl w:val="true"/>
        </w:rPr>
        <w:footnoteReference w:id="2206"/>
      </w:r>
      <w:r>
        <w:rPr>
          <w:rFonts w:ascii="IRNazanin" w:hAnsi="IRNazanin" w:eastAsia="IRNazanin"/>
          <w:color w:val="111111"/>
          <w:sz w:val="28"/>
          <w:sz w:val="28"/>
          <w:szCs w:val="28"/>
          <w:rtl w:val="true"/>
          <w:lang w:bidi="fa-IR"/>
        </w:rPr>
        <w:t xml:space="preserve">و التبیان </w:t>
      </w:r>
      <w:r>
        <w:rPr>
          <w:rStyle w:val="FootnoteAnchor"/>
          <w:rtl w:val="true"/>
        </w:rPr>
        <w:footnoteReference w:id="2207"/>
      </w:r>
      <w:r>
        <w:rPr>
          <w:rFonts w:ascii="IRNazanin" w:hAnsi="IRNazanin" w:eastAsia="IRNazanin"/>
          <w:color w:val="111111"/>
          <w:sz w:val="28"/>
          <w:sz w:val="28"/>
          <w:szCs w:val="28"/>
          <w:rtl w:val="true"/>
          <w:lang w:bidi="fa-IR"/>
        </w:rPr>
        <w:t xml:space="preserve">و مجمع البیان </w:t>
      </w:r>
      <w:r>
        <w:rPr>
          <w:rStyle w:val="FootnoteAnchor"/>
          <w:rtl w:val="true"/>
        </w:rPr>
        <w:footnoteReference w:id="2208"/>
      </w:r>
      <w:r>
        <w:rPr>
          <w:rFonts w:ascii="IRNazanin" w:hAnsi="IRNazanin" w:eastAsia="IRNazanin"/>
          <w:color w:val="111111"/>
          <w:sz w:val="28"/>
          <w:sz w:val="28"/>
          <w:szCs w:val="28"/>
          <w:rtl w:val="true"/>
          <w:lang w:bidi="fa-IR"/>
        </w:rPr>
        <w:t xml:space="preserve">و أحکام القرآن للراوندی </w:t>
      </w:r>
      <w:r>
        <w:rPr>
          <w:rStyle w:val="FootnoteAnchor"/>
          <w:rtl w:val="true"/>
        </w:rPr>
        <w:footnoteReference w:id="2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لأصالة الإباحة السلیمة عن مزاحمة استصحاب الحرمة؛ لأنّها منوطة بأیّام الحیض أو بالحائض و قد ارتفع</w:t>
      </w:r>
    </w:p>
    <w:p>
      <w:pPr>
        <w:pStyle w:val="BookText"/>
        <w:rPr/>
      </w:pPr>
      <w:r>
        <w:rPr>
          <w:rFonts w:ascii="Amiri" w:hAnsi="Amiri" w:eastAsia="Amiri" w:cs="Amiri"/>
          <w:color w:val="111111"/>
          <w:sz w:val="28"/>
          <w:sz w:val="28"/>
          <w:szCs w:val="28"/>
          <w:rtl w:val="true"/>
          <w:lang w:bidi="ar-SA"/>
        </w:rPr>
        <w:t xml:space="preserve">المناط علی کلّ تقدیر بعد الطهر من الحیض، و لمفهوم قوله تعالی وَ لٰا تَقْرَبُوهُنَّ حَتّٰی یَطْهُرْنَ </w:t>
      </w:r>
      <w:r>
        <w:rPr>
          <w:rStyle w:val="FootnoteAnchor"/>
          <w:rtl w:val="true"/>
        </w:rPr>
        <w:footnoteReference w:id="2210"/>
      </w:r>
      <w:r>
        <w:rPr>
          <w:rFonts w:ascii="IRNazanin" w:hAnsi="IRNazanin" w:eastAsia="IRNazanin"/>
          <w:color w:val="111111"/>
          <w:sz w:val="28"/>
          <w:sz w:val="28"/>
          <w:szCs w:val="28"/>
          <w:rtl w:val="true"/>
          <w:lang w:bidi="fa-IR"/>
        </w:rPr>
        <w:t>بالتخفیف کما عن السبعة، و الظاهر من الطهر مقابل الحیض کما یشهد تتبّع موارد استعماله فی مقابل الحیض فی الأخبار التی لا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اعتضاده بظهور قوله تعالی فَاعْتَزِلُوا النِّسٰاءَ فِی الْمَحِیضِ </w:t>
      </w:r>
      <w:r>
        <w:rPr>
          <w:rStyle w:val="FootnoteAnchor"/>
          <w:rtl w:val="true"/>
        </w:rPr>
        <w:footnoteReference w:id="2211"/>
      </w:r>
      <w:r>
        <w:rPr>
          <w:rFonts w:ascii="IRNazanin" w:hAnsi="IRNazanin" w:eastAsia="IRNazanin"/>
          <w:color w:val="111111"/>
          <w:sz w:val="28"/>
          <w:sz w:val="28"/>
          <w:szCs w:val="28"/>
          <w:rtl w:val="true"/>
          <w:lang w:bidi="fa-IR"/>
        </w:rPr>
        <w:t>فی اختصاص وجوب الاعتزال بحال الحیض، خصوصاً بعد تفریعه علی کون المحیض 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الحقیقة الشرعیّة فی هذه اللفظة ممنوعة و إن سلمت فی لفظ الطهارة بالنسبة إلی الأفعال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یعارض بقراءة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الجمع بین القراءَتین، إمّا بحمل الأمر فی قراءة التشدید علی الکراهة کما یظهر من المعتبر، و إمّا بجعل التطهّر بمعنی الطهر کما فی جامع المقاصد </w:t>
      </w:r>
      <w:r>
        <w:rPr>
          <w:rStyle w:val="FootnoteAnchor"/>
          <w:rtl w:val="true"/>
        </w:rPr>
        <w:footnoteReference w:id="2212"/>
      </w:r>
      <w:r>
        <w:rPr>
          <w:rFonts w:ascii="IRNazanin" w:hAnsi="IRNazanin" w:eastAsia="IRNazanin"/>
          <w:color w:val="111111"/>
          <w:sz w:val="28"/>
          <w:sz w:val="28"/>
          <w:szCs w:val="28"/>
          <w:rtl w:val="true"/>
          <w:lang w:bidi="fa-IR"/>
        </w:rPr>
        <w:t xml:space="preserve">و غیره </w:t>
      </w:r>
      <w:r>
        <w:rPr>
          <w:rStyle w:val="FootnoteAnchor"/>
          <w:rtl w:val="true"/>
        </w:rPr>
        <w:footnoteReference w:id="2213"/>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یجی‌ء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کتطعّم و تبسّم و 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الجمع بینهما فرع ثبوت تواتر کلّ من القراءَتین بناءً علی تواتر جمیع القراءات السبع، أو ثبوت الإجماع علی جواز العمل بکلّ واحد منهما، کما ثبت علی جواز القراءة بکلٍّ منهما، و فی کلا الأمرین تأمّل،</w:t>
      </w:r>
    </w:p>
    <w:p>
      <w:pPr>
        <w:pStyle w:val="BookText"/>
        <w:rPr/>
      </w:pPr>
      <w:r>
        <w:rPr>
          <w:rFonts w:ascii="IRNazanin" w:hAnsi="IRNazanin" w:eastAsia="IRNazanin"/>
          <w:color w:val="111111"/>
          <w:sz w:val="28"/>
          <w:sz w:val="28"/>
          <w:szCs w:val="28"/>
          <w:rtl w:val="true"/>
          <w:lang w:bidi="fa-IR"/>
        </w:rPr>
        <w:t xml:space="preserve">بل منع، کما سیجی‌ء </w:t>
      </w:r>
      <w:r>
        <w:rPr>
          <w:rStyle w:val="FootnoteAnchor"/>
          <w:rtl w:val="true"/>
        </w:rPr>
        <w:footnoteReference w:id="2214"/>
      </w:r>
      <w:r>
        <w:rPr>
          <w:rFonts w:ascii="IRNazanin" w:hAnsi="IRNazanin" w:eastAsia="IRNazanin"/>
          <w:color w:val="111111"/>
          <w:sz w:val="28"/>
          <w:sz w:val="28"/>
          <w:szCs w:val="28"/>
          <w:rtl w:val="true"/>
          <w:lang w:bidi="fa-IR"/>
        </w:rPr>
        <w:t>فی قراءة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الحاصلة عقیب الغسل أولی و أظهر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الطهر من الحیض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 حمل قراءة التشدید علی الکراهة لا یخلو من استعمال اللفظ فی المعنیین؛ لأنّ تعدّد القراءة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یوجب تعدّد الاستعمال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فالتحقیق بناءً علی عدم ثبوت تواتر جمیع القراءات، و عدم المرجّح لبعضها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اللفظ المنزل بین التشدید و التخفیف، و سقوط الاستدلال بالآیة من هذه الجهة، بل قد یظهر من الفقرة اللاحقة و هی قوله تعالی فَإِذٰا تَطَهَّرْنَ فَأْتُوهُنَّ </w:t>
      </w:r>
      <w:r>
        <w:rPr>
          <w:rStyle w:val="FootnoteAnchor"/>
          <w:rtl w:val="true"/>
        </w:rPr>
        <w:footnoteReference w:id="2215"/>
      </w:r>
      <w:r>
        <w:rPr>
          <w:rFonts w:ascii="Amiri" w:hAnsi="Amiri" w:eastAsia="Amiri" w:cs="Amiri"/>
          <w:color w:val="111111"/>
          <w:sz w:val="28"/>
          <w:sz w:val="28"/>
          <w:szCs w:val="28"/>
          <w:rtl w:val="true"/>
          <w:lang w:bidi="ar-SA"/>
        </w:rPr>
        <w:t>توقّف جواز الوطء علی الطهر و هو ظاهر فی الاغتسال، و لا یعارضه الفقرة السابقة لما عرفت من سقوط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یعارضها ظاهر قوله تعالی فَاعْتَزِلُوا النِّسٰاءَ فِی الْمَحِیضِ </w:t>
      </w:r>
      <w:r>
        <w:rPr>
          <w:rStyle w:val="FootnoteAnchor"/>
          <w:rtl w:val="true"/>
        </w:rPr>
        <w:footnoteReference w:id="2216"/>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فرض ترجیح قراءة التخفیف علی قراءة التشدید و تعارضها مع الفقرة اللاحقة، 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الخلوّ عن حدث الحیض أولی من</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الخلوّ من دمه أو غسل الفرج أو وضوء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ذکرنا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بناءً علی قراءة التخفیف إنّما هو بین مخالفة الظاهر فی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بین مفهوم الغایة فی الأوّل و مفهوم الشرط فی الثانی، کما زعم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فلا ینهض الاستدلال بالآیة علی المطلوب، بل لا یضرّنا ظهورها فی خلافه بعد الإجماعات المتقدّمة الموافقة للأصل المخالفة لأکثر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الأخبار مثل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انقطع الدم و لم تغتسل فلیأتها زوجها إن شاء</w:t>
      </w:r>
      <w:r>
        <w:rPr>
          <w:rFonts w:eastAsia="IRNazanin" w:cs="IRNazanin"/>
          <w:color w:val="111111"/>
          <w:sz w:val="28"/>
          <w:szCs w:val="28"/>
          <w:rtl w:val="true"/>
          <w:lang w:bidi="fa-IR"/>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ابن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طهرت من الحیض و لم تمسّ الماء فلا یقع علیها زوجها حتّی تغتسل، و إن فعل فلا بأس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 الماء أحبّ إلیَّ</w:t>
      </w:r>
      <w:r>
        <w:rPr>
          <w:rFonts w:eastAsia="IRNazanin" w:cs="IRNazanin"/>
          <w:color w:val="111111"/>
          <w:sz w:val="28"/>
          <w:szCs w:val="28"/>
          <w:rtl w:val="true"/>
          <w:lang w:bidi="fa-IR"/>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موثّقة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الحائض تری الطهر أ یقع علیها زوجها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بعد الغسل أحبّ إلیّ</w:t>
      </w:r>
      <w:r>
        <w:rPr>
          <w:rFonts w:eastAsia="IRNazanin" w:cs="IRNazanin"/>
          <w:color w:val="111111"/>
          <w:sz w:val="28"/>
          <w:szCs w:val="28"/>
          <w:rtl w:val="true"/>
          <w:lang w:bidi="fa-IR"/>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لصراحتها فی الجواز و اعتضادها بما ذکر من الأخبار و مخالفتها لأکثر العامّة یصرف ما ظاهره التحریم من الأخبار الموافقة للتقیّة إلی الکراهة، کموثّقة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کانت طامثاً فرأت الطهر، أ یقع علیها زوجها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تغتسل</w:t>
      </w:r>
      <w:r>
        <w:rPr>
          <w:rFonts w:eastAsia="IRNazanin" w:cs="IRNazanin"/>
          <w:color w:val="111111"/>
          <w:sz w:val="28"/>
          <w:szCs w:val="28"/>
          <w:rtl w:val="true"/>
          <w:lang w:bidi="fa-IR"/>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تحرم علیها الصلاة ثمّ تطهر فتوضّأ قبل أن تغتسل أ فلزوجها أن یأتیها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تغتسل</w:t>
      </w:r>
      <w:r>
        <w:rPr>
          <w:rFonts w:eastAsia="IRNazanin" w:cs="IRNazanin"/>
          <w:color w:val="111111"/>
          <w:sz w:val="28"/>
          <w:szCs w:val="28"/>
          <w:rtl w:val="true"/>
          <w:lang w:bidi="fa-IR"/>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زوجها شَبَق فلیأمرها فلتغسل فرجها ثمّ یمسّها إن شاء قبل أن تغتسل</w:t>
      </w:r>
      <w:r>
        <w:rPr>
          <w:rFonts w:eastAsia="IRNazanin" w:cs="IRNazanin"/>
          <w:color w:val="111111"/>
          <w:sz w:val="28"/>
          <w:szCs w:val="28"/>
          <w:rtl w:val="true"/>
          <w:lang w:bidi="fa-IR"/>
        </w:rPr>
        <w:t xml:space="preserve">» </w:t>
      </w:r>
      <w:r>
        <w:rPr>
          <w:rStyle w:val="FootnoteAnchor"/>
          <w:rtl w:val="true"/>
        </w:rPr>
        <w:footnoteReference w:id="2222"/>
      </w:r>
      <w:r>
        <w:rPr>
          <w:rFonts w:ascii="IRNazanin" w:hAnsi="IRNazanin" w:eastAsia="IRNazanin"/>
          <w:color w:val="111111"/>
          <w:sz w:val="28"/>
          <w:sz w:val="28"/>
          <w:szCs w:val="28"/>
          <w:rtl w:val="true"/>
          <w:lang w:bidi="fa-IR"/>
        </w:rPr>
        <w:t xml:space="preserve">فلیس فیها شهادة للجمع بین الأخبار بحمل أخبار المنع علی غیر صورة الشبق، کما هو ظاهر المحکیّ عن الصدوق فی الفقیه </w:t>
      </w:r>
      <w:r>
        <w:rPr>
          <w:rStyle w:val="FootnoteAnchor"/>
          <w:rtl w:val="true"/>
        </w:rPr>
        <w:footnoteReference w:id="2223"/>
      </w:r>
      <w:r>
        <w:rPr>
          <w:rFonts w:ascii="IRNazanin" w:hAnsi="IRNazanin" w:eastAsia="IRNazanin"/>
          <w:color w:val="111111"/>
          <w:sz w:val="28"/>
          <w:sz w:val="28"/>
          <w:szCs w:val="28"/>
          <w:rtl w:val="true"/>
          <w:lang w:bidi="fa-IR"/>
        </w:rPr>
        <w:t xml:space="preserve">و الهدایة </w:t>
      </w:r>
      <w:r>
        <w:rPr>
          <w:rStyle w:val="FootnoteAnchor"/>
          <w:rtl w:val="true"/>
        </w:rPr>
        <w:footnoteReference w:id="2224"/>
      </w:r>
      <w:r>
        <w:rPr>
          <w:rFonts w:ascii="IRNazanin" w:hAnsi="IRNazanin" w:eastAsia="IRNazanin"/>
          <w:color w:val="111111"/>
          <w:sz w:val="28"/>
          <w:sz w:val="28"/>
          <w:szCs w:val="28"/>
          <w:rtl w:val="true"/>
          <w:lang w:bidi="fa-IR"/>
        </w:rPr>
        <w:t xml:space="preserve">و المقنع </w:t>
      </w:r>
      <w:r>
        <w:rPr>
          <w:rStyle w:val="FootnoteAnchor"/>
          <w:rtl w:val="true"/>
        </w:rPr>
        <w:footnoteReference w:id="2225"/>
      </w:r>
      <w:r>
        <w:rPr>
          <w:rFonts w:ascii="IRNazanin" w:hAnsi="IRNazanin" w:eastAsia="IRNazanin"/>
          <w:color w:val="111111"/>
          <w:sz w:val="28"/>
          <w:sz w:val="28"/>
          <w:szCs w:val="28"/>
          <w:rtl w:val="true"/>
          <w:lang w:bidi="fa-IR"/>
        </w:rPr>
        <w:t>لإمکان تنزیلها علی التفصیل من حیث الکراهة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ظاهرها اشتراط ارتفاع المرجوحیّة کراهة أو تحریماً بغسل الفرج، و حینئذٍ فیشترط فی زوال التحریم علی مذهب الصدوق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شبق الزوج و غسل الزوجة فرجها، کما صرّح به فی الحبل المتین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المحکی عن الغنیة </w:t>
      </w:r>
      <w:r>
        <w:rPr>
          <w:rStyle w:val="FootnoteAnchor"/>
          <w:rtl w:val="true"/>
        </w:rPr>
        <w:footnoteReference w:id="2227"/>
      </w:r>
      <w:r>
        <w:rPr>
          <w:rFonts w:ascii="IRNazanin" w:hAnsi="IRNazanin" w:eastAsia="IRNazanin"/>
          <w:color w:val="111111"/>
          <w:sz w:val="28"/>
          <w:sz w:val="28"/>
          <w:szCs w:val="28"/>
          <w:rtl w:val="true"/>
          <w:lang w:bidi="fa-IR"/>
        </w:rPr>
        <w:t xml:space="preserve">و الخلاف </w:t>
      </w:r>
      <w:r>
        <w:rPr>
          <w:rStyle w:val="FootnoteAnchor"/>
          <w:rtl w:val="true"/>
        </w:rPr>
        <w:footnoteReference w:id="2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الأکثر اشتراط الجواز بغسل الفرج، و عن الجامع اشتراطه بالغسل و وضوء الصلاة </w:t>
      </w:r>
      <w:r>
        <w:rPr>
          <w:rStyle w:val="FootnoteAnchor"/>
          <w:rtl w:val="true"/>
        </w:rPr>
        <w:footnoteReference w:id="2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 xml:space="preserve">ظاهر التبیان </w:t>
      </w:r>
      <w:r>
        <w:rPr>
          <w:rStyle w:val="FootnoteAnchor"/>
          <w:rtl w:val="true"/>
        </w:rPr>
        <w:footnoteReference w:id="2230"/>
      </w:r>
      <w:r>
        <w:rPr>
          <w:rFonts w:ascii="IRNazanin" w:hAnsi="IRNazanin" w:eastAsia="IRNazanin"/>
          <w:color w:val="111111"/>
          <w:sz w:val="28"/>
          <w:sz w:val="28"/>
          <w:szCs w:val="28"/>
          <w:rtl w:val="true"/>
          <w:lang w:bidi="fa-IR"/>
        </w:rPr>
        <w:t xml:space="preserve">و أحکام الراوندی </w:t>
      </w:r>
      <w:r>
        <w:rPr>
          <w:rStyle w:val="FootnoteAnchor"/>
          <w:rtl w:val="true"/>
        </w:rPr>
        <w:footnoteReference w:id="2231"/>
      </w:r>
      <w:r>
        <w:rPr>
          <w:rFonts w:ascii="IRNazanin" w:hAnsi="IRNazanin" w:eastAsia="IRNazanin"/>
          <w:color w:val="111111"/>
          <w:sz w:val="28"/>
          <w:sz w:val="28"/>
          <w:szCs w:val="28"/>
          <w:rtl w:val="true"/>
          <w:lang w:bidi="fa-IR"/>
        </w:rPr>
        <w:t>و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مذهبنا </w:t>
      </w:r>
      <w:r>
        <w:rPr>
          <w:rStyle w:val="FootnoteAnchor"/>
          <w:rtl w:val="true"/>
        </w:rPr>
        <w:footnoteReference w:id="2232"/>
      </w:r>
      <w:r>
        <w:rPr>
          <w:rFonts w:ascii="IRNazanin" w:hAnsi="IRNazanin" w:eastAsia="IRNazanin"/>
          <w:color w:val="111111"/>
          <w:sz w:val="28"/>
          <w:sz w:val="28"/>
          <w:szCs w:val="28"/>
          <w:rtl w:val="true"/>
          <w:lang w:bidi="fa-IR"/>
        </w:rPr>
        <w:t>، و لم نعثر علی دلیل لاعتبار الوضوء عیناً و لا تخییراً وجوباً أو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غسل الفرج، فالأقوی استحبابه کما عن المحقّق </w:t>
      </w:r>
      <w:r>
        <w:rPr>
          <w:rStyle w:val="FootnoteAnchor"/>
          <w:rtl w:val="true"/>
        </w:rPr>
        <w:footnoteReference w:id="2233"/>
      </w:r>
      <w:r>
        <w:rPr>
          <w:rFonts w:ascii="Amiri" w:hAnsi="Amiri" w:eastAsia="Amiri" w:cs="Amiri"/>
          <w:color w:val="111111"/>
          <w:sz w:val="28"/>
          <w:sz w:val="28"/>
          <w:szCs w:val="28"/>
          <w:rtl w:val="true"/>
          <w:lang w:bidi="ar-SA"/>
        </w:rPr>
        <w:t xml:space="preserve">و المصنّف </w:t>
      </w:r>
      <w:r>
        <w:rPr>
          <w:rStyle w:val="FootnoteAnchor"/>
          <w:rtl w:val="true"/>
        </w:rPr>
        <w:footnoteReference w:id="2234"/>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235"/>
      </w:r>
      <w:r>
        <w:rPr>
          <w:rFonts w:ascii="IRNazanin" w:hAnsi="IRNazanin" w:eastAsia="IRNazanin"/>
          <w:color w:val="111111"/>
          <w:sz w:val="28"/>
          <w:sz w:val="28"/>
          <w:szCs w:val="28"/>
          <w:rtl w:val="true"/>
          <w:lang w:bidi="fa-IR"/>
        </w:rPr>
        <w:t xml:space="preserve">و غیرهما </w:t>
      </w:r>
      <w:r>
        <w:rPr>
          <w:rStyle w:val="FootnoteAnchor"/>
          <w:rtl w:val="true"/>
        </w:rPr>
        <w:footnoteReference w:id="2236"/>
      </w:r>
      <w:r>
        <w:rPr>
          <w:rFonts w:ascii="IRNazanin" w:hAnsi="IRNazanin" w:eastAsia="IRNazanin"/>
          <w:color w:val="111111"/>
          <w:sz w:val="28"/>
          <w:sz w:val="28"/>
          <w:szCs w:val="28"/>
          <w:rtl w:val="true"/>
          <w:lang w:bidi="fa-IR"/>
        </w:rPr>
        <w:t>للأصل و الإطلاقات مع وقوعهما فی مقام البیان، فیحمل الأمر بالأمر به فی صحیحة ابن مسلم علی الاستحباب، لکن الاحتیاط به و بالوضوء، بل و ترک الوطء معهما أیضاً لا ینبغی ترکه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هل یجب التیمّم لو اشترطنا الطهارة کما عن المنتهی </w:t>
      </w:r>
      <w:r>
        <w:rPr>
          <w:rStyle w:val="FootnoteAnchor"/>
          <w:rtl w:val="true"/>
        </w:rPr>
        <w:footnoteReference w:id="2237"/>
      </w:r>
      <w:r>
        <w:rPr>
          <w:rFonts w:ascii="IRNazanin" w:hAnsi="IRNazanin" w:eastAsia="IRNazanin"/>
          <w:color w:val="111111"/>
          <w:sz w:val="28"/>
          <w:sz w:val="28"/>
          <w:szCs w:val="28"/>
          <w:rtl w:val="true"/>
          <w:lang w:bidi="fa-IR"/>
        </w:rPr>
        <w:t xml:space="preserve">و الذکری </w:t>
      </w:r>
      <w:r>
        <w:rPr>
          <w:rStyle w:val="FootnoteAnchor"/>
          <w:rtl w:val="true"/>
        </w:rPr>
        <w:footnoteReference w:id="2238"/>
      </w:r>
      <w:r>
        <w:rPr>
          <w:rFonts w:ascii="IRNazanin" w:hAnsi="IRNazanin" w:eastAsia="IRNazanin"/>
          <w:color w:val="111111"/>
          <w:sz w:val="28"/>
          <w:sz w:val="28"/>
          <w:szCs w:val="28"/>
          <w:rtl w:val="true"/>
          <w:lang w:bidi="fa-IR"/>
        </w:rPr>
        <w:t xml:space="preserve">و الدروس </w:t>
      </w:r>
      <w:r>
        <w:rPr>
          <w:rStyle w:val="FootnoteAnchor"/>
          <w:rtl w:val="true"/>
        </w:rPr>
        <w:footnoteReference w:id="2239"/>
      </w:r>
      <w:r>
        <w:rPr>
          <w:rFonts w:ascii="IRNazanin" w:hAnsi="IRNazanin" w:eastAsia="IRNazanin"/>
          <w:color w:val="111111"/>
          <w:sz w:val="28"/>
          <w:sz w:val="28"/>
          <w:szCs w:val="28"/>
          <w:rtl w:val="true"/>
          <w:lang w:bidi="fa-IR"/>
        </w:rPr>
        <w:t xml:space="preserve">و الروض </w:t>
      </w:r>
      <w:r>
        <w:rPr>
          <w:rStyle w:val="FootnoteAnchor"/>
          <w:rtl w:val="true"/>
        </w:rPr>
        <w:footnoteReference w:id="224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241"/>
      </w:r>
      <w:r>
        <w:rPr>
          <w:rFonts w:ascii="IRNazanin" w:hAnsi="IRNazanin" w:eastAsia="IRNazanin"/>
          <w:color w:val="111111"/>
          <w:sz w:val="28"/>
          <w:sz w:val="28"/>
          <w:szCs w:val="28"/>
          <w:rtl w:val="true"/>
          <w:lang w:bidi="fa-IR"/>
        </w:rPr>
        <w:t xml:space="preserve">، أو لا کما عن المصنّف فی النهایة </w:t>
      </w:r>
      <w:r>
        <w:rPr>
          <w:rStyle w:val="FootnoteAnchor"/>
          <w:rtl w:val="true"/>
        </w:rPr>
        <w:footnoteReference w:id="2242"/>
      </w:r>
      <w:r>
        <w:rPr>
          <w:rFonts w:ascii="IRNazanin" w:hAnsi="IRNazanin" w:eastAsia="IRNazanin"/>
          <w:color w:val="111111"/>
          <w:sz w:val="28"/>
          <w:sz w:val="28"/>
          <w:szCs w:val="28"/>
          <w:rtl w:val="true"/>
          <w:lang w:bidi="fa-IR"/>
        </w:rPr>
        <w:t>، قولان</w:t>
      </w:r>
    </w:p>
    <w:p>
      <w:pPr>
        <w:pStyle w:val="BookText"/>
        <w:rPr/>
      </w:pPr>
      <w:r>
        <w:rPr>
          <w:rFonts w:ascii="IRNazanin" w:hAnsi="IRNazanin" w:eastAsia="IRNazanin"/>
          <w:color w:val="111111"/>
          <w:sz w:val="28"/>
          <w:sz w:val="28"/>
          <w:szCs w:val="28"/>
          <w:rtl w:val="true"/>
          <w:lang w:bidi="fa-IR"/>
        </w:rPr>
        <w:t>من عموم البدلیّة، و روایة أبی عبیدة فی فاقدة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 فرجها و تیمّمت فلا بأس</w:t>
      </w:r>
      <w:r>
        <w:rPr>
          <w:rFonts w:eastAsia="IRNazanin" w:cs="IRNazanin"/>
          <w:color w:val="111111"/>
          <w:sz w:val="28"/>
          <w:szCs w:val="28"/>
          <w:rtl w:val="true"/>
          <w:lang w:bidi="fa-IR"/>
        </w:rPr>
        <w:t xml:space="preserve">» </w:t>
      </w:r>
      <w:r>
        <w:rPr>
          <w:rStyle w:val="FootnoteAnchor"/>
          <w:rtl w:val="true"/>
        </w:rPr>
        <w:footnoteReference w:id="2243"/>
      </w:r>
      <w:r>
        <w:rPr>
          <w:rFonts w:ascii="IRNazanin" w:hAnsi="IRNazanin" w:eastAsia="IRNazanin"/>
          <w:color w:val="111111"/>
          <w:sz w:val="28"/>
          <w:sz w:val="28"/>
          <w:szCs w:val="28"/>
          <w:rtl w:val="true"/>
          <w:lang w:bidi="fa-IR"/>
        </w:rPr>
        <w:t>، و موثّقة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إذا تیمّمت من الحیض هل تحلّ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الحکم منوط بالاغتسال، و عموم البدلیّة إنّما یراد به البدلیّة من حیث الأحکام المنوطة بالطهارة و رفع الحدث، لا بخصوص بعض الوضوءات أو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ضعیفتان معارضتان بالموثّقة الآتیة،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یحکم بجواز الوطء؛ بناءً علی أنّ الاغتسال شرط اختیاری، و إمّا أن یحکم بالمنع؛ لإطلاق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الحیض لا یرتفع بالتیمّم فهی قبل الاغتسال حائض، و لذا استدلّ فی الروض علی اشتراط الصوم بغسل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قبل الغسل حائض </w:t>
      </w:r>
      <w:r>
        <w:rPr>
          <w:rStyle w:val="FootnoteAnchor"/>
          <w:rtl w:val="true"/>
        </w:rPr>
        <w:footnoteReference w:id="224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لموثّقة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حاضت ثمّ طهرت فی سفر فلم تجد الماء یومین أو ثلاثة هل لزوجها أن یقع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لزوجها أن یقع علیها حتّی تغتسل</w:t>
      </w:r>
      <w:r>
        <w:rPr>
          <w:rFonts w:eastAsia="IRNazanin" w:cs="IRNazanin"/>
          <w:color w:val="111111"/>
          <w:sz w:val="28"/>
          <w:szCs w:val="28"/>
          <w:rtl w:val="true"/>
          <w:lang w:bidi="fa-IR"/>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القول بزوال التحریم أو الکراهة بالتیمّم، ففی مشروعیّته لمجرّد ذلک نظر، و إن قال فی جامع المقاصد بعد الحکم بجواز التیمّم لرفع</w:t>
      </w:r>
      <w:bookmarkStart w:id="209" w:name="pg13039_115509"/>
    </w:p>
    <w:p>
      <w:pPr>
        <w:pStyle w:val="BookText"/>
        <w:rPr/>
      </w:pPr>
      <w:bookmarkEnd w:id="209"/>
      <w:r>
        <w:rPr>
          <w:rFonts w:ascii="IRNazanin" w:hAnsi="IRNazanin" w:eastAsia="IRNazanin"/>
          <w:color w:val="111111"/>
          <w:sz w:val="28"/>
          <w:sz w:val="28"/>
          <w:szCs w:val="28"/>
          <w:rtl w:val="true"/>
          <w:lang w:bidi="fa-IR"/>
        </w:rPr>
        <w:t>المرجوحیّة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بین أن تصلّی به و عدمه </w:t>
      </w:r>
      <w:r>
        <w:rPr>
          <w:rStyle w:val="FootnoteAnchor"/>
          <w:rtl w:val="true"/>
        </w:rPr>
        <w:footnoteReference w:id="22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بوجوب التیمّم، فلو تعذّر الصعید فالأقوی عدم جواز الوطء؛ لإطلاق دلیل الشرطیّة کما عن المصنّف فی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تجد الماء فالأقرب عدم وجوب التیمّم لو شرطنا الطهارة، فإن قلنا بالتیمّم و فقد التراب فالأقرب تحریم الوطء </w:t>
      </w:r>
      <w:r>
        <w:rPr>
          <w:rStyle w:val="FootnoteAnchor"/>
          <w:rtl w:val="true"/>
        </w:rPr>
        <w:footnoteReference w:id="22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انصراف أدلّة الاشتراط إلی حال التمکّن</w:t>
      </w:r>
      <w:r>
        <w:rPr>
          <w:rFonts w:eastAsia="IRNazanin" w:cs="IRNazanin"/>
          <w:color w:val="111111"/>
          <w:sz w:val="28"/>
          <w:szCs w:val="28"/>
          <w:rtl w:val="true"/>
          <w:lang w:bidi="fa-IR"/>
        </w:rPr>
        <w:t>.</w:t>
      </w:r>
    </w:p>
    <w:p>
      <w:pPr>
        <w:pStyle w:val="Heading6"/>
        <w:numPr>
          <w:ilvl w:val="5"/>
          <w:numId w:val="1"/>
        </w:numPr>
        <w:rPr/>
      </w:pPr>
      <w:bookmarkStart w:id="210" w:name="__RefHeading___Toc6452014_3224264995"/>
      <w:bookmarkStart w:id="211" w:name="_Toc78"/>
      <w:bookmarkEnd w:id="210"/>
      <w:r>
        <w:rPr>
          <w:rtl w:val="true"/>
        </w:rPr>
        <w:t>[</w:t>
      </w:r>
      <w:r>
        <w:rPr>
          <w:rtl w:val="true"/>
        </w:rPr>
        <w:t>کراهة الخضاب و حمل المصحف و قراءة غیر العزائم لها</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المعروف بین الأصحاب، بل عن المعتبر </w:t>
      </w:r>
      <w:r>
        <w:rPr>
          <w:rStyle w:val="FootnoteAnchor"/>
          <w:rtl w:val="true"/>
        </w:rPr>
        <w:footnoteReference w:id="2249"/>
      </w:r>
      <w:r>
        <w:rPr>
          <w:rFonts w:ascii="IRNazanin" w:hAnsi="IRNazanin" w:eastAsia="IRNazanin"/>
          <w:color w:val="111111"/>
          <w:sz w:val="28"/>
          <w:sz w:val="28"/>
          <w:szCs w:val="28"/>
          <w:rtl w:val="true"/>
          <w:lang w:bidi="fa-IR"/>
        </w:rPr>
        <w:t xml:space="preserve">و المنتهی </w:t>
      </w:r>
      <w:r>
        <w:rPr>
          <w:rStyle w:val="FootnoteAnchor"/>
          <w:rtl w:val="true"/>
        </w:rPr>
        <w:footnoteReference w:id="2250"/>
      </w:r>
      <w:r>
        <w:rPr>
          <w:rFonts w:ascii="IRNazanin" w:hAnsi="IRNazanin" w:eastAsia="IRNazanin"/>
          <w:color w:val="111111"/>
          <w:sz w:val="28"/>
          <w:sz w:val="28"/>
          <w:szCs w:val="28"/>
          <w:rtl w:val="true"/>
          <w:lang w:bidi="fa-IR"/>
        </w:rPr>
        <w:t xml:space="preserve">و التذکرة </w:t>
      </w:r>
      <w:r>
        <w:rPr>
          <w:rStyle w:val="FootnoteAnchor"/>
          <w:rtl w:val="true"/>
        </w:rPr>
        <w:footnoteReference w:id="2251"/>
      </w:r>
      <w:r>
        <w:rPr>
          <w:rFonts w:ascii="IRNazanin" w:hAnsi="IRNazanin" w:eastAsia="IRNazanin"/>
          <w:color w:val="111111"/>
          <w:sz w:val="28"/>
          <w:sz w:val="28"/>
          <w:szCs w:val="28"/>
          <w:rtl w:val="true"/>
          <w:lang w:bidi="fa-IR"/>
        </w:rPr>
        <w:t>نسبته إلی علمائنا؛ لروایة الحضرمی المحکیّة عن علل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الحائض هل تختضب؟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یخاف علیها من الشیطان</w:t>
      </w:r>
      <w:r>
        <w:rPr>
          <w:rFonts w:eastAsia="IRNazanin" w:cs="IRNazanin"/>
          <w:color w:val="111111"/>
          <w:sz w:val="28"/>
          <w:szCs w:val="28"/>
          <w:rtl w:val="true"/>
          <w:lang w:bidi="fa-IR"/>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منها روایة الشیخ عن أبی بصیر </w:t>
      </w:r>
      <w:r>
        <w:rPr>
          <w:rStyle w:val="FootnoteAnchor"/>
          <w:rtl w:val="true"/>
        </w:rPr>
        <w:footnoteReference w:id="2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Style w:val="FootnoteAnchor"/>
          <w:rtl w:val="true"/>
        </w:rPr>
        <w:footnoteReference w:id="2254"/>
      </w:r>
      <w:r>
        <w:rPr>
          <w:rFonts w:ascii="IRNazanin" w:hAnsi="IRNazanin" w:eastAsia="IRNazanin"/>
          <w:color w:val="111111"/>
          <w:sz w:val="28"/>
          <w:sz w:val="28"/>
          <w:szCs w:val="28"/>
          <w:rtl w:val="true"/>
          <w:lang w:bidi="fa-IR"/>
        </w:rPr>
        <w:t>روایة أبی جمیلة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تختضب الحائض</w:t>
      </w:r>
      <w:r>
        <w:rPr>
          <w:rFonts w:eastAsia="IRNazanin" w:cs="IRNazanin"/>
          <w:color w:val="111111"/>
          <w:sz w:val="28"/>
          <w:szCs w:val="28"/>
          <w:rtl w:val="true"/>
          <w:lang w:bidi="fa-IR"/>
        </w:rPr>
        <w:t xml:space="preserve">» </w:t>
      </w: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روایة عامر بن جداعة بزیادة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الجنب</w:t>
      </w:r>
      <w:r>
        <w:rPr>
          <w:rFonts w:eastAsia="IRNazanin" w:cs="IRNazanin"/>
          <w:color w:val="111111"/>
          <w:sz w:val="28"/>
          <w:szCs w:val="28"/>
          <w:rtl w:val="true"/>
          <w:lang w:bidi="fa-IR"/>
        </w:rPr>
        <w:t xml:space="preserve">» </w:t>
      </w:r>
      <w:r>
        <w:rPr>
          <w:rStyle w:val="FootnoteAnchor"/>
          <w:rtl w:val="true"/>
        </w:rPr>
        <w:footnoteReference w:id="2256"/>
      </w:r>
      <w:r>
        <w:rPr>
          <w:rFonts w:ascii="IRNazanin" w:hAnsi="IRNazanin" w:eastAsia="IRNazanin"/>
          <w:color w:val="111111"/>
          <w:sz w:val="28"/>
          <w:sz w:val="28"/>
          <w:szCs w:val="28"/>
          <w:rtl w:val="true"/>
          <w:lang w:bidi="fa-IR"/>
        </w:rPr>
        <w:t xml:space="preserve">، و عن الصدوق العمل علی ظاهرها من أنّه لا یجوز </w:t>
      </w:r>
      <w:r>
        <w:rPr>
          <w:rStyle w:val="FootnoteAnchor"/>
          <w:rtl w:val="true"/>
        </w:rPr>
        <w:footnoteReference w:id="2257"/>
      </w:r>
      <w:r>
        <w:rPr>
          <w:rFonts w:ascii="IRNazanin" w:hAnsi="IRNazanin" w:eastAsia="IRNazanin"/>
          <w:color w:val="111111"/>
          <w:sz w:val="28"/>
          <w:sz w:val="28"/>
          <w:szCs w:val="28"/>
          <w:rtl w:val="true"/>
          <w:lang w:bidi="fa-IR"/>
        </w:rPr>
        <w:t xml:space="preserve">و لعلّه محمول علی الکراهة کالأخبار، بقرینة التصریح بعدم البأس به فی روایة أبی المغراء </w:t>
      </w:r>
      <w:r>
        <w:rPr>
          <w:rStyle w:val="FootnoteAnchor"/>
          <w:rtl w:val="true"/>
        </w:rPr>
        <w:footnoteReference w:id="2258"/>
      </w:r>
      <w:r>
        <w:rPr>
          <w:rFonts w:ascii="IRNazanin" w:hAnsi="IRNazanin" w:eastAsia="IRNazanin"/>
          <w:color w:val="111111"/>
          <w:sz w:val="28"/>
          <w:sz w:val="28"/>
          <w:szCs w:val="28"/>
          <w:rtl w:val="true"/>
          <w:lang w:bidi="fa-IR"/>
        </w:rPr>
        <w:t xml:space="preserve">و سهل بن الیسع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ظاهر روایات المنع کمعاقد الإجماع عدم اختصاص الخضاب بالحنّاء، و خصّه به فی محکیّ المراسم </w:t>
      </w:r>
      <w:r>
        <w:rPr>
          <w:rStyle w:val="FootnoteAnchor"/>
          <w:rtl w:val="true"/>
        </w:rPr>
        <w:footnoteReference w:id="2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کلامه بیان الفرد الغالب، کما أنّ الإطلاق فی النصّ و الفتوی لا یبعد انصرافه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تخصیص المفید الخضاب بالأیدی و الأرجل،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للحائض و النفساء أن یخضبن أیدیهنّ و أرجلهنّ بالحنّاء و شبهه ممّا لا یزیله الماء؛ لأنّ ذلک یمنع من وصول الماء إلی ظاهر جوارحهنّ التی علیها الخضاب </w:t>
      </w:r>
      <w:r>
        <w:rPr>
          <w:rStyle w:val="FootnoteAnchor"/>
          <w:rtl w:val="true"/>
        </w:rPr>
        <w:footnoteReference w:id="22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التعلیل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مانعیّة اللون أوّلًا، و بأنّه یقضی التحریم ثانیاً، و بأنّ المنع عنه لأجل صحّة الغسل أو کماله لا یقضی إدخاله فی مکروهات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علی هذا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إزالة لون الخضاب عند إرادة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بعد حکایة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باقتضائه التحریم، 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المحرّم المنع التامّ، و الأجزاء الحائلة خفیفة لا تمنع منعاً تامّاً، و فیه اعتراف بالمنع فی الجملة و هو غیر جائز،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یعفی عنه لخفّته </w:t>
      </w:r>
      <w:r>
        <w:rPr>
          <w:rStyle w:val="FootnoteAnchor"/>
          <w:rtl w:val="true"/>
        </w:rPr>
        <w:footnoteReference w:id="22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بعلاقة إجماعاً کما عن المعتبر </w:t>
      </w:r>
      <w:r>
        <w:rPr>
          <w:rStyle w:val="FootnoteAnchor"/>
          <w:rtl w:val="true"/>
        </w:rPr>
        <w:footnoteReference w:id="2263"/>
      </w:r>
      <w:r>
        <w:rPr>
          <w:rFonts w:ascii="Amiri" w:hAnsi="Amiri" w:eastAsia="Amiri" w:cs="Amiri"/>
          <w:color w:val="111111"/>
          <w:sz w:val="28"/>
          <w:sz w:val="28"/>
          <w:szCs w:val="28"/>
          <w:rtl w:val="true"/>
          <w:lang w:bidi="ar-SA"/>
        </w:rPr>
        <w:t>لخبر عبد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تمسّه علی غیر طهر و لا جنباً و لا تمسّ خیطه و لا تعلّقه؛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التعلیل بالآیة، الظاهرة فی الحرمة لا ینافی حمل التعلیق علی الکراهة؛ لاحتمال أن یراد الاستدلال علی کراهة التعلیق بحرمة المسّ؛ بناءً علی ما هو الظاهر من أنّ الحکمة فی ذلک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کراهة حمل الجنب له مع الغلاف </w:t>
      </w:r>
      <w:r>
        <w:rPr>
          <w:rStyle w:val="FootnoteAnchor"/>
          <w:rtl w:val="true"/>
        </w:rPr>
        <w:footnoteReference w:id="2265"/>
      </w:r>
      <w:r>
        <w:rPr>
          <w:rFonts w:ascii="IRNazanin" w:hAnsi="IRNazanin" w:eastAsia="IRNazanin"/>
          <w:color w:val="111111"/>
          <w:sz w:val="28"/>
          <w:sz w:val="28"/>
          <w:szCs w:val="28"/>
          <w:rtl w:val="true"/>
          <w:lang w:bidi="fa-IR"/>
        </w:rPr>
        <w:t>، و الظاهر عدم الفرق بینه و بین الحائض</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 هامشه </w:t>
      </w:r>
      <w:r>
        <w:rPr>
          <w:rStyle w:val="FootnoteAnchor"/>
          <w:rtl w:val="true"/>
        </w:rPr>
        <w:footnoteReference w:id="2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الجنب مستوفی،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العزائم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منها بما بین السرّة و الرکبة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حریم الفرج، و من رتع حول الحمی یوشک أن یقع فیه، کما فی النبوی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لزوجها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تتّزر بإزار إلی الرکبتین و تخرج ساقها، و له ما فوق الإزار</w:t>
      </w:r>
      <w:r>
        <w:rPr>
          <w:rFonts w:eastAsia="IRNazanin" w:cs="IRNazanin"/>
          <w:color w:val="111111"/>
          <w:sz w:val="28"/>
          <w:szCs w:val="28"/>
          <w:rtl w:val="true"/>
          <w:lang w:bidi="fa-IR"/>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تتّزر بإزار إلی الرکبتین و تخرج ساقها </w:t>
      </w:r>
      <w:r>
        <w:rPr>
          <w:rStyle w:val="FootnoteAnchor"/>
          <w:rtl w:val="true"/>
        </w:rPr>
        <w:footnoteReference w:id="2269"/>
      </w:r>
      <w:r>
        <w:rPr>
          <w:rFonts w:ascii="IRNazanin" w:hAnsi="IRNazanin" w:eastAsia="IRNazanin"/>
          <w:color w:val="111111"/>
          <w:sz w:val="28"/>
          <w:sz w:val="28"/>
          <w:szCs w:val="28"/>
          <w:rtl w:val="true"/>
          <w:lang w:bidi="fa-IR"/>
        </w:rPr>
        <w:t>، و له ما فوق الإزار</w:t>
      </w:r>
      <w:r>
        <w:rPr>
          <w:rFonts w:eastAsia="IRNazanin" w:cs="IRNazanin"/>
          <w:color w:val="111111"/>
          <w:sz w:val="28"/>
          <w:szCs w:val="28"/>
          <w:rtl w:val="true"/>
          <w:lang w:bidi="fa-IR"/>
        </w:rPr>
        <w:t xml:space="preserve">»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حجّاج 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الحائض و النفساء ما یحلّ لزوجها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درعاً و تضطجع معه</w:t>
      </w:r>
      <w:r>
        <w:rPr>
          <w:rFonts w:eastAsia="IRNazanin" w:cs="IRNazanin"/>
          <w:color w:val="111111"/>
          <w:sz w:val="28"/>
          <w:szCs w:val="28"/>
          <w:rtl w:val="true"/>
          <w:lang w:bidi="fa-IR"/>
        </w:rPr>
        <w:t xml:space="preserve">» </w:t>
      </w:r>
      <w:r>
        <w:rPr>
          <w:rStyle w:val="FootnoteAnchor"/>
          <w:rtl w:val="true"/>
        </w:rPr>
        <w:footnoteReference w:id="2271"/>
      </w:r>
      <w:r>
        <w:rPr>
          <w:rFonts w:ascii="IRNazanin" w:hAnsi="IRNazanin" w:eastAsia="IRNazanin"/>
          <w:color w:val="111111"/>
          <w:sz w:val="28"/>
          <w:sz w:val="28"/>
          <w:szCs w:val="28"/>
          <w:rtl w:val="true"/>
          <w:lang w:bidi="fa-IR"/>
        </w:rPr>
        <w:t xml:space="preserve">، و بظاهر هذه الروایات أخذ السیّد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النساء فی المحیض، و لا تقربوهنّ، خرج ما فوق السرّة و دون الرکبة بإجماع المسلمین، کما عن الخلاف </w:t>
      </w:r>
      <w:r>
        <w:rPr>
          <w:rStyle w:val="FootnoteAnchor"/>
          <w:rtl w:val="true"/>
        </w:rPr>
        <w:footnoteReference w:id="2273"/>
      </w:r>
      <w:r>
        <w:rPr>
          <w:rFonts w:ascii="IRNazanin" w:hAnsi="IRNazanin" w:eastAsia="IRNazanin"/>
          <w:color w:val="111111"/>
          <w:sz w:val="28"/>
          <w:sz w:val="28"/>
          <w:szCs w:val="28"/>
          <w:rtl w:val="true"/>
          <w:lang w:bidi="fa-IR"/>
        </w:rPr>
        <w:t xml:space="preserve">و المعتبر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الآیة الاحتراز عن الجماع، کما یدلّ علیه الروایة الآتیة عن 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فهی محمولة علی الکراهة، بقرینة الأخبار المستفیضة المجوّزة لما عدا الوطء فی القبل، کروایة عبد الملک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لصاحب المرأة الحائض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ما عدا القبل بعینه</w:t>
      </w:r>
      <w:r>
        <w:rPr>
          <w:rFonts w:eastAsia="IRNazanin" w:cs="IRNazanin"/>
          <w:color w:val="111111"/>
          <w:sz w:val="28"/>
          <w:szCs w:val="28"/>
          <w:rtl w:val="true"/>
          <w:lang w:bidi="fa-IR"/>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روایتی معاویة </w:t>
      </w:r>
      <w:r>
        <w:rPr>
          <w:rStyle w:val="FootnoteAnchor"/>
          <w:rtl w:val="true"/>
        </w:rPr>
        <w:footnoteReference w:id="2276"/>
      </w:r>
      <w:r>
        <w:rPr>
          <w:rFonts w:ascii="IRNazanin" w:hAnsi="IRNazanin" w:eastAsia="IRNazanin"/>
          <w:color w:val="111111"/>
          <w:sz w:val="28"/>
          <w:sz w:val="28"/>
          <w:szCs w:val="28"/>
          <w:rtl w:val="true"/>
          <w:lang w:bidi="fa-IR"/>
        </w:rPr>
        <w:t>و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دون الفرج،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الرجل</w:t>
      </w:r>
      <w:r>
        <w:rPr>
          <w:rFonts w:eastAsia="IRNazanin" w:cs="IRNazanin"/>
          <w:color w:val="111111"/>
          <w:sz w:val="28"/>
          <w:szCs w:val="28"/>
          <w:rtl w:val="true"/>
          <w:lang w:bidi="fa-IR"/>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فلیأتها زوجها حیث شاء ما اتّقی موضع الدم</w:t>
      </w:r>
      <w:r>
        <w:rPr>
          <w:rFonts w:eastAsia="IRNazanin" w:cs="IRNazanin"/>
          <w:color w:val="111111"/>
          <w:sz w:val="28"/>
          <w:szCs w:val="28"/>
          <w:rtl w:val="true"/>
          <w:lang w:bidi="fa-IR"/>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یأتی المرأة فیما دون الفرج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اجتنب ذلک الموضع</w:t>
      </w:r>
      <w:r>
        <w:rPr>
          <w:rFonts w:eastAsia="IRNazanin" w:cs="IRNazanin"/>
          <w:color w:val="111111"/>
          <w:sz w:val="28"/>
          <w:szCs w:val="28"/>
          <w:rtl w:val="true"/>
          <w:lang w:bidi="fa-IR"/>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مصحّحة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للرجل من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إلیتیها و لا یوقب</w:t>
      </w:r>
      <w:r>
        <w:rPr>
          <w:rFonts w:eastAsia="IRNazanin" w:cs="IRNazanin"/>
          <w:color w:val="111111"/>
          <w:sz w:val="28"/>
          <w:szCs w:val="28"/>
          <w:rtl w:val="true"/>
          <w:lang w:bidi="fa-IR"/>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للرجل من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الفخذین</w:t>
      </w:r>
      <w:r>
        <w:rPr>
          <w:rFonts w:eastAsia="IRNazanin" w:cs="IRNazanin"/>
          <w:color w:val="111111"/>
          <w:sz w:val="28"/>
          <w:szCs w:val="28"/>
          <w:rtl w:val="true"/>
          <w:lang w:bidi="fa-IR"/>
        </w:rPr>
        <w:t xml:space="preserve">»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العیاشی عن عیسی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تحیض یحرم علی زوجها أن یأتیها؛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تَقْرَبُوهُنَّ حَتّٰی یَطْهُرْنَ فیستقیم للرجل أن یأتی امرأته و هی حائض فیما دون الفرج</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مع أنّ الأخبار المزبورة للسیّد موافقة لکثیر من العامّة </w:t>
      </w:r>
      <w:r>
        <w:rPr>
          <w:rStyle w:val="FootnoteAnchor"/>
          <w:rtl w:val="true"/>
        </w:rPr>
        <w:footnoteReference w:id="2284"/>
      </w:r>
      <w:r>
        <w:rPr>
          <w:rFonts w:ascii="IRNazanin" w:hAnsi="IRNazanin" w:eastAsia="IRNazanin"/>
          <w:color w:val="111111"/>
          <w:sz w:val="28"/>
          <w:sz w:val="28"/>
          <w:szCs w:val="28"/>
          <w:rtl w:val="true"/>
          <w:lang w:bidi="fa-IR"/>
        </w:rPr>
        <w:t xml:space="preserve">کما عن الإستبصار </w:t>
      </w:r>
      <w:r>
        <w:rPr>
          <w:rStyle w:val="FootnoteAnchor"/>
          <w:rtl w:val="true"/>
        </w:rPr>
        <w:footnoteReference w:id="2285"/>
      </w:r>
      <w:r>
        <w:rPr>
          <w:rFonts w:ascii="Amiri" w:hAnsi="Amiri" w:eastAsia="Amiri" w:cs="Amiri"/>
          <w:color w:val="111111"/>
          <w:sz w:val="28"/>
          <w:sz w:val="28"/>
          <w:szCs w:val="28"/>
          <w:rtl w:val="true"/>
          <w:lang w:bidi="ar-SA"/>
        </w:rPr>
        <w:t>، و مخالفة لأصالة الحلّ و عموماته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یمنع دلالة تلک الأخبار من حیث إنّ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منها ما فوق الإزار، لا یدلّ علی أنّ غیره لیس له إلّا بمفهوم اللقب، و فیه نظر لا یخفی؛ فإنّ هذا الکلام فی جواب السؤال عمّا للرجل من الحائض یفید حصر ذلک فیه؛ لأنّ ما الاستفهامیّة یفید العموم کما اعترفوا به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للمیّت من ماله؟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Style w:val="FootnoteAnchor"/>
          <w:rtl w:val="true"/>
        </w:rPr>
        <w:footnoteReference w:id="2286"/>
      </w:r>
      <w:r>
        <w:rPr>
          <w:rFonts w:ascii="IRNazanin" w:hAnsi="IRNazanin" w:eastAsia="IRNazanin"/>
          <w:color w:val="111111"/>
          <w:sz w:val="28"/>
          <w:sz w:val="28"/>
          <w:szCs w:val="28"/>
          <w:rtl w:val="true"/>
          <w:lang w:bidi="fa-IR"/>
        </w:rPr>
        <w:t>، فالأجود فی الجواب ما ذکرنا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أنّ السرّة و الرکبة داخلان فی المکروه أو المباح؟ ظاهر الخلاف </w:t>
      </w:r>
      <w:r>
        <w:rPr>
          <w:rStyle w:val="FootnoteAnchor"/>
          <w:rtl w:val="true"/>
        </w:rPr>
        <w:footnoteReference w:id="2287"/>
      </w:r>
      <w:r>
        <w:rPr>
          <w:rFonts w:ascii="IRNazanin" w:hAnsi="IRNazanin" w:eastAsia="IRNazanin"/>
          <w:color w:val="111111"/>
          <w:sz w:val="28"/>
          <w:sz w:val="28"/>
          <w:szCs w:val="28"/>
          <w:rtl w:val="true"/>
          <w:lang w:bidi="fa-IR"/>
        </w:rPr>
        <w:t xml:space="preserve">و المعتبر </w:t>
      </w:r>
      <w:r>
        <w:rPr>
          <w:rStyle w:val="FootnoteAnchor"/>
          <w:rtl w:val="true"/>
        </w:rPr>
        <w:footnoteReference w:id="2288"/>
      </w:r>
      <w:r>
        <w:rPr>
          <w:rFonts w:ascii="IRNazanin" w:hAnsi="IRNazanin" w:eastAsia="IRNazanin"/>
          <w:color w:val="111111"/>
          <w:sz w:val="28"/>
          <w:sz w:val="28"/>
          <w:szCs w:val="28"/>
          <w:rtl w:val="true"/>
          <w:lang w:bidi="fa-IR"/>
        </w:rPr>
        <w:t>من عدم الخلاف فی أنّ له ما فوق السرّة دون الرکبة</w:t>
      </w:r>
      <w:r>
        <w:rPr>
          <w:rFonts w:eastAsia="IRNazanin" w:cs="IRNazanin"/>
          <w:color w:val="111111"/>
          <w:sz w:val="28"/>
          <w:szCs w:val="28"/>
          <w:rtl w:val="true"/>
          <w:lang w:bidi="fa-IR"/>
        </w:rPr>
        <w:t>-</w:t>
      </w:r>
      <w:bookmarkStart w:id="212" w:name="pg13039_115515"/>
    </w:p>
    <w:p>
      <w:pPr>
        <w:pStyle w:val="BookText"/>
        <w:rPr/>
      </w:pPr>
      <w:bookmarkEnd w:id="212"/>
      <w:r>
        <w:rPr>
          <w:rFonts w:ascii="IRNazanin" w:hAnsi="IRNazanin" w:eastAsia="IRNazanin"/>
          <w:color w:val="111111"/>
          <w:sz w:val="28"/>
          <w:sz w:val="28"/>
          <w:szCs w:val="28"/>
          <w:rtl w:val="true"/>
          <w:lang w:bidi="fa-IR"/>
        </w:rPr>
        <w:t>دخولها فی محلّ الخلاف، و ظاهر عنوان أکثرهم محلّ الخلاف بما بین السرّة و الرکبة خروجهما، و هو الأقوی؛ للإذن فی صحیحة الحلبی بإخراج سرّتها الدالّ بالفحوی علی الإذن فی إخراج الرکبة</w:t>
      </w:r>
      <w:r>
        <w:rPr>
          <w:rFonts w:eastAsia="IRNazanin" w:cs="IRNazanin"/>
          <w:color w:val="111111"/>
          <w:sz w:val="28"/>
          <w:szCs w:val="28"/>
          <w:rtl w:val="true"/>
          <w:lang w:bidi="fa-IR"/>
        </w:rPr>
        <w:t>.</w:t>
      </w:r>
    </w:p>
    <w:p>
      <w:pPr>
        <w:pStyle w:val="Heading6"/>
        <w:numPr>
          <w:ilvl w:val="5"/>
          <w:numId w:val="1"/>
        </w:numPr>
        <w:rPr/>
      </w:pPr>
      <w:bookmarkStart w:id="213" w:name="__RefHeading___Toc6452016_3224264995"/>
      <w:bookmarkStart w:id="214" w:name="_Toc79"/>
      <w:bookmarkEnd w:id="213"/>
      <w:r>
        <w:rPr>
          <w:rtl w:val="true"/>
        </w:rPr>
        <w:t>[</w:t>
      </w:r>
      <w:r>
        <w:rPr>
          <w:rtl w:val="true"/>
        </w:rPr>
        <w:t>استحباب الوضوء لها عند کلّ صلاة</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تتوضّأ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صلاة </w:t>
      </w:r>
      <w:r>
        <w:rPr>
          <w:rStyle w:val="FootnoteAnchor"/>
          <w:rtl w:val="true"/>
        </w:rPr>
        <w:footnoteReference w:id="2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علیه </w:t>
      </w:r>
      <w:r>
        <w:rPr>
          <w:rStyle w:val="FootnoteAnchor"/>
          <w:rtl w:val="true"/>
        </w:rPr>
        <w:footnoteReference w:id="2290"/>
      </w:r>
      <w:r>
        <w:rPr>
          <w:rFonts w:ascii="IRNazanin" w:hAnsi="IRNazanin" w:eastAsia="IRNazanin"/>
          <w:color w:val="111111"/>
          <w:sz w:val="28"/>
          <w:sz w:val="28"/>
          <w:szCs w:val="28"/>
          <w:rtl w:val="true"/>
          <w:lang w:bidi="fa-IR"/>
        </w:rPr>
        <w:t xml:space="preserve">، و إجماع غیرهم علی خلافه </w:t>
      </w:r>
      <w:r>
        <w:rPr>
          <w:rStyle w:val="FootnoteAnchor"/>
          <w:rtl w:val="true"/>
        </w:rPr>
        <w:footnoteReference w:id="2291"/>
      </w:r>
      <w:r>
        <w:rPr>
          <w:rFonts w:ascii="IRNazanin" w:hAnsi="IRNazanin" w:eastAsia="IRNazanin"/>
          <w:color w:val="111111"/>
          <w:sz w:val="28"/>
          <w:sz w:val="28"/>
          <w:szCs w:val="28"/>
          <w:rtl w:val="true"/>
          <w:lang w:bidi="fa-IR"/>
        </w:rPr>
        <w:t>، و هما کافیان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روایة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طامثاً فلا تحلّ لها الصلاة، و علیها أن تتوضّأ وضوء الصلاة عند وقت کلّ صلاة ثمّ تقعد فی موضع طاهر فتذکر اللّٰه عزّ و جلّ و تسبّحه و تهلّله و تحمده کمقدار صلاتها</w:t>
      </w:r>
      <w:r>
        <w:rPr>
          <w:rFonts w:eastAsia="IRNazanin" w:cs="IRNazanin"/>
          <w:color w:val="111111"/>
          <w:sz w:val="28"/>
          <w:szCs w:val="28"/>
          <w:rtl w:val="true"/>
          <w:lang w:bidi="fa-IR"/>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الحلبی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نساء النبیّ صلّی اللّٰه علیه و آله لا یقضین الصلاة إذا حضن، و لکن یتحشّین حین یدخل وقت الصلاة و یتوضّین ثمّ یجلسن قریباً من المسجد، فیذکرن اللّٰه عزّ و جلّ</w:t>
      </w:r>
      <w:r>
        <w:rPr>
          <w:rFonts w:eastAsia="IRNazanin" w:cs="IRNazanin"/>
          <w:color w:val="111111"/>
          <w:sz w:val="28"/>
          <w:szCs w:val="28"/>
          <w:rtl w:val="true"/>
          <w:lang w:bidi="fa-IR"/>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زید الشحّام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للحائض أن تتوضّأ عند وقت کلّ صلاة ثمّ تستقبل القبلة و تذکر اللّٰه مقدار ما کانت تصلی</w:t>
      </w:r>
      <w:r>
        <w:rPr>
          <w:rFonts w:eastAsia="IRNazanin" w:cs="IRNazanin"/>
          <w:color w:val="111111"/>
          <w:sz w:val="28"/>
          <w:szCs w:val="28"/>
          <w:rtl w:val="true"/>
          <w:lang w:bidi="fa-IR"/>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تطهر یوم الجمعة و تذکر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الطهر فلا، و لکنّها تتوضّأ فی وقت الصلاة ثمّ تستقبل القبلة و تذکر اللّٰه</w:t>
      </w:r>
      <w:r>
        <w:rPr>
          <w:rFonts w:eastAsia="IRNazanin" w:cs="IRNazanin"/>
          <w:color w:val="111111"/>
          <w:sz w:val="28"/>
          <w:szCs w:val="28"/>
          <w:rtl w:val="true"/>
          <w:lang w:bidi="fa-IR"/>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معاویة بن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تتوضّأ المرأة الحائض إذا أرادت أن تأکل، و إذا کان وقت الصلاة توضّأت و استقبلت القبلة و هلّلت و کبّرت و تلت القرآن و ذکرت اللّٰه عزّ و جلّ</w:t>
      </w:r>
      <w:r>
        <w:rPr>
          <w:rFonts w:eastAsia="IRNazanin" w:cs="IRNazanin"/>
          <w:color w:val="111111"/>
          <w:sz w:val="28"/>
          <w:szCs w:val="28"/>
          <w:rtl w:val="true"/>
          <w:lang w:bidi="fa-IR"/>
        </w:rPr>
        <w:t xml:space="preserve">»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الروایة و إن کان هو الوجوب و لذا عبّر والد الصدوق قدّس سرّه فی رسالته إلیه </w:t>
      </w:r>
      <w:r>
        <w:rPr>
          <w:rStyle w:val="FootnoteAnchor"/>
          <w:rtl w:val="true"/>
        </w:rPr>
        <w:footnoteReference w:id="2297"/>
      </w:r>
      <w:r>
        <w:rPr>
          <w:rFonts w:ascii="IRNazanin" w:hAnsi="IRNazanin" w:eastAsia="IRNazanin"/>
          <w:color w:val="111111"/>
          <w:sz w:val="28"/>
          <w:sz w:val="28"/>
          <w:szCs w:val="28"/>
          <w:rtl w:val="true"/>
          <w:lang w:bidi="fa-IR"/>
        </w:rPr>
        <w:t>بعین عبارة الفقه الرضوی، و هو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علیها عند حضور کلّ صلاة أن تتوضّأ وضوء الصلاة و تجلس مستقبلة القبلة و تذکر اللّٰه بمقدار صلاتها کلّ یوم</w:t>
      </w:r>
      <w:r>
        <w:rPr>
          <w:rFonts w:eastAsia="IRNazanin" w:cs="IRNazanin"/>
          <w:color w:val="111111"/>
          <w:sz w:val="28"/>
          <w:szCs w:val="28"/>
          <w:rtl w:val="true"/>
          <w:lang w:bidi="fa-IR"/>
        </w:rPr>
        <w:t xml:space="preserve">» </w:t>
      </w:r>
      <w:r>
        <w:rPr>
          <w:rStyle w:val="FootnoteAnchor"/>
          <w:rtl w:val="true"/>
        </w:rPr>
        <w:footnoteReference w:id="2298"/>
      </w:r>
      <w:r>
        <w:rPr>
          <w:rFonts w:ascii="IRNazanin" w:hAnsi="IRNazanin" w:eastAsia="IRNazanin"/>
          <w:color w:val="111111"/>
          <w:sz w:val="28"/>
          <w:sz w:val="28"/>
          <w:szCs w:val="28"/>
          <w:rtl w:val="true"/>
          <w:lang w:bidi="fa-IR"/>
        </w:rPr>
        <w:t>، إلّا أنّه لا إشکال فی حمل الخبر علی الاستحباب، بقرینة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ذلک أیضاً فی عبارة الرسالة، فلا أری وجهاً لترجیح صاحب الحدائق </w:t>
      </w:r>
      <w:r>
        <w:rPr>
          <w:rStyle w:val="FootnoteAnchor"/>
          <w:rtl w:val="true"/>
        </w:rPr>
        <w:footnoteReference w:id="2299"/>
      </w:r>
      <w:r>
        <w:rPr>
          <w:rFonts w:ascii="IRNazanin" w:hAnsi="IRNazanin" w:eastAsia="IRNazanin"/>
          <w:color w:val="111111"/>
          <w:sz w:val="28"/>
          <w:sz w:val="28"/>
          <w:szCs w:val="28"/>
          <w:rtl w:val="true"/>
          <w:lang w:bidi="fa-IR"/>
        </w:rPr>
        <w:t>هذا القول مع أنّه لو لم تکن إلّا سیرة المسلمین فی الأعصار و الأمصار علی عدم الإلزام و الالتزام بفعل ذلک کفی فی الاستحباب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أنّها لا تنوی بهذا الوضوء رفع الحدث؛ لعدم ارتفاع حدثها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توضّأت فی وقت تتوهّم أنّها حائض فبانت طاهراً، ففی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الدخول به فی الصلاة؛ لأنّها لم تنوِ طهارة، فلم تقع، و الفرق بینه و بین المجدّد حیث قلنا بأنّه یسوغ الدخول به فی الصلاة إن بان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نوی الفضیلة التی لا تحصل إلّا مع الطهارة، أمّا ها هنا فلمّا لم تتوقّف الفضیلة علی الطهارة، لم تکن الطهارة حاصلة </w:t>
      </w:r>
      <w:r>
        <w:rPr>
          <w:rStyle w:val="FootnoteAnchor"/>
          <w:rtl w:val="true"/>
        </w:rPr>
        <w:footnoteReference w:id="23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کلام لیس هنا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الروایات </w:t>
      </w:r>
      <w:r>
        <w:rPr>
          <w:rStyle w:val="FootnoteAnchor"/>
          <w:rtl w:val="true"/>
        </w:rPr>
        <w:footnoteReference w:id="2301"/>
      </w:r>
      <w:r>
        <w:rPr>
          <w:rFonts w:ascii="IRNazanin" w:hAnsi="IRNazanin" w:eastAsia="IRNazanin"/>
          <w:color w:val="111111"/>
          <w:sz w:val="28"/>
          <w:sz w:val="28"/>
          <w:szCs w:val="28"/>
          <w:rtl w:val="true"/>
          <w:lang w:bidi="fa-IR"/>
        </w:rPr>
        <w:t xml:space="preserve">و الفتاوی الاکتفاء بالصلاتین المتّصلتین کالظهر و العصر بوضوء واحد </w:t>
      </w:r>
      <w:r>
        <w:rPr>
          <w:rStyle w:val="FootnoteAnchor"/>
          <w:rtl w:val="true"/>
        </w:rPr>
        <w:footnoteReference w:id="2302"/>
      </w:r>
      <w:r>
        <w:rPr>
          <w:rFonts w:ascii="IRNazanin" w:hAnsi="IRNazanin" w:eastAsia="IRNazanin"/>
          <w:color w:val="111111"/>
          <w:sz w:val="28"/>
          <w:sz w:val="28"/>
          <w:szCs w:val="28"/>
          <w:rtl w:val="true"/>
          <w:lang w:bidi="fa-IR"/>
        </w:rPr>
        <w:t>لأنّ المتبادر من وقت کلّ صلاة الأوقات الثلاثة دون الخمسة، مع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یقدح الفصل الطویل بین الصلاتین؟ فیه وجهان، أقواهما الأوّل؛ لظاهر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ینقض بغیر دم الحیض من النواقض؟ استشکله فی محکیّ التذکرة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من عموم نقض النواقض للوضوء من غیر تقیید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الظاهر من أدلّة النقض فی الوضوء، المؤثّر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الوضوء مؤثّر فی الطهارة بحسب حاله مطلقاً أو بالنسبة إلی هذا الذکر المأمور به الذی أمرت به فهو رافع لنقص کان حاصلًا، 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التحریر </w:t>
      </w:r>
      <w:r>
        <w:rPr>
          <w:rStyle w:val="FootnoteAnchor"/>
          <w:rtl w:val="true"/>
        </w:rPr>
        <w:footnoteReference w:id="2305"/>
      </w:r>
      <w:r>
        <w:rPr>
          <w:rFonts w:ascii="IRNazanin" w:hAnsi="IRNazanin" w:eastAsia="IRNazanin"/>
          <w:color w:val="111111"/>
          <w:sz w:val="28"/>
          <w:sz w:val="28"/>
          <w:szCs w:val="28"/>
          <w:rtl w:val="true"/>
          <w:lang w:bidi="fa-IR"/>
        </w:rPr>
        <w:t xml:space="preserve">و المنتهی </w:t>
      </w:r>
      <w:r>
        <w:rPr>
          <w:rStyle w:val="FootnoteAnchor"/>
          <w:rtl w:val="true"/>
        </w:rPr>
        <w:footnoteReference w:id="2306"/>
      </w:r>
      <w:r>
        <w:rPr>
          <w:rFonts w:ascii="IRNazanin" w:hAnsi="IRNazanin" w:eastAsia="IRNazanin"/>
          <w:color w:val="111111"/>
          <w:sz w:val="28"/>
          <w:sz w:val="28"/>
          <w:szCs w:val="28"/>
          <w:rtl w:val="true"/>
          <w:lang w:bidi="fa-IR"/>
        </w:rPr>
        <w:t xml:space="preserve">و التذکرة </w:t>
      </w:r>
      <w:r>
        <w:rPr>
          <w:rStyle w:val="FootnoteAnchor"/>
          <w:rtl w:val="true"/>
        </w:rPr>
        <w:footnoteReference w:id="2307"/>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2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الوضوء لا یرفع حدثاً، و هو کذلک بالنسبة إلی غیر هذا الذکر، و بالنسبة إلیه وجهان، و إن لم یشترط فیه ارتفاع الحدث الأکبر، لکن یجوز اشتراط فضله، و لا ینافی دوام حدث ارتفاع حکمه أو حکم غیره </w:t>
      </w:r>
      <w:r>
        <w:rPr>
          <w:rStyle w:val="FootnoteAnchor"/>
          <w:rtl w:val="true"/>
        </w:rPr>
        <w:footnoteReference w:id="230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رفعه الحدث مطلقاً؛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 فلا</w:t>
      </w:r>
      <w:r>
        <w:rPr>
          <w:rFonts w:eastAsia="IRNazanin" w:cs="IRNazanin"/>
          <w:color w:val="111111"/>
          <w:sz w:val="28"/>
          <w:szCs w:val="28"/>
          <w:rtl w:val="true"/>
          <w:lang w:bidi="fa-IR"/>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أشرنا إلی إمکان کونه مؤثّراً فی تکمیل الذکر الذی أُمرت به و رفع النقص الحاصل قبله، فإن أُرید بالحدث ذلک فلا مشاحّة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یشرع التیمّم لو فقد الماء؟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عموم کونه بمنزلة الماء </w:t>
      </w:r>
      <w:r>
        <w:rPr>
          <w:rStyle w:val="FootnoteAnchor"/>
          <w:rtl w:val="true"/>
        </w:rPr>
        <w:footnoteReference w:id="2311"/>
      </w:r>
      <w:r>
        <w:rPr>
          <w:rFonts w:ascii="IRNazanin" w:hAnsi="IRNazanin" w:eastAsia="IRNazanin"/>
          <w:color w:val="111111"/>
          <w:sz w:val="28"/>
          <w:sz w:val="28"/>
          <w:szCs w:val="28"/>
          <w:rtl w:val="true"/>
          <w:lang w:bidi="fa-IR"/>
        </w:rPr>
        <w:t>، فیتبعه فی وجوب الاستعمال و استحبابه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الظاهر کونه بمنزلته فیما یفید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المنتهی من أنّها طهارة اضطراریّة و لا ضرورة مع عدم النصّ </w:t>
      </w:r>
      <w:r>
        <w:rPr>
          <w:rStyle w:val="FootnoteAnchor"/>
          <w:rtl w:val="true"/>
        </w:rPr>
        <w:footnoteReference w:id="2312"/>
      </w:r>
      <w:r>
        <w:rPr>
          <w:rFonts w:ascii="IRNazanin" w:hAnsi="IRNazanin" w:eastAsia="IRNazanin"/>
          <w:color w:val="111111"/>
          <w:sz w:val="28"/>
          <w:sz w:val="28"/>
          <w:szCs w:val="28"/>
          <w:rtl w:val="true"/>
          <w:lang w:bidi="fa-IR"/>
        </w:rPr>
        <w:t xml:space="preserve">و لذا اختاره المصنّف فی المنتهی </w:t>
      </w:r>
      <w:r>
        <w:rPr>
          <w:rStyle w:val="FootnoteAnchor"/>
          <w:rtl w:val="true"/>
        </w:rPr>
        <w:footnoteReference w:id="2313"/>
      </w:r>
      <w:r>
        <w:rPr>
          <w:rFonts w:ascii="IRNazanin" w:hAnsi="IRNazanin" w:eastAsia="IRNazanin"/>
          <w:color w:val="111111"/>
          <w:sz w:val="28"/>
          <w:sz w:val="28"/>
          <w:szCs w:val="28"/>
          <w:rtl w:val="true"/>
          <w:lang w:bidi="fa-IR"/>
        </w:rPr>
        <w:t xml:space="preserve">و التحریر </w:t>
      </w:r>
      <w:r>
        <w:rPr>
          <w:rStyle w:val="FootnoteAnchor"/>
          <w:rtl w:val="true"/>
        </w:rPr>
        <w:footnoteReference w:id="231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315"/>
      </w:r>
      <w:r>
        <w:rPr>
          <w:rFonts w:ascii="IRNazanin" w:hAnsi="IRNazanin" w:eastAsia="IRNazanin"/>
          <w:color w:val="111111"/>
          <w:sz w:val="28"/>
          <w:sz w:val="28"/>
          <w:szCs w:val="28"/>
          <w:rtl w:val="true"/>
          <w:lang w:bidi="fa-IR"/>
        </w:rPr>
        <w:t xml:space="preserve">و المدارک </w:t>
      </w:r>
      <w:r>
        <w:rPr>
          <w:rStyle w:val="FootnoteAnchor"/>
          <w:rtl w:val="true"/>
        </w:rPr>
        <w:footnoteReference w:id="2316"/>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2317"/>
      </w:r>
      <w:r>
        <w:rPr>
          <w:rFonts w:ascii="IRNazanin" w:hAnsi="IRNazanin" w:eastAsia="IRNazanin"/>
          <w:color w:val="111111"/>
          <w:sz w:val="28"/>
          <w:sz w:val="28"/>
          <w:szCs w:val="28"/>
          <w:rtl w:val="true"/>
          <w:lang w:bidi="fa-IR"/>
        </w:rPr>
        <w:t xml:space="preserve">و استشکل المصنّف فی النهایة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رجّح الأوّل بعض المعاصرین و حکاه عن ظاهر جامع المقاصد أو صریحه فی باب الغایات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من عبارة جامع المقاصد فی ذلک الباب القول به تسامحاً فی السنن؛ لفتوی بعض الأصحاب باستحبابه،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یستحبّ التیمّم فی کلّ موضع یستحبّ فیه الوضوء و الغسل؟ لا إشکال فی استحبابه إذا کان المبدل رافعاً أو مبیحاً، و إنّما الإشکال فیما سوی ذلک، و الحقّ أنّ ما ورد النصّ به أو ذکره من یوثق به من الأصحاب کالتیمّم بدلًا من وضوء الحائض للذکر یصار إلیه، و ما سواه علی المنع حتّی یثبت بدلیل </w:t>
      </w:r>
      <w:r>
        <w:rPr>
          <w:rStyle w:val="FootnoteAnchor"/>
          <w:rtl w:val="true"/>
        </w:rPr>
        <w:footnoteReference w:id="232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 أنّ القول به غیر بعید عن سیاق عمومات بدلیّة</w:t>
      </w:r>
    </w:p>
    <w:p>
      <w:pPr>
        <w:pStyle w:val="BookText"/>
        <w:rPr/>
      </w:pPr>
      <w:r>
        <w:rPr>
          <w:rFonts w:ascii="IRNazanin" w:hAnsi="IRNazanin" w:eastAsia="IRNazanin"/>
          <w:color w:val="111111"/>
          <w:sz w:val="28"/>
          <w:sz w:val="28"/>
          <w:szCs w:val="28"/>
          <w:rtl w:val="true"/>
          <w:lang w:bidi="fa-IR"/>
        </w:rPr>
        <w:t>التراب، و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 xml:space="preserve">» </w:t>
      </w:r>
      <w:r>
        <w:rPr>
          <w:rStyle w:val="FootnoteAnchor"/>
          <w:rtl w:val="true"/>
        </w:rPr>
        <w:footnoteReference w:id="2321"/>
      </w:r>
      <w:r>
        <w:rPr>
          <w:rFonts w:ascii="IRNazanin" w:hAnsi="IRNazanin" w:eastAsia="IRNazanin"/>
          <w:color w:val="111111"/>
          <w:sz w:val="28"/>
          <w:sz w:val="28"/>
          <w:szCs w:val="28"/>
          <w:rtl w:val="true"/>
          <w:lang w:bidi="fa-IR"/>
        </w:rPr>
        <w:t>، مع أنّ التسامح فیه لفتوی الفقیه المحکیّة فی جامع المقاصد أو لاحتمال دلالة أدلّة التیمّم غیر بعید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یشرع لها الأغسال المستحبّة؟ لا إشکال فیما ورد النصّ به کغسل الإحرام </w:t>
      </w:r>
      <w:r>
        <w:rPr>
          <w:rStyle w:val="FootnoteAnchor"/>
          <w:rtl w:val="true"/>
        </w:rPr>
        <w:footnoteReference w:id="2322"/>
      </w:r>
      <w:r>
        <w:rPr>
          <w:rFonts w:ascii="IRNazanin" w:hAnsi="IRNazanin" w:eastAsia="IRNazanin"/>
          <w:color w:val="111111"/>
          <w:sz w:val="28"/>
          <w:sz w:val="28"/>
          <w:szCs w:val="28"/>
          <w:rtl w:val="true"/>
          <w:lang w:bidi="fa-IR"/>
        </w:rPr>
        <w:t xml:space="preserve">، و أمّا غیره فالظاهر من السرائر و المعتبر و التذکرة </w:t>
      </w:r>
      <w:r>
        <w:rPr>
          <w:rStyle w:val="FootnoteAnchor"/>
          <w:rtl w:val="true"/>
        </w:rPr>
        <w:footnoteReference w:id="2323"/>
      </w:r>
      <w:r>
        <w:rPr>
          <w:rFonts w:ascii="IRNazanin" w:hAnsi="IRNazanin" w:eastAsia="IRNazanin"/>
          <w:color w:val="111111"/>
          <w:sz w:val="28"/>
          <w:sz w:val="28"/>
          <w:szCs w:val="28"/>
          <w:rtl w:val="true"/>
          <w:lang w:bidi="fa-IR"/>
        </w:rPr>
        <w:t xml:space="preserve">و الموجز </w:t>
      </w:r>
      <w:r>
        <w:rPr>
          <w:rStyle w:val="FootnoteAnchor"/>
          <w:rtl w:val="true"/>
        </w:rPr>
        <w:footnoteReference w:id="2324"/>
      </w:r>
      <w:r>
        <w:rPr>
          <w:rFonts w:ascii="IRNazanin" w:hAnsi="IRNazanin" w:eastAsia="IRNazanin"/>
          <w:color w:val="111111"/>
          <w:sz w:val="28"/>
          <w:sz w:val="28"/>
          <w:szCs w:val="28"/>
          <w:rtl w:val="true"/>
          <w:lang w:bidi="fa-IR"/>
        </w:rPr>
        <w:t xml:space="preserve">و شرحه </w:t>
      </w:r>
      <w:r>
        <w:rPr>
          <w:rStyle w:val="FootnoteAnchor"/>
          <w:rtl w:val="true"/>
        </w:rPr>
        <w:footnoteReference w:id="2325"/>
      </w:r>
      <w:r>
        <w:rPr>
          <w:rFonts w:ascii="IRNazanin" w:hAnsi="IRNazanin" w:eastAsia="IRNazanin"/>
          <w:color w:val="111111"/>
          <w:sz w:val="28"/>
          <w:sz w:val="28"/>
          <w:szCs w:val="28"/>
          <w:rtl w:val="true"/>
          <w:lang w:bidi="fa-IR"/>
        </w:rPr>
        <w:t xml:space="preserve">الجواز، و هو المحکیّ عن ابن سعید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محکیّ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منها الوضوء و الغسل علی وجه یرفعان الحدث، و یصحّ منها الغسل و الوضوء علی وجه لا یرفع بهما الحدث، مثل غسل الإحرام و الجمعة و العیدین، و وضوئها لجلوسها فی محرابها لتذکر اللّٰه بمقدار زمان صلاتها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یرتفع بها حدث، و علیه الإجماع، و لأنّ الطهارة ضدّ الحیض فلا یتحقّق مع وجوده، لکن یجوز لها أن تتوضّأ لذکر اللّٰه و أن تغتسل لا لرفع الحدث کغسل الإحرام </w:t>
      </w:r>
      <w:r>
        <w:rPr>
          <w:rStyle w:val="FootnoteAnchor"/>
          <w:rtl w:val="true"/>
        </w:rPr>
        <w:footnoteReference w:id="23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الإشکال فی صحّتها منها </w:t>
      </w:r>
      <w:r>
        <w:rPr>
          <w:rStyle w:val="FootnoteAnchor"/>
          <w:rtl w:val="true"/>
        </w:rPr>
        <w:footnoteReference w:id="2329"/>
      </w:r>
      <w:r>
        <w:rPr>
          <w:rFonts w:ascii="Amiri" w:hAnsi="Amiri" w:eastAsia="Amiri" w:cs="Amiri"/>
          <w:color w:val="111111"/>
          <w:sz w:val="28"/>
          <w:sz w:val="28"/>
          <w:szCs w:val="28"/>
          <w:rtl w:val="true"/>
          <w:lang w:bidi="ar-SA"/>
        </w:rPr>
        <w:t xml:space="preserve">، و هو حسن؛ لعموم الأدلّة </w:t>
      </w:r>
      <w:r>
        <w:rPr>
          <w:rStyle w:val="FootnoteAnchor"/>
          <w:rtl w:val="true"/>
        </w:rPr>
        <w:footnoteReference w:id="2330"/>
      </w:r>
      <w:r>
        <w:rPr>
          <w:rFonts w:ascii="IRNazanin" w:hAnsi="IRNazanin" w:eastAsia="IRNazanin"/>
          <w:color w:val="111111"/>
          <w:sz w:val="28"/>
          <w:sz w:val="28"/>
          <w:szCs w:val="28"/>
          <w:rtl w:val="true"/>
          <w:lang w:bidi="fa-IR"/>
        </w:rPr>
        <w:t xml:space="preserve">إلّا أنّ الظاهر من المبسوط </w:t>
      </w:r>
      <w:r>
        <w:rPr>
          <w:rStyle w:val="FootnoteAnchor"/>
          <w:rtl w:val="true"/>
        </w:rPr>
        <w:footnoteReference w:id="2331"/>
      </w:r>
      <w:r>
        <w:rPr>
          <w:rFonts w:ascii="IRNazanin" w:hAnsi="IRNazanin" w:eastAsia="IRNazanin"/>
          <w:color w:val="111111"/>
          <w:sz w:val="28"/>
          <w:sz w:val="28"/>
          <w:szCs w:val="28"/>
          <w:rtl w:val="true"/>
          <w:lang w:bidi="fa-IR"/>
        </w:rPr>
        <w:t xml:space="preserve">و الخلاف </w:t>
      </w:r>
      <w:r>
        <w:rPr>
          <w:rStyle w:val="FootnoteAnchor"/>
          <w:rtl w:val="true"/>
        </w:rPr>
        <w:footnoteReference w:id="2332"/>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لو اغتسلت مندوباً فهل یجزی ذلک عن وضوئها للذکر؟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333"/>
      </w:r>
      <w:r>
        <w:rPr>
          <w:rFonts w:ascii="Amiri" w:hAnsi="Amiri" w:eastAsia="Amiri" w:cs="Amiri"/>
          <w:color w:val="111111"/>
          <w:sz w:val="28"/>
          <w:sz w:val="28"/>
          <w:szCs w:val="28"/>
          <w:rtl w:val="true"/>
          <w:lang w:bidi="ar-SA"/>
        </w:rPr>
        <w:t>، و إن قلنا بإجزاء المندوب من الغسل عن الوضوء؛ لأنّ الظاهر من أدلّة الإجزاء عنه إجزاؤه عن الوضوء الرافع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بناءً علی هذا القول عدم مشروعیّة الغسل المندوب؛ لأنّه رافع، و لا یرتفع للحائض حدث کما سیجی‌ء،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کفایته عن الوضوء بناءً علی هذا القول؛ لعموم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 xml:space="preserve">» </w:t>
      </w:r>
      <w:r>
        <w:rPr>
          <w:rStyle w:val="FootnoteAnchor"/>
          <w:rtl w:val="true"/>
        </w:rPr>
        <w:footnoteReference w:id="2334"/>
      </w:r>
      <w:r>
        <w:rPr>
          <w:rFonts w:ascii="IRNazanin" w:hAnsi="IRNazanin" w:eastAsia="IRNazanin"/>
          <w:color w:val="111111"/>
          <w:sz w:val="28"/>
          <w:sz w:val="28"/>
          <w:szCs w:val="28"/>
          <w:rtl w:val="true"/>
          <w:lang w:bidi="fa-IR"/>
        </w:rPr>
        <w:t>، و لفحوی کفایته عن الوضوء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یشرع لها الأغسال الواجبة غیر غسل الحیض؟ ظاهر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الحائض لا یرتفع لها حدث، هو العدم، و قد عرفت من المعتبر </w:t>
      </w:r>
      <w:r>
        <w:rPr>
          <w:rStyle w:val="FootnoteAnchor"/>
          <w:rtl w:val="true"/>
        </w:rPr>
        <w:footnoteReference w:id="2335"/>
      </w:r>
      <w:r>
        <w:rPr>
          <w:rFonts w:ascii="IRNazanin" w:hAnsi="IRNazanin" w:eastAsia="IRNazanin"/>
          <w:color w:val="111111"/>
          <w:sz w:val="28"/>
          <w:sz w:val="28"/>
          <w:szCs w:val="28"/>
          <w:rtl w:val="true"/>
          <w:lang w:bidi="fa-IR"/>
        </w:rPr>
        <w:t>دعوی الإجماع علیه فی المسألة السابقة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المنتهی </w:t>
      </w:r>
      <w:r>
        <w:rPr>
          <w:rStyle w:val="FootnoteAnchor"/>
          <w:rtl w:val="true"/>
        </w:rPr>
        <w:footnoteReference w:id="2336"/>
      </w:r>
      <w:r>
        <w:rPr>
          <w:rFonts w:ascii="IRNazanin" w:hAnsi="IRNazanin" w:eastAsia="IRNazanin"/>
          <w:color w:val="111111"/>
          <w:sz w:val="28"/>
          <w:sz w:val="28"/>
          <w:szCs w:val="28"/>
          <w:rtl w:val="true"/>
          <w:lang w:bidi="fa-IR"/>
        </w:rPr>
        <w:t>بالنسبة إلی غسل الجنابة حیث لم ینسب الخلاف</w:t>
      </w:r>
    </w:p>
    <w:p>
      <w:pPr>
        <w:pStyle w:val="BookText"/>
        <w:rPr/>
      </w:pPr>
      <w:r>
        <w:rPr>
          <w:rFonts w:ascii="IRNazanin" w:hAnsi="IRNazanin" w:eastAsia="IRNazanin"/>
          <w:color w:val="111111"/>
          <w:sz w:val="28"/>
          <w:sz w:val="28"/>
          <w:szCs w:val="28"/>
          <w:rtl w:val="true"/>
          <w:lang w:bidi="fa-IR"/>
        </w:rPr>
        <w:t xml:space="preserve">إلّا إلی أکثر العامّة، إلّا أنّ ظاهر المحکی عن الاستبصار جواز غسل الجنابة فی الحیض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یستدلّ علی ذلک بمصحّحة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یجامعها زوجها فتحیض و هی فی المغتسل تغتسل أو لا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قد جاءها ما یفسد الصلاة</w:t>
      </w:r>
      <w:r>
        <w:rPr>
          <w:rFonts w:eastAsia="IRNazanin" w:cs="IRNazanin"/>
          <w:color w:val="111111"/>
          <w:sz w:val="28"/>
          <w:szCs w:val="28"/>
          <w:rtl w:val="true"/>
          <w:lang w:bidi="fa-IR"/>
        </w:rPr>
        <w:t xml:space="preserve">»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دلالته نظر لا یخفی، کما فیما تقدّم </w:t>
      </w:r>
      <w:r>
        <w:rPr>
          <w:rStyle w:val="FootnoteAnchor"/>
          <w:rtl w:val="true"/>
        </w:rPr>
        <w:footnoteReference w:id="2339"/>
      </w:r>
      <w:r>
        <w:rPr>
          <w:rFonts w:ascii="IRNazanin" w:hAnsi="IRNazanin" w:eastAsia="IRNazanin"/>
          <w:color w:val="111111"/>
          <w:sz w:val="28"/>
          <w:sz w:val="28"/>
          <w:szCs w:val="28"/>
          <w:rtl w:val="true"/>
          <w:lang w:bidi="fa-IR"/>
        </w:rPr>
        <w:t>من استدلال المعتبر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الطهارة ضدّ الحیض، و استدلال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الحدث ملازم </w:t>
      </w:r>
      <w:r>
        <w:rPr>
          <w:rStyle w:val="FootnoteAnchor"/>
          <w:rtl w:val="true"/>
        </w:rPr>
        <w:footnoteReference w:id="2340"/>
      </w:r>
      <w:r>
        <w:rPr>
          <w:rFonts w:ascii="IRNazanin" w:hAnsi="IRNazanin" w:eastAsia="IRNazanin"/>
          <w:color w:val="111111"/>
          <w:sz w:val="28"/>
          <w:sz w:val="28"/>
          <w:szCs w:val="28"/>
          <w:rtl w:val="true"/>
          <w:lang w:bidi="fa-IR"/>
        </w:rPr>
        <w:t>فإنّه إن أُرید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المانعة المشترکة بین الحالات الحاصلة من أسباب الغسل، فلا کلام فی عدم 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خصوص الحدث الحاصل من السبب الخاصّ، فنمنع الملازمة و التضادّ بین الحیض و بین الطهارة عن تلک الحالة الحاصلة من مسّ المیت مثلًا، نظیر ما إذا اغتسل بعد انقطاع الحیض غسلًا للحیض بالخصوص و غسلًا آخر للسبب الآخر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ضعف توجیه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حدث الحیض یتجدّد آناً فآناً حتّی فی زمان النقاء؛ لأنّ المفروض کونها فی حکم زمان الدم، فکأنّ الحیض حدث دائم، فهو مانع من الإتیان بالغسل الصحیح، فإنّه موقوف علی انتقاض الغسل بحدوث سبب غسل آخر فی أثنائه</w:t>
      </w:r>
      <w:r>
        <w:rPr>
          <w:rFonts w:eastAsia="IRNazanin" w:cs="IRNazanin"/>
          <w:color w:val="111111"/>
          <w:sz w:val="28"/>
          <w:szCs w:val="28"/>
          <w:rtl w:val="true"/>
          <w:lang w:bidi="fa-IR"/>
        </w:rPr>
        <w:t>.</w:t>
      </w:r>
      <w:bookmarkStart w:id="215" w:name="pg13039_115523"/>
    </w:p>
    <w:p>
      <w:pPr>
        <w:pStyle w:val="BookText"/>
        <w:rPr/>
      </w:pPr>
      <w:bookmarkEnd w:id="215"/>
      <w:r>
        <w:rPr>
          <w:rFonts w:ascii="IRNazanin" w:hAnsi="IRNazanin" w:eastAsia="IRNazanin"/>
          <w:color w:val="111111"/>
          <w:sz w:val="28"/>
          <w:sz w:val="28"/>
          <w:szCs w:val="28"/>
          <w:rtl w:val="true"/>
          <w:lang w:bidi="fa-IR"/>
        </w:rPr>
        <w:t>و منعه ظاهر ممّا تقدّم، و المسألة محلّ إشکال لولا الإجماع، ففی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یواقعها زوجها ثمّ تحیض قبل أن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أن تغتسل فعلت و إن لم تفعل فلیس علیها شی‌ء، فإذا طهرت اغتسلت غسلًا واحداً للحیض و الجنابة</w:t>
      </w:r>
      <w:r>
        <w:rPr>
          <w:rFonts w:eastAsia="IRNazanin" w:cs="IRNazanin"/>
          <w:color w:val="111111"/>
          <w:sz w:val="28"/>
          <w:szCs w:val="28"/>
          <w:rtl w:val="true"/>
          <w:lang w:bidi="fa-IR"/>
        </w:rPr>
        <w:t xml:space="preserve">» </w:t>
      </w:r>
      <w:r>
        <w:rPr>
          <w:rStyle w:val="FootnoteAnchor"/>
          <w:rtl w:val="true"/>
        </w:rPr>
        <w:footnoteReference w:id="2341"/>
      </w:r>
      <w:r>
        <w:rPr>
          <w:rFonts w:ascii="IRNazanin" w:hAnsi="IRNazanin" w:eastAsia="IRNazanin"/>
          <w:color w:val="111111"/>
          <w:sz w:val="28"/>
          <w:sz w:val="28"/>
          <w:szCs w:val="28"/>
          <w:rtl w:val="true"/>
          <w:lang w:bidi="fa-IR"/>
        </w:rPr>
        <w:t>و هی مع اعتبار سندها مؤیّدة بالإطلاقات، لکن المذهب ما هو المعروف بین الأصحاب، مع أنّه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غسل الجنابة ما یؤیّده، فراجع</w:t>
      </w:r>
      <w:r>
        <w:rPr>
          <w:rFonts w:eastAsia="IRNazanin" w:cs="IRNazanin"/>
          <w:color w:val="111111"/>
          <w:sz w:val="28"/>
          <w:szCs w:val="28"/>
          <w:rtl w:val="true"/>
          <w:lang w:bidi="fa-IR"/>
        </w:rPr>
        <w:t>.</w:t>
      </w:r>
    </w:p>
    <w:p>
      <w:pPr>
        <w:pStyle w:val="Heading6"/>
        <w:numPr>
          <w:ilvl w:val="5"/>
          <w:numId w:val="1"/>
        </w:numPr>
        <w:rPr/>
      </w:pPr>
      <w:bookmarkStart w:id="216" w:name="__RefHeading___Toc6452018_3224264995"/>
      <w:bookmarkStart w:id="217" w:name="_Toc80"/>
      <w:bookmarkEnd w:id="216"/>
      <w:r>
        <w:rPr>
          <w:rtl w:val="true"/>
        </w:rPr>
        <w:t>[</w:t>
      </w:r>
      <w:r>
        <w:rPr>
          <w:rtl w:val="true"/>
        </w:rPr>
        <w:t>وجوب قضاء الصوم علیها دون الصلاة</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قضاء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فاتها فی أیّام حیضها أو تحیّضها من شهر رمضان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وجوب قضاء المنذور و شبهه الذی وافق الحیض و عدمه قولان للشهید </w:t>
      </w:r>
      <w:r>
        <w:rPr>
          <w:rStyle w:val="FootnoteAnchor"/>
          <w:rtl w:val="true"/>
        </w:rPr>
        <w:footnoteReference w:id="2342"/>
      </w:r>
      <w:r>
        <w:rPr>
          <w:rFonts w:ascii="Amiri" w:hAnsi="Amiri" w:eastAsia="Amiri" w:cs="Amiri"/>
          <w:color w:val="111111"/>
          <w:sz w:val="28"/>
          <w:sz w:val="28"/>
          <w:szCs w:val="28"/>
          <w:rtl w:val="true"/>
          <w:lang w:bidi="ar-SA"/>
        </w:rPr>
        <w:t xml:space="preserve">و المصنّف </w:t>
      </w:r>
      <w:r>
        <w:rPr>
          <w:rStyle w:val="FootnoteAnchor"/>
          <w:rtl w:val="true"/>
        </w:rPr>
        <w:footnoteReference w:id="2343"/>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قضاء الصوم للحائض إنّما ینصرف إلی صوم شهر رمضان، کما یشعر به التعلیل فی الروایات الآتیة </w:t>
      </w:r>
      <w:r>
        <w:rPr>
          <w:rStyle w:val="FootnoteAnchor"/>
          <w:rtl w:val="true"/>
        </w:rPr>
        <w:footnoteReference w:id="2344"/>
      </w:r>
      <w:r>
        <w:rPr>
          <w:rFonts w:ascii="IRNazanin" w:hAnsi="IRNazanin" w:eastAsia="IRNazanin"/>
          <w:color w:val="111111"/>
          <w:sz w:val="28"/>
          <w:sz w:val="28"/>
          <w:szCs w:val="28"/>
          <w:rtl w:val="true"/>
          <w:lang w:bidi="fa-IR"/>
        </w:rPr>
        <w:t xml:space="preserve">، فإن ثبت القضاء فی ذلک الفائت بدلیل ثبت ذلک فی الحیض و غیره من موجبات الفوات له، و إلّا فلا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الیومیّة بإجماع علماء الإسلام، و الأخبار المستفیضة بل المتواترة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المروی بالسند الحسن کالصحیح عن الفضل بن شاذان،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صارت الحائض تقضی الصیام و لا تقضی الصلاة لعلل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الصیام لا یمنعها من خدمة نفسها و خدمة زوجها، و إصلاح بیتها و القیام بأُمورها و الاشتغال بعیشها، و الصلاة تمنعها من ذلک کلّه؛ لأنّ الصلاة تکون فی الیوم و اللیلة مراراً فلا تقوی علی ذلک، و الصوم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فیها عناء و تعب </w:t>
      </w:r>
      <w:r>
        <w:rPr>
          <w:rStyle w:val="FootnoteAnchor"/>
          <w:rtl w:val="true"/>
        </w:rPr>
        <w:footnoteReference w:id="2346"/>
      </w:r>
      <w:r>
        <w:rPr>
          <w:rFonts w:ascii="IRNazanin" w:hAnsi="IRNazanin" w:eastAsia="IRNazanin"/>
          <w:color w:val="111111"/>
          <w:sz w:val="28"/>
          <w:sz w:val="28"/>
          <w:szCs w:val="28"/>
          <w:rtl w:val="true"/>
          <w:lang w:bidi="fa-IR"/>
        </w:rPr>
        <w:t>و اشتغال الأرکان و لیس فی الصوم شی‌ء من ذلک و إنّما هو الإمساک عن الطعام و الشراب، فلیس فیه اشتغال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من وقت یجی‌ء إلّا تجب علیها فیه صلاة جدیدة فی یومها و لیلتها، و لیس الصوم کذلک؛ لأنّه لیس کلّما حدث یوم وجب علیها الصوم، و کلّما حدث وقت الصلاة وجب علیها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الحائض تقضی الصوم و لا تقضی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الصوم إنّما هو فی السنة شهر، و الصلاة فی کلّ یوم، فأوجب اللّٰه علیها قضاء الصوم و لم یوجب علیها قضاء الصلاة لذلک</w:t>
      </w:r>
      <w:r>
        <w:rPr>
          <w:rFonts w:eastAsia="IRNazanin" w:cs="IRNazanin"/>
          <w:color w:val="111111"/>
          <w:sz w:val="28"/>
          <w:szCs w:val="28"/>
          <w:rtl w:val="true"/>
          <w:lang w:bidi="fa-IR"/>
        </w:rPr>
        <w:t xml:space="preserve">» </w:t>
      </w:r>
      <w:r>
        <w:rPr>
          <w:rStyle w:val="FootnoteAnchor"/>
          <w:rtl w:val="true"/>
        </w:rPr>
        <w:footnoteReference w:id="2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هذا التعلیل یعطی اختصاص المقضی من الصیام بشهر رمضان و غیر المقضی من الصلاة بالصلاة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انصراف إطلاق الصوم و الصلاة فی الأخبار إلیهما؛ و لذا اخترنا فی صیام النذر المؤقّت عدم وجوب القضاء إلّا إذا قلنا بوجوبه لمطلق فوته بالحیض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 الیومیّة عند عروض أسبابها فی وقت الحیض کالکسوف، فاستقرب فی الروض عدم القضاء </w:t>
      </w:r>
      <w:r>
        <w:rPr>
          <w:rStyle w:val="FootnoteAnchor"/>
          <w:rtl w:val="true"/>
        </w:rPr>
        <w:footnoteReference w:id="2349"/>
      </w:r>
      <w:r>
        <w:rPr>
          <w:rFonts w:ascii="IRNazanin" w:hAnsi="IRNazanin" w:eastAsia="IRNazanin"/>
          <w:color w:val="111111"/>
          <w:sz w:val="28"/>
          <w:sz w:val="28"/>
          <w:szCs w:val="28"/>
          <w:rtl w:val="true"/>
          <w:lang w:bidi="fa-IR"/>
        </w:rPr>
        <w:t xml:space="preserve">، تبعاً للبیان </w:t>
      </w:r>
      <w:r>
        <w:rPr>
          <w:rStyle w:val="FootnoteAnchor"/>
          <w:rtl w:val="true"/>
        </w:rPr>
        <w:footnoteReference w:id="2350"/>
      </w:r>
      <w:r>
        <w:rPr>
          <w:rFonts w:ascii="IRNazanin" w:hAnsi="IRNazanin" w:eastAsia="IRNazanin"/>
          <w:color w:val="111111"/>
          <w:sz w:val="28"/>
          <w:sz w:val="28"/>
          <w:szCs w:val="28"/>
          <w:rtl w:val="true"/>
          <w:lang w:bidi="fa-IR"/>
        </w:rPr>
        <w:t>و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وجوب قضاء الصلاة الموقّتة موضع وفاق بین العلماء، و به تواترت الأخبار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عدوله عن الیومیّة إلی الموقّتة تصریح بدخول غیرها فی معقد الوفاق، و لعلّه لإطلاق عدم قضاء الصلاة علی الحائض فیعمّ کلّ صلاة من شأنها أن تقضی، لکونها موقّتة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لولا الاتّفاق؛ لما عرفت من انصراف إطلاق الصلاة إلی الیومیّة دون غیرها، فیرجع فیه إلی عموم قضاء الفوائت إلّا أن یکون إجماعاً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صدق الفوات، تارة لعدم قابلیّة المکلّف للتکلیف بالفعل فی الوقت، و أُخری بکونها مکلّفة بترکها فلا یصدق الفوات، یکذّبها </w:t>
      </w:r>
      <w:r>
        <w:rPr>
          <w:rStyle w:val="FootnoteAnchor"/>
          <w:rtl w:val="true"/>
        </w:rPr>
        <w:footnoteReference w:id="2352"/>
      </w:r>
      <w:r>
        <w:rPr>
          <w:rFonts w:ascii="IRNazanin" w:hAnsi="IRNazanin" w:eastAsia="IRNazanin"/>
          <w:color w:val="111111"/>
          <w:sz w:val="28"/>
          <w:sz w:val="28"/>
          <w:szCs w:val="28"/>
          <w:rtl w:val="true"/>
          <w:lang w:bidi="fa-IR"/>
        </w:rPr>
        <w:t>بأنّ ظاهر قولهم علیهم السلام فی الأخبار الکثیرة و فی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الصوم و لا تقضی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تدارک ما فاتها من الصوم دون الصلاة؛ فإنّ</w:t>
      </w:r>
    </w:p>
    <w:p>
      <w:pPr>
        <w:pStyle w:val="BookText"/>
        <w:rPr/>
      </w:pPr>
      <w:r>
        <w:rPr>
          <w:rFonts w:ascii="IRNazanin" w:hAnsi="IRNazanin" w:eastAsia="IRNazanin"/>
          <w:color w:val="111111"/>
          <w:sz w:val="28"/>
          <w:sz w:val="28"/>
          <w:szCs w:val="28"/>
          <w:rtl w:val="true"/>
          <w:lang w:bidi="fa-IR"/>
        </w:rPr>
        <w:t>القضاء تدارک ما فات، و لازم ذلک تحقّق صدق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وجوب القضاء لیس منوطاً بصدق الفوت فقط بل المستفاد من تتبّع النصوص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صلاة تُرکت یجب قضاؤها کما سیأتی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المنذورة فی وقت معیّن اتّفق فیه الحیض بالموقّتة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جامع المقاصد وجوب القضاء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فلعلّه یفرق بین الموقّتة بالأصل و بالعارض</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انکشاف فساد النذر،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لم یکن النذر تعلّق بذلک الوقت الشخصی بل تعلّق بنوعه، کما لو نذرت صوم کلّ خمیس، فإنّ اتّفاق الحیض فی بعض الخمیسات لا یکشف عن فساد النذر، و لذا صرّح جماعة </w:t>
      </w:r>
      <w:r>
        <w:rPr>
          <w:rStyle w:val="FootnoteAnchor"/>
          <w:rtl w:val="true"/>
        </w:rPr>
        <w:footnoteReference w:id="2354"/>
      </w:r>
      <w:r>
        <w:rPr>
          <w:rFonts w:ascii="IRNazanin" w:hAnsi="IRNazanin" w:eastAsia="IRNazanin"/>
          <w:color w:val="111111"/>
          <w:sz w:val="28"/>
          <w:sz w:val="28"/>
          <w:szCs w:val="28"/>
          <w:rtl w:val="true"/>
          <w:lang w:bidi="fa-IR"/>
        </w:rPr>
        <w:t xml:space="preserve">بوجوب القضاء لو اتّفق یوم المنذور عیداً، مستنداً إلی بعض الروایات </w:t>
      </w:r>
      <w:r>
        <w:rPr>
          <w:rStyle w:val="FootnoteAnchor"/>
          <w:rtl w:val="true"/>
        </w:rPr>
        <w:footnoteReference w:id="2355"/>
      </w:r>
      <w:r>
        <w:rPr>
          <w:rFonts w:ascii="IRNazanin" w:hAnsi="IRNazanin" w:eastAsia="IRNazanin"/>
          <w:color w:val="111111"/>
          <w:sz w:val="28"/>
          <w:sz w:val="28"/>
          <w:szCs w:val="28"/>
          <w:rtl w:val="true"/>
          <w:lang w:bidi="fa-IR"/>
        </w:rPr>
        <w:t xml:space="preserve">، ثمّ خالف جماعة فیه </w:t>
      </w:r>
      <w:r>
        <w:rPr>
          <w:rStyle w:val="FootnoteAnchor"/>
          <w:rtl w:val="true"/>
        </w:rPr>
        <w:footnoteReference w:id="2356"/>
      </w:r>
      <w:r>
        <w:rPr>
          <w:rFonts w:ascii="IRNazanin" w:hAnsi="IRNazanin" w:eastAsia="IRNazanin"/>
          <w:color w:val="111111"/>
          <w:sz w:val="28"/>
          <w:sz w:val="28"/>
          <w:szCs w:val="28"/>
          <w:rtl w:val="true"/>
          <w:lang w:bidi="fa-IR"/>
        </w:rPr>
        <w:t xml:space="preserve">لاستنادهم أیضاً إلی بعض الروایات النافیة لوجوب القضاء إذا سافر فی الیوم المنذور </w:t>
      </w:r>
      <w:r>
        <w:rPr>
          <w:rStyle w:val="FootnoteAnchor"/>
          <w:rtl w:val="true"/>
        </w:rPr>
        <w:footnoteReference w:id="2357"/>
      </w:r>
      <w:r>
        <w:rPr>
          <w:rFonts w:ascii="IRNazanin" w:hAnsi="IRNazanin" w:eastAsia="IRNazanin"/>
          <w:color w:val="111111"/>
          <w:sz w:val="28"/>
          <w:sz w:val="28"/>
          <w:szCs w:val="28"/>
          <w:rtl w:val="true"/>
          <w:lang w:bidi="fa-IR"/>
        </w:rPr>
        <w:t>مع معارضتها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کلام بعض مشایخنا المعاصرین </w:t>
      </w:r>
      <w:r>
        <w:rPr>
          <w:rStyle w:val="FootnoteAnchor"/>
          <w:rtl w:val="true"/>
        </w:rPr>
        <w:footnoteReference w:id="2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 القضاء إذا اتّفق السفر أو المرض فی الیوم المنذور، و جعله مؤیّداً لوجوب القضاء إذا اتّفق عیداً، و من هنا یظهر فساد النظر فیما تقدّم من الشهید </w:t>
      </w:r>
      <w:r>
        <w:rPr>
          <w:rStyle w:val="FootnoteAnchor"/>
          <w:rtl w:val="true"/>
        </w:rPr>
        <w:footnoteReference w:id="2359"/>
      </w:r>
      <w:r>
        <w:rPr>
          <w:rFonts w:ascii="IRNazanin" w:hAnsi="IRNazanin" w:eastAsia="IRNazanin"/>
          <w:color w:val="111111"/>
          <w:sz w:val="28"/>
          <w:sz w:val="28"/>
          <w:szCs w:val="28"/>
          <w:rtl w:val="true"/>
          <w:lang w:bidi="fa-IR"/>
        </w:rPr>
        <w:t>من وجوب قضاء الصوم المنذور فی وقت معیّن صادفه الحیض بأنّ الحیض کشف عن فساد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عدا الکسوفین من الآیات الظاهر وجوب قضاء صلاتها الفائتة بالحیض؛ لعدم ثبوت کونها موقتة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وقع الخلاف فی صلاة الزلزلة، إلّا أنّ الظاهر کما سیجی‌ء فی محلّه عدم توقیتها أیضاً فیجب قضاؤها أیضاً، وفاقاً للشهید الثانی </w:t>
      </w:r>
      <w:r>
        <w:rPr>
          <w:rStyle w:val="FootnoteAnchor"/>
          <w:rtl w:val="true"/>
        </w:rPr>
        <w:footnoteReference w:id="2360"/>
      </w:r>
      <w:r>
        <w:rPr>
          <w:rFonts w:ascii="IRNazanin" w:hAnsi="IRNazanin" w:eastAsia="IRNazanin"/>
          <w:color w:val="111111"/>
          <w:sz w:val="28"/>
          <w:sz w:val="28"/>
          <w:szCs w:val="28"/>
          <w:rtl w:val="true"/>
          <w:lang w:bidi="fa-IR"/>
        </w:rPr>
        <w:t xml:space="preserve">و غیره </w:t>
      </w:r>
      <w:r>
        <w:rPr>
          <w:rStyle w:val="FootnoteAnchor"/>
          <w:rtl w:val="true"/>
        </w:rPr>
        <w:footnoteReference w:id="2361"/>
      </w:r>
      <w:r>
        <w:rPr>
          <w:rFonts w:ascii="IRNazanin" w:hAnsi="IRNazanin" w:eastAsia="IRNazanin"/>
          <w:color w:val="111111"/>
          <w:sz w:val="28"/>
          <w:sz w:val="28"/>
          <w:szCs w:val="28"/>
          <w:rtl w:val="true"/>
          <w:lang w:bidi="fa-IR"/>
        </w:rPr>
        <w:t xml:space="preserve">، و هو حسن علی القول بأنّ الزلزلة سبب لا وقت، فلا تکون صلاتها من الموقّتات لکن عن غیر واحد </w:t>
      </w:r>
      <w:r>
        <w:rPr>
          <w:rStyle w:val="FootnoteAnchor"/>
          <w:rtl w:val="true"/>
        </w:rPr>
        <w:footnoteReference w:id="2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کونها من الموقّتات، أو أنّها موقّتة من غیر فوریّة کما یظهر من المسالک </w:t>
      </w:r>
      <w:r>
        <w:rPr>
          <w:rStyle w:val="FootnoteAnchor"/>
          <w:rtl w:val="true"/>
        </w:rPr>
        <w:footnoteReference w:id="2363"/>
      </w:r>
      <w:r>
        <w:rPr>
          <w:rFonts w:ascii="IRNazanin" w:hAnsi="IRNazanin" w:eastAsia="IRNazanin"/>
          <w:color w:val="111111"/>
          <w:sz w:val="28"/>
          <w:sz w:val="28"/>
          <w:szCs w:val="28"/>
          <w:rtl w:val="true"/>
          <w:lang w:bidi="fa-IR"/>
        </w:rPr>
        <w:t xml:space="preserve">و المدارک </w:t>
      </w:r>
      <w:r>
        <w:rPr>
          <w:rStyle w:val="FootnoteAnchor"/>
          <w:rtl w:val="true"/>
        </w:rPr>
        <w:footnoteReference w:id="2364"/>
      </w:r>
      <w:r>
        <w:rPr>
          <w:rFonts w:ascii="IRNazanin" w:hAnsi="IRNazanin" w:eastAsia="IRNazanin"/>
          <w:color w:val="111111"/>
          <w:sz w:val="28"/>
          <w:sz w:val="28"/>
          <w:szCs w:val="28"/>
          <w:rtl w:val="true"/>
          <w:lang w:bidi="fa-IR"/>
        </w:rPr>
        <w:t xml:space="preserve">و غیرهما </w:t>
      </w:r>
      <w:r>
        <w:rPr>
          <w:rStyle w:val="FootnoteAnchor"/>
          <w:rtl w:val="true"/>
        </w:rPr>
        <w:footnoteReference w:id="23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نسب بعضهم </w:t>
      </w:r>
      <w:r>
        <w:rPr>
          <w:rStyle w:val="FootnoteAnchor"/>
          <w:rtl w:val="true"/>
        </w:rPr>
        <w:footnoteReference w:id="2366"/>
      </w:r>
      <w:r>
        <w:rPr>
          <w:rFonts w:ascii="IRNazanin" w:hAnsi="IRNazanin" w:eastAsia="IRNazanin"/>
          <w:color w:val="111111"/>
          <w:sz w:val="28"/>
          <w:sz w:val="28"/>
          <w:szCs w:val="28"/>
          <w:rtl w:val="true"/>
          <w:lang w:bidi="fa-IR"/>
        </w:rPr>
        <w:t>الفوریّة إلی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جامع المقاصد عدم القضاء </w:t>
      </w:r>
      <w:r>
        <w:rPr>
          <w:rStyle w:val="FootnoteAnchor"/>
          <w:rtl w:val="true"/>
        </w:rPr>
        <w:footnoteReference w:id="2367"/>
      </w:r>
      <w:r>
        <w:rPr>
          <w:rFonts w:ascii="IRNazanin" w:hAnsi="IRNazanin" w:eastAsia="IRNazanin"/>
          <w:color w:val="111111"/>
          <w:sz w:val="28"/>
          <w:sz w:val="28"/>
          <w:szCs w:val="28"/>
          <w:rtl w:val="true"/>
          <w:lang w:bidi="fa-IR"/>
        </w:rPr>
        <w:t>مع اختیاره فی باب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صلاتها أداء فی جمیع العمر </w:t>
      </w:r>
      <w:r>
        <w:rPr>
          <w:rStyle w:val="FootnoteAnchor"/>
          <w:rtl w:val="true"/>
        </w:rPr>
        <w:footnoteReference w:id="2368"/>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الآیة منضمّاً إلی ما یسع الصلاة فیما بعده، زمان أوّل للصلاة، ثمّ هی أداء إلی آخر العمر مع وجوب الفور فیه زماناً فزماناً، و هذا لا یخلو بظاهره عن منافاة لعدم القضاء، و یمکن دفع المنافاة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الصلاة بعد مضی مقدار الفعل قضاء </w:t>
      </w:r>
      <w:r>
        <w:rPr>
          <w:rStyle w:val="FootnoteAnchor"/>
          <w:rtl w:val="true"/>
        </w:rPr>
        <w:footnoteReference w:id="2369"/>
      </w:r>
      <w:r>
        <w:rPr>
          <w:rFonts w:ascii="IRNazanin" w:hAnsi="IRNazanin" w:eastAsia="IRNazanin"/>
          <w:color w:val="111111"/>
          <w:sz w:val="28"/>
          <w:sz w:val="28"/>
          <w:szCs w:val="28"/>
          <w:rtl w:val="true"/>
          <w:lang w:bidi="fa-IR"/>
        </w:rPr>
        <w:t xml:space="preserve">، و قوّاه کاشف اللثام </w:t>
      </w:r>
      <w:r>
        <w:rPr>
          <w:rStyle w:val="FootnoteAnchor"/>
          <w:rtl w:val="true"/>
        </w:rPr>
        <w:footnoteReference w:id="2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سقوطه عن الحائض حینئذٍ واضح،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استوعب الحیض وقت الصلاة، و أمّا إذا لم یستوعبه، فإمّا أن یدرک الطهر فی أوّله و إمّا أن یدرکه فی آخره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أدرکته فی أوّله و قد مضی منه مقدار یصحّ أن تؤمر فیه بالصلاة بأن یسع فعل الصلاة مع تحصیل ما لیس بحاصل من مقدّماتها الواجبة علیها بحسب حالها، فلم تفعل عالمةً بطروّ المانع أو جاهلةً به، وجب علیها قضاء تلک الصلاة إجماعاً محقّقاً و محکیّاً </w:t>
      </w:r>
      <w:r>
        <w:rPr>
          <w:rStyle w:val="FootnoteAnchor"/>
          <w:rtl w:val="true"/>
        </w:rPr>
        <w:footnoteReference w:id="2371"/>
      </w:r>
      <w:r>
        <w:rPr>
          <w:rFonts w:ascii="IRNazanin" w:hAnsi="IRNazanin" w:eastAsia="IRNazanin"/>
          <w:color w:val="111111"/>
          <w:sz w:val="28"/>
          <w:sz w:val="28"/>
          <w:szCs w:val="28"/>
          <w:rtl w:val="true"/>
          <w:lang w:bidi="fa-IR"/>
        </w:rPr>
        <w:t>لصدق الفوات عرفاً، و لموثّقة یونس بن</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دخل علیها وقت الصلاة و هی طاهرة، فأخّرت الصلاة حتّی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إذا طهرت</w:t>
      </w:r>
      <w:r>
        <w:rPr>
          <w:rFonts w:eastAsia="IRNazanin" w:cs="IRNazanin"/>
          <w:color w:val="111111"/>
          <w:sz w:val="28"/>
          <w:szCs w:val="28"/>
          <w:rtl w:val="true"/>
          <w:lang w:bidi="fa-IR"/>
        </w:rPr>
        <w:t xml:space="preserve">»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تطمث بعد ما تزول الشمس و لم تصلّ الظهر، هل علیها قضاء تلک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إطلاق الأخیرة عدم اعتبار مضیّ المقدار المتقدّم فی وجوب القضاء، إلّا أن یدّعی انصرافها إلی صورة مضیّ ذلک المقدار، لکن اختصاص مورد السؤال فیها و فی الموثّقة لا یوجب اشتراط ذلک فی جوابهما، فالاستدلال بها لاعتبار مضیّ ذلک المقدار مشکل إلّا أن یستدلّ بأصالة البراءة، بناءً علی عدم صدق الفوت إلّا بعد مضیّ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صدق الفوات مجرّد محبوبیّة الفعل لو قدر علیه و أتی به، أو هی مع إمکان صدور الفعل منه فی الجملة بأن تکون قبل الوقت جامعاً للشرائط، و حینئذٍ فیقوی ما احتمله المصنّف قدّس سرّه فی النهایة من کفایة مضیّ مقدار الصلاة دون الطهارة فضلًا عن غیرها من الشرائط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یدّعی بعد تسلیم صدق الفوات بمجرّد المحبوبیّة لو تمکّن و عدم توقّفه علی تعلّق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عدم قضاء کلّ صلاة کان فوتها مستنداً إلی الحیض، و من المعلوم أنّ فوات الصلاة فیما إذا لم یدرک المحدث مقدار الطهارة مستند إلی الحیض</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اللازم ممّا ذکر اعتبار مضیّ مقدار الطهارة دون غیرها</w:t>
      </w:r>
    </w:p>
    <w:p>
      <w:pPr>
        <w:pStyle w:val="BookText"/>
        <w:rPr/>
      </w:pPr>
      <w:r>
        <w:rPr>
          <w:rFonts w:ascii="IRNazanin" w:hAnsi="IRNazanin" w:eastAsia="IRNazanin"/>
          <w:color w:val="111111"/>
          <w:sz w:val="28"/>
          <w:sz w:val="28"/>
          <w:szCs w:val="28"/>
          <w:rtl w:val="true"/>
          <w:lang w:bidi="fa-IR"/>
        </w:rPr>
        <w:t xml:space="preserve">من الشروط الاختیاریّة التی لا یوجب العجز عنها انتفاء التکلیف بالصلاة، کما هو ظاهر کلّ من عبّر بمضیّ مقدار الصلاة و الطهارة کالمصنّف قدّس سرّه فی القواعد </w:t>
      </w:r>
      <w:r>
        <w:rPr>
          <w:rStyle w:val="FootnoteAnchor"/>
          <w:rtl w:val="true"/>
        </w:rPr>
        <w:footnoteReference w:id="2375"/>
      </w:r>
      <w:r>
        <w:rPr>
          <w:rFonts w:ascii="IRNazanin" w:hAnsi="IRNazanin" w:eastAsia="IRNazanin"/>
          <w:color w:val="111111"/>
          <w:sz w:val="28"/>
          <w:sz w:val="28"/>
          <w:szCs w:val="28"/>
          <w:rtl w:val="true"/>
          <w:lang w:bidi="fa-IR"/>
        </w:rPr>
        <w:t xml:space="preserve">، تبعاً للمحقّق فی الشرائع </w:t>
      </w:r>
      <w:r>
        <w:rPr>
          <w:rStyle w:val="FootnoteAnchor"/>
          <w:rtl w:val="true"/>
        </w:rPr>
        <w:footnoteReference w:id="2376"/>
      </w:r>
      <w:r>
        <w:rPr>
          <w:rFonts w:ascii="IRNazanin" w:hAnsi="IRNazanin" w:eastAsia="IRNazanin"/>
          <w:color w:val="111111"/>
          <w:sz w:val="28"/>
          <w:sz w:val="28"/>
          <w:szCs w:val="28"/>
          <w:rtl w:val="true"/>
          <w:lang w:bidi="fa-IR"/>
        </w:rPr>
        <w:t>فإنّ مقتضی أدلّة الصلاة و اختصاص أدلّة تلک الشروط بصورة التمکّن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المکلّف بطروّ المانع له حیضاً کان أو غیره بعد زمان لا یسع إلّا للصلاة و الشرائط المطلقة، وجب علیه فعل الصلاة خالیاً عمّا عدا تلک الشروط، فإذا أخّرها و الحال هذه أثم و علیه القضاء، فأیّ فرق بین ما لو علم بذلک أو فاجأه المانع غفلة؟ فإنّ مفاجأته کاشف عن کونه مأموراً فی الواقع بالصلاة الخالیة عن الشرائط الاختیاریّة، کما لو تضیّق الوقت عن تحصیل تلک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الضیق الذاتی و العرضی الحاصل من مفاجاة الموانع، عاریة عن البیّنة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من ذلک کفایة مضیّ مقدار الطهارة الترابیّة فقط، مع أنّ الظاهر کونه خلاف الإجماع،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بأس بالتزامه لولا الإجماع، و قد اطّلعت بعد تحریر ما ذکرنا علی موافقة الفاضل الهندی فی شرح الروضة فی ذلک، حیث إنّه بعد نقل کلمات جماعة من الأصحاب و خلوّ کلمات المتقدّمین عن التعرّض لغیر الطهارة،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نفسی اعتبار الطهارة فی أوّل الوقت و آخره، و عدم اعتبار غیرها من الشروط،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لا یمکن فعلها بدون الطهارة، بخلاف غیرها</w:t>
      </w:r>
    </w:p>
    <w:p>
      <w:pPr>
        <w:pStyle w:val="BookText"/>
        <w:rPr/>
      </w:pPr>
      <w:r>
        <w:rPr>
          <w:rFonts w:ascii="IRNazanin" w:hAnsi="IRNazanin" w:eastAsia="IRNazanin"/>
          <w:color w:val="111111"/>
          <w:sz w:val="28"/>
          <w:sz w:val="28"/>
          <w:szCs w:val="28"/>
          <w:rtl w:val="true"/>
          <w:lang w:bidi="fa-IR"/>
        </w:rPr>
        <w:t>فإنّها تسقط فی الضرورة، و منها ضیق الوقت؛ فإنّ من زال عذره فی آخر الوقت و لا یجد ساتراً و لا غیره من الشروط الاختیاریة تعیّن علیه الصلاة بدونها، فکیف یجوز اعتبار إمکانها أجمع؟ أمّا أوّل الوقت فهو بمنزلة آخره؛ لأنّ عروض العذر بعده یکشف عن أنّ وقت الصلاة کان منحصراً، فالمکلّف بالنسبة إلی هذا المقدار من أوّل الوقت بمنزلته بالنسبة إلی الآخر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ینبغی أن لا یشترط اتّساع الوقت إلّا للصلاة و التیمّم، إلّا أنّ النصّ عارض ذلک بالنسبة إلی آخر الوقت، و هی روایة عبید بن زرارة و روایة الحلبی الآتیتین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أوّل الوقت، فلم یرد فیه ما یدلّ علی ذلک، بل عموم الأخبار الآمرة بقضاء ما أدرک وقتها یقتضی القضاء و لو لم تدرک مقدار الطهارة المائیة، و لم أرَ ممّن قبل الفاضلین مَن تعرّض فی أوّل الوقت للطهارة؛ و لعلّه لإطلاق تلک الأخبار </w:t>
      </w:r>
      <w:r>
        <w:rPr>
          <w:rStyle w:val="FootnoteAnchor"/>
          <w:rtl w:val="true"/>
        </w:rPr>
        <w:footnoteReference w:id="2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حسن و قد تفطنّا له، إلّا أنّه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تنجّز التکلیف و حدوثه فی حقّها بمجرّد القدرة علی الفعل الاضطراری، کما یظهر ذلک من بعضهم فی باب الأوقات، إنّما المسلّم کونها کافیة فی بقاء التکلیف، فتأمّل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وجوب الفعل الخالی عن الشرائط الاختیاریّة علیه إذا علم بطروّ المانع، وجوب قضاء الصلاة علیه لو ترکها؛ لأنّ الواجب</w:t>
      </w:r>
    </w:p>
    <w:p>
      <w:pPr>
        <w:pStyle w:val="BookText"/>
        <w:rPr/>
      </w:pPr>
      <w:r>
        <w:rPr>
          <w:rFonts w:ascii="IRNazanin" w:hAnsi="IRNazanin" w:eastAsia="IRNazanin"/>
          <w:color w:val="111111"/>
          <w:sz w:val="28"/>
          <w:sz w:val="28"/>
          <w:szCs w:val="28"/>
          <w:rtl w:val="true"/>
          <w:lang w:bidi="fa-IR"/>
        </w:rPr>
        <w:t>مع فوت الفعل الاضطراری تدارک الفعل الاختیاری الذی فات من غیر بدل، لا تدارک بدله الاضطراری الذی أمر به فعلًا، فإذا فرض استناد فوت الاختیاری إلی الحیض مع کون المفروض عدم وجوب تدارک ما فات لأجل الحیض فلا مقتضی آخر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سیجی‌ء من وجوب الصلاة علی الحائض إذا أدرکت مع التیمّم رکعة </w:t>
      </w:r>
      <w:r>
        <w:rPr>
          <w:rStyle w:val="FootnoteAnchor"/>
          <w:rtl w:val="true"/>
        </w:rPr>
        <w:footnoteReference w:id="2379"/>
      </w:r>
      <w:r>
        <w:rPr>
          <w:rFonts w:ascii="IRNazanin" w:hAnsi="IRNazanin" w:eastAsia="IRNazanin"/>
          <w:color w:val="111111"/>
          <w:sz w:val="28"/>
          <w:sz w:val="28"/>
          <w:szCs w:val="28"/>
          <w:rtl w:val="true"/>
          <w:lang w:bidi="fa-IR"/>
        </w:rPr>
        <w:t xml:space="preserve">، مع دلالة الأخبار کما سیجی‌ء علی عدم وجوب القضاء علیها لو ترکتها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سیجی‌ء من روایة أبی الورد المسقطة للقضاء عمّن أدرکت رکعتین مع اتّساع وقتهما لتمام الصلاة الاضطراریّة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فالأقوی اعتبار مضیّ مقدار جمیع الشرائط المفقودة، کما هو ظاهر المعتبر </w:t>
      </w:r>
      <w:r>
        <w:rPr>
          <w:rStyle w:val="FootnoteAnchor"/>
          <w:rtl w:val="true"/>
        </w:rPr>
        <w:footnoteReference w:id="2382"/>
      </w:r>
      <w:r>
        <w:rPr>
          <w:rFonts w:ascii="IRNazanin" w:hAnsi="IRNazanin" w:eastAsia="IRNazanin"/>
          <w:color w:val="111111"/>
          <w:sz w:val="28"/>
          <w:sz w:val="28"/>
          <w:szCs w:val="28"/>
          <w:rtl w:val="true"/>
          <w:lang w:bidi="fa-IR"/>
        </w:rPr>
        <w:t xml:space="preserve">و صریح الذکری </w:t>
      </w:r>
      <w:r>
        <w:rPr>
          <w:rStyle w:val="FootnoteAnchor"/>
          <w:rtl w:val="true"/>
        </w:rPr>
        <w:footnoteReference w:id="2383"/>
      </w:r>
      <w:r>
        <w:rPr>
          <w:rFonts w:ascii="IRNazanin" w:hAnsi="IRNazanin" w:eastAsia="IRNazanin"/>
          <w:color w:val="111111"/>
          <w:sz w:val="28"/>
          <w:sz w:val="28"/>
          <w:szCs w:val="28"/>
          <w:rtl w:val="true"/>
          <w:lang w:bidi="fa-IR"/>
        </w:rPr>
        <w:t xml:space="preserve">، و الموجز </w:t>
      </w:r>
      <w:r>
        <w:rPr>
          <w:rStyle w:val="FootnoteAnchor"/>
          <w:rtl w:val="true"/>
        </w:rPr>
        <w:footnoteReference w:id="238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385"/>
      </w:r>
      <w:r>
        <w:rPr>
          <w:rFonts w:ascii="Amiri" w:hAnsi="Amiri" w:eastAsia="Amiri" w:cs="Amiri"/>
          <w:color w:val="111111"/>
          <w:sz w:val="28"/>
          <w:sz w:val="28"/>
          <w:szCs w:val="28"/>
          <w:rtl w:val="true"/>
          <w:lang w:bidi="ar-SA"/>
        </w:rPr>
        <w:t xml:space="preserve">و الروضة </w:t>
      </w:r>
      <w:r>
        <w:rPr>
          <w:rStyle w:val="FootnoteAnchor"/>
          <w:rtl w:val="true"/>
        </w:rPr>
        <w:footnoteReference w:id="2386"/>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2387"/>
      </w:r>
      <w:r>
        <w:rPr>
          <w:rFonts w:ascii="IRNazanin" w:hAnsi="IRNazanin" w:eastAsia="IRNazanin"/>
          <w:color w:val="111111"/>
          <w:sz w:val="28"/>
          <w:sz w:val="28"/>
          <w:szCs w:val="28"/>
          <w:rtl w:val="true"/>
          <w:lang w:bidi="fa-IR"/>
        </w:rPr>
        <w:t>، بل هو ظاهر المبسوط و المهذّب و الجامع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رأت الدم و قد دخل</w:t>
      </w:r>
    </w:p>
    <w:p>
      <w:pPr>
        <w:pStyle w:val="BookText"/>
        <w:rPr/>
      </w:pPr>
      <w:r>
        <w:rPr>
          <w:rFonts w:ascii="IRNazanin" w:hAnsi="IRNazanin" w:eastAsia="IRNazanin"/>
          <w:color w:val="111111"/>
          <w:sz w:val="28"/>
          <w:sz w:val="28"/>
          <w:szCs w:val="28"/>
          <w:rtl w:val="true"/>
          <w:lang w:bidi="fa-IR"/>
        </w:rPr>
        <w:t xml:space="preserve">وقت صلاة و مضی مقدار ما یمکنها أداء تلک الصلاة و لم تکن قد صلّت، وجب علیها قضاء تلک الصلاة، و إن رأت الدم قبل ذلک لم یلزمها القضاء </w:t>
      </w:r>
      <w:r>
        <w:rPr>
          <w:rStyle w:val="FootnoteAnchor"/>
          <w:rtl w:val="true"/>
        </w:rPr>
        <w:footnoteReference w:id="238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عن المهذّب </w:t>
      </w:r>
      <w:r>
        <w:rPr>
          <w:rStyle w:val="FootnoteAnchor"/>
          <w:rtl w:val="true"/>
        </w:rPr>
        <w:footnoteReference w:id="2389"/>
      </w:r>
      <w:r>
        <w:rPr>
          <w:rFonts w:ascii="IRNazanin" w:hAnsi="IRNazanin" w:eastAsia="IRNazanin"/>
          <w:color w:val="111111"/>
          <w:sz w:val="28"/>
          <w:sz w:val="28"/>
          <w:szCs w:val="28"/>
          <w:rtl w:val="true"/>
          <w:lang w:bidi="fa-IR"/>
        </w:rPr>
        <w:t xml:space="preserve">و الجامع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الإسکافی </w:t>
      </w:r>
      <w:r>
        <w:rPr>
          <w:rStyle w:val="FootnoteAnchor"/>
          <w:rtl w:val="true"/>
        </w:rPr>
        <w:footnoteReference w:id="2391"/>
      </w:r>
      <w:r>
        <w:rPr>
          <w:rFonts w:ascii="IRNazanin" w:hAnsi="IRNazanin" w:eastAsia="IRNazanin"/>
          <w:color w:val="111111"/>
          <w:sz w:val="28"/>
          <w:sz w:val="28"/>
          <w:szCs w:val="28"/>
          <w:rtl w:val="true"/>
          <w:lang w:bidi="fa-IR"/>
        </w:rPr>
        <w:t xml:space="preserve">و السیّد فی الجمل </w:t>
      </w:r>
      <w:r>
        <w:rPr>
          <w:rStyle w:val="FootnoteAnchor"/>
          <w:rtl w:val="true"/>
        </w:rPr>
        <w:footnoteReference w:id="2392"/>
      </w:r>
      <w:r>
        <w:rPr>
          <w:rFonts w:ascii="IRNazanin" w:hAnsi="IRNazanin" w:eastAsia="IRNazanin"/>
          <w:color w:val="111111"/>
          <w:sz w:val="28"/>
          <w:sz w:val="28"/>
          <w:szCs w:val="28"/>
          <w:rtl w:val="true"/>
          <w:lang w:bidi="fa-IR"/>
        </w:rPr>
        <w:t>، فأثبتا القضاء بمضیّ مقدار أداء أکثر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لإطلاق مثل روایة ابن الحجّاج المتقدّمة </w:t>
      </w:r>
      <w:r>
        <w:rPr>
          <w:rStyle w:val="FootnoteAnchor"/>
          <w:rtl w:val="true"/>
        </w:rPr>
        <w:footnoteReference w:id="2393"/>
      </w:r>
      <w:r>
        <w:rPr>
          <w:rFonts w:ascii="IRNazanin" w:hAnsi="IRNazanin" w:eastAsia="IRNazanin"/>
          <w:color w:val="111111"/>
          <w:sz w:val="28"/>
          <w:sz w:val="28"/>
          <w:szCs w:val="28"/>
          <w:rtl w:val="true"/>
          <w:lang w:bidi="fa-IR"/>
        </w:rPr>
        <w:t>، بناءً علی منع انصرافها إلی صورة التمکّن من الجمیع، خرج منه ما إذا لم یتمکّن من الأکثر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روایة أبی الورد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التی تکون فی صلاة الظهر و قد صلّت رکعتین ثمّ 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من مسجدها و لا تقضی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رأت الدم و هی فی صلاة المغرب و قد صلّت رکعتین فلتقم من مسجدها فإذا تطهّرت فلتقض الرکعة التی فاتتها من المغرب</w:t>
      </w:r>
      <w:r>
        <w:rPr>
          <w:rFonts w:eastAsia="IRNazanin" w:cs="IRNazanin"/>
          <w:color w:val="111111"/>
          <w:sz w:val="28"/>
          <w:szCs w:val="28"/>
          <w:rtl w:val="true"/>
          <w:lang w:bidi="fa-IR"/>
        </w:rPr>
        <w:t xml:space="preserve">»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مع شذوذها و مخالفتها للإجماع المحکی عن الخلاف </w:t>
      </w:r>
      <w:r>
        <w:rPr>
          <w:rStyle w:val="FootnoteAnchor"/>
          <w:rtl w:val="true"/>
        </w:rPr>
        <w:footnoteReference w:id="2395"/>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خلافها ضعیفة سنداً و دلالة، و من حیث الاشتمال علی ما لا أظنّ یلتزمه أحد من قضاء بعض الصلاة، إلّا أنّ المحکی عن المقنع </w:t>
      </w:r>
      <w:r>
        <w:rPr>
          <w:rStyle w:val="FootnoteAnchor"/>
          <w:rtl w:val="true"/>
        </w:rPr>
        <w:footnoteReference w:id="2396"/>
      </w:r>
      <w:r>
        <w:rPr>
          <w:rFonts w:ascii="IRNazanin" w:hAnsi="IRNazanin" w:eastAsia="IRNazanin"/>
          <w:color w:val="111111"/>
          <w:sz w:val="28"/>
          <w:sz w:val="28"/>
          <w:szCs w:val="28"/>
          <w:rtl w:val="true"/>
          <w:lang w:bidi="fa-IR"/>
        </w:rPr>
        <w:t xml:space="preserve">و الفقیه </w:t>
      </w:r>
      <w:r>
        <w:rPr>
          <w:rStyle w:val="FootnoteAnchor"/>
          <w:rtl w:val="true"/>
        </w:rPr>
        <w:footnoteReference w:id="2397"/>
      </w:r>
      <w:r>
        <w:rPr>
          <w:rFonts w:ascii="IRNazanin" w:hAnsi="IRNazanin" w:eastAsia="IRNazanin"/>
          <w:color w:val="111111"/>
          <w:sz w:val="28"/>
          <w:sz w:val="28"/>
          <w:szCs w:val="28"/>
          <w:rtl w:val="true"/>
          <w:lang w:bidi="fa-IR"/>
        </w:rPr>
        <w:t>التعبیر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2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مناسب لمذهب الصدوق من حکمه بوجوب الإتیان بالرکعة المنسیة و إن طال الزمان، بل و لو بلغ 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المختلف حمل الروایة علی التفصیل بین المغرب و غیرها فی التفریط فی الأُولی دون الثانیة، مع حمل قضاء الرکعة علی قضاء الصلاة لأجل تلک الرکعة الفائتة </w:t>
      </w:r>
      <w:r>
        <w:rPr>
          <w:rStyle w:val="FootnoteAnchor"/>
          <w:rtl w:val="true"/>
        </w:rPr>
        <w:footnoteReference w:id="2399"/>
      </w:r>
      <w:r>
        <w:rPr>
          <w:rFonts w:ascii="IRNazanin" w:hAnsi="IRNazanin" w:eastAsia="IRNazanin"/>
          <w:color w:val="111111"/>
          <w:sz w:val="28"/>
          <w:sz w:val="28"/>
          <w:szCs w:val="28"/>
          <w:rtl w:val="true"/>
          <w:lang w:bidi="fa-IR"/>
        </w:rPr>
        <w:t>، و هو بعید، إلّا أنّه أولی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أخبار أُخر دالّة علی خلاف المشهور سیجی‌ء بیان التفصّی عنها فی باب المواقیت إن شاء اللّٰه تعالی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المرأة ممّن یجب علیها تأخیر الصلاة لآخر الوقت، کما لو کان فرضها التیمّم أو کان علیها قضاء الصلوات و قلنا بوجوب التأخیر فیها، کفی مضی مقدار الصلاة و الشروط فی حقّها، عدا التأخیر إلی آخر الوقت؛ لأنّ المقصود من اعتباره إیقاع الصلاة فی آخر أوقات الإمکان، و هذا المعنی حاصل بنفس طروّ الحیض عقیب زمان یسع الفعل و ما عدا التأخیر من الشروط، فالحیض محقّق لهذا الشرط لا مفوّت له، و هذا بخلاف</w:t>
      </w:r>
    </w:p>
    <w:p>
      <w:pPr>
        <w:pStyle w:val="BookText"/>
        <w:rPr/>
      </w:pPr>
      <w:r>
        <w:rPr>
          <w:rFonts w:ascii="IRNazanin" w:hAnsi="IRNazanin" w:eastAsia="IRNazanin"/>
          <w:color w:val="111111"/>
          <w:sz w:val="28"/>
          <w:sz w:val="28"/>
          <w:szCs w:val="28"/>
          <w:rtl w:val="true"/>
          <w:lang w:bidi="fa-IR"/>
        </w:rPr>
        <w:t>سائر الشروط،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لو أدرکت الطهر فی أوّل الوقت، و لو أدرکته فی آخره فإن کانت متمکّنة من الإتیان فیه برکعة واحدة صحیحة وجب علیها الشروع، فلو لم تفعل وجب علیها قضاؤها، بناءً علی المشهور، بل بإجماعنا کما عن المدارک </w:t>
      </w:r>
      <w:r>
        <w:rPr>
          <w:rStyle w:val="FootnoteAnchor"/>
          <w:rtl w:val="true"/>
        </w:rPr>
        <w:footnoteReference w:id="2400"/>
      </w:r>
      <w:r>
        <w:rPr>
          <w:rFonts w:ascii="IRNazanin" w:hAnsi="IRNazanin" w:eastAsia="IRNazanin"/>
          <w:color w:val="111111"/>
          <w:sz w:val="28"/>
          <w:sz w:val="28"/>
          <w:szCs w:val="28"/>
          <w:rtl w:val="true"/>
          <w:lang w:bidi="fa-IR"/>
        </w:rPr>
        <w:t xml:space="preserve">، بل عن الخلاف </w:t>
      </w:r>
      <w:r>
        <w:rPr>
          <w:rStyle w:val="FootnoteAnchor"/>
          <w:rtl w:val="true"/>
        </w:rPr>
        <w:footnoteReference w:id="2401"/>
      </w:r>
      <w:r>
        <w:rPr>
          <w:rFonts w:ascii="IRNazanin" w:hAnsi="IRNazanin" w:eastAsia="IRNazanin"/>
          <w:color w:val="111111"/>
          <w:sz w:val="28"/>
          <w:sz w:val="28"/>
          <w:szCs w:val="28"/>
          <w:rtl w:val="true"/>
          <w:lang w:bidi="fa-IR"/>
        </w:rPr>
        <w:t xml:space="preserve">و المنتهی </w:t>
      </w:r>
      <w:r>
        <w:rPr>
          <w:rStyle w:val="FootnoteAnchor"/>
          <w:rtl w:val="true"/>
        </w:rPr>
        <w:footnoteReference w:id="2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فیه بین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الروایة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الوقت فقد أدرک الوقت کلّه</w:t>
      </w:r>
      <w:r>
        <w:rPr>
          <w:rFonts w:eastAsia="IRNazanin" w:cs="IRNazanin"/>
          <w:color w:val="111111"/>
          <w:sz w:val="28"/>
          <w:szCs w:val="28"/>
          <w:rtl w:val="true"/>
          <w:lang w:bidi="fa-IR"/>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عبید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امرأة رأت الطهر و هی قادرة علی أن تغتسل فی وقت صلاة معیّنة ففرّطت فیها حتّی تدخل وقت صلاة اخری، کان علیها قضاء تلک الصلاة التی فرّطت فیها، و إن رأت الطهر فی وقت صلاة فقامت فی تهیئة ذلک فجاز وقت الصلاة و دخل وقت صلاة أُخری، فلیس علیها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تقوم فی وقت الصلاة فلا تقضی الظهر</w:t>
      </w:r>
    </w:p>
    <w:p>
      <w:pPr>
        <w:pStyle w:val="BookText"/>
        <w:rPr/>
      </w:pPr>
      <w:r>
        <w:rPr>
          <w:rFonts w:ascii="IRNazanin" w:hAnsi="IRNazanin" w:eastAsia="IRNazanin"/>
          <w:color w:val="111111"/>
          <w:sz w:val="28"/>
          <w:sz w:val="28"/>
          <w:szCs w:val="28"/>
          <w:rtl w:val="true"/>
          <w:lang w:bidi="fa-IR"/>
        </w:rPr>
        <w:t>حتّی تفوتها الصلاة و یخرج الوقت، أ تقضی الصلاة التی فاتتها؟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توانت، قضتها، و إن کانت دائبة فی غسلها، فلا تقضی</w:t>
      </w:r>
      <w:r>
        <w:rPr>
          <w:rFonts w:eastAsia="IRNazanin" w:cs="IRNazanin"/>
          <w:color w:val="111111"/>
          <w:sz w:val="28"/>
          <w:szCs w:val="28"/>
          <w:rtl w:val="true"/>
          <w:lang w:bidi="fa-IR"/>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صریحهما اعتبار إدراک مقدار الطهارة، فلو لم یسع الوقت إلّا لرکعة مع التیمّم لم یجب القضاء و لا الأداء بإهمال الشرائط الاختیاریّة؛ لأنّ هذه الصلاة الاضطراریّة و إن کانت أداءً فهی تدارک لما فات بسبب الحیض من الصلاة الاختیاریّة، و قد فهم من أدلّة عدم قضاء فوائت الحائض عدم وجوب تدارک مطلق ما فاتها لأجل الحیض، فهو نظیر ما تقدّم من سقوط صلاة الزلزلة عن الحائض و إن لم یکن قضاء </w:t>
      </w:r>
      <w:r>
        <w:rPr>
          <w:rStyle w:val="FootnoteAnchor"/>
          <w:rtl w:val="true"/>
        </w:rPr>
        <w:footnoteReference w:id="2406"/>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تعرف الکلام فی باقی الشرائط، و أنّها کالطهارة فی اعتبار سعة الوقت للمفقود منها؛ وفاقاً للمحکیّ عن صریح الدروس </w:t>
      </w:r>
      <w:r>
        <w:rPr>
          <w:rStyle w:val="FootnoteAnchor"/>
          <w:rtl w:val="true"/>
        </w:rPr>
        <w:footnoteReference w:id="2407"/>
      </w:r>
      <w:r>
        <w:rPr>
          <w:rFonts w:ascii="IRNazanin" w:hAnsi="IRNazanin" w:eastAsia="IRNazanin"/>
          <w:color w:val="111111"/>
          <w:sz w:val="28"/>
          <w:sz w:val="28"/>
          <w:szCs w:val="28"/>
          <w:rtl w:val="true"/>
          <w:lang w:bidi="fa-IR"/>
        </w:rPr>
        <w:t xml:space="preserve">و الموجز لابن فهد </w:t>
      </w:r>
      <w:r>
        <w:rPr>
          <w:rStyle w:val="FootnoteAnchor"/>
          <w:rtl w:val="true"/>
        </w:rPr>
        <w:footnoteReference w:id="2408"/>
      </w:r>
      <w:r>
        <w:rPr>
          <w:rFonts w:ascii="IRNazanin" w:hAnsi="IRNazanin" w:eastAsia="IRNazanin"/>
          <w:color w:val="111111"/>
          <w:sz w:val="28"/>
          <w:sz w:val="28"/>
          <w:szCs w:val="28"/>
          <w:rtl w:val="true"/>
          <w:lang w:bidi="fa-IR"/>
        </w:rPr>
        <w:t xml:space="preserve">و شرح القواعد </w:t>
      </w:r>
      <w:r>
        <w:rPr>
          <w:rStyle w:val="FootnoteAnchor"/>
          <w:rtl w:val="true"/>
        </w:rPr>
        <w:footnoteReference w:id="2409"/>
      </w:r>
      <w:r>
        <w:rPr>
          <w:rFonts w:ascii="Amiri" w:hAnsi="Amiri" w:eastAsia="Amiri" w:cs="Amiri"/>
          <w:color w:val="111111"/>
          <w:sz w:val="28"/>
          <w:sz w:val="28"/>
          <w:szCs w:val="28"/>
          <w:rtl w:val="true"/>
          <w:lang w:bidi="ar-SA"/>
        </w:rPr>
        <w:t xml:space="preserve">و الروضة </w:t>
      </w:r>
      <w:r>
        <w:rPr>
          <w:rStyle w:val="FootnoteAnchor"/>
          <w:rtl w:val="true"/>
        </w:rPr>
        <w:footnoteReference w:id="2410"/>
      </w:r>
      <w:r>
        <w:rPr>
          <w:rFonts w:ascii="IRNazanin" w:hAnsi="IRNazanin" w:eastAsia="IRNazanin"/>
          <w:color w:val="111111"/>
          <w:sz w:val="28"/>
          <w:sz w:val="28"/>
          <w:szCs w:val="28"/>
          <w:rtl w:val="true"/>
          <w:lang w:bidi="fa-IR"/>
        </w:rPr>
        <w:t xml:space="preserve">و المسالک </w:t>
      </w:r>
      <w:r>
        <w:rPr>
          <w:rStyle w:val="FootnoteAnchor"/>
          <w:rtl w:val="true"/>
        </w:rPr>
        <w:footnoteReference w:id="2411"/>
      </w:r>
      <w:r>
        <w:rPr>
          <w:rFonts w:ascii="IRNazanin" w:hAnsi="IRNazanin" w:eastAsia="IRNazanin"/>
          <w:color w:val="111111"/>
          <w:sz w:val="28"/>
          <w:sz w:val="28"/>
          <w:szCs w:val="28"/>
          <w:rtl w:val="true"/>
          <w:lang w:bidi="fa-IR"/>
        </w:rPr>
        <w:t>، و فی صحیحة عبید إشارة إلی ذلک حیث إنّ الظاهر من التهیئة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تحصیل الطهارة و سائر الشروط، بل و کذلک صحیحة الحلبی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فلو أدرکت من الظهرین أو العشاءین خمساً مع الغسل قبل الغروب أو الفجر وجب الصلاتان، کما عن الخلاف مدّعیاً فیه عدم الخلاف </w:t>
      </w:r>
      <w:r>
        <w:rPr>
          <w:rStyle w:val="FootnoteAnchor"/>
          <w:rtl w:val="true"/>
        </w:rPr>
        <w:footnoteReference w:id="2412"/>
      </w:r>
      <w:r>
        <w:rPr>
          <w:rFonts w:ascii="IRNazanin" w:hAnsi="IRNazanin" w:eastAsia="IRNazanin"/>
          <w:color w:val="111111"/>
          <w:sz w:val="28"/>
          <w:sz w:val="28"/>
          <w:szCs w:val="28"/>
          <w:rtl w:val="true"/>
          <w:lang w:bidi="fa-IR"/>
        </w:rPr>
        <w:t xml:space="preserve">و ابن سعید </w:t>
      </w:r>
      <w:r>
        <w:rPr>
          <w:rStyle w:val="FootnoteAnchor"/>
          <w:rtl w:val="true"/>
        </w:rPr>
        <w:footnoteReference w:id="2413"/>
      </w:r>
      <w:r>
        <w:rPr>
          <w:rFonts w:ascii="Amiri" w:hAnsi="Amiri" w:eastAsia="Amiri" w:cs="Amiri"/>
          <w:color w:val="111111"/>
          <w:sz w:val="28"/>
          <w:sz w:val="28"/>
          <w:szCs w:val="28"/>
          <w:rtl w:val="true"/>
          <w:lang w:bidi="ar-SA"/>
        </w:rPr>
        <w:t xml:space="preserve">و المحقّق </w:t>
      </w:r>
      <w:r>
        <w:rPr>
          <w:rStyle w:val="FootnoteAnchor"/>
          <w:rtl w:val="true"/>
        </w:rPr>
        <w:footnoteReference w:id="2414"/>
      </w:r>
      <w:r>
        <w:rPr>
          <w:rFonts w:ascii="Amiri" w:hAnsi="Amiri" w:eastAsia="Amiri" w:cs="Amiri"/>
          <w:color w:val="111111"/>
          <w:sz w:val="28"/>
          <w:sz w:val="28"/>
          <w:szCs w:val="28"/>
          <w:rtl w:val="true"/>
          <w:lang w:bidi="ar-SA"/>
        </w:rPr>
        <w:t xml:space="preserve">و المصنّف </w:t>
      </w:r>
      <w:r>
        <w:rPr>
          <w:rStyle w:val="FootnoteAnchor"/>
          <w:rtl w:val="true"/>
        </w:rPr>
        <w:footnoteReference w:id="2415"/>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المهذّب </w:t>
      </w:r>
      <w:r>
        <w:rPr>
          <w:rStyle w:val="FootnoteAnchor"/>
          <w:rtl w:val="true"/>
        </w:rPr>
        <w:footnoteReference w:id="2417"/>
      </w:r>
      <w:r>
        <w:rPr>
          <w:rFonts w:ascii="IRNazanin" w:hAnsi="IRNazanin" w:eastAsia="IRNazanin"/>
          <w:color w:val="111111"/>
          <w:sz w:val="28"/>
          <w:sz w:val="28"/>
          <w:szCs w:val="28"/>
          <w:rtl w:val="true"/>
          <w:lang w:bidi="fa-IR"/>
        </w:rPr>
        <w:t>و موضع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ذلک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فعل الظهرین بإدراک خمس قبل الغروب، و العشاءَین بإدراک أربع قبل الفجر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تتمکّن من رکعة مع الطهارة المائیّة لم یجب القضاء؛ للأصل و عدم الدلیل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اعتبار الطهارة هنا أیضاً، بناءً علی عدم اختصاصها بوقت و عدم اشتراطها فی اللزوم بل الصحّة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النهایة </w:t>
      </w:r>
      <w:r>
        <w:rPr>
          <w:rStyle w:val="FootnoteAnchor"/>
          <w:rtl w:val="true"/>
        </w:rPr>
        <w:footnoteReference w:id="2421"/>
      </w:r>
      <w:r>
        <w:rPr>
          <w:rFonts w:ascii="IRNazanin" w:hAnsi="IRNazanin" w:eastAsia="IRNazanin"/>
          <w:color w:val="111111"/>
          <w:sz w:val="28"/>
          <w:sz w:val="28"/>
          <w:szCs w:val="28"/>
          <w:rtl w:val="true"/>
          <w:lang w:bidi="fa-IR"/>
        </w:rPr>
        <w:t xml:space="preserve">و التهذیبین </w:t>
      </w:r>
      <w:r>
        <w:rPr>
          <w:rStyle w:val="FootnoteAnchor"/>
          <w:rtl w:val="true"/>
        </w:rPr>
        <w:footnoteReference w:id="2422"/>
      </w:r>
      <w:r>
        <w:rPr>
          <w:rFonts w:ascii="IRNazanin" w:hAnsi="IRNazanin" w:eastAsia="IRNazanin"/>
          <w:color w:val="111111"/>
          <w:sz w:val="28"/>
          <w:sz w:val="28"/>
          <w:szCs w:val="28"/>
          <w:rtl w:val="true"/>
          <w:lang w:bidi="fa-IR"/>
        </w:rPr>
        <w:t xml:space="preserve">و التذکرة </w:t>
      </w:r>
      <w:r>
        <w:rPr>
          <w:rStyle w:val="FootnoteAnchor"/>
          <w:rtl w:val="true"/>
        </w:rPr>
        <w:footnoteReference w:id="2423"/>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2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القضاء إذا أدرکت أقلّ من رکعة، قضاءً لحقّ ما أدرکته من الوقت؛ لروایة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المرأة قبل طلوع الفجر صلّت المغرب و العشاء الآخر، و إذا رأت الطهر قبل أن تغیب الشمس صلّت الظهر و العصر</w:t>
      </w:r>
      <w:r>
        <w:rPr>
          <w:rFonts w:eastAsia="IRNazanin" w:cs="IRNazanin"/>
          <w:color w:val="111111"/>
          <w:sz w:val="28"/>
          <w:szCs w:val="28"/>
          <w:rtl w:val="true"/>
          <w:lang w:bidi="fa-IR"/>
        </w:rPr>
        <w:t xml:space="preserve">» </w:t>
      </w:r>
      <w:r>
        <w:rPr>
          <w:rStyle w:val="FootnoteAnchor"/>
          <w:rtl w:val="true"/>
        </w:rPr>
        <w:footnoteReference w:id="2425"/>
      </w:r>
      <w:r>
        <w:rPr>
          <w:rFonts w:ascii="IRNazanin" w:hAnsi="IRNazanin" w:eastAsia="IRNazanin"/>
          <w:color w:val="111111"/>
          <w:sz w:val="28"/>
          <w:sz w:val="28"/>
          <w:szCs w:val="28"/>
          <w:rtl w:val="true"/>
          <w:lang w:bidi="fa-IR"/>
        </w:rPr>
        <w:t xml:space="preserve">، و نحوها غیرها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المحقّق المیل إلی الوجوب لظاهر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ذکر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یتّضح من هذا أنّه لا یجب علی الحائض قضاء صلاة إلّا ما طهرت فی وقتها و فرّطت فی الإتیان بها، ثمّ الذی یتبیّن من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إذا أدرکت من وقت الصلاة قدر الغسل و الشروع فی الصلاة فأخّرته حتّی دخل وقت اخری لزمها القضاء، و لو قیل بذلک کان مطابقاً لمدلولها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تقضی من الصلوات إذا رأت الدم إلّا ما تمکّنت من أدائه فی حال طهرها و أهملته </w:t>
      </w:r>
      <w:r>
        <w:rPr>
          <w:rStyle w:val="FootnoteAnchor"/>
          <w:rtl w:val="true"/>
        </w:rPr>
        <w:footnoteReference w:id="24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الصلاة التی أدرکت منها رکعةً، أداءٌ أو قضاءٌ أو مبعّضٌ؟ حکی</w:t>
      </w:r>
    </w:p>
    <w:p>
      <w:pPr>
        <w:pStyle w:val="BookText"/>
        <w:rPr/>
      </w:pPr>
      <w:r>
        <w:rPr>
          <w:rFonts w:ascii="IRNazanin" w:hAnsi="IRNazanin" w:eastAsia="IRNazanin"/>
          <w:color w:val="111111"/>
          <w:sz w:val="28"/>
          <w:sz w:val="28"/>
          <w:szCs w:val="28"/>
          <w:rtl w:val="true"/>
          <w:lang w:bidi="fa-IR"/>
        </w:rPr>
        <w:t xml:space="preserve">عن المبسوط لأصحابنا فیه أقوال ثلاثة </w:t>
      </w:r>
      <w:r>
        <w:rPr>
          <w:rStyle w:val="FootnoteAnchor"/>
          <w:rtl w:val="true"/>
        </w:rPr>
        <w:footnoteReference w:id="2428"/>
      </w:r>
      <w:r>
        <w:rPr>
          <w:rFonts w:ascii="IRNazanin" w:hAnsi="IRNazanin" w:eastAsia="IRNazanin"/>
          <w:color w:val="111111"/>
          <w:sz w:val="28"/>
          <w:sz w:val="28"/>
          <w:szCs w:val="28"/>
          <w:rtl w:val="true"/>
          <w:lang w:bidi="fa-IR"/>
        </w:rPr>
        <w:t xml:space="preserve">، مع أنّ المحکیّ عن الخلاف </w:t>
      </w:r>
      <w:r>
        <w:rPr>
          <w:rStyle w:val="FootnoteAnchor"/>
          <w:rtl w:val="true"/>
        </w:rPr>
        <w:footnoteReference w:id="2429"/>
      </w:r>
      <w:r>
        <w:rPr>
          <w:rFonts w:ascii="IRNazanin" w:hAnsi="IRNazanin" w:eastAsia="IRNazanin"/>
          <w:color w:val="111111"/>
          <w:sz w:val="28"/>
          <w:sz w:val="28"/>
          <w:szCs w:val="28"/>
          <w:rtl w:val="true"/>
          <w:lang w:bidi="fa-IR"/>
        </w:rPr>
        <w:t>دعوی الإجماع علی الأوّل مع نقله القول الثانی عن السیّد قدّس سرّه، و عن شرح الکتاب لفخر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فی کون الأربع من الخمس المدرکة من آخر الوقت للظهر أو للعصر مبنیّ علی هذا الخلاف، و أنّ من قال بکون الجمیع أداء لزمه الأوّل، و من قال بالترکیب لزمه الثانی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و تمام الکلام فی باب المواقیت إن شاء اللّٰه تعالی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أخذناه من کتاب الإرشاد، و لم نقف علی شرح المؤلّف قدّس سرّه له فیما بأیدینا من النسخ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البحث عن الأغسال المستحبّة فی النسخ بعد البحث عن غسل مسّ المیّت و قبل النظر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یتبع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لمّا کان ما کتبه المصنّف قدّس سرّه شرحاً مزجیّاً للإرشاد راعینا فی إیراده هنا ترتیب کتاب الإرشاد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لیست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مؤکّدة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لکنّه لم ینقل قولًا بالوجوب عن العامّة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باقی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یوم من سبعة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حکاه عن ابن بابویه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الحدیث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عنه فی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قدّس سرّه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مکان شریف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أوّل النهار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التعرّض لمذهب الشیخ، و المعروف من مذهبه إدامة وقته إلی أن تُصلّی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یغتسل یوم الجمعة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المدارک، لکن 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عنه فی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ذکروه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استظهر عنهما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علماً بأنّه حکاه عن المشهور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دخل الوقت علیک فصلّها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ابن فهد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سهو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ظاهرها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حکی عن والد الصدوق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لیس فیه ذکر عن القضاء فی عصر الجمعة، فراجع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لابن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 للمحقّق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فی الصفحة السابقة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الحدیث الأوّل، و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فی روایة السکونی المتقدّمة فی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المصباح کما نقله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أبو الصلاح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عدّه فیما لا خلاف فیه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نعم، حکاه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لا وجه له؛ لأنّ الخبر مذکور بتمامه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یومی العیدین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مذهب الأصحاب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الباب الأوّل من أبواب الأغسال المسنونة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الصلاة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الحدیث الأوّل،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له فی الغنیة، کما اعترف به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له فی الکافی، کما اعترف به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الشهید الثانی فی 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لم نقف علیه فی کتب السیّد، نعم، حکاه المحقّق عن جمل السیّد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الشهیدین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الطباطبائی، 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قطعة منها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الأوّل، و قطعة منها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 الحدیث الأوّل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حاشیة الشرائع للمحقّق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الفاضلین السبزواری و الهندی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الحدیث الأوّل،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الحدیث الأوّل، مع تقدیم و تأخیر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الباب الأوّل من أبواب الأغسال المسنونة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الباب الأوّل من أبواب الأغسال المسنونة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الحدیث الأوّل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الأوّل من أبواب إحرام الحجّ و الوقوف بعرفة، الحدیث الأوّل، إلّا أنّه عن معاویة بن عمّار، و لم نعثر علی روایة زرارة بهذا اللفظ</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إلّا أنّ الموجود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یجب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لم نعثر علیه فی کشف الالتباس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تقدّم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 فی شرح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 الحدیث الأوّل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و عن زاد المعاد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فهد عن صاحب کتاب الأنواء،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 شارح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تأسیس النیروز الجدید بانتقال الشمس إلی برج الحمل فی زمان السلطان ملکشاه السلجوقی فی یوم الجمعة عاشر شهر رمضان المبارک من سنة إحدی و سبعین و أربعمائة، فکیف یمکن أن یجعل ذلک منوطاً للأحکام الشرعیّة الثابتة قبل ذلک نحواً من خمسمائة سنة، و ذکر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نیروز الفرس إنّما حدث فی زمان جمشید رابع ملوک الدنیا، بل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زمان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المشهور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نفس المصدر،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العلّامة رحمه اللّٰه فی طهارة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إلی ابن أبی عقیل و الاستحباب إلی ابن الجنید، و فی حجّ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من کلام ابن الجنید الوجوب و نقل کلامه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الباب الأوّل من أبواب الأغسال المسنونة، الحدیث الأوّل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یناسبه،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الآیة 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لا وجه له؛ لأنّ الحدیث منقول بتمامه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یناسبه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یناسبه،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یناسبه، الحدیث الأوّل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الأغسال، الحدیث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الآیات،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الآیات و الکسوف، الحدیث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حکاه علی بن بابویه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عدّه فی ما اختلف فیه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استظهر فی المصابیح الاستحباب من کلامه فی المصباح، 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انظر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الأوّل،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رحمه اللّٰه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المکارم ابن زهرة فی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أبو الصلاح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لم نعثر علیه فی کتب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حکاه عن الحلبیّین الثلاثة،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أبو العباس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المحرّر، نعم 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المصادر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تاللّٰه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تاللّٰه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للّٰه أنت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عن الثلاثة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صلاة الحاجة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صلاة الحوائج، الحدیث الأوّل، 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صلاة الحوائج،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الحدیث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دخول الحرم، و المسجد الحرام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التهذیب أیضاً،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طَهِّرٰا بَیْتِیَ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ما یتبعها،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الحدیث الأوّل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الحدیث الأوّل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السابع، الحدیث الأوّل، و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لا وجه له؛ لأنّ الحدیث مذکور بتمامه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السیّد فی المصباح کما حکی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 الحدیث الأوّل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الأصفهانی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 فی دلالة کلامه علی استحباب الغسل تأمّل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 الحدیث الأوّل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انظر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ذیل الحدیث الأوّل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ذیل الحدیث الأوّل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ذیل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مسّ میّتاً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لکن المنقول فیه عن ظاهر الذکری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الغسل لمن أراد التکفین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عن أحدهما علیه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مصباح الزائر للسیّد ابن طاوس رحمه اللّٰه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أورده المجلسی فی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إخطار الأسفار و 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یناسبه، الحدیث الأوّل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الخبر منقول بتمامه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انظر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لیظهر أثر العمل الصالح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زوال الرخص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ذیله فی الصفحة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المصدرین المتقدّمین آنفاً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الثلاثة مذکورة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الحدیث الأوّل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إیقاع الفعل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الحدیث الأوّل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ابن سعید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الحدیث الأوّل، و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الحدیث الأوّل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الحدیث الأوّل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کتاب الإرشاد، و لم نقف علی شرح المؤلف قدّس سرّه له فیما بأیدینا من النسخ، و کذا لم نقف علی شرح المؤلف للنظر الثانی فی أسباب الوضوء و کیفیّته، و النظر الثالث فی أسباب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المقصد الأوّل فی الجنابة، و هی زهاء خمس صفحات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قدّس سرّه ترک شرح المطالب المتعلّقة بذلک لشرحه نظائرها من کتاب شرائع الإسلام، و التی قدّمناها فی الجزء الأوّل و الثانی حسب تجزئتنا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فی الأحداث الموجبة للوضوء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أحکام الخلوة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سنن التخلّی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مکروهات التخلّی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النیّة فی الوضوء و ما یرتبط بها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غسل الوجه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غسل الیدین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مسح الرأس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المسح علی ظاهر القدمین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عمّا یرتبط بالجفاف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وجوب الترتیب فی الوضوء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وجوب الموالاة فی الوضوء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حکم صاحب الجبیرة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حکم من به السلس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سنن الوضوء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مکروهات الوضوء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ما یرتبط بالتولیة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نظیر هذه المسألة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نظیر هذه المسألة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نظیر هذه المسألة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نظیر هذه المسألة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نظیر هذه المسألة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کتاب الإرشاد، و لم نقف علی شرح المؤلف قدّس سرّه له فیما بأیدینا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قدّس سرّه ترک شرح المطالب المتعلّقة بذلک لشرحه نظائرها من کتاب شرائع الإسلام، و التی قدّمناها فی الجزء الثانی حسب تجزئتنا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ما یتعلّق بأسباب الغسل فی شرح المؤلف قدّس سرّه لکتاب الشرائع و التی قدّمناها فی الجزء الثانی حسب تجزئتنا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الإنزال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الجماع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نظیر هذه المسألة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هذا الموضوع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هذا الموضوع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 هذا الموضوع بالتفصیل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عن أحکام الجنابة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کتاب إرشاد الأذهان، و لم یتعرّض المؤلف قدّس سرّه لشرحها اکتفاءً بما کتبه فی هذا الموضوع شرحاً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الجزء الثانی من طبعتنا هذه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و به نستعین، الحمد للّٰه ربّ العالمین، و الصلاة و السلام علی محمّد و آله المعصومین، و لعنة اللّٰه علی أعدائهم أجمعین إلی یوم الدین، المقصد الثانی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وَ یَسْئَلُونَکَ عَنِ الْمَحِیضِ قُلْ هُوَ أَذیً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الحاء و الواو و ما یثلّثهما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لم نقف علیه فی الفقیه، و الظاهر أنّ الصحیح المقنعة، 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ذیل الحدیث</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حکاه عنه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سقوط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العبارة، و أنّها کانت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المستفیضة الدالّة علی أنّ الصفرة فی غیر أیّام الحیض لیس من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العین مع الذال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الأعمّ من ذلک فی المعنی الأعم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26729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لکن استدلّ بخبری معاویة بن عمّار و حفص</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لا وجه له؛ لأنّ الحدیث منقول بتمامه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الحدیث الأوّل،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المرتضی، علی ما 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ابن الجنید و سلّار، کما حکاه عنهما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إلی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حکاه الصدوق أیضاً عن والده فی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 نعثر علیه فی کتب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حکاه عنهما السیّد العاملی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للتوقّف فی هذه المسألة وجه واضح، و إن کان و لا بدّ فالعمل علی ما علیه الأکثر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لا وجه له، لأنّ الحدیث منقول بتمامه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ولده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الشیخ البهائی فی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ذیل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أفتوا کذلک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آنفاً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 آنفاً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لیس فی کلامه وصف نسخ التهذیب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الکبیر کاشف الغطاء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القرح غالباً فی الأمعاء و میلها إلی الأیسر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أعمل بها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نسبه إلیه المحدّث البحرانی، انظر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نسبة ذلک إلی المنتهی تأمّل، انظر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اللمعة الدمشقیة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یحکم فیه بالإلحاق جزماً، بل مال إلیه بعد الحکم بأنّه خالٍ من مستند قوی سوی الشهرة، 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 النهایة و السرائر و المهذّب و غیرها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جمیع هذه الکتب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الأصفهانی عن السمعانی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الأقوال الثلاثة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الکبیر فی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کما حکاه عن والده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لیس فیه تصریح بالتوالی، و لعلّه لذلک قال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من کلام أبی الصلاح</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الأمر السادس من التنبیهات فی الاستصحاب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الکتابین المذکورین ممّا حکی عنهما عین و لا أثر، و فی کشف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ذلک إلی شرح الإرشاد و الروض و الهادی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الکتابین المذکورین ممّا حکی عنهما عین و لا أثر، و فی کشف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ذلک إلی شرح الإرشاد و الروض و الهادی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الوحید البهبهانی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الموجود فی التهذیب نقل روایة یونس من دون بیان، و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 عن الشیخ فی الاستبصار و النهایة، انظر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لأنّ الحدیث مذکور بتمامه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الحدیث مذکور بتمامه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الخبر مذکور بتمامه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العبارة فی المنتهی،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مع ذلک لا تخلو العبارة من اضطراب و تشویش</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لکن لم نطّلع علی حاشیة الروض، و لعلّها مصحّفة حاشیة الروضة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لم نعثر علیها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دم الحیض یسیل تارة و ینقطع اخری، إنّما یثبت للنقاء حکم الطهر إذا انقطع بالکلیة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الحدیث الأوّل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 ظاهراً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طرحهما، لشذوذهما و مخالفتهما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و لا علی من حکاه عنه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فی نهایة الإحکام علی کلام ظاهر فی الحکایة المذکورة، 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ظاهر الشافعی، راجع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 مواضع کلامهم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 مواضع کلامهم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 مواضع کلامهم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المحقّق الثانی، 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المنتهی و الصواب ما أثبتناه، لحکایتهم الحکم المذکور عنه، و وجوده فیه، راجع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أصل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بالخمسین، لکن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بالخمسة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غرضهما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مع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مضمرة سماعة و مرسلة یونس المتقدّمتان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الصفرة و الکدرة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الشهید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هو السیّد العاملی،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الأوّل، و تقدّمت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 الآتیة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المتقدّمة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راجع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تحتاط للعبادة ثلاثة أیّام و هو أشهر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موثّقة عبد الرحمن البصری المتقدّمة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إلیه ذلک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لکن القاعدة غیر داخلة فی معقد الإجماع الذی ذکره، 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موثّقة عبد الرحمن البصری المتقدّمة فی الصحیحة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بالموثّقات، موثّقة سماعة و موثّقتا ابن بکیر المتقدّمة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الحاکی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یأتی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إسالة الدماء من الذبح و النحر فی الأضاحی، و فی حدیث المستحاضة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أثجّه ثجّاً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الدم، أی أصبّه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الحدیث الأوّل، و أورده فی الوسائل فی أبواب متعدّدة من الحیض، فراجع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السرائر،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یکاد یکون صریحها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لکنّا لم نقف فیه علی عبارةٍ ظاهرةٍ فی تقدیم العادة علی التمیّز، 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کلامهم و التخریج عن کتبهم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حیضها تقدّم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شهر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اعتباراً بالتمییز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یفصلوا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ظاهراً هو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فیه بالشقّ الأوّل من إمکان الجمع، انظر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ترکت الدم إلی عشرة أیّام، ثمّ تصبر إلی عشرین، فإن استمرّ بها الدم بعد ذلک ترکت الصلاة ثلاثة أیّام و صلّت سبعة و عشرین یوماً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نصّها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غیر مواضع</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لا وجه له؛ لأنّ الخبر منقول بتمامه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أوقاتها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رأت دم الحیض إلی أنّه من الحیضة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بعد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رأت دم الاستحاضة و جاز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للمصدر و لنسخة مخطوطة مستنسخة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محفوظة فی مکتبة آیة اللّٰه الکلبایکانی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الآتیة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لم نقف علی التصریح به فی کتب الشهید الأوّل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قال فی مفتاح الکرامة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ذکر هذا فی سیاق کلام الشافعی فلعلّه حکایة عنه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استظهرناه،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حکاه عنه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إلّا احتمال إلحاق المتوسّط بالأوّل فی صورة عدم التجاوز عن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حکاه عنه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المعقوفتین کان فی النسخ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یدلّ علی 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خمسة أسطر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اعتضادهما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فقدت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التذکرة، و لا علی من حکاه عنها، و إنّما حکاه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المسالک فقط</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هذا هو الکلام فی الهامش السابق</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لیست فیه النسبة إلی الروایة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بثلاثة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الموجود فیها وجوب التحیّض فی کلّ شهر سبعة أیّام،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أنّها تترک الصلاة و الصوم فی الشهر الأوّل عشرة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ظاهر الصدوق المحقّق الخوانساری فی 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الإجماع علی روایتین منها، 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الأوّل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تقدّمتا فی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حکاه عنها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لکن الموجود فی التذکرة خلاف ما نُسب إلیها، ففیها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أنّها تتخیّر إلی أن قال و یحتمل أن یکون أوّل الشهر حیضاً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قد تقدّم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مرسلة یونس المتقدّمة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فیه نقل الفرع المذکور عن الشیخ من دون إنکار علیه، راجع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شهر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فیه، انظر الإصباح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نعم،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انظر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راجع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کلّ شهر سبعة أیّام، أو تترک فی الشهر الأوّل أکثر أیّام الحیض عشرة أیّام، و فی الثانی ثلاثة أیّام أقلّ أیّام الحیض</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الوحید البهبهانی فی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الصیمری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لنظیرها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فخر المحقّقین فی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الحیض</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نسبة ذلک إلیهما تأمّل، 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المتقدّمة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و حکاه الشهید الثانی فی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بلفظ قیل، و مثله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تأخذه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زیادتها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حکاه عنه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الحدیث الأوّل،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علیه مرسلة یونس المشار إلیها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الموانع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بالتخصّص</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الوحید البهبهانی فی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یوماً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لکنّه قاله فی الحبلی، و حکاه عنه المحقّق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الأحادیث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الحدیث منقول بالمعنی</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فی الوسائل فی أبواب متعدّدة من الحیض، و تقدّمت بتمامها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سقوط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راجع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الباب الأوّل من أبواب الاستحاضة، الحدیث الأوّل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الحدیث الأوّل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الحدیث الأوّل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المتقدّمة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المتقدّمة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الوحید البهبهانی فی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صدراً و ذیلًا فی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وافق</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انقطع</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صدرها فی الصفحة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ذیلها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ادّعی ظهورها فی الدامیة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أبی بصیر المتقدّم فی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تقدّمت فی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الأحادیث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أحکامه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لظهور طهر</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الأوّل، و 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غنائم الأیام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تتقدّم العادة و تتأخّر، فلو رأت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فالجمیع</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المشهور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یصحّ طلاقها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المسجد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السیّد فی المصباح علی ما 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ابن فهد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الحدیث الأوّل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کمصحّحة الحذّاء، و موثّقة أبی بصیر المتقدّمتین فی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الحدود و التعزیرات،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استدباره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 الحدیث الأوّل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حکاه عنهما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السیّد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فی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ادّعاء الإجماع، 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بدینار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أوسطه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بنصفه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بربعه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 فراجع</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حکاه عن ظاهر الذکری،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 الکفّارة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اختاره أکثر المتأخّرین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حکاه عنه الوحید البهبهانی فی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 للحلّی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المتقدّمة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مع أنّ التطهّر من مقولة الفعل هنا؛ لعدم إرادة الانفعال منه قطعاً، فإرادة الطهر الذی هو من قبیل الکیف بعید، و منه یعلم أنّ قیاسه و تنظیره بالأمثلة المذکورة مع 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العبارة نفسها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فی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اللّٰه روحه</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لم نعثر علیه فی کتب الشهید الثانی</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قول أکثر علمائنا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الحدیث الأوّل،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روایة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الآیة 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زیادة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الجواز فی المساجد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سرّتها</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زیادة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تجلس فی مصلّاها ذاکرة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و غیره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المتقدّمة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أقربهما الوجوب</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 و حکاه عنه فی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أقربهما عند المصنّف عدم الوجوب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الصفحة الآتیة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تعسّر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یکذبه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 و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موضع من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أبی الصلاح الحلبی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قد تقدّم فی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فوائد الشرائع، و الغریة و إرشاد الجعفریة علی ما حکاه السیّد العاملی فی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الغریة علی ما حکاها السیّد العاملی فی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تأتیان فی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فی شرح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تقضی کلّ صلاة تمکّنت من فعلها قبله</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الآتیة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الروایة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یوجد ما یدلّ علی هذا المعنی، مثل قوله صلّی اللّٰه علیه و آله من أدرک رکعة من الصلاة فقد أدرک الصلاة و غیره، 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الصیمری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90804</Words>
  <Characters>370993</Characters>
  <CharactersWithSpaces>459306</CharactersWithSpaces>
  <Paragraphs>4923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2026-08-24T00:09:41Z</dcterms:created>
  <dc:creator>ghaemiyeh.com</dc:creator>
  <dc:description/>
  <dc:language>en-US</dc:language>
  <cp:lastModifiedBy/>
  <dcterms:modified xsi:type="dcterms:W3CDTF">2026-08-24T03:40:00Z</dcterms:modified>
  <cp:revision>1</cp:revision>
  <dc:subject/>
  <dc:title>کتاب الطهاره جلد 3</dc:title>
</cp:coreProperties>
</file>

<file path=docProps/custom.xml><?xml version="1.0" encoding="utf-8"?>
<Properties xmlns="http://schemas.openxmlformats.org/officeDocument/2006/custom-properties" xmlns:vt="http://schemas.openxmlformats.org/officeDocument/2006/docPropsVTypes"/>
</file>